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17A3C1">
      <w:pPr>
        <w:pStyle w:val="17"/>
      </w:pPr>
      <w:r>
        <w:drawing>
          <wp:anchor distT="0" distB="0" distL="0" distR="0" simplePos="0" relativeHeight="251659264" behindDoc="0" locked="0" layoutInCell="1" allowOverlap="1">
            <wp:simplePos x="0" y="0"/>
            <wp:positionH relativeFrom="page">
              <wp:align>center</wp:align>
            </wp:positionH>
            <wp:positionV relativeFrom="paragraph">
              <wp:posOffset>-427990</wp:posOffset>
            </wp:positionV>
            <wp:extent cx="640080" cy="619125"/>
            <wp:effectExtent l="0" t="0" r="7620" b="9525"/>
            <wp:wrapNone/>
            <wp:docPr id="1"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8"/>
                    <pic:cNvPicPr>
                      <a:picLocks noChangeAspect="1" noChangeArrowheads="1"/>
                    </pic:cNvPicPr>
                  </pic:nvPicPr>
                  <pic:blipFill>
                    <a:blip r:embed="rId6"/>
                    <a:stretch>
                      <a:fillRect/>
                    </a:stretch>
                  </pic:blipFill>
                  <pic:spPr>
                    <a:xfrm>
                      <a:off x="0" y="0"/>
                      <a:ext cx="640080" cy="619125"/>
                    </a:xfrm>
                    <a:prstGeom prst="rect">
                      <a:avLst/>
                    </a:prstGeom>
                  </pic:spPr>
                </pic:pic>
              </a:graphicData>
            </a:graphic>
          </wp:anchor>
        </w:drawing>
      </w:r>
      <w:r>
        <w:t xml:space="preserve">    </w:t>
      </w:r>
      <w:r>
        <w:br w:type="textWrapping"/>
      </w:r>
    </w:p>
    <w:p w14:paraId="19F1D71E">
      <w:pPr>
        <w:tabs>
          <w:tab w:val="left" w:pos="6284"/>
        </w:tabs>
        <w:jc w:val="center"/>
        <w:rPr>
          <w:rFonts w:asciiTheme="minorHAnsi" w:hAnsiTheme="minorHAnsi" w:cstheme="minorHAnsi"/>
          <w:b/>
          <w:bCs/>
          <w:sz w:val="24"/>
          <w:szCs w:val="24"/>
        </w:rPr>
      </w:pPr>
      <w:r>
        <w:rPr>
          <w:rFonts w:asciiTheme="minorHAnsi" w:hAnsiTheme="minorHAnsi" w:cstheme="minorHAnsi"/>
          <w:b/>
          <w:bCs/>
          <w:sz w:val="24"/>
          <w:szCs w:val="24"/>
        </w:rPr>
        <w:t>MINISTÉRIO DA EDUCAÇÃO</w:t>
      </w:r>
    </w:p>
    <w:p w14:paraId="6DD64F9F">
      <w:pPr>
        <w:pStyle w:val="2"/>
        <w:spacing w:before="0"/>
        <w:jc w:val="center"/>
        <w:rPr>
          <w:rFonts w:asciiTheme="minorHAnsi" w:hAnsiTheme="minorHAnsi" w:cstheme="minorHAnsi"/>
          <w:b w:val="0"/>
          <w:color w:val="auto"/>
          <w:sz w:val="24"/>
          <w:szCs w:val="24"/>
        </w:rPr>
      </w:pPr>
      <w:r>
        <w:rPr>
          <w:rFonts w:asciiTheme="minorHAnsi" w:hAnsiTheme="minorHAnsi" w:cstheme="minorHAnsi"/>
          <w:color w:val="auto"/>
          <w:sz w:val="24"/>
          <w:szCs w:val="24"/>
        </w:rPr>
        <w:t>UNIVERSIDADE FEDERAL FLUMINENSE</w:t>
      </w:r>
    </w:p>
    <w:p w14:paraId="51B969AB">
      <w:pPr>
        <w:jc w:val="center"/>
        <w:rPr>
          <w:rFonts w:asciiTheme="minorHAnsi" w:hAnsiTheme="minorHAnsi" w:cstheme="minorHAnsi"/>
          <w:b/>
          <w:sz w:val="24"/>
          <w:szCs w:val="24"/>
        </w:rPr>
      </w:pPr>
      <w:r>
        <w:rPr>
          <w:rFonts w:asciiTheme="minorHAnsi" w:hAnsiTheme="minorHAnsi" w:cstheme="minorHAnsi"/>
          <w:b/>
          <w:sz w:val="24"/>
          <w:szCs w:val="24"/>
        </w:rPr>
        <w:t>PRO REITORIA DE ADMINISTRAÇÃO</w:t>
      </w:r>
    </w:p>
    <w:p w14:paraId="511795F8">
      <w:pPr>
        <w:pStyle w:val="54"/>
        <w:rPr>
          <w:rFonts w:asciiTheme="minorHAnsi" w:hAnsiTheme="minorHAnsi"/>
          <w:b/>
        </w:rPr>
      </w:pPr>
    </w:p>
    <w:p w14:paraId="10E12490">
      <w:pPr>
        <w:jc w:val="center"/>
        <w:rPr>
          <w:rFonts w:asciiTheme="minorHAnsi" w:hAnsiTheme="minorHAnsi" w:cstheme="minorHAnsi"/>
          <w:b/>
          <w:sz w:val="24"/>
          <w:szCs w:val="24"/>
        </w:rPr>
      </w:pPr>
      <w:r>
        <w:rPr>
          <w:rFonts w:asciiTheme="minorHAnsi" w:hAnsiTheme="minorHAnsi" w:cstheme="minorHAnsi"/>
          <w:b/>
          <w:sz w:val="24"/>
          <w:szCs w:val="24"/>
        </w:rPr>
        <w:t xml:space="preserve">PREGÃO ELETRÔNICO Nº </w:t>
      </w:r>
      <w:r>
        <w:rPr>
          <w:rFonts w:hint="default" w:asciiTheme="minorHAnsi" w:hAnsiTheme="minorHAnsi" w:cstheme="minorHAnsi"/>
          <w:b/>
          <w:sz w:val="24"/>
          <w:szCs w:val="24"/>
          <w:lang w:val="pt-BR"/>
        </w:rPr>
        <w:t>51</w:t>
      </w:r>
      <w:bookmarkStart w:id="1" w:name="_GoBack"/>
      <w:bookmarkEnd w:id="1"/>
      <w:r>
        <w:rPr>
          <w:rFonts w:asciiTheme="minorHAnsi" w:hAnsiTheme="minorHAnsi" w:cstheme="minorHAnsi"/>
          <w:b/>
          <w:sz w:val="24"/>
          <w:szCs w:val="24"/>
        </w:rPr>
        <w:t>/2026</w:t>
      </w:r>
    </w:p>
    <w:p w14:paraId="28445725">
      <w:pPr>
        <w:pStyle w:val="54"/>
        <w:rPr>
          <w:rFonts w:asciiTheme="minorHAnsi" w:hAnsiTheme="minorHAnsi"/>
          <w:b/>
        </w:rPr>
      </w:pPr>
    </w:p>
    <w:p w14:paraId="60CFEE12">
      <w:pPr>
        <w:pStyle w:val="5"/>
        <w:rPr>
          <w:rFonts w:cs="Arial" w:asciiTheme="minorHAnsi" w:hAnsiTheme="minorHAnsi"/>
          <w:sz w:val="24"/>
          <w:szCs w:val="24"/>
          <w:u w:val="none"/>
        </w:rPr>
      </w:pPr>
      <w:r>
        <w:rPr>
          <w:rFonts w:cs="Arial" w:asciiTheme="minorHAnsi" w:hAnsiTheme="minorHAnsi"/>
          <w:sz w:val="24"/>
          <w:szCs w:val="24"/>
          <w:u w:val="none"/>
        </w:rPr>
        <w:t>ANEXO  X DO EDITAL</w:t>
      </w:r>
    </w:p>
    <w:p w14:paraId="23ED1B42">
      <w:pPr>
        <w:rPr>
          <w:lang w:val="pt-PT"/>
        </w:rPr>
      </w:pPr>
    </w:p>
    <w:p w14:paraId="5A3B69F9">
      <w:pPr>
        <w:rPr>
          <w:lang w:val="pt-PT"/>
        </w:rPr>
      </w:pPr>
    </w:p>
    <w:p w14:paraId="345D5BBC">
      <w:pPr>
        <w:pStyle w:val="5"/>
        <w:rPr>
          <w:rFonts w:cs="Arial" w:asciiTheme="minorHAnsi" w:hAnsiTheme="minorHAnsi"/>
          <w:sz w:val="16"/>
          <w:szCs w:val="16"/>
        </w:rPr>
      </w:pPr>
    </w:p>
    <w:p w14:paraId="7C9512CF">
      <w:pPr>
        <w:pStyle w:val="5"/>
        <w:rPr>
          <w:rFonts w:cs="Arial" w:asciiTheme="minorHAnsi" w:hAnsiTheme="minorHAnsi"/>
          <w:sz w:val="20"/>
        </w:rPr>
      </w:pPr>
      <w:r>
        <w:rPr>
          <w:rFonts w:cs="Arial" w:asciiTheme="minorHAnsi" w:hAnsiTheme="minorHAnsi"/>
          <w:sz w:val="20"/>
        </w:rPr>
        <w:t>MEMÓRIA DE CÁLCULO DA PLANILHA DE CUSTO E FORMAÇÃO DE PREÇO</w:t>
      </w:r>
    </w:p>
    <w:p w14:paraId="7DFF9564">
      <w:pPr>
        <w:rPr>
          <w:rFonts w:cs="Arial" w:asciiTheme="minorHAnsi" w:hAnsiTheme="minorHAnsi"/>
          <w:sz w:val="16"/>
          <w:szCs w:val="16"/>
          <w:lang w:val="pt-PT"/>
        </w:rPr>
      </w:pPr>
    </w:p>
    <w:p w14:paraId="511329D1">
      <w:pPr>
        <w:rPr>
          <w:rFonts w:cs="Arial" w:asciiTheme="minorHAnsi" w:hAnsiTheme="minorHAnsi"/>
          <w:b/>
          <w:sz w:val="16"/>
          <w:szCs w:val="16"/>
          <w:u w:val="single"/>
          <w:lang w:val="pt-PT"/>
        </w:rPr>
      </w:pPr>
    </w:p>
    <w:p w14:paraId="673826F1">
      <w:pPr>
        <w:pStyle w:val="60"/>
        <w:rPr>
          <w:rFonts w:ascii="Calibri" w:hAnsi="Calibri" w:cs="Arial"/>
          <w:b/>
          <w:i/>
          <w:sz w:val="22"/>
          <w:szCs w:val="22"/>
        </w:rPr>
      </w:pPr>
      <w:r>
        <w:rPr>
          <w:rFonts w:ascii="Calibri" w:hAnsi="Calibri" w:cs="Arial"/>
          <w:b/>
          <w:i/>
          <w:sz w:val="22"/>
          <w:szCs w:val="22"/>
        </w:rPr>
        <w:t>A empresa deverá declarar em qual REGIME DE TRIBUTAÇÃO se enquadra, e não poderá se beneficiar da condição de optante pelo Simples Nacional, salvo as exceções previstas no § 5º-C do art. 18 da Lei Complementar nº 123, de 14 de dezembro de 2006; pois se caso vencedora será obrigatória à exclusão desse regime, logo os custos atribuídos a esta prestação de serviço, com cessão de mão de obra deverão estar corretamente previstos.</w:t>
      </w:r>
    </w:p>
    <w:p w14:paraId="703ADA98">
      <w:pPr>
        <w:pStyle w:val="54"/>
        <w:jc w:val="both"/>
        <w:rPr>
          <w:rFonts w:ascii="Calibri" w:hAnsi="Calibri"/>
          <w:bCs/>
          <w:color w:val="auto"/>
          <w:sz w:val="22"/>
          <w:szCs w:val="22"/>
        </w:rPr>
      </w:pPr>
    </w:p>
    <w:p w14:paraId="1CE0DA67">
      <w:pPr>
        <w:pStyle w:val="54"/>
        <w:jc w:val="both"/>
        <w:rPr>
          <w:rFonts w:ascii="Calibri" w:hAnsi="Calibri"/>
          <w:b/>
          <w:sz w:val="22"/>
          <w:szCs w:val="22"/>
          <w:u w:val="single"/>
        </w:rPr>
      </w:pPr>
    </w:p>
    <w:p w14:paraId="79276B85">
      <w:pPr>
        <w:rPr>
          <w:rFonts w:ascii="Calibri" w:hAnsi="Calibri" w:cs="Arial"/>
          <w:b/>
          <w:sz w:val="22"/>
          <w:szCs w:val="22"/>
          <w:u w:val="single"/>
          <w:lang w:val="pt-PT"/>
        </w:rPr>
      </w:pPr>
      <w:r>
        <w:rPr>
          <w:rFonts w:ascii="Calibri" w:hAnsi="Calibri" w:cs="Arial"/>
          <w:b/>
          <w:sz w:val="22"/>
          <w:szCs w:val="22"/>
          <w:u w:val="single"/>
          <w:lang w:val="pt-PT"/>
        </w:rPr>
        <w:t>Módulo 1 – Composição da Remuneração</w:t>
      </w:r>
    </w:p>
    <w:p w14:paraId="7854BFCE">
      <w:pPr>
        <w:rPr>
          <w:rFonts w:ascii="Calibri" w:hAnsi="Calibri" w:cs="Arial"/>
          <w:sz w:val="22"/>
          <w:szCs w:val="22"/>
        </w:rPr>
      </w:pPr>
    </w:p>
    <w:p w14:paraId="664F30A7">
      <w:pPr>
        <w:spacing w:line="276" w:lineRule="auto"/>
        <w:jc w:val="both"/>
        <w:rPr>
          <w:rFonts w:ascii="Calibri" w:hAnsi="Calibri" w:cs="Arial"/>
          <w:b/>
          <w:sz w:val="22"/>
          <w:szCs w:val="22"/>
        </w:rPr>
      </w:pPr>
      <w:r>
        <w:rPr>
          <w:rFonts w:ascii="Calibri" w:hAnsi="Calibri" w:cs="Arial"/>
          <w:b/>
          <w:sz w:val="22"/>
          <w:szCs w:val="22"/>
        </w:rPr>
        <w:t xml:space="preserve">A) Salário Base </w:t>
      </w:r>
    </w:p>
    <w:p w14:paraId="070A6963">
      <w:pPr>
        <w:pStyle w:val="54"/>
        <w:jc w:val="both"/>
        <w:rPr>
          <w:rStyle w:val="35"/>
          <w:rFonts w:ascii="Calibri" w:hAnsi="Calibri"/>
          <w:sz w:val="22"/>
          <w:szCs w:val="22"/>
        </w:rPr>
      </w:pPr>
    </w:p>
    <w:p w14:paraId="3579B1F7">
      <w:pPr>
        <w:pStyle w:val="54"/>
        <w:jc w:val="both"/>
        <w:rPr>
          <w:rStyle w:val="35"/>
          <w:rFonts w:ascii="Calibri" w:hAnsi="Calibri"/>
          <w:sz w:val="22"/>
          <w:szCs w:val="22"/>
        </w:rPr>
      </w:pPr>
      <w:r>
        <w:rPr>
          <w:rStyle w:val="35"/>
          <w:rFonts w:ascii="Calibri" w:hAnsi="Calibri"/>
          <w:sz w:val="22"/>
          <w:szCs w:val="22"/>
        </w:rPr>
        <w:t xml:space="preserve">A empresa deverá indicar qual seu enquadramento sindical, sendo a elaboração de sua proposta de acordo com a convenção coletiva do sindicato relacionado à sua atividade preponderante (Arts. 570, 577 e 581, §2º da CLT, Art. 8º, II, CF e Acórdão TCU 1097/2019, Plenário). Os valores dos salários e benefícios dos profissionais previstos neste Edital foram considerados de acordo com o estabelecido </w:t>
      </w:r>
      <w:r>
        <w:rPr>
          <w:rStyle w:val="35"/>
          <w:rFonts w:ascii="Calibri" w:hAnsi="Calibri"/>
          <w:b/>
          <w:bCs/>
          <w:sz w:val="22"/>
          <w:szCs w:val="22"/>
        </w:rPr>
        <w:t>SINDICATO DAS EMPRESAS ASSEIO E CONS DO ESTADO DO RIO DE JANEIRO</w:t>
      </w:r>
      <w:r>
        <w:rPr>
          <w:rStyle w:val="35"/>
          <w:rFonts w:ascii="Calibri" w:hAnsi="Calibri"/>
          <w:sz w:val="22"/>
          <w:szCs w:val="22"/>
        </w:rPr>
        <w:t xml:space="preserve">, por meio da Convenção Coletiva de Trabalho 2026/2027, registrada sob o nº </w:t>
      </w:r>
      <w:r>
        <w:rPr>
          <w:rStyle w:val="35"/>
          <w:rFonts w:ascii="Calibri" w:hAnsi="Calibri"/>
          <w:b/>
          <w:sz w:val="22"/>
          <w:szCs w:val="22"/>
        </w:rPr>
        <w:t xml:space="preserve">RJ000952/2026, </w:t>
      </w:r>
      <w:r>
        <w:rPr>
          <w:rStyle w:val="35"/>
          <w:rFonts w:ascii="Calibri" w:hAnsi="Calibri"/>
          <w:sz w:val="22"/>
          <w:szCs w:val="22"/>
        </w:rPr>
        <w:t xml:space="preserve">como também a Lista de Honorários definida pela </w:t>
      </w:r>
      <w:r>
        <w:rPr>
          <w:rFonts w:ascii="Calibri" w:hAnsi="Calibri"/>
          <w:sz w:val="22"/>
          <w:szCs w:val="22"/>
        </w:rPr>
        <w:t>Federação Brasileira das Associações dos Profissionais Tradutores e Intérpretes e Guia-Intérpretes de Língua de Sinais – Febrapils</w:t>
      </w:r>
      <w:r>
        <w:rPr>
          <w:rStyle w:val="35"/>
          <w:rFonts w:ascii="Calibri" w:hAnsi="Calibri"/>
          <w:sz w:val="22"/>
          <w:szCs w:val="22"/>
        </w:rPr>
        <w:t>.</w:t>
      </w:r>
    </w:p>
    <w:p w14:paraId="18AD10A6">
      <w:pPr>
        <w:pStyle w:val="54"/>
        <w:jc w:val="both"/>
        <w:rPr>
          <w:rStyle w:val="35"/>
          <w:rFonts w:ascii="Calibri" w:hAnsi="Calibri"/>
          <w:sz w:val="22"/>
          <w:szCs w:val="22"/>
        </w:rPr>
      </w:pPr>
    </w:p>
    <w:p w14:paraId="42646175">
      <w:pPr>
        <w:tabs>
          <w:tab w:val="left" w:pos="2552"/>
        </w:tabs>
        <w:spacing w:before="120" w:after="120" w:line="276" w:lineRule="auto"/>
        <w:ind w:right="-15"/>
        <w:jc w:val="both"/>
        <w:rPr>
          <w:rFonts w:cs="Arial"/>
          <w:i/>
          <w:color w:val="FF0000"/>
          <w:lang w:eastAsia="en-US"/>
        </w:rPr>
      </w:pPr>
      <w:r>
        <w:rPr>
          <w:rFonts w:asciiTheme="minorHAnsi" w:hAnsiTheme="minorHAnsi" w:cstheme="minorHAnsi"/>
          <w:i/>
          <w:color w:val="FF0000"/>
          <w:sz w:val="22"/>
          <w:szCs w:val="22"/>
          <w:lang w:eastAsia="en-US"/>
        </w:rPr>
        <w:t xml:space="preserve">O(s) sindicato(s) indicado(s) nos subitens acima não são de utilização obrigatória pelos licitantes (Acórdão TCU nº 369/2012), mas sempre se exigirá o cumprimento dos </w:t>
      </w:r>
      <w:r>
        <w:rPr>
          <w:rFonts w:asciiTheme="minorHAnsi" w:hAnsiTheme="minorHAnsi" w:cstheme="minorHAnsi"/>
          <w:i/>
          <w:color w:val="FF0000"/>
          <w:sz w:val="22"/>
          <w:szCs w:val="22"/>
        </w:rPr>
        <w:t>acordos, dissídios ou</w:t>
      </w:r>
      <w:r>
        <w:rPr>
          <w:rFonts w:asciiTheme="minorHAnsi" w:hAnsiTheme="minorHAnsi" w:cstheme="minorHAnsi"/>
          <w:i/>
          <w:color w:val="FF0000"/>
          <w:sz w:val="22"/>
          <w:szCs w:val="22"/>
          <w:lang w:eastAsia="en-US"/>
        </w:rPr>
        <w:t xml:space="preserve"> convenções coletivas adotados por cada licitante/contratante.</w:t>
      </w:r>
      <w:r>
        <w:rPr>
          <w:rFonts w:cs="Arial"/>
          <w:i/>
          <w:color w:val="FF0000"/>
          <w:lang w:eastAsia="en-US"/>
        </w:rPr>
        <w:t xml:space="preserve"> </w:t>
      </w:r>
    </w:p>
    <w:p w14:paraId="78DB3B99">
      <w:pPr>
        <w:tabs>
          <w:tab w:val="left" w:pos="2552"/>
        </w:tabs>
        <w:spacing w:before="120" w:after="120" w:line="276" w:lineRule="auto"/>
        <w:ind w:right="-15"/>
        <w:jc w:val="both"/>
        <w:rPr>
          <w:rFonts w:asciiTheme="minorHAnsi" w:hAnsiTheme="minorHAnsi" w:cstheme="minorHAnsi"/>
          <w:i/>
          <w:color w:val="FF0000"/>
          <w:sz w:val="22"/>
          <w:szCs w:val="22"/>
          <w:lang w:eastAsia="en-US"/>
        </w:rPr>
      </w:pPr>
      <w:r>
        <w:rPr>
          <w:rFonts w:asciiTheme="minorHAnsi" w:hAnsiTheme="minorHAnsi" w:cstheme="minorHAnsi"/>
          <w:i/>
          <w:color w:val="FF0000"/>
          <w:sz w:val="22"/>
          <w:szCs w:val="22"/>
          <w:lang w:eastAsia="en-US"/>
        </w:rPr>
        <w:t>Considerando o previsto na IN 176/2024, para esta licitação, os custos mínimos relevantes serão os valores registrados na planilha para o salário base + alimentação +  Reembolso Creche (R$526,64).</w:t>
      </w:r>
    </w:p>
    <w:p w14:paraId="3B5CE225">
      <w:pPr>
        <w:tabs>
          <w:tab w:val="left" w:pos="2552"/>
        </w:tabs>
        <w:spacing w:before="120" w:after="120" w:line="276" w:lineRule="auto"/>
        <w:ind w:right="-15"/>
        <w:jc w:val="both"/>
        <w:rPr>
          <w:rFonts w:asciiTheme="minorHAnsi" w:hAnsiTheme="minorHAnsi" w:cstheme="minorHAnsi"/>
          <w:i/>
          <w:color w:val="FF0000"/>
          <w:sz w:val="22"/>
          <w:szCs w:val="22"/>
          <w:lang w:eastAsia="en-US"/>
        </w:rPr>
      </w:pPr>
      <w:r>
        <w:rPr>
          <w:rFonts w:asciiTheme="minorHAnsi" w:hAnsiTheme="minorHAnsi" w:cstheme="minorHAnsi"/>
          <w:i/>
          <w:color w:val="FF0000"/>
          <w:sz w:val="22"/>
          <w:szCs w:val="22"/>
          <w:lang w:eastAsia="en-US"/>
        </w:rPr>
        <w:t xml:space="preserve"> Considerando esta contratação em 1 grupo, definiu-se a seguinte base de cálculo, que em caso insuficiente quando da execução do Contrato, poderá ser apostilado, mediante comprovação dos benefícios. </w:t>
      </w:r>
    </w:p>
    <w:p w14:paraId="127C79FB">
      <w:pPr>
        <w:tabs>
          <w:tab w:val="left" w:pos="2552"/>
        </w:tabs>
        <w:spacing w:before="120" w:after="120" w:line="276" w:lineRule="auto"/>
        <w:ind w:right="-15"/>
        <w:jc w:val="both"/>
        <w:rPr>
          <w:rFonts w:asciiTheme="minorHAnsi" w:hAnsiTheme="minorHAnsi" w:cstheme="minorHAnsi"/>
          <w:i/>
          <w:color w:val="FF0000"/>
          <w:sz w:val="22"/>
          <w:szCs w:val="22"/>
          <w:lang w:eastAsia="en-US"/>
        </w:rPr>
      </w:pPr>
      <w:r>
        <w:rPr>
          <w:rFonts w:asciiTheme="minorHAnsi" w:hAnsiTheme="minorHAnsi" w:cstheme="minorHAnsi"/>
          <w:i/>
          <w:color w:val="FF0000"/>
          <w:sz w:val="22"/>
          <w:szCs w:val="22"/>
          <w:lang w:eastAsia="en-US"/>
        </w:rPr>
        <w:t>Grupo 1: 15 trabalhadores (aproximadamente 20% do total de postos).</w:t>
      </w:r>
    </w:p>
    <w:p w14:paraId="1FFBA557">
      <w:pPr>
        <w:pStyle w:val="54"/>
        <w:jc w:val="both"/>
        <w:rPr>
          <w:rStyle w:val="35"/>
          <w:rFonts w:ascii="Calibri" w:hAnsi="Calibri"/>
          <w:bCs/>
          <w:sz w:val="22"/>
          <w:szCs w:val="22"/>
        </w:rPr>
      </w:pPr>
      <w:r>
        <w:rPr>
          <w:rStyle w:val="35"/>
          <w:rFonts w:ascii="Calibri" w:hAnsi="Calibri"/>
          <w:sz w:val="22"/>
          <w:szCs w:val="22"/>
        </w:rPr>
        <w:t>Observação: Conforme CCTs Abaixo</w:t>
      </w:r>
      <w:r>
        <w:rPr>
          <w:rStyle w:val="35"/>
          <w:rFonts w:ascii="Calibri" w:hAnsi="Calibri"/>
          <w:b/>
          <w:sz w:val="22"/>
          <w:szCs w:val="22"/>
        </w:rPr>
        <w:t xml:space="preserve">, </w:t>
      </w:r>
      <w:r>
        <w:rPr>
          <w:rStyle w:val="35"/>
          <w:rFonts w:ascii="Calibri" w:hAnsi="Calibri"/>
          <w:bCs/>
          <w:sz w:val="22"/>
          <w:szCs w:val="22"/>
        </w:rPr>
        <w:t>o salário dos profissionais será:</w:t>
      </w:r>
    </w:p>
    <w:p w14:paraId="564AD79A">
      <w:pPr>
        <w:pStyle w:val="54"/>
        <w:jc w:val="both"/>
        <w:rPr>
          <w:rStyle w:val="35"/>
          <w:rFonts w:ascii="Calibri" w:hAnsi="Calibri"/>
          <w:bCs/>
          <w:sz w:val="22"/>
          <w:szCs w:val="22"/>
        </w:rPr>
      </w:pPr>
    </w:p>
    <w:p w14:paraId="389E84C7">
      <w:pPr>
        <w:pStyle w:val="54"/>
        <w:jc w:val="both"/>
        <w:rPr>
          <w:rStyle w:val="35"/>
          <w:rFonts w:ascii="Calibri" w:hAnsi="Calibri"/>
          <w:bCs/>
          <w:sz w:val="22"/>
          <w:szCs w:val="22"/>
          <w:highlight w:val="yellow"/>
        </w:rPr>
      </w:pPr>
    </w:p>
    <w:tbl>
      <w:tblPr>
        <w:tblStyle w:val="70"/>
        <w:tblW w:w="8519"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641"/>
        <w:gridCol w:w="1091"/>
        <w:gridCol w:w="3697"/>
        <w:gridCol w:w="1623"/>
        <w:gridCol w:w="1467"/>
      </w:tblGrid>
      <w:tr w14:paraId="072BBDA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1350" w:hRule="atLeast"/>
        </w:trPr>
        <w:tc>
          <w:tcPr>
            <w:tcW w:w="641"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62151D6D">
            <w:pPr>
              <w:jc w:val="center"/>
              <w:rPr>
                <w:rFonts w:ascii="Calibri" w:hAnsi="Calibri" w:cs="Calibri"/>
                <w:b/>
                <w:bCs/>
                <w:color w:val="000000"/>
                <w:sz w:val="22"/>
                <w:szCs w:val="22"/>
              </w:rPr>
            </w:pPr>
            <w:r>
              <w:rPr>
                <w:rFonts w:ascii="Calibri" w:hAnsi="Calibri" w:cs="Calibri"/>
                <w:b/>
                <w:bCs/>
                <w:color w:val="000000"/>
                <w:sz w:val="22"/>
                <w:szCs w:val="22"/>
              </w:rPr>
              <w:t>Item</w:t>
            </w:r>
          </w:p>
        </w:tc>
        <w:tc>
          <w:tcPr>
            <w:tcW w:w="1091"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0E1FBB31">
            <w:pPr>
              <w:jc w:val="center"/>
              <w:rPr>
                <w:rFonts w:ascii="Calibri" w:hAnsi="Calibri" w:cs="Calibri"/>
                <w:b w:val="0"/>
                <w:bCs w:val="0"/>
                <w:color w:val="000000"/>
                <w:sz w:val="22"/>
                <w:szCs w:val="22"/>
              </w:rPr>
            </w:pPr>
            <w:r>
              <w:rPr>
                <w:rFonts w:ascii="Calibri" w:hAnsi="Calibri" w:cs="Calibri"/>
                <w:b/>
                <w:bCs/>
                <w:color w:val="000000"/>
                <w:sz w:val="22"/>
                <w:szCs w:val="22"/>
              </w:rPr>
              <w:t>Dias/Mês</w:t>
            </w:r>
          </w:p>
        </w:tc>
        <w:tc>
          <w:tcPr>
            <w:tcW w:w="3697"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725D073D">
            <w:pPr>
              <w:jc w:val="center"/>
              <w:rPr>
                <w:rFonts w:ascii="Calibri" w:hAnsi="Calibri" w:cs="Calibri"/>
                <w:b w:val="0"/>
                <w:bCs w:val="0"/>
                <w:color w:val="000000"/>
                <w:sz w:val="22"/>
                <w:szCs w:val="22"/>
              </w:rPr>
            </w:pPr>
            <w:r>
              <w:rPr>
                <w:rFonts w:ascii="Calibri" w:hAnsi="Calibri" w:cs="Calibri"/>
                <w:b/>
                <w:bCs/>
                <w:color w:val="000000"/>
                <w:sz w:val="22"/>
                <w:szCs w:val="22"/>
              </w:rPr>
              <w:t>Descrição/Especificação</w:t>
            </w:r>
          </w:p>
        </w:tc>
        <w:tc>
          <w:tcPr>
            <w:tcW w:w="1623"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2ADC44FB">
            <w:pPr>
              <w:jc w:val="center"/>
              <w:rPr>
                <w:rFonts w:ascii="Calibri" w:hAnsi="Calibri" w:cs="Calibri"/>
                <w:b w:val="0"/>
                <w:bCs w:val="0"/>
                <w:color w:val="000000"/>
                <w:sz w:val="22"/>
                <w:szCs w:val="22"/>
              </w:rPr>
            </w:pPr>
            <w:r>
              <w:rPr>
                <w:rFonts w:ascii="Calibri" w:hAnsi="Calibri" w:cs="Calibri"/>
                <w:b/>
                <w:bCs/>
                <w:color w:val="000000"/>
                <w:sz w:val="22"/>
                <w:szCs w:val="22"/>
              </w:rPr>
              <w:t>Referência salário</w:t>
            </w:r>
          </w:p>
          <w:p w14:paraId="692A08C7">
            <w:pPr>
              <w:jc w:val="center"/>
              <w:rPr>
                <w:rFonts w:ascii="Calibri" w:hAnsi="Calibri" w:cs="Calibri"/>
                <w:b w:val="0"/>
                <w:bCs w:val="0"/>
                <w:color w:val="000000"/>
                <w:sz w:val="22"/>
                <w:szCs w:val="22"/>
              </w:rPr>
            </w:pPr>
            <w:r>
              <w:rPr>
                <w:rFonts w:ascii="Calibri" w:hAnsi="Calibri" w:cs="Calibri"/>
                <w:b/>
                <w:bCs/>
                <w:color w:val="000000"/>
                <w:sz w:val="22"/>
                <w:szCs w:val="22"/>
              </w:rPr>
              <w:t>CCT RJ000952/2026</w:t>
            </w:r>
          </w:p>
        </w:tc>
        <w:tc>
          <w:tcPr>
            <w:tcW w:w="1467"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243DEB67">
            <w:pPr>
              <w:jc w:val="center"/>
              <w:rPr>
                <w:rFonts w:ascii="Calibri" w:hAnsi="Calibri" w:cs="Calibri"/>
                <w:b w:val="0"/>
                <w:bCs w:val="0"/>
                <w:color w:val="000000"/>
                <w:sz w:val="22"/>
                <w:szCs w:val="22"/>
              </w:rPr>
            </w:pPr>
            <w:r>
              <w:rPr>
                <w:rFonts w:ascii="Calibri" w:hAnsi="Calibri" w:cs="Calibri"/>
                <w:b/>
                <w:bCs/>
                <w:color w:val="000000"/>
                <w:sz w:val="22"/>
                <w:szCs w:val="22"/>
              </w:rPr>
              <w:t>Referência salário</w:t>
            </w:r>
          </w:p>
          <w:p w14:paraId="0C9FAA04">
            <w:pPr>
              <w:jc w:val="center"/>
              <w:rPr>
                <w:rFonts w:ascii="Calibri" w:hAnsi="Calibri" w:cs="Calibri"/>
                <w:b w:val="0"/>
                <w:bCs w:val="0"/>
                <w:color w:val="000000"/>
                <w:sz w:val="22"/>
                <w:szCs w:val="22"/>
              </w:rPr>
            </w:pPr>
            <w:r>
              <w:rPr>
                <w:rFonts w:ascii="Calibri" w:hAnsi="Calibri" w:cs="Calibri"/>
                <w:b/>
                <w:bCs/>
                <w:color w:val="000000"/>
                <w:sz w:val="22"/>
                <w:szCs w:val="22"/>
              </w:rPr>
              <w:t>Febrapils</w:t>
            </w:r>
          </w:p>
        </w:tc>
      </w:tr>
      <w:tr w14:paraId="0E41BFF8">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41" w:type="dxa"/>
          </w:tcPr>
          <w:p w14:paraId="08B0CFB4">
            <w:pPr>
              <w:jc w:val="center"/>
              <w:rPr>
                <w:rFonts w:ascii="Calibri" w:hAnsi="Calibri" w:cs="Calibri"/>
                <w:b/>
                <w:bCs/>
                <w:color w:val="000000"/>
                <w:sz w:val="22"/>
                <w:szCs w:val="22"/>
              </w:rPr>
            </w:pPr>
            <w:r>
              <w:rPr>
                <w:rFonts w:ascii="Calibri" w:hAnsi="Calibri" w:cs="Calibri"/>
                <w:b/>
                <w:bCs/>
                <w:color w:val="000000"/>
                <w:sz w:val="22"/>
                <w:szCs w:val="22"/>
              </w:rPr>
              <w:t>1</w:t>
            </w:r>
          </w:p>
        </w:tc>
        <w:tc>
          <w:tcPr>
            <w:tcW w:w="1091" w:type="dxa"/>
            <w:noWrap/>
          </w:tcPr>
          <w:p w14:paraId="34172B79">
            <w:pPr>
              <w:jc w:val="center"/>
              <w:rPr>
                <w:rFonts w:ascii="Calibri" w:hAnsi="Calibri" w:cs="Calibri"/>
                <w:color w:val="000000"/>
                <w:sz w:val="22"/>
                <w:szCs w:val="22"/>
              </w:rPr>
            </w:pPr>
            <w:r>
              <w:rPr>
                <w:rFonts w:ascii="Calibri" w:hAnsi="Calibri" w:cs="Calibri"/>
                <w:color w:val="000000"/>
                <w:sz w:val="22"/>
                <w:szCs w:val="22"/>
              </w:rPr>
              <w:t>20,88</w:t>
            </w:r>
          </w:p>
        </w:tc>
        <w:tc>
          <w:tcPr>
            <w:tcW w:w="3697" w:type="dxa"/>
          </w:tcPr>
          <w:p w14:paraId="77EB9433">
            <w:pPr>
              <w:rPr>
                <w:rFonts w:ascii="Calibri" w:hAnsi="Calibri" w:cs="Calibri"/>
                <w:color w:val="000000"/>
                <w:sz w:val="22"/>
                <w:szCs w:val="22"/>
              </w:rPr>
            </w:pPr>
            <w:r>
              <w:rPr>
                <w:rFonts w:ascii="Calibri" w:hAnsi="Calibri" w:cs="Calibri"/>
                <w:color w:val="000000"/>
                <w:sz w:val="22"/>
                <w:szCs w:val="22"/>
              </w:rPr>
              <w:t>Tradutor e Intérprete de Línguas Superior 30 horas</w:t>
            </w:r>
          </w:p>
        </w:tc>
        <w:tc>
          <w:tcPr>
            <w:tcW w:w="1623" w:type="dxa"/>
            <w:noWrap/>
          </w:tcPr>
          <w:p w14:paraId="01194CD2">
            <w:pPr>
              <w:jc w:val="center"/>
              <w:rPr>
                <w:rFonts w:ascii="Calibri" w:hAnsi="Calibri" w:cs="Calibri"/>
                <w:b/>
                <w:bCs/>
                <w:color w:val="000000"/>
                <w:sz w:val="22"/>
                <w:szCs w:val="22"/>
              </w:rPr>
            </w:pPr>
            <w:r>
              <w:rPr>
                <w:rFonts w:ascii="Calibri" w:hAnsi="Calibri" w:cs="Calibri"/>
                <w:b/>
                <w:bCs/>
                <w:color w:val="000000"/>
                <w:sz w:val="22"/>
                <w:szCs w:val="22"/>
              </w:rPr>
              <w:t> </w:t>
            </w:r>
          </w:p>
        </w:tc>
        <w:tc>
          <w:tcPr>
            <w:tcW w:w="1467" w:type="dxa"/>
            <w:noWrap/>
          </w:tcPr>
          <w:p w14:paraId="42A4CF7C">
            <w:pPr>
              <w:rPr>
                <w:rFonts w:ascii="Calibri" w:hAnsi="Calibri" w:cs="Calibri"/>
                <w:b/>
                <w:bCs/>
                <w:color w:val="000000"/>
                <w:sz w:val="22"/>
                <w:szCs w:val="22"/>
              </w:rPr>
            </w:pPr>
            <w:r>
              <w:rPr>
                <w:rFonts w:ascii="Calibri" w:hAnsi="Calibri" w:cs="Calibri"/>
                <w:b/>
                <w:bCs/>
                <w:color w:val="000000"/>
                <w:sz w:val="22"/>
                <w:szCs w:val="22"/>
              </w:rPr>
              <w:t xml:space="preserve">R$3.240,00 </w:t>
            </w:r>
          </w:p>
        </w:tc>
      </w:tr>
      <w:tr w14:paraId="6569DD94">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600" w:hRule="atLeast"/>
        </w:trPr>
        <w:tc>
          <w:tcPr>
            <w:tcW w:w="641" w:type="dxa"/>
          </w:tcPr>
          <w:p w14:paraId="29EA4C21">
            <w:pPr>
              <w:jc w:val="center"/>
              <w:rPr>
                <w:rFonts w:ascii="Calibri" w:hAnsi="Calibri" w:cs="Calibri"/>
                <w:b/>
                <w:bCs/>
                <w:color w:val="000000"/>
                <w:sz w:val="22"/>
                <w:szCs w:val="22"/>
              </w:rPr>
            </w:pPr>
            <w:r>
              <w:rPr>
                <w:rFonts w:ascii="Calibri" w:hAnsi="Calibri" w:cs="Calibri"/>
                <w:b/>
                <w:bCs/>
                <w:color w:val="000000"/>
                <w:sz w:val="22"/>
                <w:szCs w:val="22"/>
              </w:rPr>
              <w:t>1</w:t>
            </w:r>
          </w:p>
        </w:tc>
        <w:tc>
          <w:tcPr>
            <w:tcW w:w="1091" w:type="dxa"/>
            <w:noWrap/>
          </w:tcPr>
          <w:p w14:paraId="0B6E5388">
            <w:pPr>
              <w:jc w:val="center"/>
              <w:rPr>
                <w:rFonts w:ascii="Calibri" w:hAnsi="Calibri" w:cs="Calibri"/>
                <w:color w:val="000000"/>
                <w:sz w:val="22"/>
                <w:szCs w:val="22"/>
              </w:rPr>
            </w:pPr>
            <w:r>
              <w:rPr>
                <w:rFonts w:ascii="Calibri" w:hAnsi="Calibri" w:cs="Calibri"/>
                <w:color w:val="000000"/>
                <w:sz w:val="22"/>
                <w:szCs w:val="22"/>
              </w:rPr>
              <w:t>20,88</w:t>
            </w:r>
          </w:p>
        </w:tc>
        <w:tc>
          <w:tcPr>
            <w:tcW w:w="3697" w:type="dxa"/>
          </w:tcPr>
          <w:p w14:paraId="228731FE">
            <w:pPr>
              <w:rPr>
                <w:rFonts w:ascii="Calibri" w:hAnsi="Calibri" w:cs="Calibri"/>
                <w:color w:val="000000"/>
                <w:sz w:val="22"/>
                <w:szCs w:val="22"/>
              </w:rPr>
            </w:pPr>
            <w:r>
              <w:rPr>
                <w:rFonts w:ascii="Calibri" w:hAnsi="Calibri" w:cs="Calibri"/>
                <w:color w:val="000000"/>
                <w:sz w:val="22"/>
                <w:szCs w:val="22"/>
              </w:rPr>
              <w:t>Tradutor e Intérprete de Línguas Mestrado/Doutorado 30 horas</w:t>
            </w:r>
          </w:p>
        </w:tc>
        <w:tc>
          <w:tcPr>
            <w:tcW w:w="1623" w:type="dxa"/>
            <w:noWrap/>
          </w:tcPr>
          <w:p w14:paraId="0487D1C1">
            <w:pPr>
              <w:jc w:val="center"/>
              <w:rPr>
                <w:rFonts w:ascii="Calibri" w:hAnsi="Calibri" w:cs="Calibri"/>
                <w:b/>
                <w:bCs/>
                <w:color w:val="000000"/>
                <w:sz w:val="22"/>
                <w:szCs w:val="22"/>
              </w:rPr>
            </w:pPr>
            <w:r>
              <w:rPr>
                <w:rFonts w:ascii="Calibri" w:hAnsi="Calibri" w:cs="Calibri"/>
                <w:b/>
                <w:bCs/>
                <w:color w:val="000000"/>
                <w:sz w:val="22"/>
                <w:szCs w:val="22"/>
              </w:rPr>
              <w:t> </w:t>
            </w:r>
          </w:p>
        </w:tc>
        <w:tc>
          <w:tcPr>
            <w:tcW w:w="1467" w:type="dxa"/>
            <w:noWrap/>
          </w:tcPr>
          <w:p w14:paraId="69869C3F">
            <w:pPr>
              <w:rPr>
                <w:rFonts w:ascii="Calibri" w:hAnsi="Calibri" w:cs="Calibri"/>
                <w:b/>
                <w:bCs/>
                <w:color w:val="000000"/>
                <w:sz w:val="22"/>
                <w:szCs w:val="22"/>
              </w:rPr>
            </w:pPr>
            <w:r>
              <w:rPr>
                <w:rFonts w:ascii="Calibri" w:hAnsi="Calibri" w:cs="Calibri"/>
                <w:b/>
                <w:bCs/>
                <w:color w:val="000000"/>
                <w:sz w:val="22"/>
                <w:szCs w:val="22"/>
              </w:rPr>
              <w:t xml:space="preserve">R$ 4.200,00 </w:t>
            </w:r>
          </w:p>
        </w:tc>
      </w:tr>
      <w:tr w14:paraId="6FA31213">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41" w:type="dxa"/>
          </w:tcPr>
          <w:p w14:paraId="2C05169F">
            <w:pPr>
              <w:jc w:val="center"/>
              <w:rPr>
                <w:rFonts w:ascii="Calibri" w:hAnsi="Calibri" w:cs="Calibri"/>
                <w:b/>
                <w:bCs/>
                <w:color w:val="000000"/>
                <w:sz w:val="22"/>
                <w:szCs w:val="22"/>
              </w:rPr>
            </w:pPr>
            <w:r>
              <w:rPr>
                <w:rFonts w:ascii="Calibri" w:hAnsi="Calibri" w:cs="Calibri"/>
                <w:b/>
                <w:bCs/>
                <w:color w:val="000000"/>
                <w:sz w:val="22"/>
                <w:szCs w:val="22"/>
              </w:rPr>
              <w:t>1</w:t>
            </w:r>
          </w:p>
        </w:tc>
        <w:tc>
          <w:tcPr>
            <w:tcW w:w="1091" w:type="dxa"/>
            <w:noWrap/>
          </w:tcPr>
          <w:p w14:paraId="29666D14">
            <w:pPr>
              <w:jc w:val="center"/>
              <w:rPr>
                <w:rFonts w:ascii="Calibri" w:hAnsi="Calibri" w:cs="Calibri"/>
                <w:color w:val="000000"/>
                <w:sz w:val="22"/>
                <w:szCs w:val="22"/>
              </w:rPr>
            </w:pPr>
            <w:r>
              <w:rPr>
                <w:rFonts w:ascii="Calibri" w:hAnsi="Calibri" w:cs="Calibri"/>
                <w:color w:val="000000"/>
                <w:sz w:val="22"/>
                <w:szCs w:val="22"/>
              </w:rPr>
              <w:t>20,88</w:t>
            </w:r>
          </w:p>
        </w:tc>
        <w:tc>
          <w:tcPr>
            <w:tcW w:w="3697" w:type="dxa"/>
          </w:tcPr>
          <w:p w14:paraId="59736AD6">
            <w:pPr>
              <w:rPr>
                <w:rFonts w:ascii="Calibri" w:hAnsi="Calibri" w:cs="Calibri"/>
                <w:color w:val="000000"/>
                <w:sz w:val="22"/>
                <w:szCs w:val="22"/>
              </w:rPr>
            </w:pPr>
            <w:r>
              <w:rPr>
                <w:rFonts w:ascii="Calibri" w:hAnsi="Calibri" w:cs="Calibri"/>
                <w:color w:val="000000"/>
                <w:sz w:val="22"/>
                <w:szCs w:val="22"/>
              </w:rPr>
              <w:t>Transcritor de Sistema Braile 30 horas</w:t>
            </w:r>
          </w:p>
        </w:tc>
        <w:tc>
          <w:tcPr>
            <w:tcW w:w="1623" w:type="dxa"/>
            <w:noWrap/>
          </w:tcPr>
          <w:p w14:paraId="2D2DF3AE">
            <w:pPr>
              <w:jc w:val="center"/>
              <w:rPr>
                <w:rFonts w:ascii="Calibri" w:hAnsi="Calibri" w:cs="Calibri"/>
                <w:b/>
                <w:bCs/>
                <w:color w:val="000000"/>
                <w:sz w:val="22"/>
                <w:szCs w:val="22"/>
              </w:rPr>
            </w:pPr>
          </w:p>
        </w:tc>
        <w:tc>
          <w:tcPr>
            <w:tcW w:w="1467" w:type="dxa"/>
            <w:noWrap/>
          </w:tcPr>
          <w:p w14:paraId="56EA2A75">
            <w:pPr>
              <w:rPr>
                <w:rFonts w:ascii="Calibri" w:hAnsi="Calibri" w:cs="Calibri"/>
                <w:b/>
                <w:bCs/>
                <w:color w:val="000000"/>
                <w:sz w:val="22"/>
                <w:szCs w:val="22"/>
              </w:rPr>
            </w:pPr>
            <w:r>
              <w:rPr>
                <w:rFonts w:ascii="Calibri" w:hAnsi="Calibri" w:cs="Calibri"/>
                <w:b/>
                <w:bCs/>
                <w:color w:val="000000"/>
                <w:sz w:val="22"/>
                <w:szCs w:val="22"/>
              </w:rPr>
              <w:t>R$3.240,00</w:t>
            </w:r>
          </w:p>
        </w:tc>
      </w:tr>
      <w:tr w14:paraId="2E453D3C">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600" w:hRule="atLeast"/>
        </w:trPr>
        <w:tc>
          <w:tcPr>
            <w:tcW w:w="641" w:type="dxa"/>
          </w:tcPr>
          <w:p w14:paraId="2491E26C">
            <w:pPr>
              <w:jc w:val="center"/>
              <w:rPr>
                <w:rFonts w:ascii="Calibri" w:hAnsi="Calibri" w:cs="Calibri"/>
                <w:b/>
                <w:bCs/>
                <w:color w:val="000000"/>
                <w:sz w:val="22"/>
                <w:szCs w:val="22"/>
              </w:rPr>
            </w:pPr>
            <w:r>
              <w:rPr>
                <w:rFonts w:ascii="Calibri" w:hAnsi="Calibri" w:cs="Calibri"/>
                <w:b/>
                <w:bCs/>
                <w:color w:val="000000"/>
                <w:sz w:val="22"/>
                <w:szCs w:val="22"/>
              </w:rPr>
              <w:t>1</w:t>
            </w:r>
          </w:p>
        </w:tc>
        <w:tc>
          <w:tcPr>
            <w:tcW w:w="1091" w:type="dxa"/>
            <w:noWrap/>
          </w:tcPr>
          <w:p w14:paraId="5DF94DF9">
            <w:pPr>
              <w:jc w:val="center"/>
              <w:rPr>
                <w:rFonts w:ascii="Calibri" w:hAnsi="Calibri" w:cs="Calibri"/>
                <w:color w:val="000000"/>
                <w:sz w:val="22"/>
                <w:szCs w:val="22"/>
              </w:rPr>
            </w:pPr>
            <w:r>
              <w:rPr>
                <w:rFonts w:ascii="Calibri" w:hAnsi="Calibri" w:cs="Calibri"/>
                <w:color w:val="000000"/>
                <w:sz w:val="22"/>
                <w:szCs w:val="22"/>
              </w:rPr>
              <w:t>20,88</w:t>
            </w:r>
          </w:p>
        </w:tc>
        <w:tc>
          <w:tcPr>
            <w:tcW w:w="3697" w:type="dxa"/>
          </w:tcPr>
          <w:p w14:paraId="40313907">
            <w:pPr>
              <w:rPr>
                <w:rFonts w:ascii="Calibri" w:hAnsi="Calibri" w:cs="Calibri"/>
                <w:color w:val="000000"/>
                <w:sz w:val="22"/>
                <w:szCs w:val="22"/>
              </w:rPr>
            </w:pPr>
            <w:r>
              <w:rPr>
                <w:rFonts w:ascii="Calibri" w:hAnsi="Calibri" w:cs="Calibri"/>
                <w:color w:val="000000"/>
                <w:sz w:val="22"/>
                <w:szCs w:val="22"/>
              </w:rPr>
              <w:t>Profissional Especializado em Educação Inclusiva- AEE 40 horas</w:t>
            </w:r>
          </w:p>
        </w:tc>
        <w:tc>
          <w:tcPr>
            <w:tcW w:w="1623" w:type="dxa"/>
            <w:noWrap/>
          </w:tcPr>
          <w:p w14:paraId="40F053D7">
            <w:pPr>
              <w:rPr>
                <w:rFonts w:ascii="Calibri" w:hAnsi="Calibri" w:cs="Calibri"/>
                <w:b/>
                <w:bCs/>
                <w:color w:val="000000"/>
                <w:sz w:val="22"/>
                <w:szCs w:val="22"/>
              </w:rPr>
            </w:pPr>
            <w:r>
              <w:rPr>
                <w:rFonts w:ascii="Calibri" w:hAnsi="Calibri" w:cs="Calibri"/>
                <w:b/>
                <w:bCs/>
                <w:color w:val="000000"/>
                <w:sz w:val="22"/>
                <w:szCs w:val="22"/>
              </w:rPr>
              <w:t>R$4.105,08</w:t>
            </w:r>
          </w:p>
        </w:tc>
        <w:tc>
          <w:tcPr>
            <w:tcW w:w="1467" w:type="dxa"/>
            <w:noWrap/>
          </w:tcPr>
          <w:p w14:paraId="5ECD26E3">
            <w:pPr>
              <w:rPr>
                <w:rFonts w:ascii="Calibri" w:hAnsi="Calibri" w:cs="Calibri"/>
                <w:b/>
                <w:bCs/>
                <w:color w:val="000000"/>
                <w:sz w:val="22"/>
                <w:szCs w:val="22"/>
              </w:rPr>
            </w:pPr>
            <w:r>
              <w:rPr>
                <w:rFonts w:ascii="Calibri" w:hAnsi="Calibri" w:cs="Calibri"/>
                <w:b/>
                <w:bCs/>
                <w:color w:val="000000"/>
                <w:sz w:val="22"/>
                <w:szCs w:val="22"/>
              </w:rPr>
              <w:t> </w:t>
            </w:r>
          </w:p>
        </w:tc>
      </w:tr>
      <w:tr w14:paraId="1A1D5445">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641" w:type="dxa"/>
          </w:tcPr>
          <w:p w14:paraId="4785390E">
            <w:pPr>
              <w:jc w:val="center"/>
              <w:rPr>
                <w:rFonts w:ascii="Calibri" w:hAnsi="Calibri" w:cs="Calibri"/>
                <w:b/>
                <w:bCs/>
                <w:color w:val="000000"/>
                <w:sz w:val="22"/>
                <w:szCs w:val="22"/>
              </w:rPr>
            </w:pPr>
            <w:r>
              <w:rPr>
                <w:rFonts w:ascii="Calibri" w:hAnsi="Calibri" w:cs="Calibri"/>
                <w:b/>
                <w:bCs/>
                <w:color w:val="000000"/>
                <w:sz w:val="22"/>
                <w:szCs w:val="22"/>
              </w:rPr>
              <w:t>1</w:t>
            </w:r>
          </w:p>
        </w:tc>
        <w:tc>
          <w:tcPr>
            <w:tcW w:w="1091" w:type="dxa"/>
            <w:noWrap/>
          </w:tcPr>
          <w:p w14:paraId="314AE776">
            <w:pPr>
              <w:jc w:val="center"/>
              <w:rPr>
                <w:rFonts w:ascii="Calibri" w:hAnsi="Calibri" w:cs="Calibri"/>
                <w:color w:val="000000"/>
                <w:sz w:val="22"/>
                <w:szCs w:val="22"/>
              </w:rPr>
            </w:pPr>
            <w:r>
              <w:rPr>
                <w:rFonts w:ascii="Calibri" w:hAnsi="Calibri" w:cs="Calibri"/>
                <w:color w:val="000000"/>
                <w:sz w:val="22"/>
                <w:szCs w:val="22"/>
              </w:rPr>
              <w:t>20,88</w:t>
            </w:r>
          </w:p>
        </w:tc>
        <w:tc>
          <w:tcPr>
            <w:tcW w:w="3697" w:type="dxa"/>
          </w:tcPr>
          <w:p w14:paraId="219E6A58">
            <w:pPr>
              <w:rPr>
                <w:rFonts w:ascii="Calibri" w:hAnsi="Calibri" w:cs="Calibri"/>
                <w:color w:val="000000"/>
                <w:sz w:val="22"/>
                <w:szCs w:val="22"/>
              </w:rPr>
            </w:pPr>
            <w:r>
              <w:rPr>
                <w:rFonts w:ascii="Calibri" w:hAnsi="Calibri" w:cs="Calibri"/>
                <w:color w:val="000000"/>
                <w:sz w:val="22"/>
                <w:szCs w:val="22"/>
              </w:rPr>
              <w:t>Profissional Ledor /transcritor 30 horas</w:t>
            </w:r>
          </w:p>
        </w:tc>
        <w:tc>
          <w:tcPr>
            <w:tcW w:w="1623" w:type="dxa"/>
            <w:noWrap/>
          </w:tcPr>
          <w:p w14:paraId="3B5352A8">
            <w:pPr>
              <w:rPr>
                <w:rFonts w:ascii="Calibri" w:hAnsi="Calibri" w:cs="Calibri"/>
                <w:b/>
                <w:bCs/>
                <w:color w:val="000000"/>
                <w:sz w:val="22"/>
                <w:szCs w:val="22"/>
              </w:rPr>
            </w:pPr>
          </w:p>
        </w:tc>
        <w:tc>
          <w:tcPr>
            <w:tcW w:w="1467" w:type="dxa"/>
            <w:noWrap/>
          </w:tcPr>
          <w:p w14:paraId="0696BCCB">
            <w:pPr>
              <w:rPr>
                <w:rFonts w:ascii="Calibri" w:hAnsi="Calibri" w:cs="Calibri"/>
                <w:b/>
                <w:bCs/>
                <w:color w:val="000000"/>
                <w:sz w:val="22"/>
                <w:szCs w:val="22"/>
              </w:rPr>
            </w:pPr>
            <w:r>
              <w:rPr>
                <w:rFonts w:ascii="Calibri" w:hAnsi="Calibri" w:cs="Calibri"/>
                <w:b/>
                <w:bCs/>
                <w:color w:val="000000"/>
                <w:sz w:val="22"/>
                <w:szCs w:val="22"/>
              </w:rPr>
              <w:t>R$3.240,00</w:t>
            </w:r>
          </w:p>
        </w:tc>
      </w:tr>
      <w:tr w14:paraId="3622818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641" w:type="dxa"/>
          </w:tcPr>
          <w:p w14:paraId="31A35BFC">
            <w:pPr>
              <w:jc w:val="center"/>
              <w:rPr>
                <w:rFonts w:ascii="Calibri" w:hAnsi="Calibri" w:cs="Calibri"/>
                <w:b/>
                <w:bCs/>
                <w:color w:val="000000"/>
                <w:sz w:val="22"/>
                <w:szCs w:val="22"/>
              </w:rPr>
            </w:pPr>
            <w:r>
              <w:rPr>
                <w:rFonts w:ascii="Calibri" w:hAnsi="Calibri" w:cs="Calibri"/>
                <w:b/>
                <w:bCs/>
                <w:color w:val="000000"/>
                <w:sz w:val="22"/>
                <w:szCs w:val="22"/>
              </w:rPr>
              <w:t>1</w:t>
            </w:r>
          </w:p>
        </w:tc>
        <w:tc>
          <w:tcPr>
            <w:tcW w:w="1091" w:type="dxa"/>
            <w:noWrap/>
          </w:tcPr>
          <w:p w14:paraId="7236919D">
            <w:pPr>
              <w:jc w:val="center"/>
              <w:rPr>
                <w:rFonts w:ascii="Calibri" w:hAnsi="Calibri" w:cs="Calibri"/>
                <w:color w:val="000000"/>
                <w:sz w:val="22"/>
                <w:szCs w:val="22"/>
              </w:rPr>
            </w:pPr>
            <w:r>
              <w:rPr>
                <w:rFonts w:ascii="Calibri" w:hAnsi="Calibri" w:cs="Calibri"/>
                <w:color w:val="000000"/>
                <w:sz w:val="22"/>
                <w:szCs w:val="22"/>
              </w:rPr>
              <w:t>20,88</w:t>
            </w:r>
          </w:p>
        </w:tc>
        <w:tc>
          <w:tcPr>
            <w:tcW w:w="3697" w:type="dxa"/>
            <w:noWrap/>
          </w:tcPr>
          <w:p w14:paraId="327D16DE">
            <w:pPr>
              <w:rPr>
                <w:rFonts w:ascii="Calibri" w:hAnsi="Calibri" w:cs="Calibri"/>
                <w:color w:val="000000"/>
                <w:sz w:val="22"/>
                <w:szCs w:val="22"/>
              </w:rPr>
            </w:pPr>
            <w:r>
              <w:rPr>
                <w:rFonts w:ascii="Calibri" w:hAnsi="Calibri" w:cs="Calibri"/>
                <w:color w:val="000000"/>
                <w:sz w:val="22"/>
                <w:szCs w:val="22"/>
              </w:rPr>
              <w:t>Psicopedagogo 40 horas</w:t>
            </w:r>
          </w:p>
        </w:tc>
        <w:tc>
          <w:tcPr>
            <w:tcW w:w="1623" w:type="dxa"/>
            <w:noWrap/>
          </w:tcPr>
          <w:p w14:paraId="38675480">
            <w:pPr>
              <w:rPr>
                <w:rFonts w:ascii="Calibri" w:hAnsi="Calibri" w:cs="Calibri"/>
                <w:b/>
                <w:bCs/>
                <w:color w:val="000000"/>
                <w:sz w:val="22"/>
                <w:szCs w:val="22"/>
              </w:rPr>
            </w:pPr>
            <w:r>
              <w:rPr>
                <w:rFonts w:ascii="Calibri" w:hAnsi="Calibri" w:cs="Calibri"/>
                <w:b/>
                <w:bCs/>
                <w:color w:val="000000"/>
                <w:sz w:val="22"/>
                <w:szCs w:val="22"/>
              </w:rPr>
              <w:t>R$4.105,08</w:t>
            </w:r>
          </w:p>
        </w:tc>
        <w:tc>
          <w:tcPr>
            <w:tcW w:w="1467" w:type="dxa"/>
            <w:noWrap/>
          </w:tcPr>
          <w:p w14:paraId="6F218332">
            <w:pPr>
              <w:rPr>
                <w:rFonts w:ascii="Calibri" w:hAnsi="Calibri" w:cs="Calibri"/>
                <w:b/>
                <w:bCs/>
                <w:color w:val="000000"/>
                <w:sz w:val="22"/>
                <w:szCs w:val="22"/>
              </w:rPr>
            </w:pPr>
            <w:r>
              <w:rPr>
                <w:rFonts w:ascii="Calibri" w:hAnsi="Calibri" w:cs="Calibri"/>
                <w:b/>
                <w:bCs/>
                <w:color w:val="000000"/>
                <w:sz w:val="22"/>
                <w:szCs w:val="22"/>
              </w:rPr>
              <w:t> </w:t>
            </w:r>
          </w:p>
        </w:tc>
      </w:tr>
      <w:tr w14:paraId="13F31F6D">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641" w:type="dxa"/>
          </w:tcPr>
          <w:p w14:paraId="7CC922F3">
            <w:pPr>
              <w:jc w:val="center"/>
              <w:rPr>
                <w:rFonts w:ascii="Calibri" w:hAnsi="Calibri" w:cs="Calibri"/>
                <w:b/>
                <w:bCs/>
                <w:color w:val="000000"/>
                <w:sz w:val="22"/>
                <w:szCs w:val="22"/>
              </w:rPr>
            </w:pPr>
            <w:r>
              <w:rPr>
                <w:rFonts w:ascii="Calibri" w:hAnsi="Calibri" w:cs="Calibri"/>
                <w:b/>
                <w:bCs/>
                <w:color w:val="000000"/>
                <w:sz w:val="22"/>
                <w:szCs w:val="22"/>
              </w:rPr>
              <w:t>1</w:t>
            </w:r>
          </w:p>
        </w:tc>
        <w:tc>
          <w:tcPr>
            <w:tcW w:w="1091" w:type="dxa"/>
            <w:noWrap/>
          </w:tcPr>
          <w:p w14:paraId="6ADBB1B1">
            <w:pPr>
              <w:jc w:val="center"/>
              <w:rPr>
                <w:rFonts w:ascii="Calibri" w:hAnsi="Calibri" w:cs="Calibri"/>
                <w:color w:val="000000"/>
                <w:sz w:val="22"/>
                <w:szCs w:val="22"/>
              </w:rPr>
            </w:pPr>
            <w:r>
              <w:rPr>
                <w:rFonts w:ascii="Calibri" w:hAnsi="Calibri" w:cs="Calibri"/>
                <w:color w:val="000000"/>
                <w:sz w:val="22"/>
                <w:szCs w:val="22"/>
              </w:rPr>
              <w:t>20,88</w:t>
            </w:r>
          </w:p>
        </w:tc>
        <w:tc>
          <w:tcPr>
            <w:tcW w:w="3697" w:type="dxa"/>
            <w:noWrap/>
          </w:tcPr>
          <w:p w14:paraId="093CC605">
            <w:pPr>
              <w:rPr>
                <w:rFonts w:ascii="Calibri" w:hAnsi="Calibri" w:cs="Calibri"/>
                <w:color w:val="000000"/>
                <w:sz w:val="22"/>
                <w:szCs w:val="22"/>
              </w:rPr>
            </w:pPr>
            <w:r>
              <w:rPr>
                <w:rFonts w:ascii="Calibri" w:hAnsi="Calibri" w:cs="Calibri"/>
                <w:color w:val="000000"/>
                <w:sz w:val="22"/>
                <w:szCs w:val="22"/>
              </w:rPr>
              <w:t>Cuidador de Alunos</w:t>
            </w:r>
          </w:p>
        </w:tc>
        <w:tc>
          <w:tcPr>
            <w:tcW w:w="1623" w:type="dxa"/>
            <w:noWrap/>
          </w:tcPr>
          <w:p w14:paraId="477C45B6">
            <w:pPr>
              <w:rPr>
                <w:rFonts w:ascii="Calibri" w:hAnsi="Calibri" w:cs="Calibri"/>
                <w:b/>
                <w:bCs/>
                <w:color w:val="000000"/>
                <w:sz w:val="22"/>
                <w:szCs w:val="22"/>
              </w:rPr>
            </w:pPr>
            <w:r>
              <w:rPr>
                <w:rFonts w:ascii="Calibri" w:hAnsi="Calibri" w:cs="Calibri"/>
                <w:b/>
                <w:bCs/>
                <w:color w:val="000000"/>
                <w:sz w:val="22"/>
                <w:szCs w:val="22"/>
              </w:rPr>
              <w:t>R$1.851,90</w:t>
            </w:r>
          </w:p>
        </w:tc>
        <w:tc>
          <w:tcPr>
            <w:tcW w:w="1467" w:type="dxa"/>
            <w:noWrap/>
          </w:tcPr>
          <w:p w14:paraId="058B2AAB">
            <w:pPr>
              <w:rPr>
                <w:rFonts w:ascii="Calibri" w:hAnsi="Calibri" w:cs="Calibri"/>
                <w:b/>
                <w:bCs/>
                <w:color w:val="000000"/>
                <w:sz w:val="22"/>
                <w:szCs w:val="22"/>
              </w:rPr>
            </w:pPr>
            <w:r>
              <w:rPr>
                <w:rFonts w:ascii="Calibri" w:hAnsi="Calibri" w:cs="Calibri"/>
                <w:b/>
                <w:bCs/>
                <w:color w:val="000000"/>
                <w:sz w:val="22"/>
                <w:szCs w:val="22"/>
              </w:rPr>
              <w:t> </w:t>
            </w:r>
          </w:p>
        </w:tc>
      </w:tr>
    </w:tbl>
    <w:p w14:paraId="467C95FB">
      <w:pPr>
        <w:pStyle w:val="54"/>
        <w:jc w:val="both"/>
        <w:rPr>
          <w:rStyle w:val="35"/>
          <w:rFonts w:ascii="Calibri" w:hAnsi="Calibri"/>
          <w:bCs/>
          <w:sz w:val="22"/>
          <w:szCs w:val="22"/>
          <w:highlight w:val="yellow"/>
        </w:rPr>
      </w:pPr>
    </w:p>
    <w:p w14:paraId="644CD3BB">
      <w:pPr>
        <w:pStyle w:val="54"/>
        <w:jc w:val="both"/>
        <w:rPr>
          <w:rFonts w:ascii="Calibri" w:hAnsi="Calibri"/>
          <w:bCs/>
        </w:rPr>
      </w:pPr>
      <w:r>
        <w:rPr>
          <w:rFonts w:ascii="Calibri" w:hAnsi="Calibri"/>
          <w:bCs/>
        </w:rPr>
        <w:t>Considerando que nem todos os cargos possuem Convenção Coletiva de Trabalho (CCT) vigente, realizamos uma pesquisa detalhada de salários similares no mercado, levando em conta a formação acadêmica e a experiência profissional. Dessa forma, justificamos os salários praticados como compatíveis e adequados às funções exercidas, conforme acima.</w:t>
      </w:r>
    </w:p>
    <w:p w14:paraId="1402BA4C">
      <w:pPr>
        <w:pStyle w:val="54"/>
        <w:jc w:val="both"/>
        <w:rPr>
          <w:rFonts w:ascii="Calibri" w:hAnsi="Calibri"/>
          <w:b/>
          <w:u w:val="single"/>
        </w:rPr>
      </w:pPr>
    </w:p>
    <w:p w14:paraId="01347B05">
      <w:pPr>
        <w:pStyle w:val="54"/>
        <w:jc w:val="both"/>
        <w:rPr>
          <w:rFonts w:ascii="Calibri" w:hAnsi="Calibri"/>
          <w:b/>
          <w:u w:val="single"/>
        </w:rPr>
      </w:pPr>
    </w:p>
    <w:p w14:paraId="7A4714C5">
      <w:pPr>
        <w:spacing w:line="276" w:lineRule="auto"/>
        <w:jc w:val="both"/>
        <w:rPr>
          <w:rFonts w:ascii="Calibri" w:hAnsi="Calibri" w:cs="Arial"/>
          <w:b/>
          <w:sz w:val="22"/>
          <w:szCs w:val="22"/>
        </w:rPr>
      </w:pPr>
      <w:r>
        <w:rPr>
          <w:rFonts w:ascii="Calibri" w:hAnsi="Calibri" w:cs="Arial"/>
          <w:b/>
          <w:sz w:val="22"/>
          <w:szCs w:val="22"/>
        </w:rPr>
        <w:t>B e C) Adicional de Insalubridade/Periculosidade</w:t>
      </w:r>
    </w:p>
    <w:p w14:paraId="13F4BFBB">
      <w:pPr>
        <w:spacing w:line="276" w:lineRule="auto"/>
        <w:jc w:val="both"/>
        <w:rPr>
          <w:rFonts w:asciiTheme="minorHAnsi" w:hAnsiTheme="minorHAnsi" w:cstheme="minorHAnsi"/>
          <w:sz w:val="22"/>
          <w:szCs w:val="22"/>
        </w:rPr>
      </w:pPr>
      <w:r>
        <w:rPr>
          <w:rFonts w:asciiTheme="minorHAnsi" w:hAnsiTheme="minorHAnsi" w:cstheme="minorHAnsi"/>
          <w:sz w:val="22"/>
          <w:szCs w:val="22"/>
        </w:rPr>
        <w:t>Poderá ser alvo de reequilíbrio após apresentação de laudo, mediante apresentação de laudo do SESMET das empresas prestadoras de serviço que considere os respectivos locais insalubres, conforme cláusula 17ª da CCT.</w:t>
      </w:r>
    </w:p>
    <w:p w14:paraId="2F6C2DA5">
      <w:pPr>
        <w:spacing w:line="276" w:lineRule="auto"/>
        <w:jc w:val="both"/>
        <w:rPr>
          <w:rFonts w:ascii="Calibri" w:hAnsi="Calibri" w:cs="Arial"/>
          <w:b/>
          <w:sz w:val="22"/>
          <w:szCs w:val="22"/>
        </w:rPr>
      </w:pPr>
    </w:p>
    <w:p w14:paraId="641FDC12">
      <w:pPr>
        <w:spacing w:line="276" w:lineRule="auto"/>
        <w:jc w:val="both"/>
        <w:rPr>
          <w:rFonts w:ascii="Calibri" w:hAnsi="Calibri" w:cs="Arial"/>
          <w:b/>
          <w:sz w:val="22"/>
          <w:szCs w:val="22"/>
        </w:rPr>
      </w:pPr>
      <w:r>
        <w:rPr>
          <w:rFonts w:ascii="Calibri" w:hAnsi="Calibri" w:cs="Arial"/>
          <w:b/>
          <w:sz w:val="22"/>
          <w:szCs w:val="22"/>
        </w:rPr>
        <w:t>D) Adicional Noturno</w:t>
      </w:r>
    </w:p>
    <w:p w14:paraId="354A832B">
      <w:pPr>
        <w:spacing w:line="276" w:lineRule="auto"/>
        <w:jc w:val="both"/>
        <w:rPr>
          <w:rFonts w:ascii="Calibri" w:hAnsi="Calibri" w:cs="Arial"/>
        </w:rPr>
      </w:pPr>
      <w:r>
        <w:rPr>
          <w:rFonts w:ascii="Calibri" w:hAnsi="Calibri" w:cs="Arial"/>
          <w:sz w:val="22"/>
          <w:szCs w:val="22"/>
        </w:rPr>
        <w:t>Não há previsão de serviços noturnos.</w:t>
      </w:r>
    </w:p>
    <w:p w14:paraId="0696E04B">
      <w:pPr>
        <w:spacing w:line="276" w:lineRule="auto"/>
        <w:jc w:val="both"/>
        <w:rPr>
          <w:rFonts w:cs="Arial" w:asciiTheme="minorHAnsi" w:hAnsiTheme="minorHAnsi"/>
          <w:color w:val="000000"/>
          <w:sz w:val="22"/>
          <w:szCs w:val="22"/>
          <w:shd w:val="clear" w:color="auto" w:fill="FFFFFF"/>
        </w:rPr>
      </w:pPr>
      <w:r>
        <w:rPr>
          <w:rStyle w:val="8"/>
          <w:rFonts w:cs="Arial" w:asciiTheme="minorHAnsi" w:hAnsiTheme="minorHAnsi"/>
          <w:color w:val="000000"/>
          <w:sz w:val="22"/>
          <w:szCs w:val="22"/>
          <w:shd w:val="clear" w:color="auto" w:fill="FFFFFF"/>
        </w:rPr>
        <w:t>Nota 1: </w:t>
      </w:r>
      <w:r>
        <w:rPr>
          <w:rFonts w:cs="Arial" w:asciiTheme="minorHAnsi" w:hAnsiTheme="minorHAnsi"/>
          <w:color w:val="000000"/>
          <w:sz w:val="22"/>
          <w:szCs w:val="22"/>
          <w:shd w:val="clear" w:color="auto" w:fill="FFFFFF"/>
        </w:rPr>
        <w:t>O Módulo 1 refere-se ao </w:t>
      </w:r>
      <w:r>
        <w:rPr>
          <w:rStyle w:val="8"/>
          <w:rFonts w:cs="Arial" w:asciiTheme="minorHAnsi" w:hAnsiTheme="minorHAnsi"/>
          <w:color w:val="000000"/>
          <w:sz w:val="22"/>
          <w:szCs w:val="22"/>
          <w:shd w:val="clear" w:color="auto" w:fill="FFFFFF"/>
        </w:rPr>
        <w:t>valor mensal devido ao empregado</w:t>
      </w:r>
      <w:r>
        <w:rPr>
          <w:rFonts w:cs="Arial" w:asciiTheme="minorHAnsi" w:hAnsiTheme="minorHAnsi"/>
          <w:color w:val="000000"/>
          <w:sz w:val="22"/>
          <w:szCs w:val="22"/>
          <w:shd w:val="clear" w:color="auto" w:fill="FFFFFF"/>
        </w:rPr>
        <w:t> pela prestação do serviço no período de 12 meses.</w:t>
      </w:r>
    </w:p>
    <w:p w14:paraId="65273E4A">
      <w:pPr>
        <w:spacing w:line="276" w:lineRule="auto"/>
        <w:jc w:val="both"/>
        <w:rPr>
          <w:rFonts w:ascii="Calibri" w:hAnsi="Calibri" w:cs="Arial"/>
          <w:b/>
          <w:sz w:val="22"/>
          <w:szCs w:val="22"/>
        </w:rPr>
      </w:pPr>
    </w:p>
    <w:p w14:paraId="2D8D7AB2">
      <w:pPr>
        <w:spacing w:line="276" w:lineRule="auto"/>
        <w:jc w:val="both"/>
        <w:rPr>
          <w:rFonts w:ascii="Calibri" w:hAnsi="Calibri" w:cs="Arial"/>
          <w:b/>
          <w:sz w:val="22"/>
          <w:szCs w:val="22"/>
        </w:rPr>
      </w:pPr>
      <w:r>
        <w:rPr>
          <w:rFonts w:ascii="Calibri" w:hAnsi="Calibri" w:cs="Arial"/>
          <w:b/>
          <w:sz w:val="22"/>
          <w:szCs w:val="22"/>
        </w:rPr>
        <w:t>E) Adicional de hora noturna reduzida</w:t>
      </w:r>
    </w:p>
    <w:p w14:paraId="27A8C207">
      <w:pPr>
        <w:autoSpaceDE w:val="0"/>
        <w:autoSpaceDN w:val="0"/>
        <w:adjustRightInd w:val="0"/>
        <w:rPr>
          <w:rFonts w:ascii="Calibri" w:hAnsi="Calibri" w:cs="Calibri" w:eastAsiaTheme="minorHAnsi"/>
          <w:color w:val="000000"/>
          <w:sz w:val="22"/>
          <w:szCs w:val="22"/>
          <w:lang w:eastAsia="en-US"/>
        </w:rPr>
      </w:pPr>
      <w:r>
        <w:rPr>
          <w:rFonts w:ascii="Calibri" w:hAnsi="Calibri" w:cs="Calibri" w:eastAsiaTheme="minorHAnsi"/>
          <w:color w:val="000000"/>
          <w:sz w:val="22"/>
          <w:szCs w:val="22"/>
          <w:lang w:eastAsia="en-US"/>
        </w:rPr>
        <w:t xml:space="preserve">Não há previsão de adicional noturno. </w:t>
      </w:r>
    </w:p>
    <w:p w14:paraId="10284556">
      <w:pPr>
        <w:spacing w:line="276" w:lineRule="auto"/>
        <w:jc w:val="both"/>
        <w:rPr>
          <w:rFonts w:ascii="Calibri" w:hAnsi="Calibri" w:cs="Arial"/>
          <w:b/>
          <w:sz w:val="22"/>
          <w:szCs w:val="22"/>
        </w:rPr>
      </w:pPr>
    </w:p>
    <w:p w14:paraId="73F8AFF5">
      <w:pPr>
        <w:spacing w:line="276" w:lineRule="auto"/>
        <w:jc w:val="both"/>
        <w:rPr>
          <w:rFonts w:ascii="Calibri" w:hAnsi="Calibri" w:cs="Arial"/>
          <w:b/>
          <w:sz w:val="22"/>
          <w:szCs w:val="22"/>
        </w:rPr>
      </w:pPr>
      <w:r>
        <w:rPr>
          <w:rFonts w:ascii="Calibri" w:hAnsi="Calibri" w:cs="Arial"/>
          <w:b/>
          <w:sz w:val="22"/>
          <w:szCs w:val="22"/>
        </w:rPr>
        <w:t>1-A) Intrajornada</w:t>
      </w:r>
    </w:p>
    <w:p w14:paraId="2683414B">
      <w:pPr>
        <w:tabs>
          <w:tab w:val="left" w:pos="8130"/>
        </w:tabs>
        <w:jc w:val="both"/>
        <w:rPr>
          <w:rFonts w:asciiTheme="minorHAnsi" w:hAnsiTheme="minorHAnsi" w:cstheme="minorHAnsi"/>
          <w:sz w:val="22"/>
          <w:szCs w:val="22"/>
        </w:rPr>
      </w:pPr>
      <w:r>
        <w:rPr>
          <w:rFonts w:asciiTheme="minorHAnsi" w:hAnsiTheme="minorHAnsi" w:cstheme="minorHAnsi"/>
          <w:sz w:val="22"/>
          <w:szCs w:val="22"/>
        </w:rPr>
        <w:t>Não haverá previsão de indenização pelo intervalor de intrajornada.</w:t>
      </w:r>
    </w:p>
    <w:p w14:paraId="315B6C64">
      <w:pPr>
        <w:tabs>
          <w:tab w:val="left" w:pos="8130"/>
        </w:tabs>
        <w:jc w:val="both"/>
        <w:rPr>
          <w:rFonts w:asciiTheme="minorHAnsi" w:hAnsiTheme="minorHAnsi" w:cstheme="minorHAnsi"/>
          <w:sz w:val="22"/>
          <w:szCs w:val="22"/>
        </w:rPr>
      </w:pPr>
    </w:p>
    <w:p w14:paraId="6832FBE8">
      <w:pPr>
        <w:tabs>
          <w:tab w:val="left" w:pos="8130"/>
        </w:tabs>
        <w:jc w:val="both"/>
        <w:rPr>
          <w:rFonts w:asciiTheme="minorHAnsi" w:hAnsiTheme="minorHAnsi" w:cstheme="minorHAnsi"/>
          <w:sz w:val="22"/>
          <w:szCs w:val="22"/>
        </w:rPr>
      </w:pPr>
      <w:r>
        <w:rPr>
          <w:rFonts w:asciiTheme="minorHAnsi" w:hAnsiTheme="minorHAnsi" w:cstheme="minorHAnsi"/>
          <w:sz w:val="22"/>
          <w:szCs w:val="22"/>
        </w:rPr>
        <w:t>1-E) Hora Extra 50% (Apenas postos de Libras e Transcritor e Ledor de Braile)</w:t>
      </w:r>
    </w:p>
    <w:p w14:paraId="7D6FAB8F">
      <w:pPr>
        <w:tabs>
          <w:tab w:val="left" w:pos="8130"/>
        </w:tabs>
        <w:jc w:val="both"/>
        <w:rPr>
          <w:rFonts w:asciiTheme="minorHAnsi" w:hAnsiTheme="minorHAnsi" w:cstheme="minorHAnsi"/>
          <w:sz w:val="22"/>
          <w:szCs w:val="22"/>
        </w:rPr>
      </w:pPr>
      <w:r>
        <w:rPr>
          <w:rFonts w:asciiTheme="minorHAnsi" w:hAnsiTheme="minorHAnsi" w:cstheme="minorHAnsi"/>
          <w:sz w:val="22"/>
          <w:szCs w:val="22"/>
        </w:rPr>
        <w:t>Consiste no tempo laborado além da jornada diária estabelecida pela legislação, contrato de trabalho ou norma coletiva de trabalho. Deve ser efetuado no mínimo 50% sobre o valor da hora normal, caso o trabalho seja efetuado em dias da semana (de segunda a sábado), e de 100% aos domingos e feriados. (art. 59 da CLT, art. 7º inciso XVI da Constituição Federal, Súmula nº 423 do TST).</w:t>
      </w:r>
    </w:p>
    <w:p w14:paraId="6740C835">
      <w:pPr>
        <w:tabs>
          <w:tab w:val="left" w:pos="8130"/>
        </w:tabs>
        <w:jc w:val="both"/>
        <w:rPr>
          <w:rFonts w:asciiTheme="minorHAnsi" w:hAnsiTheme="minorHAnsi" w:cstheme="minorHAnsi"/>
          <w:sz w:val="22"/>
          <w:szCs w:val="22"/>
        </w:rPr>
      </w:pPr>
    </w:p>
    <w:p w14:paraId="410AECB3">
      <w:pPr>
        <w:tabs>
          <w:tab w:val="left" w:pos="8130"/>
        </w:tabs>
        <w:jc w:val="both"/>
        <w:rPr>
          <w:rFonts w:asciiTheme="minorHAnsi" w:hAnsiTheme="minorHAnsi" w:cstheme="minorHAnsi"/>
          <w:sz w:val="22"/>
          <w:szCs w:val="22"/>
        </w:rPr>
      </w:pPr>
      <w:r>
        <w:rPr>
          <w:rFonts w:asciiTheme="minorHAnsi" w:hAnsiTheme="minorHAnsi" w:cstheme="minorHAnsi"/>
          <w:sz w:val="22"/>
          <w:szCs w:val="22"/>
        </w:rPr>
        <w:t>Para Jornada de 30 diárias foi elaborado o seguinte cálculo</w:t>
      </w:r>
    </w:p>
    <w:p w14:paraId="00B908C7">
      <w:pPr>
        <w:tabs>
          <w:tab w:val="left" w:pos="8130"/>
        </w:tabs>
        <w:jc w:val="both"/>
        <w:rPr>
          <w:rFonts w:asciiTheme="minorHAnsi" w:hAnsiTheme="minorHAnsi" w:cstheme="minorHAnsi"/>
          <w:sz w:val="22"/>
          <w:szCs w:val="22"/>
        </w:rPr>
      </w:pPr>
      <w:r>
        <w:rPr>
          <w:rFonts w:asciiTheme="minorHAnsi" w:hAnsiTheme="minorHAnsi" w:cstheme="minorHAnsi"/>
          <w:sz w:val="22"/>
          <w:szCs w:val="22"/>
        </w:rPr>
        <w:t>Módulo semanal&gt; 30h x 5 = 150</w:t>
      </w:r>
    </w:p>
    <w:p w14:paraId="0F04BEDD">
      <w:pPr>
        <w:tabs>
          <w:tab w:val="left" w:pos="8130"/>
        </w:tabs>
        <w:jc w:val="both"/>
        <w:rPr>
          <w:rFonts w:asciiTheme="minorHAnsi" w:hAnsiTheme="minorHAnsi" w:cstheme="minorHAnsi"/>
          <w:sz w:val="22"/>
          <w:szCs w:val="22"/>
        </w:rPr>
      </w:pPr>
      <w:r>
        <w:rPr>
          <w:rFonts w:asciiTheme="minorHAnsi" w:hAnsiTheme="minorHAnsi" w:cstheme="minorHAnsi"/>
          <w:sz w:val="22"/>
          <w:szCs w:val="22"/>
        </w:rPr>
        <w:t>Cálculo do valor da Hora extra: Valor do Salário / 150 horas = X</w:t>
      </w:r>
    </w:p>
    <w:p w14:paraId="4646581A">
      <w:pPr>
        <w:tabs>
          <w:tab w:val="left" w:pos="8130"/>
        </w:tabs>
        <w:jc w:val="both"/>
        <w:rPr>
          <w:rFonts w:asciiTheme="minorHAnsi" w:hAnsiTheme="minorHAnsi" w:cstheme="minorHAnsi"/>
          <w:sz w:val="22"/>
          <w:szCs w:val="22"/>
        </w:rPr>
      </w:pPr>
      <w:r>
        <w:rPr>
          <w:rFonts w:asciiTheme="minorHAnsi" w:hAnsiTheme="minorHAnsi" w:cstheme="minorHAnsi"/>
          <w:sz w:val="22"/>
          <w:szCs w:val="22"/>
        </w:rPr>
        <w:t>Hora extra 50%: 50%*X + X = Y</w:t>
      </w:r>
    </w:p>
    <w:p w14:paraId="52E605E4">
      <w:pPr>
        <w:tabs>
          <w:tab w:val="left" w:pos="8130"/>
        </w:tabs>
        <w:jc w:val="both"/>
        <w:rPr>
          <w:rFonts w:asciiTheme="minorHAnsi" w:hAnsiTheme="minorHAnsi" w:cstheme="minorHAnsi"/>
          <w:sz w:val="22"/>
          <w:szCs w:val="22"/>
        </w:rPr>
      </w:pPr>
      <w:r>
        <w:rPr>
          <w:rFonts w:asciiTheme="minorHAnsi" w:hAnsiTheme="minorHAnsi" w:cstheme="minorHAnsi"/>
          <w:sz w:val="22"/>
          <w:szCs w:val="22"/>
        </w:rPr>
        <w:t>Cálculo mensal: Y * 20 horas = Z1</w:t>
      </w:r>
    </w:p>
    <w:p w14:paraId="2A80B520">
      <w:pPr>
        <w:tabs>
          <w:tab w:val="left" w:pos="8130"/>
        </w:tabs>
        <w:jc w:val="both"/>
        <w:rPr>
          <w:rFonts w:asciiTheme="minorHAnsi" w:hAnsiTheme="minorHAnsi" w:cstheme="minorHAnsi"/>
          <w:sz w:val="22"/>
          <w:szCs w:val="22"/>
        </w:rPr>
      </w:pPr>
    </w:p>
    <w:p w14:paraId="1D75CA0B">
      <w:pPr>
        <w:tabs>
          <w:tab w:val="left" w:pos="8130"/>
        </w:tabs>
        <w:jc w:val="both"/>
        <w:rPr>
          <w:rFonts w:asciiTheme="minorHAnsi" w:hAnsiTheme="minorHAnsi" w:cstheme="minorHAnsi"/>
          <w:sz w:val="22"/>
          <w:szCs w:val="22"/>
        </w:rPr>
      </w:pPr>
      <w:r>
        <w:rPr>
          <w:rFonts w:asciiTheme="minorHAnsi" w:hAnsiTheme="minorHAnsi" w:cstheme="minorHAnsi"/>
          <w:sz w:val="22"/>
          <w:szCs w:val="22"/>
        </w:rPr>
        <w:t>1-F) Hora Extra 100% (Apenas postos de Libras e Transcritor e Ledor de Braile)</w:t>
      </w:r>
    </w:p>
    <w:p w14:paraId="39245A97">
      <w:pPr>
        <w:tabs>
          <w:tab w:val="left" w:pos="8130"/>
        </w:tabs>
        <w:jc w:val="both"/>
        <w:rPr>
          <w:rFonts w:asciiTheme="minorHAnsi" w:hAnsiTheme="minorHAnsi" w:cstheme="minorHAnsi"/>
          <w:sz w:val="22"/>
          <w:szCs w:val="22"/>
        </w:rPr>
      </w:pPr>
      <w:r>
        <w:rPr>
          <w:rFonts w:asciiTheme="minorHAnsi" w:hAnsiTheme="minorHAnsi" w:cstheme="minorHAnsi"/>
          <w:sz w:val="22"/>
          <w:szCs w:val="22"/>
        </w:rPr>
        <w:t>Consiste no tempo laborado além da jornada diária estabelecida pela legislação, contrato de trabalho ou norma coletiva de trabalho. Deve ser efetuado no mínimo 50% sobre o valor da hora normal, caso o trabalho seja efetuado em dias da semana (de segunda a sábado), e de 100% aos domingos e feriados. (art. 59 da CLT, art. 7º inciso XVI da Constituição Federal, Súmula nº 423 do TST).</w:t>
      </w:r>
    </w:p>
    <w:p w14:paraId="42B432D7">
      <w:pPr>
        <w:tabs>
          <w:tab w:val="left" w:pos="8130"/>
        </w:tabs>
        <w:jc w:val="both"/>
        <w:rPr>
          <w:rFonts w:asciiTheme="minorHAnsi" w:hAnsiTheme="minorHAnsi" w:cstheme="minorHAnsi"/>
          <w:sz w:val="22"/>
          <w:szCs w:val="22"/>
        </w:rPr>
      </w:pPr>
    </w:p>
    <w:p w14:paraId="160F2FBC">
      <w:pPr>
        <w:tabs>
          <w:tab w:val="left" w:pos="8130"/>
        </w:tabs>
        <w:jc w:val="both"/>
        <w:rPr>
          <w:rFonts w:asciiTheme="minorHAnsi" w:hAnsiTheme="minorHAnsi" w:cstheme="minorHAnsi"/>
          <w:sz w:val="22"/>
          <w:szCs w:val="22"/>
        </w:rPr>
      </w:pPr>
      <w:r>
        <w:rPr>
          <w:rFonts w:asciiTheme="minorHAnsi" w:hAnsiTheme="minorHAnsi" w:cstheme="minorHAnsi"/>
          <w:sz w:val="22"/>
          <w:szCs w:val="22"/>
        </w:rPr>
        <w:t>Para Jornada de 30 diárias foi elaborado o seguinte cálculo</w:t>
      </w:r>
    </w:p>
    <w:p w14:paraId="5FA6F9AA">
      <w:pPr>
        <w:tabs>
          <w:tab w:val="left" w:pos="8130"/>
        </w:tabs>
        <w:jc w:val="both"/>
        <w:rPr>
          <w:rFonts w:asciiTheme="minorHAnsi" w:hAnsiTheme="minorHAnsi" w:cstheme="minorHAnsi"/>
          <w:sz w:val="22"/>
          <w:szCs w:val="22"/>
        </w:rPr>
      </w:pPr>
      <w:r>
        <w:rPr>
          <w:rFonts w:asciiTheme="minorHAnsi" w:hAnsiTheme="minorHAnsi" w:cstheme="minorHAnsi"/>
          <w:sz w:val="22"/>
          <w:szCs w:val="22"/>
        </w:rPr>
        <w:t>Módulo semanal&gt; 30h x 5 = 150</w:t>
      </w:r>
    </w:p>
    <w:p w14:paraId="23C4DBB5">
      <w:pPr>
        <w:tabs>
          <w:tab w:val="left" w:pos="8130"/>
        </w:tabs>
        <w:jc w:val="both"/>
        <w:rPr>
          <w:rFonts w:asciiTheme="minorHAnsi" w:hAnsiTheme="minorHAnsi" w:cstheme="minorHAnsi"/>
          <w:sz w:val="22"/>
          <w:szCs w:val="22"/>
        </w:rPr>
      </w:pPr>
      <w:r>
        <w:rPr>
          <w:rFonts w:asciiTheme="minorHAnsi" w:hAnsiTheme="minorHAnsi" w:cstheme="minorHAnsi"/>
          <w:sz w:val="22"/>
          <w:szCs w:val="22"/>
        </w:rPr>
        <w:t>Cálculo do valor da Hora extra: Valor do Salário / 150 horas = X</w:t>
      </w:r>
    </w:p>
    <w:p w14:paraId="522D6646">
      <w:pPr>
        <w:tabs>
          <w:tab w:val="left" w:pos="8130"/>
        </w:tabs>
        <w:jc w:val="both"/>
        <w:rPr>
          <w:rFonts w:asciiTheme="minorHAnsi" w:hAnsiTheme="minorHAnsi" w:cstheme="minorHAnsi"/>
          <w:sz w:val="22"/>
          <w:szCs w:val="22"/>
        </w:rPr>
      </w:pPr>
      <w:r>
        <w:rPr>
          <w:rFonts w:asciiTheme="minorHAnsi" w:hAnsiTheme="minorHAnsi" w:cstheme="minorHAnsi"/>
          <w:sz w:val="22"/>
          <w:szCs w:val="22"/>
        </w:rPr>
        <w:t>Hora extra 100%: 100%*X + X = Y</w:t>
      </w:r>
    </w:p>
    <w:p w14:paraId="32B97C1F">
      <w:pPr>
        <w:tabs>
          <w:tab w:val="left" w:pos="8130"/>
        </w:tabs>
        <w:jc w:val="both"/>
        <w:rPr>
          <w:rFonts w:asciiTheme="minorHAnsi" w:hAnsiTheme="minorHAnsi" w:cstheme="minorHAnsi"/>
          <w:sz w:val="22"/>
          <w:szCs w:val="22"/>
        </w:rPr>
      </w:pPr>
      <w:r>
        <w:rPr>
          <w:rFonts w:asciiTheme="minorHAnsi" w:hAnsiTheme="minorHAnsi" w:cstheme="minorHAnsi"/>
          <w:sz w:val="22"/>
          <w:szCs w:val="22"/>
        </w:rPr>
        <w:t>Cálculo mensal: Y * 10 horas = Z2</w:t>
      </w:r>
    </w:p>
    <w:p w14:paraId="194D6055">
      <w:pPr>
        <w:tabs>
          <w:tab w:val="left" w:pos="8130"/>
        </w:tabs>
        <w:jc w:val="both"/>
        <w:rPr>
          <w:rFonts w:asciiTheme="minorHAnsi" w:hAnsiTheme="minorHAnsi" w:cstheme="minorHAnsi"/>
          <w:sz w:val="22"/>
          <w:szCs w:val="22"/>
        </w:rPr>
      </w:pPr>
    </w:p>
    <w:p w14:paraId="3BAEBA0D">
      <w:pPr>
        <w:tabs>
          <w:tab w:val="left" w:pos="8130"/>
        </w:tabs>
        <w:jc w:val="both"/>
        <w:rPr>
          <w:rFonts w:asciiTheme="minorHAnsi" w:hAnsiTheme="minorHAnsi" w:cstheme="minorHAnsi"/>
          <w:sz w:val="22"/>
          <w:szCs w:val="22"/>
        </w:rPr>
      </w:pPr>
    </w:p>
    <w:p w14:paraId="088788CC">
      <w:pPr>
        <w:tabs>
          <w:tab w:val="left" w:pos="8130"/>
        </w:tabs>
        <w:jc w:val="both"/>
        <w:rPr>
          <w:rFonts w:asciiTheme="minorHAnsi" w:hAnsiTheme="minorHAnsi" w:cstheme="minorHAnsi"/>
          <w:sz w:val="22"/>
          <w:szCs w:val="22"/>
        </w:rPr>
      </w:pPr>
      <w:r>
        <w:rPr>
          <w:rFonts w:asciiTheme="minorHAnsi" w:hAnsiTheme="minorHAnsi" w:cstheme="minorHAnsi"/>
          <w:sz w:val="22"/>
          <w:szCs w:val="22"/>
        </w:rPr>
        <w:t>1-G) Reflexo Adicional de Hora Extra no RSR Hora Extra 50% (Apenas postos de Libras e Transcritor e Ledor de Braile)</w:t>
      </w:r>
    </w:p>
    <w:p w14:paraId="45AAFA29">
      <w:pPr>
        <w:tabs>
          <w:tab w:val="left" w:pos="8130"/>
        </w:tabs>
        <w:jc w:val="both"/>
        <w:rPr>
          <w:rFonts w:asciiTheme="minorHAnsi" w:hAnsiTheme="minorHAnsi" w:cstheme="minorHAnsi"/>
          <w:sz w:val="22"/>
          <w:szCs w:val="22"/>
        </w:rPr>
      </w:pPr>
      <w:r>
        <w:rPr>
          <w:rFonts w:asciiTheme="minorHAnsi" w:hAnsiTheme="minorHAnsi" w:cstheme="minorHAnsi"/>
          <w:sz w:val="22"/>
          <w:szCs w:val="22"/>
        </w:rPr>
        <w:t>=Z1*20%</w:t>
      </w:r>
    </w:p>
    <w:p w14:paraId="6EAC801F">
      <w:pPr>
        <w:tabs>
          <w:tab w:val="left" w:pos="8130"/>
        </w:tabs>
        <w:jc w:val="both"/>
        <w:rPr>
          <w:rFonts w:asciiTheme="minorHAnsi" w:hAnsiTheme="minorHAnsi" w:cstheme="minorHAnsi"/>
          <w:sz w:val="22"/>
          <w:szCs w:val="22"/>
        </w:rPr>
      </w:pPr>
    </w:p>
    <w:p w14:paraId="578A2560">
      <w:pPr>
        <w:tabs>
          <w:tab w:val="left" w:pos="8130"/>
        </w:tabs>
        <w:jc w:val="both"/>
        <w:rPr>
          <w:rFonts w:asciiTheme="minorHAnsi" w:hAnsiTheme="minorHAnsi" w:cstheme="minorHAnsi"/>
          <w:sz w:val="22"/>
          <w:szCs w:val="22"/>
        </w:rPr>
      </w:pPr>
    </w:p>
    <w:p w14:paraId="7C11EBB8">
      <w:pPr>
        <w:tabs>
          <w:tab w:val="left" w:pos="8130"/>
        </w:tabs>
        <w:jc w:val="both"/>
        <w:rPr>
          <w:rFonts w:asciiTheme="minorHAnsi" w:hAnsiTheme="minorHAnsi" w:cstheme="minorHAnsi"/>
          <w:sz w:val="22"/>
          <w:szCs w:val="22"/>
        </w:rPr>
      </w:pPr>
      <w:r>
        <w:rPr>
          <w:rFonts w:asciiTheme="minorHAnsi" w:hAnsiTheme="minorHAnsi" w:cstheme="minorHAnsi"/>
          <w:sz w:val="22"/>
          <w:szCs w:val="22"/>
        </w:rPr>
        <w:t>1-H) Reflexo Adicional de Hora Extra no RSR Hora Extra 100% (Apenas postos de Libras e Transcritor e Ledor de Braile)</w:t>
      </w:r>
    </w:p>
    <w:p w14:paraId="0427D736">
      <w:pPr>
        <w:tabs>
          <w:tab w:val="left" w:pos="8130"/>
        </w:tabs>
        <w:jc w:val="both"/>
        <w:rPr>
          <w:rFonts w:asciiTheme="minorHAnsi" w:hAnsiTheme="minorHAnsi" w:cstheme="minorHAnsi"/>
          <w:sz w:val="22"/>
          <w:szCs w:val="22"/>
        </w:rPr>
      </w:pPr>
      <w:r>
        <w:rPr>
          <w:rFonts w:asciiTheme="minorHAnsi" w:hAnsiTheme="minorHAnsi" w:cstheme="minorHAnsi"/>
          <w:sz w:val="22"/>
          <w:szCs w:val="22"/>
        </w:rPr>
        <w:t>=Z2*20%</w:t>
      </w:r>
    </w:p>
    <w:p w14:paraId="146C9452">
      <w:pPr>
        <w:tabs>
          <w:tab w:val="left" w:pos="8130"/>
        </w:tabs>
        <w:jc w:val="both"/>
        <w:rPr>
          <w:rFonts w:asciiTheme="minorHAnsi" w:hAnsiTheme="minorHAnsi" w:cstheme="minorHAnsi"/>
          <w:sz w:val="22"/>
          <w:szCs w:val="22"/>
        </w:rPr>
      </w:pPr>
    </w:p>
    <w:p w14:paraId="2482B880">
      <w:pPr>
        <w:tabs>
          <w:tab w:val="left" w:pos="8130"/>
        </w:tabs>
        <w:ind w:left="720"/>
        <w:jc w:val="both"/>
        <w:rPr>
          <w:rFonts w:asciiTheme="minorHAnsi" w:hAnsiTheme="minorHAnsi" w:cstheme="minorHAnsi"/>
        </w:rPr>
      </w:pPr>
    </w:p>
    <w:p w14:paraId="45ECCE82">
      <w:pPr>
        <w:jc w:val="both"/>
        <w:rPr>
          <w:rFonts w:asciiTheme="minorHAnsi" w:hAnsiTheme="minorHAnsi"/>
          <w:iCs/>
          <w:sz w:val="22"/>
          <w:szCs w:val="22"/>
          <w:u w:val="single"/>
        </w:rPr>
      </w:pPr>
      <w:r>
        <w:rPr>
          <w:rFonts w:asciiTheme="minorHAnsi" w:hAnsiTheme="minorHAnsi"/>
          <w:b/>
          <w:iCs/>
          <w:sz w:val="22"/>
          <w:szCs w:val="22"/>
          <w:u w:val="single"/>
        </w:rPr>
        <w:t>Média Mensal de Dias Trabalhados (40 horas semanais) – 2ª a 6ª Feira</w:t>
      </w:r>
    </w:p>
    <w:p w14:paraId="28BB1A0F">
      <w:pPr>
        <w:pStyle w:val="63"/>
        <w:spacing w:beforeAutospacing="0" w:afterAutospacing="0"/>
        <w:jc w:val="center"/>
        <w:rPr>
          <w:rFonts w:asciiTheme="minorHAnsi" w:hAnsiTheme="minorHAnsi"/>
          <w:iCs/>
          <w:sz w:val="22"/>
          <w:szCs w:val="22"/>
          <w:u w:val="single"/>
        </w:rPr>
      </w:pPr>
    </w:p>
    <w:p w14:paraId="2CE37A35">
      <w:pPr>
        <w:rPr>
          <w:rFonts w:asciiTheme="minorHAnsi" w:hAnsiTheme="minorHAnsi"/>
          <w:iCs/>
          <w:sz w:val="22"/>
          <w:szCs w:val="22"/>
        </w:rPr>
      </w:pPr>
      <w:r>
        <w:rPr>
          <w:rFonts w:asciiTheme="minorHAnsi" w:hAnsiTheme="minorHAnsi"/>
          <w:iCs/>
          <w:sz w:val="22"/>
          <w:szCs w:val="22"/>
        </w:rPr>
        <w:t>Considerando 8 feriados nacionais, 01 feriado estadual (data magna), 04 feriados municipais (incluindo sexta-feira da paixão).</w:t>
      </w:r>
    </w:p>
    <w:p w14:paraId="2DD4050B">
      <w:pPr>
        <w:rPr>
          <w:rFonts w:asciiTheme="minorHAnsi" w:hAnsiTheme="minorHAnsi"/>
          <w:iCs/>
          <w:sz w:val="22"/>
          <w:szCs w:val="22"/>
        </w:rPr>
      </w:pPr>
      <w:r>
        <w:rPr>
          <w:rFonts w:asciiTheme="minorHAnsi" w:hAnsiTheme="minorHAnsi"/>
          <w:iCs/>
          <w:sz w:val="22"/>
          <w:szCs w:val="22"/>
        </w:rPr>
        <w:t>13 feriados por ano, sendo 10 com data fixa.</w:t>
      </w:r>
    </w:p>
    <w:p w14:paraId="39D23CE8">
      <w:pPr>
        <w:rPr>
          <w:rFonts w:asciiTheme="minorHAnsi" w:hAnsiTheme="minorHAnsi"/>
          <w:iCs/>
          <w:sz w:val="22"/>
          <w:szCs w:val="22"/>
        </w:rPr>
      </w:pPr>
      <w:r>
        <w:rPr>
          <w:rFonts w:asciiTheme="minorHAnsi" w:hAnsiTheme="minorHAnsi"/>
          <w:iCs/>
          <w:sz w:val="22"/>
          <w:szCs w:val="22"/>
        </w:rPr>
        <w:t>Sendo assim, considerando 05 dias de trabalho (jornada de 44 horas), temos:</w:t>
      </w:r>
    </w:p>
    <w:p w14:paraId="517755D0">
      <w:pPr>
        <w:rPr>
          <w:rFonts w:asciiTheme="minorHAnsi" w:hAnsiTheme="minorHAnsi"/>
          <w:iCs/>
          <w:sz w:val="22"/>
          <w:szCs w:val="22"/>
        </w:rPr>
      </w:pPr>
    </w:p>
    <w:p w14:paraId="6A23FBFB">
      <w:pPr>
        <w:rPr>
          <w:rFonts w:asciiTheme="minorHAnsi" w:hAnsiTheme="minorHAnsi"/>
          <w:iCs/>
          <w:sz w:val="22"/>
          <w:szCs w:val="22"/>
        </w:rPr>
      </w:pPr>
      <w:r>
        <w:rPr>
          <w:rFonts w:asciiTheme="minorHAnsi" w:hAnsiTheme="minorHAnsi"/>
          <w:b/>
          <w:iCs/>
          <w:sz w:val="22"/>
          <w:szCs w:val="22"/>
        </w:rPr>
        <w:t>(a)</w:t>
      </w:r>
      <w:r>
        <w:rPr>
          <w:rFonts w:asciiTheme="minorHAnsi" w:hAnsiTheme="minorHAnsi"/>
          <w:iCs/>
          <w:sz w:val="22"/>
          <w:szCs w:val="22"/>
        </w:rPr>
        <w:t xml:space="preserve"> 10 x (5/7)    = 7,1429    </w:t>
      </w:r>
    </w:p>
    <w:p w14:paraId="0186A9D9">
      <w:pPr>
        <w:rPr>
          <w:rFonts w:asciiTheme="minorHAnsi" w:hAnsiTheme="minorHAnsi"/>
          <w:iCs/>
          <w:sz w:val="22"/>
          <w:szCs w:val="22"/>
        </w:rPr>
      </w:pPr>
      <w:r>
        <w:rPr>
          <w:rFonts w:asciiTheme="minorHAnsi" w:hAnsiTheme="minorHAnsi"/>
          <w:iCs/>
          <w:sz w:val="22"/>
          <w:szCs w:val="22"/>
        </w:rPr>
        <w:t xml:space="preserve">              </w:t>
      </w:r>
    </w:p>
    <w:p w14:paraId="262E9F42">
      <w:pPr>
        <w:rPr>
          <w:rFonts w:asciiTheme="minorHAnsi" w:hAnsiTheme="minorHAnsi"/>
          <w:iCs/>
          <w:sz w:val="22"/>
          <w:szCs w:val="22"/>
        </w:rPr>
      </w:pPr>
      <w:r>
        <w:rPr>
          <w:rFonts w:asciiTheme="minorHAnsi" w:hAnsiTheme="minorHAnsi"/>
          <w:iCs/>
          <w:sz w:val="22"/>
          <w:szCs w:val="22"/>
        </w:rPr>
        <w:t xml:space="preserve">Somando-se aos feriados com data móvel (03):   7,1429 + 3= </w:t>
      </w:r>
      <w:r>
        <w:rPr>
          <w:rFonts w:asciiTheme="minorHAnsi" w:hAnsiTheme="minorHAnsi"/>
          <w:b/>
          <w:iCs/>
          <w:sz w:val="22"/>
          <w:szCs w:val="22"/>
        </w:rPr>
        <w:t>10,1429</w:t>
      </w:r>
      <w:r>
        <w:rPr>
          <w:rFonts w:asciiTheme="minorHAnsi" w:hAnsiTheme="minorHAnsi"/>
          <w:iCs/>
          <w:sz w:val="22"/>
          <w:szCs w:val="22"/>
        </w:rPr>
        <w:t xml:space="preserve"> (por ano)</w:t>
      </w:r>
    </w:p>
    <w:p w14:paraId="65A06E02">
      <w:pPr>
        <w:rPr>
          <w:rFonts w:asciiTheme="minorHAnsi" w:hAnsiTheme="minorHAnsi"/>
          <w:iCs/>
          <w:sz w:val="22"/>
          <w:szCs w:val="22"/>
        </w:rPr>
      </w:pPr>
    </w:p>
    <w:p w14:paraId="56A92F8F">
      <w:pPr>
        <w:rPr>
          <w:rFonts w:asciiTheme="minorHAnsi" w:hAnsiTheme="minorHAnsi"/>
          <w:iCs/>
          <w:sz w:val="22"/>
          <w:szCs w:val="22"/>
        </w:rPr>
      </w:pPr>
      <w:r>
        <w:rPr>
          <w:rFonts w:asciiTheme="minorHAnsi" w:hAnsiTheme="minorHAnsi"/>
          <w:b/>
          <w:iCs/>
          <w:sz w:val="22"/>
          <w:szCs w:val="22"/>
        </w:rPr>
        <w:t>(b)</w:t>
      </w:r>
      <w:r>
        <w:rPr>
          <w:rFonts w:asciiTheme="minorHAnsi" w:hAnsiTheme="minorHAnsi"/>
          <w:iCs/>
          <w:sz w:val="22"/>
          <w:szCs w:val="22"/>
        </w:rPr>
        <w:t xml:space="preserve"> 365:7 = 52,1429   (semanas no ano)</w:t>
      </w:r>
    </w:p>
    <w:p w14:paraId="3392679A">
      <w:pPr>
        <w:rPr>
          <w:rFonts w:asciiTheme="minorHAnsi" w:hAnsiTheme="minorHAnsi"/>
          <w:iCs/>
          <w:sz w:val="22"/>
          <w:szCs w:val="22"/>
        </w:rPr>
      </w:pPr>
      <w:r>
        <w:rPr>
          <w:rFonts w:asciiTheme="minorHAnsi" w:hAnsiTheme="minorHAnsi"/>
          <w:b/>
          <w:iCs/>
          <w:sz w:val="22"/>
          <w:szCs w:val="22"/>
        </w:rPr>
        <w:t>(c)</w:t>
      </w:r>
      <w:r>
        <w:rPr>
          <w:rFonts w:asciiTheme="minorHAnsi" w:hAnsiTheme="minorHAnsi"/>
          <w:iCs/>
          <w:sz w:val="22"/>
          <w:szCs w:val="22"/>
        </w:rPr>
        <w:t xml:space="preserve"> 52,1429 x 2 = 104,2858  (dias de final de semana no ano)</w:t>
      </w:r>
    </w:p>
    <w:p w14:paraId="129D52F1">
      <w:pPr>
        <w:rPr>
          <w:rFonts w:asciiTheme="minorHAnsi" w:hAnsiTheme="minorHAnsi"/>
          <w:iCs/>
          <w:sz w:val="22"/>
          <w:szCs w:val="22"/>
        </w:rPr>
      </w:pPr>
      <w:r>
        <w:rPr>
          <w:rFonts w:asciiTheme="minorHAnsi" w:hAnsiTheme="minorHAnsi"/>
          <w:b/>
          <w:iCs/>
          <w:sz w:val="22"/>
          <w:szCs w:val="22"/>
        </w:rPr>
        <w:t>(d)</w:t>
      </w:r>
      <w:r>
        <w:rPr>
          <w:rFonts w:asciiTheme="minorHAnsi" w:hAnsiTheme="minorHAnsi"/>
          <w:iCs/>
          <w:sz w:val="22"/>
          <w:szCs w:val="22"/>
        </w:rPr>
        <w:t xml:space="preserve"> 104,2858 + 10,1429 = 114,4287 (dias não trabalhados no ano)</w:t>
      </w:r>
    </w:p>
    <w:p w14:paraId="3883B2C8">
      <w:pPr>
        <w:rPr>
          <w:rFonts w:asciiTheme="minorHAnsi" w:hAnsiTheme="minorHAnsi"/>
          <w:iCs/>
          <w:sz w:val="22"/>
          <w:szCs w:val="22"/>
        </w:rPr>
      </w:pPr>
      <w:r>
        <w:rPr>
          <w:rFonts w:asciiTheme="minorHAnsi" w:hAnsiTheme="minorHAnsi"/>
          <w:b/>
          <w:iCs/>
          <w:sz w:val="22"/>
          <w:szCs w:val="22"/>
        </w:rPr>
        <w:t>(e)</w:t>
      </w:r>
      <w:r>
        <w:rPr>
          <w:rFonts w:asciiTheme="minorHAnsi" w:hAnsiTheme="minorHAnsi"/>
          <w:iCs/>
          <w:sz w:val="22"/>
          <w:szCs w:val="22"/>
        </w:rPr>
        <w:t xml:space="preserve"> 365 – 114,4287 = 250,5713 (dias de trabalho no ano)</w:t>
      </w:r>
    </w:p>
    <w:p w14:paraId="2F6E6438">
      <w:pPr>
        <w:rPr>
          <w:rFonts w:asciiTheme="minorHAnsi" w:hAnsiTheme="minorHAnsi"/>
          <w:iCs/>
          <w:color w:val="FF0000"/>
          <w:sz w:val="22"/>
          <w:szCs w:val="22"/>
        </w:rPr>
      </w:pPr>
      <w:r>
        <w:rPr>
          <w:rFonts w:asciiTheme="minorHAnsi" w:hAnsiTheme="minorHAnsi"/>
          <w:b/>
          <w:iCs/>
          <w:sz w:val="22"/>
          <w:szCs w:val="22"/>
        </w:rPr>
        <w:t>(f)</w:t>
      </w:r>
      <w:r>
        <w:rPr>
          <w:rFonts w:asciiTheme="minorHAnsi" w:hAnsiTheme="minorHAnsi"/>
          <w:iCs/>
          <w:sz w:val="22"/>
          <w:szCs w:val="22"/>
        </w:rPr>
        <w:t xml:space="preserve"> 250,5713 : 12 = </w:t>
      </w:r>
      <w:r>
        <w:rPr>
          <w:rFonts w:asciiTheme="minorHAnsi" w:hAnsiTheme="minorHAnsi"/>
          <w:b/>
          <w:iCs/>
          <w:color w:val="FF0000"/>
          <w:sz w:val="22"/>
          <w:szCs w:val="22"/>
        </w:rPr>
        <w:t>20,88</w:t>
      </w:r>
      <w:r>
        <w:rPr>
          <w:rFonts w:asciiTheme="minorHAnsi" w:hAnsiTheme="minorHAnsi"/>
          <w:iCs/>
          <w:color w:val="FF0000"/>
          <w:sz w:val="22"/>
          <w:szCs w:val="22"/>
        </w:rPr>
        <w:t xml:space="preserve"> (</w:t>
      </w:r>
      <w:r>
        <w:rPr>
          <w:rFonts w:asciiTheme="minorHAnsi" w:hAnsiTheme="minorHAnsi"/>
          <w:b/>
          <w:iCs/>
          <w:color w:val="FF0000"/>
          <w:sz w:val="22"/>
          <w:szCs w:val="22"/>
        </w:rPr>
        <w:t>MMDT</w:t>
      </w:r>
      <w:r>
        <w:rPr>
          <w:rFonts w:asciiTheme="minorHAnsi" w:hAnsiTheme="minorHAnsi"/>
          <w:iCs/>
          <w:color w:val="FF0000"/>
          <w:sz w:val="22"/>
          <w:szCs w:val="22"/>
        </w:rPr>
        <w:t xml:space="preserve"> – Média mensal de dias trabalhados)</w:t>
      </w:r>
    </w:p>
    <w:p w14:paraId="39078FB6">
      <w:pPr>
        <w:rPr>
          <w:rFonts w:asciiTheme="minorHAnsi" w:hAnsiTheme="minorHAnsi"/>
          <w:iCs/>
          <w:color w:val="FF0000"/>
          <w:sz w:val="22"/>
          <w:szCs w:val="22"/>
        </w:rPr>
      </w:pPr>
    </w:p>
    <w:p w14:paraId="72210B03">
      <w:pPr>
        <w:spacing w:line="276" w:lineRule="auto"/>
        <w:jc w:val="both"/>
        <w:rPr>
          <w:rFonts w:ascii="Calibri" w:hAnsi="Calibri" w:cs="Arial"/>
          <w:b/>
        </w:rPr>
      </w:pPr>
    </w:p>
    <w:p w14:paraId="78B06062">
      <w:pPr>
        <w:jc w:val="both"/>
        <w:rPr>
          <w:rFonts w:ascii="Calibri" w:hAnsi="Calibri" w:cs="Arial"/>
          <w:b/>
          <w:sz w:val="22"/>
          <w:szCs w:val="22"/>
          <w:u w:val="single"/>
        </w:rPr>
      </w:pPr>
      <w:r>
        <w:rPr>
          <w:sz w:val="22"/>
          <w:szCs w:val="22"/>
        </w:rPr>
        <mc:AlternateContent>
          <mc:Choice Requires="wps">
            <w:drawing>
              <wp:anchor distT="0" distB="0" distL="0" distR="0" simplePos="0" relativeHeight="251660288" behindDoc="0" locked="0" layoutInCell="1" allowOverlap="1">
                <wp:simplePos x="0" y="0"/>
                <wp:positionH relativeFrom="column">
                  <wp:posOffset>337820</wp:posOffset>
                </wp:positionH>
                <wp:positionV relativeFrom="paragraph">
                  <wp:posOffset>1437005</wp:posOffset>
                </wp:positionV>
                <wp:extent cx="222885" cy="635"/>
                <wp:effectExtent l="0" t="0" r="25400" b="19050"/>
                <wp:wrapNone/>
                <wp:docPr id="4" name="Conector reto 9"/>
                <wp:cNvGraphicFramePr/>
                <a:graphic xmlns:a="http://schemas.openxmlformats.org/drawingml/2006/main">
                  <a:graphicData uri="http://schemas.microsoft.com/office/word/2010/wordprocessingShape">
                    <wps:wsp>
                      <wps:cNvCnPr/>
                      <wps:spPr>
                        <a:xfrm>
                          <a:off x="0" y="0"/>
                          <a:ext cx="222120" cy="0"/>
                        </a:xfrm>
                        <a:prstGeom prst="line">
                          <a:avLst/>
                        </a:prstGeom>
                        <a:ln>
                          <a:round/>
                        </a:ln>
                      </wps:spPr>
                      <wps:style>
                        <a:lnRef idx="1">
                          <a:schemeClr val="dk1"/>
                        </a:lnRef>
                        <a:fillRef idx="0">
                          <a:schemeClr val="dk1"/>
                        </a:fillRef>
                        <a:effectRef idx="0">
                          <a:schemeClr val="dk1"/>
                        </a:effectRef>
                        <a:fontRef idx="minor"/>
                      </wps:style>
                      <wps:bodyPr/>
                    </wps:wsp>
                  </a:graphicData>
                </a:graphic>
              </wp:anchor>
            </w:drawing>
          </mc:Choice>
          <mc:Fallback>
            <w:pict>
              <v:line id="Conector reto 9" o:spid="_x0000_s1026" o:spt="20" style="position:absolute;left:0pt;margin-left:26.6pt;margin-top:113.15pt;height:0.05pt;width:17.55pt;z-index:251660288;mso-width-relative:page;mso-height-relative:page;" filled="f" stroked="t" coordsize="21600,21600" o:gfxdata="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Cy+w8E1gAAAAkBAAAPAAAA&#10;AAAAAAEAIAAAACIAAABkcnMvZG93bnJldi54bWxQSwECFAAUAAAACACHTuJAWGrjwt4BAADaAwAA&#10;DgAAAAAAAAABACAAAAAlAQAAZHJzL2Uyb0RvYy54bWxQSwUGAAAAAAYABgBZAQAAdQUAAAAA&#10;">
                <v:fill on="f" focussize="0,0"/>
                <v:stroke color="#000000 [3200]" joinstyle="round"/>
                <v:imagedata o:title=""/>
                <o:lock v:ext="edit" aspectratio="f"/>
              </v:line>
            </w:pict>
          </mc:Fallback>
        </mc:AlternateContent>
      </w:r>
      <w:r>
        <w:rPr>
          <w:rFonts w:ascii="Calibri" w:hAnsi="Calibri" w:cs="Arial"/>
          <w:b/>
          <w:sz w:val="22"/>
          <w:szCs w:val="22"/>
          <w:u w:val="single"/>
        </w:rPr>
        <w:t>Modulo 2 – Encargos e Benefícios Anuais, Mensais e Diários</w:t>
      </w:r>
    </w:p>
    <w:p w14:paraId="216E77D4">
      <w:pPr>
        <w:jc w:val="both"/>
        <w:rPr>
          <w:rFonts w:ascii="Calibri" w:hAnsi="Calibri" w:cs="Arial"/>
          <w:b/>
          <w:sz w:val="22"/>
          <w:szCs w:val="22"/>
          <w:u w:val="single"/>
        </w:rPr>
      </w:pPr>
    </w:p>
    <w:p w14:paraId="25F7CCF8">
      <w:pPr>
        <w:jc w:val="both"/>
        <w:rPr>
          <w:rFonts w:ascii="Calibri" w:hAnsi="Calibri" w:cs="Arial"/>
          <w:sz w:val="22"/>
          <w:szCs w:val="22"/>
          <w:u w:val="single"/>
          <w:lang w:val="pt-PT"/>
        </w:rPr>
      </w:pPr>
      <w:r>
        <w:rPr>
          <w:rFonts w:ascii="Calibri" w:hAnsi="Calibri" w:cs="Arial"/>
          <w:sz w:val="22"/>
          <w:szCs w:val="22"/>
          <w:u w:val="single"/>
          <w:lang w:val="pt-PT"/>
        </w:rPr>
        <w:t>Submódulo 2.1 – 13º Salário, Férias e Adicional de Férias</w:t>
      </w:r>
    </w:p>
    <w:p w14:paraId="2E7F0E7A">
      <w:pPr>
        <w:jc w:val="both"/>
        <w:rPr>
          <w:rFonts w:ascii="Calibri" w:hAnsi="Calibri" w:cs="Arial"/>
          <w:u w:val="single"/>
          <w:lang w:val="pt-PT"/>
        </w:rPr>
      </w:pPr>
    </w:p>
    <w:tbl>
      <w:tblPr>
        <w:tblStyle w:val="70"/>
        <w:tblW w:w="8917"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1140"/>
        <w:gridCol w:w="2240"/>
        <w:gridCol w:w="839"/>
        <w:gridCol w:w="2809"/>
        <w:gridCol w:w="1667"/>
        <w:gridCol w:w="222"/>
      </w:tblGrid>
      <w:tr w14:paraId="527429ED">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1140"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5B5B23A1">
            <w:pPr>
              <w:jc w:val="center"/>
              <w:rPr>
                <w:rFonts w:ascii="Calibri" w:hAnsi="Calibri" w:cs="Arial"/>
                <w:b w:val="0"/>
                <w:bCs w:val="0"/>
                <w:color w:val="000000"/>
                <w:sz w:val="18"/>
                <w:szCs w:val="18"/>
              </w:rPr>
            </w:pPr>
            <w:r>
              <w:rPr>
                <w:rFonts w:ascii="Calibri" w:hAnsi="Calibri" w:cs="Arial"/>
                <w:b/>
                <w:bCs/>
                <w:color w:val="000000"/>
                <w:sz w:val="18"/>
                <w:szCs w:val="18"/>
              </w:rPr>
              <w:t>ITEM</w:t>
            </w:r>
          </w:p>
        </w:tc>
        <w:tc>
          <w:tcPr>
            <w:tcW w:w="224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5272B200">
            <w:pPr>
              <w:jc w:val="center"/>
              <w:rPr>
                <w:rFonts w:ascii="Calibri" w:hAnsi="Calibri" w:cs="Arial"/>
                <w:b w:val="0"/>
                <w:bCs w:val="0"/>
                <w:color w:val="000000"/>
                <w:sz w:val="18"/>
                <w:szCs w:val="18"/>
              </w:rPr>
            </w:pPr>
            <w:r>
              <w:rPr>
                <w:rFonts w:ascii="Calibri" w:hAnsi="Calibri" w:cs="Arial"/>
                <w:b/>
                <w:bCs/>
                <w:color w:val="000000"/>
                <w:sz w:val="18"/>
                <w:szCs w:val="18"/>
              </w:rPr>
              <w:t>DESCRIÇÃO</w:t>
            </w:r>
          </w:p>
        </w:tc>
        <w:tc>
          <w:tcPr>
            <w:tcW w:w="839"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15239407">
            <w:pPr>
              <w:jc w:val="center"/>
              <w:rPr>
                <w:rFonts w:ascii="Calibri" w:hAnsi="Calibri" w:cs="Arial"/>
                <w:b w:val="0"/>
                <w:bCs w:val="0"/>
                <w:color w:val="000000"/>
                <w:sz w:val="18"/>
                <w:szCs w:val="18"/>
              </w:rPr>
            </w:pPr>
            <w:r>
              <w:rPr>
                <w:rFonts w:ascii="Calibri" w:hAnsi="Calibri" w:cs="Arial"/>
                <w:b/>
                <w:bCs/>
                <w:color w:val="000000"/>
                <w:sz w:val="18"/>
                <w:szCs w:val="18"/>
              </w:rPr>
              <w:t>%</w:t>
            </w:r>
          </w:p>
        </w:tc>
        <w:tc>
          <w:tcPr>
            <w:tcW w:w="2809"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10F284D9">
            <w:pPr>
              <w:jc w:val="center"/>
              <w:rPr>
                <w:rFonts w:ascii="Calibri" w:hAnsi="Calibri" w:cs="Arial"/>
                <w:b w:val="0"/>
                <w:bCs w:val="0"/>
                <w:color w:val="000000"/>
                <w:sz w:val="18"/>
                <w:szCs w:val="18"/>
              </w:rPr>
            </w:pPr>
            <w:r>
              <w:rPr>
                <w:rFonts w:ascii="Calibri" w:hAnsi="Calibri" w:cs="Arial"/>
                <w:b/>
                <w:bCs/>
                <w:color w:val="000000"/>
                <w:sz w:val="18"/>
                <w:szCs w:val="18"/>
              </w:rPr>
              <w:t xml:space="preserve">MEMÓRIA DE CÁLCULO </w:t>
            </w:r>
          </w:p>
        </w:tc>
        <w:tc>
          <w:tcPr>
            <w:tcW w:w="1667"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42DF2411">
            <w:pPr>
              <w:jc w:val="center"/>
              <w:rPr>
                <w:rFonts w:ascii="Calibri" w:hAnsi="Calibri" w:cs="Arial"/>
                <w:b w:val="0"/>
                <w:bCs w:val="0"/>
                <w:color w:val="000000"/>
                <w:sz w:val="18"/>
                <w:szCs w:val="18"/>
              </w:rPr>
            </w:pPr>
            <w:r>
              <w:rPr>
                <w:rFonts w:ascii="Calibri" w:hAnsi="Calibri" w:cs="Arial"/>
                <w:b/>
                <w:bCs/>
                <w:color w:val="000000"/>
                <w:sz w:val="18"/>
                <w:szCs w:val="18"/>
              </w:rPr>
              <w:t>FUNDAMENTO</w:t>
            </w:r>
          </w:p>
        </w:tc>
        <w:tc>
          <w:tcPr>
            <w:tcW w:w="222"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0577729A">
            <w:pPr>
              <w:rPr>
                <w:b/>
                <w:bCs/>
                <w:color w:val="FFFFFF" w:themeColor="background1"/>
                <w14:textFill>
                  <w14:solidFill>
                    <w14:schemeClr w14:val="bg1"/>
                  </w14:solidFill>
                </w14:textFill>
              </w:rPr>
            </w:pPr>
          </w:p>
        </w:tc>
      </w:tr>
      <w:tr w14:paraId="289902F5">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631" w:hRule="atLeast"/>
        </w:trPr>
        <w:tc>
          <w:tcPr>
            <w:tcW w:w="1140" w:type="dxa"/>
            <w:shd w:val="clear" w:color="auto" w:fill="DBE5F1" w:themeFill="accent1" w:themeFillTint="33"/>
          </w:tcPr>
          <w:p w14:paraId="4D795AD7">
            <w:pPr>
              <w:jc w:val="center"/>
              <w:rPr>
                <w:rFonts w:ascii="Calibri" w:hAnsi="Calibri" w:cs="Arial"/>
                <w:b/>
                <w:bCs/>
                <w:sz w:val="18"/>
                <w:szCs w:val="18"/>
              </w:rPr>
            </w:pPr>
            <w:r>
              <w:rPr>
                <w:rFonts w:ascii="Calibri" w:hAnsi="Calibri" w:cs="Arial"/>
                <w:b/>
                <w:bCs/>
                <w:sz w:val="18"/>
                <w:szCs w:val="18"/>
              </w:rPr>
              <w:t>A</w:t>
            </w:r>
          </w:p>
        </w:tc>
        <w:tc>
          <w:tcPr>
            <w:tcW w:w="2240" w:type="dxa"/>
            <w:shd w:val="clear" w:color="auto" w:fill="DBE5F1" w:themeFill="accent1" w:themeFillTint="33"/>
          </w:tcPr>
          <w:p w14:paraId="439EB99B">
            <w:pPr>
              <w:rPr>
                <w:rFonts w:ascii="Calibri" w:hAnsi="Calibri" w:cs="Arial"/>
                <w:sz w:val="18"/>
                <w:szCs w:val="18"/>
              </w:rPr>
            </w:pPr>
            <w:r>
              <w:rPr>
                <w:rFonts w:ascii="Calibri" w:hAnsi="Calibri" w:cs="Arial"/>
                <w:sz w:val="18"/>
                <w:szCs w:val="18"/>
              </w:rPr>
              <w:t>13º Salário</w:t>
            </w:r>
          </w:p>
        </w:tc>
        <w:tc>
          <w:tcPr>
            <w:tcW w:w="839" w:type="dxa"/>
            <w:shd w:val="clear" w:color="auto" w:fill="DBE5F1" w:themeFill="accent1" w:themeFillTint="33"/>
          </w:tcPr>
          <w:p w14:paraId="3B433E6F">
            <w:pPr>
              <w:jc w:val="center"/>
              <w:rPr>
                <w:rFonts w:ascii="Calibri" w:hAnsi="Calibri" w:cs="Arial"/>
                <w:sz w:val="18"/>
                <w:szCs w:val="18"/>
              </w:rPr>
            </w:pPr>
            <w:r>
              <w:rPr>
                <w:rFonts w:ascii="Calibri" w:hAnsi="Calibri" w:cs="Arial"/>
                <w:sz w:val="18"/>
                <w:szCs w:val="18"/>
              </w:rPr>
              <w:t>8,33</w:t>
            </w:r>
          </w:p>
        </w:tc>
        <w:tc>
          <w:tcPr>
            <w:tcW w:w="2809" w:type="dxa"/>
            <w:shd w:val="clear" w:color="auto" w:fill="DBE5F1" w:themeFill="accent1" w:themeFillTint="33"/>
          </w:tcPr>
          <w:p w14:paraId="1DBEFAF9">
            <w:pPr>
              <w:rPr>
                <w:rFonts w:ascii="Calibri" w:hAnsi="Calibri" w:cs="Arial"/>
                <w:sz w:val="18"/>
                <w:szCs w:val="18"/>
              </w:rPr>
            </w:pPr>
            <w:r>
              <w:rPr>
                <w:rFonts w:ascii="Calibri" w:hAnsi="Calibri" w:cs="Arial"/>
                <w:sz w:val="18"/>
                <w:szCs w:val="18"/>
              </w:rPr>
              <w:t>DTS = 1/12 x Remuneração</w:t>
            </w:r>
          </w:p>
        </w:tc>
        <w:tc>
          <w:tcPr>
            <w:tcW w:w="1667" w:type="dxa"/>
            <w:shd w:val="clear" w:color="auto" w:fill="DBE5F1" w:themeFill="accent1" w:themeFillTint="33"/>
          </w:tcPr>
          <w:p w14:paraId="42AEE358">
            <w:pPr>
              <w:jc w:val="center"/>
              <w:rPr>
                <w:rFonts w:ascii="Calibri" w:hAnsi="Calibri" w:cs="Arial"/>
                <w:sz w:val="18"/>
                <w:szCs w:val="18"/>
              </w:rPr>
            </w:pPr>
            <w:r>
              <w:rPr>
                <w:rFonts w:ascii="Calibri" w:hAnsi="Calibri" w:cs="Arial"/>
                <w:sz w:val="18"/>
                <w:szCs w:val="18"/>
              </w:rPr>
              <w:t>Art.7º, VIII, CF/88</w:t>
            </w:r>
          </w:p>
        </w:tc>
        <w:tc>
          <w:tcPr>
            <w:tcW w:w="222" w:type="dxa"/>
            <w:shd w:val="clear" w:color="auto" w:fill="DBE5F1" w:themeFill="accent1" w:themeFillTint="33"/>
          </w:tcPr>
          <w:p w14:paraId="4A548C59"/>
        </w:tc>
      </w:tr>
      <w:tr w14:paraId="7AB7AB79">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1140" w:type="dxa"/>
          </w:tcPr>
          <w:p w14:paraId="11133591">
            <w:pPr>
              <w:jc w:val="center"/>
              <w:rPr>
                <w:rFonts w:ascii="Calibri" w:hAnsi="Calibri" w:cs="Arial"/>
                <w:b/>
                <w:bCs/>
                <w:sz w:val="18"/>
                <w:szCs w:val="18"/>
              </w:rPr>
            </w:pPr>
            <w:r>
              <w:rPr>
                <w:rFonts w:ascii="Calibri" w:hAnsi="Calibri" w:cs="Arial"/>
                <w:b/>
                <w:bCs/>
                <w:sz w:val="18"/>
                <w:szCs w:val="18"/>
              </w:rPr>
              <w:t>B</w:t>
            </w:r>
          </w:p>
        </w:tc>
        <w:tc>
          <w:tcPr>
            <w:tcW w:w="2240" w:type="dxa"/>
          </w:tcPr>
          <w:p w14:paraId="28FAB6DF">
            <w:pPr>
              <w:rPr>
                <w:rFonts w:ascii="Calibri" w:hAnsi="Calibri" w:cs="Arial"/>
                <w:sz w:val="18"/>
                <w:szCs w:val="18"/>
              </w:rPr>
            </w:pPr>
            <w:r>
              <w:rPr>
                <w:rFonts w:ascii="Calibri" w:hAnsi="Calibri" w:cs="Arial"/>
                <w:sz w:val="18"/>
                <w:szCs w:val="18"/>
              </w:rPr>
              <w:t>Férias e Adicional de Férias</w:t>
            </w:r>
          </w:p>
        </w:tc>
        <w:tc>
          <w:tcPr>
            <w:tcW w:w="839" w:type="dxa"/>
          </w:tcPr>
          <w:p w14:paraId="35464F85">
            <w:pPr>
              <w:jc w:val="center"/>
              <w:rPr>
                <w:rFonts w:ascii="Calibri" w:hAnsi="Calibri" w:cs="Arial"/>
                <w:sz w:val="18"/>
                <w:szCs w:val="18"/>
              </w:rPr>
            </w:pPr>
            <w:r>
              <w:rPr>
                <w:rFonts w:ascii="Calibri" w:hAnsi="Calibri" w:cs="Arial"/>
                <w:sz w:val="18"/>
                <w:szCs w:val="18"/>
              </w:rPr>
              <w:t>12,10</w:t>
            </w:r>
          </w:p>
        </w:tc>
        <w:tc>
          <w:tcPr>
            <w:tcW w:w="2809" w:type="dxa"/>
          </w:tcPr>
          <w:p w14:paraId="6565783B">
            <w:pPr>
              <w:rPr>
                <w:rFonts w:ascii="Calibri" w:hAnsi="Calibri" w:cs="Arial"/>
                <w:sz w:val="18"/>
                <w:szCs w:val="18"/>
              </w:rPr>
            </w:pPr>
            <w:r>
              <w:rPr>
                <w:rFonts w:ascii="Calibri" w:hAnsi="Calibri" w:cs="Arial"/>
                <w:color w:val="000000"/>
                <w:sz w:val="18"/>
                <w:szCs w:val="18"/>
              </w:rPr>
              <w:t>FAF = 1/11 x R + 1/3 x 1/11 x R</w:t>
            </w:r>
          </w:p>
        </w:tc>
        <w:tc>
          <w:tcPr>
            <w:tcW w:w="1667" w:type="dxa"/>
          </w:tcPr>
          <w:p w14:paraId="00C26440">
            <w:pPr>
              <w:rPr>
                <w:rFonts w:ascii="Calibri" w:hAnsi="Calibri" w:cs="Arial"/>
                <w:sz w:val="18"/>
                <w:szCs w:val="18"/>
              </w:rPr>
            </w:pPr>
            <w:r>
              <w:rPr>
                <w:rFonts w:ascii="Calibri" w:hAnsi="Calibri" w:cs="Arial"/>
                <w:sz w:val="18"/>
                <w:szCs w:val="18"/>
              </w:rPr>
              <w:t>% Conta Vinculada- Anexo XII da IN nº 05/2017</w:t>
            </w:r>
          </w:p>
        </w:tc>
        <w:tc>
          <w:tcPr>
            <w:tcW w:w="222" w:type="dxa"/>
          </w:tcPr>
          <w:p w14:paraId="3C8CA58B"/>
        </w:tc>
      </w:tr>
      <w:tr w14:paraId="5B1234FF">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283" w:hRule="atLeast"/>
        </w:trPr>
        <w:tc>
          <w:tcPr>
            <w:tcW w:w="3380" w:type="dxa"/>
            <w:gridSpan w:val="2"/>
            <w:shd w:val="clear" w:color="auto" w:fill="DBE5F1" w:themeFill="accent1" w:themeFillTint="33"/>
          </w:tcPr>
          <w:p w14:paraId="733A2E6D">
            <w:pPr>
              <w:jc w:val="center"/>
              <w:rPr>
                <w:rFonts w:ascii="Calibri" w:hAnsi="Calibri" w:cs="Arial"/>
                <w:b/>
                <w:bCs/>
                <w:sz w:val="18"/>
                <w:szCs w:val="18"/>
              </w:rPr>
            </w:pPr>
            <w:r>
              <w:rPr>
                <w:rFonts w:ascii="Calibri" w:hAnsi="Calibri" w:cs="Arial"/>
                <w:b/>
                <w:bCs/>
                <w:sz w:val="18"/>
                <w:szCs w:val="18"/>
              </w:rPr>
              <w:t>Total</w:t>
            </w:r>
          </w:p>
        </w:tc>
        <w:tc>
          <w:tcPr>
            <w:tcW w:w="839" w:type="dxa"/>
            <w:shd w:val="clear" w:color="auto" w:fill="DBE5F1" w:themeFill="accent1" w:themeFillTint="33"/>
          </w:tcPr>
          <w:p w14:paraId="1A13F3FA">
            <w:pPr>
              <w:jc w:val="center"/>
              <w:rPr>
                <w:rFonts w:ascii="Calibri" w:hAnsi="Calibri" w:cs="Arial"/>
                <w:sz w:val="18"/>
                <w:szCs w:val="18"/>
              </w:rPr>
            </w:pPr>
            <w:r>
              <w:rPr>
                <w:rFonts w:ascii="Calibri" w:hAnsi="Calibri" w:cs="Arial"/>
                <w:sz w:val="18"/>
                <w:szCs w:val="18"/>
              </w:rPr>
              <w:t>20,43</w:t>
            </w:r>
          </w:p>
        </w:tc>
        <w:tc>
          <w:tcPr>
            <w:tcW w:w="2809" w:type="dxa"/>
            <w:shd w:val="clear" w:color="auto" w:fill="DBE5F1" w:themeFill="accent1" w:themeFillTint="33"/>
          </w:tcPr>
          <w:p w14:paraId="0A837259">
            <w:pPr>
              <w:rPr>
                <w:rFonts w:ascii="Calibri" w:hAnsi="Calibri" w:cs="Arial"/>
                <w:sz w:val="18"/>
                <w:szCs w:val="18"/>
              </w:rPr>
            </w:pPr>
          </w:p>
        </w:tc>
        <w:tc>
          <w:tcPr>
            <w:tcW w:w="1667" w:type="dxa"/>
            <w:shd w:val="clear" w:color="auto" w:fill="DBE5F1" w:themeFill="accent1" w:themeFillTint="33"/>
          </w:tcPr>
          <w:p w14:paraId="6FC68078">
            <w:pPr>
              <w:jc w:val="center"/>
              <w:rPr>
                <w:rFonts w:ascii="Calibri" w:hAnsi="Calibri" w:cs="Arial"/>
                <w:sz w:val="18"/>
                <w:szCs w:val="18"/>
              </w:rPr>
            </w:pPr>
          </w:p>
        </w:tc>
        <w:tc>
          <w:tcPr>
            <w:tcW w:w="222" w:type="dxa"/>
            <w:shd w:val="clear" w:color="auto" w:fill="DBE5F1" w:themeFill="accent1" w:themeFillTint="33"/>
          </w:tcPr>
          <w:p w14:paraId="2D3B6804"/>
        </w:tc>
      </w:tr>
    </w:tbl>
    <w:p w14:paraId="648808C8">
      <w:pPr>
        <w:jc w:val="center"/>
        <w:rPr>
          <w:rFonts w:ascii="Calibri" w:hAnsi="Calibri" w:cs="Arial"/>
        </w:rPr>
      </w:pPr>
    </w:p>
    <w:p w14:paraId="51C5BAF2">
      <w:pPr>
        <w:jc w:val="both"/>
        <w:rPr>
          <w:rFonts w:asciiTheme="minorHAnsi" w:hAnsiTheme="minorHAnsi" w:cstheme="minorHAnsi"/>
          <w:color w:val="000000"/>
          <w:sz w:val="22"/>
          <w:szCs w:val="22"/>
          <w:highlight w:val="white"/>
        </w:rPr>
      </w:pPr>
      <w:r>
        <w:rPr>
          <w:rStyle w:val="8"/>
          <w:rFonts w:asciiTheme="minorHAnsi" w:hAnsiTheme="minorHAnsi" w:cstheme="minorHAnsi"/>
          <w:color w:val="000000"/>
          <w:sz w:val="22"/>
          <w:szCs w:val="22"/>
          <w:shd w:val="clear" w:color="auto" w:fill="FFFFFF"/>
        </w:rPr>
        <w:t>Nota 1:</w:t>
      </w:r>
      <w:r>
        <w:rPr>
          <w:rFonts w:asciiTheme="minorHAnsi" w:hAnsiTheme="minorHAnsi" w:cstheme="minorHAnsi"/>
          <w:color w:val="000000"/>
          <w:sz w:val="22"/>
          <w:szCs w:val="22"/>
          <w:shd w:val="clear" w:color="auto" w:fill="FFFFFF"/>
        </w:rPr>
        <w:t> Como a planilha de custos e formação de preços é calculada </w:t>
      </w:r>
      <w:r>
        <w:rPr>
          <w:rFonts w:asciiTheme="minorHAnsi" w:hAnsiTheme="minorHAnsi" w:cstheme="minorHAnsi"/>
          <w:color w:val="000000"/>
          <w:sz w:val="22"/>
          <w:szCs w:val="22"/>
          <w:u w:val="single"/>
          <w:shd w:val="clear" w:color="auto" w:fill="FFFFFF"/>
        </w:rPr>
        <w:t>mensalmente</w:t>
      </w:r>
      <w:r>
        <w:rPr>
          <w:rFonts w:asciiTheme="minorHAnsi" w:hAnsiTheme="minorHAnsi" w:cstheme="minorHAnsi"/>
          <w:color w:val="000000"/>
          <w:sz w:val="22"/>
          <w:szCs w:val="22"/>
          <w:shd w:val="clear" w:color="auto" w:fill="FFFFFF"/>
        </w:rPr>
        <w:t>, provisiona-se proporcionalmente 1/12 (um doze avos) dos valores referentes a gratificação natalina, férias e adicional de férias.</w:t>
      </w:r>
    </w:p>
    <w:p w14:paraId="29A1AB09">
      <w:pPr>
        <w:jc w:val="both"/>
        <w:rPr>
          <w:rFonts w:asciiTheme="minorHAnsi" w:hAnsiTheme="minorHAnsi" w:cstheme="minorHAnsi"/>
          <w:color w:val="000000"/>
          <w:sz w:val="22"/>
          <w:szCs w:val="22"/>
          <w:highlight w:val="white"/>
        </w:rPr>
      </w:pPr>
    </w:p>
    <w:p w14:paraId="3A2B38EF">
      <w:pPr>
        <w:jc w:val="both"/>
        <w:rPr>
          <w:rFonts w:asciiTheme="minorHAnsi" w:hAnsiTheme="minorHAnsi" w:cstheme="minorHAnsi"/>
          <w:color w:val="000000"/>
          <w:sz w:val="22"/>
          <w:szCs w:val="22"/>
          <w:highlight w:val="white"/>
        </w:rPr>
      </w:pPr>
      <w:r>
        <w:rPr>
          <w:rStyle w:val="8"/>
          <w:rFonts w:asciiTheme="minorHAnsi" w:hAnsiTheme="minorHAnsi" w:cstheme="minorHAnsi"/>
          <w:color w:val="000000"/>
          <w:sz w:val="22"/>
          <w:szCs w:val="22"/>
          <w:shd w:val="clear" w:color="auto" w:fill="FFFFFF"/>
        </w:rPr>
        <w:t>Nota 2:</w:t>
      </w:r>
      <w:r>
        <w:rPr>
          <w:rFonts w:asciiTheme="minorHAnsi" w:hAnsiTheme="minorHAnsi" w:cstheme="minorHAnsi"/>
          <w:color w:val="000000"/>
          <w:sz w:val="22"/>
          <w:szCs w:val="22"/>
          <w:shd w:val="clear" w:color="auto" w:fill="FFFFFF"/>
        </w:rPr>
        <w:t> O adicional de férias contido no Submódulo 2.1 corresponde a 1/3 (um terço) da remuneração que, por sua vez, é divido por 12 (doze) conforme Nota 1 acima.</w:t>
      </w:r>
    </w:p>
    <w:p w14:paraId="2733F94D">
      <w:pPr>
        <w:jc w:val="both"/>
        <w:rPr>
          <w:rFonts w:asciiTheme="minorHAnsi" w:hAnsiTheme="minorHAnsi" w:cstheme="minorHAnsi"/>
          <w:sz w:val="22"/>
          <w:szCs w:val="22"/>
          <w:u w:val="single"/>
        </w:rPr>
      </w:pPr>
    </w:p>
    <w:p w14:paraId="0FEFB599">
      <w:pPr>
        <w:jc w:val="both"/>
        <w:rPr>
          <w:rFonts w:asciiTheme="minorHAnsi" w:hAnsiTheme="minorHAnsi" w:cstheme="minorHAnsi"/>
          <w:sz w:val="22"/>
          <w:szCs w:val="22"/>
          <w:u w:val="single"/>
          <w:lang w:val="pt-PT"/>
        </w:rPr>
      </w:pPr>
      <w:r>
        <w:rPr>
          <w:rStyle w:val="8"/>
          <w:rFonts w:asciiTheme="minorHAnsi" w:hAnsiTheme="minorHAnsi" w:cstheme="minorHAnsi"/>
          <w:color w:val="000000"/>
          <w:sz w:val="22"/>
          <w:szCs w:val="22"/>
          <w:shd w:val="clear" w:color="auto" w:fill="FFFFFF"/>
        </w:rPr>
        <w:t>Nota 3:</w:t>
      </w:r>
      <w:r>
        <w:rPr>
          <w:rFonts w:asciiTheme="minorHAnsi" w:hAnsiTheme="minorHAnsi" w:cstheme="minorHAnsi"/>
          <w:color w:val="000000"/>
          <w:sz w:val="22"/>
          <w:szCs w:val="22"/>
          <w:shd w:val="clear" w:color="auto" w:fill="FFFFFF"/>
        </w:rPr>
        <w:t xml:space="preserve"> Levando em consideração a vigência contratual prevista no art. 106 da Lei nº 14.133, de 01 de abril de 2021, a rubrica férias tem como objetivo principal suprir a necessidade do pagamento das férias remuneradas ao final do contrato de 12 meses. Esta rubrica, quando da prorrogação contratual, </w:t>
      </w:r>
      <w:r>
        <w:rPr>
          <w:rFonts w:asciiTheme="minorHAnsi" w:hAnsiTheme="minorHAnsi" w:cstheme="minorHAnsi"/>
          <w:b/>
          <w:color w:val="000000"/>
          <w:sz w:val="22"/>
          <w:szCs w:val="22"/>
          <w:shd w:val="clear" w:color="auto" w:fill="FFFFFF"/>
        </w:rPr>
        <w:t>torna-se custo não renovável.</w:t>
      </w:r>
    </w:p>
    <w:p w14:paraId="7A167204">
      <w:pPr>
        <w:jc w:val="both"/>
        <w:rPr>
          <w:rFonts w:asciiTheme="minorHAnsi" w:hAnsiTheme="minorHAnsi" w:cstheme="minorHAnsi"/>
          <w:sz w:val="22"/>
          <w:szCs w:val="22"/>
          <w:u w:val="single"/>
          <w:lang w:val="pt-PT"/>
        </w:rPr>
      </w:pPr>
    </w:p>
    <w:p w14:paraId="4A20EF93">
      <w:pPr>
        <w:jc w:val="both"/>
        <w:rPr>
          <w:rFonts w:ascii="Calibri" w:hAnsi="Calibri" w:cs="Arial"/>
          <w:u w:val="single"/>
          <w:lang w:val="pt-PT"/>
        </w:rPr>
      </w:pPr>
    </w:p>
    <w:p w14:paraId="6C93B86F">
      <w:pPr>
        <w:jc w:val="both"/>
        <w:rPr>
          <w:rFonts w:ascii="Calibri" w:hAnsi="Calibri" w:cs="Arial"/>
          <w:sz w:val="22"/>
          <w:szCs w:val="22"/>
          <w:u w:val="single"/>
          <w:lang w:val="pt-PT"/>
        </w:rPr>
      </w:pPr>
      <w:r>
        <w:rPr>
          <w:rFonts w:ascii="Calibri" w:hAnsi="Calibri" w:cs="Arial"/>
          <w:sz w:val="22"/>
          <w:szCs w:val="22"/>
          <w:u w:val="single"/>
          <w:lang w:val="pt-PT"/>
        </w:rPr>
        <w:t xml:space="preserve">Submódulo 2.2 - Encargos Previdenciários (GPS), Fundo de Garantia por Tempo de Serviço (FGTS) e outras contribuições. </w:t>
      </w:r>
    </w:p>
    <w:p w14:paraId="7A1778F3">
      <w:pPr>
        <w:rPr>
          <w:rFonts w:ascii="Calibri" w:hAnsi="Calibri" w:cs="Arial"/>
        </w:rPr>
      </w:pPr>
    </w:p>
    <w:tbl>
      <w:tblPr>
        <w:tblStyle w:val="70"/>
        <w:tblW w:w="9007"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845"/>
        <w:gridCol w:w="2126"/>
        <w:gridCol w:w="850"/>
        <w:gridCol w:w="1842"/>
        <w:gridCol w:w="3344"/>
      </w:tblGrid>
      <w:tr w14:paraId="69DA594F">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720" w:hRule="atLeast"/>
        </w:trPr>
        <w:tc>
          <w:tcPr>
            <w:tcW w:w="845"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71880194">
            <w:pPr>
              <w:jc w:val="center"/>
              <w:rPr>
                <w:rFonts w:ascii="Calibri" w:hAnsi="Calibri" w:cs="Arial"/>
                <w:b w:val="0"/>
                <w:bCs w:val="0"/>
                <w:color w:val="000000"/>
                <w:sz w:val="18"/>
                <w:szCs w:val="18"/>
              </w:rPr>
            </w:pPr>
            <w:r>
              <w:rPr>
                <w:rFonts w:ascii="Calibri" w:hAnsi="Calibri" w:cs="Arial"/>
                <w:b/>
                <w:bCs/>
                <w:color w:val="000000"/>
                <w:sz w:val="18"/>
                <w:szCs w:val="18"/>
              </w:rPr>
              <w:t>ITEM</w:t>
            </w:r>
          </w:p>
        </w:tc>
        <w:tc>
          <w:tcPr>
            <w:tcW w:w="2126"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09B17BFC">
            <w:pPr>
              <w:jc w:val="center"/>
              <w:rPr>
                <w:rFonts w:ascii="Calibri" w:hAnsi="Calibri" w:cs="Arial"/>
                <w:b w:val="0"/>
                <w:bCs w:val="0"/>
                <w:color w:val="000000"/>
                <w:sz w:val="18"/>
                <w:szCs w:val="18"/>
              </w:rPr>
            </w:pPr>
            <w:r>
              <w:rPr>
                <w:rFonts w:ascii="Calibri" w:hAnsi="Calibri" w:cs="Arial"/>
                <w:b/>
                <w:bCs/>
                <w:color w:val="000000"/>
                <w:sz w:val="18"/>
                <w:szCs w:val="18"/>
              </w:rPr>
              <w:t>DESCRIÇÃO</w:t>
            </w:r>
          </w:p>
        </w:tc>
        <w:tc>
          <w:tcPr>
            <w:tcW w:w="85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78EE37B4">
            <w:pPr>
              <w:jc w:val="center"/>
              <w:rPr>
                <w:rFonts w:ascii="Calibri" w:hAnsi="Calibri" w:cs="Arial"/>
                <w:b w:val="0"/>
                <w:bCs w:val="0"/>
                <w:color w:val="000000"/>
                <w:sz w:val="18"/>
                <w:szCs w:val="18"/>
              </w:rPr>
            </w:pPr>
            <w:r>
              <w:rPr>
                <w:rFonts w:ascii="Calibri" w:hAnsi="Calibri" w:cs="Arial"/>
                <w:b/>
                <w:bCs/>
                <w:color w:val="000000"/>
                <w:sz w:val="18"/>
                <w:szCs w:val="18"/>
              </w:rPr>
              <w:t>%</w:t>
            </w:r>
          </w:p>
        </w:tc>
        <w:tc>
          <w:tcPr>
            <w:tcW w:w="1842"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65DBE754">
            <w:pPr>
              <w:jc w:val="center"/>
              <w:rPr>
                <w:rFonts w:ascii="Calibri" w:hAnsi="Calibri" w:cs="Arial"/>
                <w:b w:val="0"/>
                <w:bCs w:val="0"/>
                <w:color w:val="000000"/>
                <w:sz w:val="18"/>
                <w:szCs w:val="18"/>
              </w:rPr>
            </w:pPr>
            <w:r>
              <w:rPr>
                <w:rFonts w:ascii="Calibri" w:hAnsi="Calibri" w:cs="Arial"/>
                <w:b/>
                <w:bCs/>
                <w:color w:val="000000"/>
                <w:sz w:val="18"/>
                <w:szCs w:val="18"/>
              </w:rPr>
              <w:t xml:space="preserve">MEMÓRIA DE CALCULO </w:t>
            </w:r>
          </w:p>
        </w:tc>
        <w:tc>
          <w:tcPr>
            <w:tcW w:w="3344"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404673EE">
            <w:pPr>
              <w:jc w:val="center"/>
              <w:rPr>
                <w:rFonts w:ascii="Calibri" w:hAnsi="Calibri" w:cs="Arial"/>
                <w:b w:val="0"/>
                <w:bCs w:val="0"/>
                <w:color w:val="000000"/>
                <w:sz w:val="18"/>
                <w:szCs w:val="18"/>
              </w:rPr>
            </w:pPr>
            <w:r>
              <w:rPr>
                <w:rFonts w:ascii="Calibri" w:hAnsi="Calibri" w:cs="Arial"/>
                <w:b/>
                <w:bCs/>
                <w:color w:val="000000"/>
                <w:sz w:val="18"/>
                <w:szCs w:val="18"/>
              </w:rPr>
              <w:t>FUNDAMENTO</w:t>
            </w:r>
          </w:p>
        </w:tc>
      </w:tr>
      <w:tr w14:paraId="427C4FB9">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6" w:hRule="atLeast"/>
        </w:trPr>
        <w:tc>
          <w:tcPr>
            <w:tcW w:w="845" w:type="dxa"/>
            <w:shd w:val="clear" w:color="auto" w:fill="DBE5F1" w:themeFill="accent1" w:themeFillTint="33"/>
          </w:tcPr>
          <w:p w14:paraId="78A12275">
            <w:pPr>
              <w:jc w:val="center"/>
              <w:rPr>
                <w:rFonts w:ascii="Calibri" w:hAnsi="Calibri" w:cs="Arial"/>
                <w:b/>
                <w:bCs/>
                <w:color w:val="000000"/>
                <w:sz w:val="18"/>
                <w:szCs w:val="18"/>
              </w:rPr>
            </w:pPr>
            <w:r>
              <w:rPr>
                <w:rFonts w:ascii="Calibri" w:hAnsi="Calibri" w:cs="Arial"/>
                <w:b/>
                <w:bCs/>
                <w:color w:val="000000"/>
                <w:sz w:val="18"/>
                <w:szCs w:val="18"/>
              </w:rPr>
              <w:t>A</w:t>
            </w:r>
          </w:p>
        </w:tc>
        <w:tc>
          <w:tcPr>
            <w:tcW w:w="2126" w:type="dxa"/>
            <w:shd w:val="clear" w:color="auto" w:fill="DBE5F1" w:themeFill="accent1" w:themeFillTint="33"/>
          </w:tcPr>
          <w:p w14:paraId="58B3DEE2">
            <w:pPr>
              <w:rPr>
                <w:rFonts w:ascii="Calibri" w:hAnsi="Calibri" w:cs="Arial"/>
                <w:color w:val="000000"/>
                <w:sz w:val="18"/>
                <w:szCs w:val="18"/>
              </w:rPr>
            </w:pPr>
            <w:r>
              <w:rPr>
                <w:rFonts w:ascii="Calibri" w:hAnsi="Calibri" w:cs="Arial"/>
                <w:color w:val="000000"/>
                <w:sz w:val="18"/>
                <w:szCs w:val="18"/>
              </w:rPr>
              <w:t>INSS</w:t>
            </w:r>
          </w:p>
        </w:tc>
        <w:tc>
          <w:tcPr>
            <w:tcW w:w="850" w:type="dxa"/>
            <w:shd w:val="clear" w:color="auto" w:fill="DBE5F1" w:themeFill="accent1" w:themeFillTint="33"/>
          </w:tcPr>
          <w:p w14:paraId="077A7206">
            <w:pPr>
              <w:jc w:val="center"/>
              <w:rPr>
                <w:rFonts w:ascii="Calibri" w:hAnsi="Calibri" w:cs="Arial"/>
                <w:color w:val="000000"/>
                <w:sz w:val="18"/>
                <w:szCs w:val="18"/>
              </w:rPr>
            </w:pPr>
            <w:r>
              <w:rPr>
                <w:rFonts w:ascii="Calibri" w:hAnsi="Calibri" w:cs="Arial"/>
                <w:color w:val="000000"/>
                <w:sz w:val="18"/>
                <w:szCs w:val="18"/>
              </w:rPr>
              <w:t>20,0</w:t>
            </w:r>
          </w:p>
        </w:tc>
        <w:tc>
          <w:tcPr>
            <w:tcW w:w="1842" w:type="dxa"/>
            <w:shd w:val="clear" w:color="auto" w:fill="DBE5F1" w:themeFill="accent1" w:themeFillTint="33"/>
          </w:tcPr>
          <w:p w14:paraId="7F75158F">
            <w:pPr>
              <w:jc w:val="center"/>
              <w:rPr>
                <w:rFonts w:ascii="Calibri" w:hAnsi="Calibri" w:cs="Arial"/>
                <w:sz w:val="18"/>
                <w:szCs w:val="18"/>
              </w:rPr>
            </w:pPr>
            <w:r>
              <w:rPr>
                <w:rFonts w:ascii="Calibri" w:hAnsi="Calibri" w:cs="Arial"/>
                <w:sz w:val="16"/>
                <w:szCs w:val="16"/>
              </w:rPr>
              <w:t xml:space="preserve">Total da remuneração </w:t>
            </w:r>
            <w:r>
              <w:rPr>
                <w:rFonts w:ascii="Calibri" w:hAnsi="Calibri" w:cs="Arial"/>
                <w:sz w:val="18"/>
                <w:szCs w:val="18"/>
              </w:rPr>
              <w:t>x %</w:t>
            </w:r>
          </w:p>
        </w:tc>
        <w:tc>
          <w:tcPr>
            <w:tcW w:w="3344" w:type="dxa"/>
            <w:shd w:val="clear" w:color="auto" w:fill="DBE5F1" w:themeFill="accent1" w:themeFillTint="33"/>
          </w:tcPr>
          <w:p w14:paraId="49C916CB">
            <w:pPr>
              <w:rPr>
                <w:rFonts w:ascii="Calibri" w:hAnsi="Calibri" w:cs="Arial"/>
                <w:color w:val="000000"/>
                <w:sz w:val="18"/>
                <w:szCs w:val="18"/>
              </w:rPr>
            </w:pPr>
            <w:r>
              <w:rPr>
                <w:rFonts w:ascii="Calibri" w:hAnsi="Calibri" w:cs="Arial"/>
                <w:color w:val="000000"/>
                <w:sz w:val="18"/>
                <w:szCs w:val="18"/>
              </w:rPr>
              <w:t>Art.22, Inciso I da Lei 8.212/91</w:t>
            </w:r>
          </w:p>
        </w:tc>
      </w:tr>
      <w:tr w14:paraId="28EF1AE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845" w:type="dxa"/>
          </w:tcPr>
          <w:p w14:paraId="360B4E37">
            <w:pPr>
              <w:jc w:val="center"/>
              <w:rPr>
                <w:rFonts w:ascii="Calibri" w:hAnsi="Calibri" w:cs="Arial"/>
                <w:b/>
                <w:bCs/>
                <w:color w:val="000000"/>
                <w:sz w:val="18"/>
                <w:szCs w:val="18"/>
              </w:rPr>
            </w:pPr>
            <w:r>
              <w:rPr>
                <w:rFonts w:ascii="Calibri" w:hAnsi="Calibri" w:cs="Arial"/>
                <w:b/>
                <w:bCs/>
                <w:color w:val="000000"/>
                <w:sz w:val="18"/>
                <w:szCs w:val="18"/>
              </w:rPr>
              <w:t>B</w:t>
            </w:r>
          </w:p>
        </w:tc>
        <w:tc>
          <w:tcPr>
            <w:tcW w:w="2126" w:type="dxa"/>
          </w:tcPr>
          <w:p w14:paraId="6AC45DEF">
            <w:pPr>
              <w:rPr>
                <w:rFonts w:ascii="Calibri" w:hAnsi="Calibri" w:cs="Arial"/>
                <w:color w:val="000000"/>
                <w:sz w:val="18"/>
                <w:szCs w:val="18"/>
              </w:rPr>
            </w:pPr>
            <w:r>
              <w:rPr>
                <w:rFonts w:ascii="Calibri" w:hAnsi="Calibri" w:cs="Arial"/>
                <w:color w:val="000000"/>
                <w:sz w:val="18"/>
                <w:szCs w:val="18"/>
              </w:rPr>
              <w:t>SALÁRIO EDUCAÇÃO</w:t>
            </w:r>
          </w:p>
        </w:tc>
        <w:tc>
          <w:tcPr>
            <w:tcW w:w="850" w:type="dxa"/>
          </w:tcPr>
          <w:p w14:paraId="0A547E62">
            <w:pPr>
              <w:jc w:val="center"/>
              <w:rPr>
                <w:rFonts w:ascii="Calibri" w:hAnsi="Calibri" w:cs="Arial"/>
                <w:color w:val="000000"/>
                <w:sz w:val="18"/>
                <w:szCs w:val="18"/>
              </w:rPr>
            </w:pPr>
            <w:r>
              <w:rPr>
                <w:rFonts w:ascii="Calibri" w:hAnsi="Calibri" w:cs="Arial"/>
                <w:color w:val="000000"/>
                <w:sz w:val="18"/>
                <w:szCs w:val="18"/>
              </w:rPr>
              <w:t>2,50</w:t>
            </w:r>
          </w:p>
        </w:tc>
        <w:tc>
          <w:tcPr>
            <w:tcW w:w="1842" w:type="dxa"/>
          </w:tcPr>
          <w:p w14:paraId="66811FEF">
            <w:pPr>
              <w:jc w:val="center"/>
              <w:rPr>
                <w:rFonts w:ascii="Calibri" w:hAnsi="Calibri" w:cs="Arial"/>
                <w:sz w:val="18"/>
                <w:szCs w:val="18"/>
              </w:rPr>
            </w:pPr>
            <w:r>
              <w:rPr>
                <w:rFonts w:ascii="Calibri" w:hAnsi="Calibri" w:cs="Arial"/>
                <w:sz w:val="16"/>
                <w:szCs w:val="16"/>
              </w:rPr>
              <w:t xml:space="preserve">Total da remuneração </w:t>
            </w:r>
            <w:r>
              <w:rPr>
                <w:rFonts w:ascii="Calibri" w:hAnsi="Calibri" w:cs="Arial"/>
                <w:sz w:val="18"/>
                <w:szCs w:val="18"/>
              </w:rPr>
              <w:t>x %</w:t>
            </w:r>
          </w:p>
        </w:tc>
        <w:tc>
          <w:tcPr>
            <w:tcW w:w="3344" w:type="dxa"/>
          </w:tcPr>
          <w:p w14:paraId="02B305B8">
            <w:pPr>
              <w:rPr>
                <w:rFonts w:ascii="Calibri" w:hAnsi="Calibri" w:cs="Arial"/>
                <w:color w:val="000000"/>
                <w:sz w:val="18"/>
                <w:szCs w:val="18"/>
              </w:rPr>
            </w:pPr>
            <w:r>
              <w:rPr>
                <w:rFonts w:ascii="Calibri" w:hAnsi="Calibri" w:cs="Arial"/>
                <w:color w:val="000000"/>
                <w:sz w:val="18"/>
                <w:szCs w:val="18"/>
              </w:rPr>
              <w:t>Art.3º, Inciso I, Decreto 87.043/82</w:t>
            </w:r>
          </w:p>
        </w:tc>
      </w:tr>
      <w:tr w14:paraId="210A6E22">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30" w:hRule="atLeast"/>
        </w:trPr>
        <w:tc>
          <w:tcPr>
            <w:tcW w:w="845" w:type="dxa"/>
            <w:shd w:val="clear" w:color="auto" w:fill="DBE5F1" w:themeFill="accent1" w:themeFillTint="33"/>
          </w:tcPr>
          <w:p w14:paraId="77E87041">
            <w:pPr>
              <w:jc w:val="center"/>
              <w:rPr>
                <w:rFonts w:ascii="Calibri" w:hAnsi="Calibri" w:cs="Arial"/>
                <w:b w:val="0"/>
                <w:bCs/>
                <w:color w:val="FF0000"/>
                <w:sz w:val="18"/>
                <w:szCs w:val="18"/>
              </w:rPr>
            </w:pPr>
            <w:r>
              <w:rPr>
                <w:rFonts w:ascii="Calibri" w:hAnsi="Calibri" w:cs="Arial"/>
                <w:b/>
                <w:bCs/>
                <w:color w:val="FF0000"/>
                <w:sz w:val="18"/>
                <w:szCs w:val="18"/>
              </w:rPr>
              <w:t>C</w:t>
            </w:r>
          </w:p>
        </w:tc>
        <w:tc>
          <w:tcPr>
            <w:tcW w:w="2126" w:type="dxa"/>
            <w:shd w:val="clear" w:color="auto" w:fill="DBE5F1" w:themeFill="accent1" w:themeFillTint="33"/>
          </w:tcPr>
          <w:p w14:paraId="2B275803">
            <w:pPr>
              <w:rPr>
                <w:rFonts w:ascii="Calibri" w:hAnsi="Calibri" w:cs="Arial"/>
                <w:b/>
                <w:color w:val="FF0000"/>
                <w:sz w:val="18"/>
                <w:szCs w:val="18"/>
              </w:rPr>
            </w:pPr>
            <w:r>
              <w:rPr>
                <w:rFonts w:ascii="Calibri" w:hAnsi="Calibri" w:cs="Arial"/>
                <w:b/>
                <w:color w:val="FF0000"/>
                <w:sz w:val="18"/>
                <w:szCs w:val="18"/>
              </w:rPr>
              <w:t>Seguro de Acidente de Trabalho (SAT)</w:t>
            </w:r>
          </w:p>
        </w:tc>
        <w:tc>
          <w:tcPr>
            <w:tcW w:w="850" w:type="dxa"/>
            <w:shd w:val="clear" w:color="auto" w:fill="DBE5F1" w:themeFill="accent1" w:themeFillTint="33"/>
          </w:tcPr>
          <w:p w14:paraId="1F68423C">
            <w:pPr>
              <w:jc w:val="center"/>
              <w:rPr>
                <w:rFonts w:ascii="Calibri" w:hAnsi="Calibri" w:cs="Arial"/>
                <w:b/>
                <w:color w:val="FF0000"/>
                <w:sz w:val="18"/>
                <w:szCs w:val="18"/>
              </w:rPr>
            </w:pPr>
            <w:r>
              <w:rPr>
                <w:rFonts w:ascii="Calibri" w:hAnsi="Calibri" w:cs="Arial"/>
                <w:b/>
                <w:color w:val="FF0000"/>
                <w:sz w:val="18"/>
                <w:szCs w:val="18"/>
              </w:rPr>
              <w:t>6,0</w:t>
            </w:r>
          </w:p>
        </w:tc>
        <w:tc>
          <w:tcPr>
            <w:tcW w:w="1842" w:type="dxa"/>
            <w:shd w:val="clear" w:color="auto" w:fill="DBE5F1" w:themeFill="accent1" w:themeFillTint="33"/>
          </w:tcPr>
          <w:p w14:paraId="7DC1B4C9">
            <w:pPr>
              <w:rPr>
                <w:rFonts w:ascii="Calibri" w:hAnsi="Calibri" w:cs="Arial"/>
                <w:sz w:val="18"/>
                <w:szCs w:val="18"/>
              </w:rPr>
            </w:pPr>
            <w:r>
              <w:rPr>
                <w:rFonts w:asciiTheme="minorHAnsi" w:hAnsiTheme="minorHAnsi"/>
                <w:sz w:val="18"/>
                <w:szCs w:val="18"/>
                <w:shd w:val="clear" w:color="auto" w:fill="FFFFFF"/>
              </w:rPr>
              <w:t xml:space="preserve"> </w:t>
            </w:r>
            <w:r>
              <w:rPr>
                <w:rFonts w:ascii="Calibri" w:hAnsi="Calibri" w:cs="Arial"/>
                <w:sz w:val="16"/>
                <w:szCs w:val="16"/>
              </w:rPr>
              <w:t xml:space="preserve">Total da remuneração </w:t>
            </w:r>
            <w:r>
              <w:rPr>
                <w:rFonts w:ascii="Calibri" w:hAnsi="Calibri" w:cs="Arial"/>
                <w:sz w:val="18"/>
                <w:szCs w:val="18"/>
              </w:rPr>
              <w:t>x %</w:t>
            </w:r>
          </w:p>
          <w:p w14:paraId="0B417DAE">
            <w:pPr>
              <w:rPr>
                <w:rFonts w:asciiTheme="minorHAnsi" w:hAnsiTheme="minorHAnsi"/>
                <w:sz w:val="16"/>
                <w:szCs w:val="16"/>
                <w:highlight w:val="white"/>
              </w:rPr>
            </w:pPr>
            <w:r>
              <w:rPr>
                <w:rFonts w:asciiTheme="minorHAnsi" w:hAnsiTheme="minorHAnsi"/>
                <w:sz w:val="16"/>
                <w:szCs w:val="16"/>
                <w:shd w:val="clear" w:color="auto" w:fill="FFFFFF"/>
              </w:rPr>
              <w:t>RAT: 1%, 2% ou </w:t>
            </w:r>
            <w:r>
              <w:rPr>
                <w:rStyle w:val="8"/>
                <w:rFonts w:asciiTheme="minorHAnsi" w:hAnsiTheme="minorHAnsi"/>
                <w:b w:val="0"/>
                <w:sz w:val="16"/>
                <w:szCs w:val="16"/>
                <w:shd w:val="clear" w:color="auto" w:fill="FFFFFF"/>
              </w:rPr>
              <w:t>3%</w:t>
            </w:r>
            <w:r>
              <w:rPr>
                <w:rFonts w:asciiTheme="minorHAnsi" w:hAnsiTheme="minorHAnsi"/>
                <w:sz w:val="16"/>
                <w:szCs w:val="16"/>
                <w:shd w:val="clear" w:color="auto" w:fill="FFFFFF"/>
              </w:rPr>
              <w:t> x </w:t>
            </w:r>
            <w:r>
              <w:rPr>
                <w:rStyle w:val="39"/>
                <w:rFonts w:asciiTheme="minorHAnsi" w:hAnsiTheme="minorHAnsi"/>
                <w:sz w:val="16"/>
                <w:szCs w:val="16"/>
                <w:shd w:val="clear" w:color="auto" w:fill="FFFFFF"/>
              </w:rPr>
              <w:t>FAP</w:t>
            </w:r>
            <w:r>
              <w:rPr>
                <w:rFonts w:asciiTheme="minorHAnsi" w:hAnsiTheme="minorHAnsi"/>
                <w:sz w:val="16"/>
                <w:szCs w:val="16"/>
                <w:shd w:val="clear" w:color="auto" w:fill="FFFFFF"/>
              </w:rPr>
              <w:t xml:space="preserve">: 0,5 a 2% </w:t>
            </w:r>
          </w:p>
          <w:p w14:paraId="6A7F3D06">
            <w:pPr>
              <w:rPr>
                <w:rFonts w:asciiTheme="minorHAnsi" w:hAnsiTheme="minorHAnsi"/>
                <w:sz w:val="16"/>
                <w:szCs w:val="16"/>
                <w:highlight w:val="white"/>
              </w:rPr>
            </w:pPr>
          </w:p>
          <w:p w14:paraId="2E54ED97">
            <w:pPr>
              <w:rPr>
                <w:rFonts w:cs="Arial" w:asciiTheme="minorHAnsi" w:hAnsiTheme="minorHAnsi"/>
                <w:color w:val="000000"/>
                <w:sz w:val="18"/>
                <w:szCs w:val="18"/>
              </w:rPr>
            </w:pPr>
            <w:r>
              <w:rPr>
                <w:rFonts w:asciiTheme="minorHAnsi" w:hAnsiTheme="minorHAnsi" w:cstheme="minorHAnsi"/>
                <w:color w:val="000000"/>
                <w:sz w:val="18"/>
                <w:szCs w:val="18"/>
                <w:shd w:val="clear" w:color="auto" w:fill="FFFFFF"/>
              </w:rPr>
              <w:t>CNAE 7820-5/00</w:t>
            </w:r>
            <w:r>
              <w:rPr>
                <w:rFonts w:asciiTheme="minorHAnsi" w:hAnsiTheme="minorHAnsi" w:cstheme="minorHAnsi"/>
                <w:sz w:val="18"/>
                <w:szCs w:val="18"/>
                <w:shd w:val="clear" w:color="auto" w:fill="FFFFFF"/>
              </w:rPr>
              <w:t xml:space="preserve">= </w:t>
            </w:r>
            <w:r>
              <w:rPr>
                <w:rFonts w:asciiTheme="minorHAnsi" w:hAnsiTheme="minorHAnsi"/>
                <w:sz w:val="16"/>
                <w:szCs w:val="16"/>
                <w:shd w:val="clear" w:color="auto" w:fill="FFFFFF"/>
              </w:rPr>
              <w:t xml:space="preserve">RAT </w:t>
            </w:r>
            <w:r>
              <w:rPr>
                <w:rFonts w:asciiTheme="minorHAnsi" w:hAnsiTheme="minorHAnsi"/>
                <w:b/>
                <w:sz w:val="16"/>
                <w:szCs w:val="16"/>
                <w:shd w:val="clear" w:color="auto" w:fill="FFFFFF"/>
              </w:rPr>
              <w:t>3% x</w:t>
            </w:r>
            <w:r>
              <w:rPr>
                <w:rFonts w:asciiTheme="minorHAnsi" w:hAnsiTheme="minorHAnsi"/>
                <w:b/>
                <w:color w:val="FF0000"/>
                <w:sz w:val="16"/>
                <w:szCs w:val="16"/>
                <w:shd w:val="clear" w:color="auto" w:fill="FFFFFF"/>
              </w:rPr>
              <w:t xml:space="preserve"> 2% FAP </w:t>
            </w:r>
            <w:r>
              <w:rPr>
                <w:rFonts w:asciiTheme="minorHAnsi" w:hAnsiTheme="minorHAnsi"/>
                <w:sz w:val="16"/>
                <w:szCs w:val="16"/>
                <w:shd w:val="clear" w:color="auto" w:fill="FFFFFF"/>
              </w:rPr>
              <w:t>(considerando a maior)</w:t>
            </w:r>
            <w:r>
              <w:rPr>
                <w:rFonts w:cs="Arial" w:asciiTheme="minorHAnsi" w:hAnsiTheme="minorHAnsi"/>
                <w:sz w:val="18"/>
                <w:szCs w:val="18"/>
              </w:rPr>
              <w:t xml:space="preserve"> </w:t>
            </w:r>
          </w:p>
        </w:tc>
        <w:tc>
          <w:tcPr>
            <w:tcW w:w="3344" w:type="dxa"/>
            <w:shd w:val="clear" w:color="auto" w:fill="DBE5F1" w:themeFill="accent1" w:themeFillTint="33"/>
          </w:tcPr>
          <w:p w14:paraId="0B2B8E9A">
            <w:pPr>
              <w:jc w:val="both"/>
              <w:rPr>
                <w:rFonts w:ascii="Calibri" w:hAnsi="Calibri" w:cs="Arial"/>
                <w:sz w:val="18"/>
                <w:szCs w:val="18"/>
              </w:rPr>
            </w:pPr>
            <w:r>
              <w:rPr>
                <w:rFonts w:ascii="Calibri" w:hAnsi="Calibri" w:cs="Arial"/>
                <w:sz w:val="18"/>
                <w:szCs w:val="18"/>
              </w:rPr>
              <w:t xml:space="preserve">RATxFAT – </w:t>
            </w:r>
            <w:r>
              <w:rPr>
                <w:rStyle w:val="11"/>
                <w:rFonts w:asciiTheme="minorHAnsi" w:hAnsiTheme="minorHAnsi"/>
                <w:sz w:val="18"/>
                <w:szCs w:val="18"/>
                <w:shd w:val="clear" w:color="auto" w:fill="FFFFFF"/>
              </w:rPr>
              <w:t>Fundamentação: art. 22, inciso II, alíneas ‘b’ e ‘c’, da Lei nº 8.212/91.</w:t>
            </w:r>
            <w:r>
              <w:rPr>
                <w:rFonts w:asciiTheme="minorHAnsi" w:hAnsiTheme="minorHAnsi"/>
                <w:sz w:val="18"/>
                <w:szCs w:val="18"/>
                <w:shd w:val="clear" w:color="auto" w:fill="FFFFFF"/>
              </w:rPr>
              <w:t> C</w:t>
            </w:r>
            <w:r>
              <w:rPr>
                <w:rFonts w:ascii="Calibri" w:hAnsi="Calibri" w:cs="Arial"/>
                <w:sz w:val="18"/>
                <w:szCs w:val="18"/>
              </w:rPr>
              <w:t>onforme GFIP do mês anterior à data da proposta – Para estimativa, considerado o maior valor possível.</w:t>
            </w:r>
          </w:p>
        </w:tc>
      </w:tr>
      <w:tr w14:paraId="21ED4A3D">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74" w:hRule="atLeast"/>
        </w:trPr>
        <w:tc>
          <w:tcPr>
            <w:tcW w:w="845" w:type="dxa"/>
          </w:tcPr>
          <w:p w14:paraId="282FCD11">
            <w:pPr>
              <w:jc w:val="center"/>
              <w:rPr>
                <w:rFonts w:ascii="Calibri" w:hAnsi="Calibri" w:cs="Arial"/>
                <w:b/>
                <w:bCs/>
                <w:color w:val="000000"/>
                <w:sz w:val="18"/>
                <w:szCs w:val="18"/>
              </w:rPr>
            </w:pPr>
            <w:r>
              <w:rPr>
                <w:rFonts w:ascii="Calibri" w:hAnsi="Calibri" w:cs="Arial"/>
                <w:b/>
                <w:bCs/>
                <w:color w:val="000000"/>
                <w:sz w:val="18"/>
                <w:szCs w:val="18"/>
              </w:rPr>
              <w:t>D</w:t>
            </w:r>
          </w:p>
        </w:tc>
        <w:tc>
          <w:tcPr>
            <w:tcW w:w="2126" w:type="dxa"/>
          </w:tcPr>
          <w:p w14:paraId="4CDAE04A">
            <w:pPr>
              <w:rPr>
                <w:rFonts w:ascii="Calibri" w:hAnsi="Calibri" w:cs="Arial"/>
                <w:color w:val="000000"/>
                <w:sz w:val="18"/>
                <w:szCs w:val="18"/>
              </w:rPr>
            </w:pPr>
            <w:r>
              <w:rPr>
                <w:rFonts w:ascii="Calibri" w:hAnsi="Calibri" w:cs="Arial"/>
                <w:color w:val="000000"/>
                <w:sz w:val="18"/>
                <w:szCs w:val="18"/>
              </w:rPr>
              <w:t>SESC OU SESI</w:t>
            </w:r>
          </w:p>
        </w:tc>
        <w:tc>
          <w:tcPr>
            <w:tcW w:w="850" w:type="dxa"/>
          </w:tcPr>
          <w:p w14:paraId="03DB4BEE">
            <w:pPr>
              <w:jc w:val="center"/>
              <w:rPr>
                <w:rFonts w:ascii="Calibri" w:hAnsi="Calibri" w:cs="Arial"/>
                <w:color w:val="000000"/>
                <w:sz w:val="18"/>
                <w:szCs w:val="18"/>
              </w:rPr>
            </w:pPr>
            <w:r>
              <w:rPr>
                <w:rFonts w:ascii="Calibri" w:hAnsi="Calibri" w:cs="Arial"/>
                <w:color w:val="000000"/>
                <w:sz w:val="18"/>
                <w:szCs w:val="18"/>
              </w:rPr>
              <w:t>1,50</w:t>
            </w:r>
          </w:p>
        </w:tc>
        <w:tc>
          <w:tcPr>
            <w:tcW w:w="1842" w:type="dxa"/>
          </w:tcPr>
          <w:p w14:paraId="0EFCA329">
            <w:r>
              <w:rPr>
                <w:rFonts w:ascii="Calibri" w:hAnsi="Calibri" w:cs="Arial"/>
                <w:sz w:val="16"/>
                <w:szCs w:val="16"/>
              </w:rPr>
              <w:t xml:space="preserve">Total da remuneração </w:t>
            </w:r>
            <w:r>
              <w:rPr>
                <w:rFonts w:ascii="Calibri" w:hAnsi="Calibri" w:cs="Arial"/>
                <w:sz w:val="18"/>
                <w:szCs w:val="18"/>
              </w:rPr>
              <w:t>x %</w:t>
            </w:r>
          </w:p>
        </w:tc>
        <w:tc>
          <w:tcPr>
            <w:tcW w:w="3344" w:type="dxa"/>
          </w:tcPr>
          <w:p w14:paraId="0D0C0A21">
            <w:pPr>
              <w:rPr>
                <w:rFonts w:ascii="Calibri" w:hAnsi="Calibri" w:cs="Arial"/>
                <w:color w:val="000000"/>
                <w:sz w:val="18"/>
                <w:szCs w:val="18"/>
              </w:rPr>
            </w:pPr>
            <w:r>
              <w:rPr>
                <w:rFonts w:ascii="Calibri" w:hAnsi="Calibri" w:cs="Arial"/>
                <w:color w:val="000000"/>
                <w:sz w:val="18"/>
                <w:szCs w:val="18"/>
              </w:rPr>
              <w:t>Art.3º, da lei 8036/90</w:t>
            </w:r>
          </w:p>
        </w:tc>
      </w:tr>
      <w:tr w14:paraId="04E2789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266" w:hRule="atLeast"/>
        </w:trPr>
        <w:tc>
          <w:tcPr>
            <w:tcW w:w="845" w:type="dxa"/>
            <w:shd w:val="clear" w:color="auto" w:fill="DBE5F1" w:themeFill="accent1" w:themeFillTint="33"/>
          </w:tcPr>
          <w:p w14:paraId="2745CD1E">
            <w:pPr>
              <w:jc w:val="center"/>
              <w:rPr>
                <w:rFonts w:ascii="Calibri" w:hAnsi="Calibri" w:cs="Arial"/>
                <w:b/>
                <w:bCs/>
                <w:color w:val="000000"/>
                <w:sz w:val="18"/>
                <w:szCs w:val="18"/>
              </w:rPr>
            </w:pPr>
            <w:r>
              <w:rPr>
                <w:rFonts w:ascii="Calibri" w:hAnsi="Calibri" w:cs="Arial"/>
                <w:b/>
                <w:bCs/>
                <w:color w:val="000000"/>
                <w:sz w:val="18"/>
                <w:szCs w:val="18"/>
              </w:rPr>
              <w:t>E</w:t>
            </w:r>
          </w:p>
        </w:tc>
        <w:tc>
          <w:tcPr>
            <w:tcW w:w="2126" w:type="dxa"/>
            <w:shd w:val="clear" w:color="auto" w:fill="DBE5F1" w:themeFill="accent1" w:themeFillTint="33"/>
          </w:tcPr>
          <w:p w14:paraId="3BDAD243">
            <w:pPr>
              <w:rPr>
                <w:rFonts w:ascii="Calibri" w:hAnsi="Calibri" w:cs="Arial"/>
                <w:color w:val="000000"/>
                <w:sz w:val="18"/>
                <w:szCs w:val="18"/>
              </w:rPr>
            </w:pPr>
            <w:r>
              <w:rPr>
                <w:rFonts w:ascii="Calibri" w:hAnsi="Calibri" w:cs="Arial"/>
                <w:color w:val="000000"/>
                <w:sz w:val="18"/>
                <w:szCs w:val="18"/>
              </w:rPr>
              <w:t>SENAI OU SENAC</w:t>
            </w:r>
          </w:p>
        </w:tc>
        <w:tc>
          <w:tcPr>
            <w:tcW w:w="850" w:type="dxa"/>
            <w:shd w:val="clear" w:color="auto" w:fill="DBE5F1" w:themeFill="accent1" w:themeFillTint="33"/>
          </w:tcPr>
          <w:p w14:paraId="54C1306D">
            <w:pPr>
              <w:jc w:val="center"/>
              <w:rPr>
                <w:rFonts w:ascii="Calibri" w:hAnsi="Calibri" w:cs="Arial"/>
                <w:color w:val="000000"/>
                <w:sz w:val="18"/>
                <w:szCs w:val="18"/>
              </w:rPr>
            </w:pPr>
            <w:r>
              <w:rPr>
                <w:rFonts w:ascii="Calibri" w:hAnsi="Calibri" w:cs="Arial"/>
                <w:color w:val="000000"/>
                <w:sz w:val="18"/>
                <w:szCs w:val="18"/>
              </w:rPr>
              <w:t>1,00</w:t>
            </w:r>
          </w:p>
        </w:tc>
        <w:tc>
          <w:tcPr>
            <w:tcW w:w="1842" w:type="dxa"/>
            <w:shd w:val="clear" w:color="auto" w:fill="DBE5F1" w:themeFill="accent1" w:themeFillTint="33"/>
          </w:tcPr>
          <w:p w14:paraId="126BA882">
            <w:r>
              <w:rPr>
                <w:rFonts w:ascii="Calibri" w:hAnsi="Calibri" w:cs="Arial"/>
                <w:sz w:val="16"/>
                <w:szCs w:val="16"/>
              </w:rPr>
              <w:t xml:space="preserve">Total da remuneração </w:t>
            </w:r>
            <w:r>
              <w:rPr>
                <w:rFonts w:ascii="Calibri" w:hAnsi="Calibri" w:cs="Arial"/>
                <w:sz w:val="18"/>
                <w:szCs w:val="18"/>
              </w:rPr>
              <w:t>x %</w:t>
            </w:r>
          </w:p>
        </w:tc>
        <w:tc>
          <w:tcPr>
            <w:tcW w:w="3344" w:type="dxa"/>
            <w:shd w:val="clear" w:color="auto" w:fill="DBE5F1" w:themeFill="accent1" w:themeFillTint="33"/>
          </w:tcPr>
          <w:p w14:paraId="472C2DB6">
            <w:pPr>
              <w:rPr>
                <w:rFonts w:ascii="Calibri" w:hAnsi="Calibri" w:cs="Arial"/>
                <w:sz w:val="18"/>
                <w:szCs w:val="18"/>
              </w:rPr>
            </w:pPr>
            <w:r>
              <w:rPr>
                <w:rFonts w:ascii="Calibri" w:hAnsi="Calibri" w:cs="Arial"/>
                <w:sz w:val="18"/>
                <w:szCs w:val="18"/>
              </w:rPr>
              <w:t>Decreto 2.318/86</w:t>
            </w:r>
          </w:p>
        </w:tc>
      </w:tr>
      <w:tr w14:paraId="541EE724">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4" w:hRule="atLeast"/>
        </w:trPr>
        <w:tc>
          <w:tcPr>
            <w:tcW w:w="845" w:type="dxa"/>
          </w:tcPr>
          <w:p w14:paraId="7F38C152">
            <w:pPr>
              <w:jc w:val="center"/>
              <w:rPr>
                <w:rFonts w:ascii="Calibri" w:hAnsi="Calibri" w:cs="Arial"/>
                <w:b/>
                <w:bCs/>
                <w:color w:val="000000"/>
                <w:sz w:val="18"/>
                <w:szCs w:val="18"/>
              </w:rPr>
            </w:pPr>
            <w:r>
              <w:rPr>
                <w:rFonts w:ascii="Calibri" w:hAnsi="Calibri" w:cs="Arial"/>
                <w:b/>
                <w:bCs/>
                <w:color w:val="000000"/>
                <w:sz w:val="18"/>
                <w:szCs w:val="18"/>
              </w:rPr>
              <w:t>F</w:t>
            </w:r>
          </w:p>
        </w:tc>
        <w:tc>
          <w:tcPr>
            <w:tcW w:w="2126" w:type="dxa"/>
          </w:tcPr>
          <w:p w14:paraId="3F5D54C9">
            <w:pPr>
              <w:rPr>
                <w:rFonts w:ascii="Calibri" w:hAnsi="Calibri" w:cs="Arial"/>
                <w:color w:val="000000"/>
                <w:sz w:val="18"/>
                <w:szCs w:val="18"/>
              </w:rPr>
            </w:pPr>
            <w:r>
              <w:rPr>
                <w:rFonts w:ascii="Calibri" w:hAnsi="Calibri" w:cs="Arial"/>
                <w:color w:val="000000"/>
                <w:sz w:val="18"/>
                <w:szCs w:val="18"/>
              </w:rPr>
              <w:t>SEBRAE</w:t>
            </w:r>
          </w:p>
        </w:tc>
        <w:tc>
          <w:tcPr>
            <w:tcW w:w="850" w:type="dxa"/>
          </w:tcPr>
          <w:p w14:paraId="7A8A6F5E">
            <w:pPr>
              <w:jc w:val="center"/>
              <w:rPr>
                <w:rFonts w:ascii="Calibri" w:hAnsi="Calibri" w:cs="Arial"/>
                <w:color w:val="000000"/>
                <w:sz w:val="18"/>
                <w:szCs w:val="18"/>
              </w:rPr>
            </w:pPr>
            <w:r>
              <w:rPr>
                <w:rFonts w:ascii="Calibri" w:hAnsi="Calibri" w:cs="Arial"/>
                <w:color w:val="000000"/>
                <w:sz w:val="18"/>
                <w:szCs w:val="18"/>
              </w:rPr>
              <w:t>0,60</w:t>
            </w:r>
          </w:p>
        </w:tc>
        <w:tc>
          <w:tcPr>
            <w:tcW w:w="1842" w:type="dxa"/>
          </w:tcPr>
          <w:p w14:paraId="2BDF6CE0">
            <w:r>
              <w:rPr>
                <w:rFonts w:ascii="Calibri" w:hAnsi="Calibri" w:cs="Arial"/>
                <w:sz w:val="16"/>
                <w:szCs w:val="16"/>
              </w:rPr>
              <w:t xml:space="preserve">Total da remuneração </w:t>
            </w:r>
            <w:r>
              <w:rPr>
                <w:rFonts w:ascii="Calibri" w:hAnsi="Calibri" w:cs="Arial"/>
                <w:sz w:val="18"/>
                <w:szCs w:val="18"/>
              </w:rPr>
              <w:t>x %</w:t>
            </w:r>
          </w:p>
        </w:tc>
        <w:tc>
          <w:tcPr>
            <w:tcW w:w="3344" w:type="dxa"/>
          </w:tcPr>
          <w:p w14:paraId="35608D71">
            <w:pPr>
              <w:rPr>
                <w:rFonts w:ascii="Calibri" w:hAnsi="Calibri" w:cs="Arial"/>
                <w:sz w:val="18"/>
                <w:szCs w:val="18"/>
              </w:rPr>
            </w:pPr>
            <w:r>
              <w:rPr>
                <w:rFonts w:ascii="Calibri" w:hAnsi="Calibri" w:cs="Arial"/>
                <w:sz w:val="18"/>
                <w:szCs w:val="18"/>
              </w:rPr>
              <w:t>Art.8º, Lei 8029/90 e Lei 8154/90</w:t>
            </w:r>
          </w:p>
        </w:tc>
      </w:tr>
      <w:tr w14:paraId="1BE7805F">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04" w:hRule="atLeast"/>
        </w:trPr>
        <w:tc>
          <w:tcPr>
            <w:tcW w:w="845" w:type="dxa"/>
            <w:shd w:val="clear" w:color="auto" w:fill="DBE5F1" w:themeFill="accent1" w:themeFillTint="33"/>
          </w:tcPr>
          <w:p w14:paraId="409627AB">
            <w:pPr>
              <w:jc w:val="center"/>
              <w:rPr>
                <w:rFonts w:ascii="Calibri" w:hAnsi="Calibri" w:cs="Arial"/>
                <w:b/>
                <w:bCs/>
                <w:color w:val="000000"/>
                <w:sz w:val="18"/>
                <w:szCs w:val="18"/>
              </w:rPr>
            </w:pPr>
            <w:r>
              <w:rPr>
                <w:rFonts w:ascii="Calibri" w:hAnsi="Calibri" w:cs="Arial"/>
                <w:b/>
                <w:bCs/>
                <w:color w:val="000000"/>
                <w:sz w:val="18"/>
                <w:szCs w:val="18"/>
              </w:rPr>
              <w:t>G</w:t>
            </w:r>
          </w:p>
        </w:tc>
        <w:tc>
          <w:tcPr>
            <w:tcW w:w="2126" w:type="dxa"/>
            <w:shd w:val="clear" w:color="auto" w:fill="DBE5F1" w:themeFill="accent1" w:themeFillTint="33"/>
          </w:tcPr>
          <w:p w14:paraId="5B7CB1EC">
            <w:pPr>
              <w:rPr>
                <w:rFonts w:ascii="Calibri" w:hAnsi="Calibri" w:cs="Arial"/>
                <w:color w:val="000000"/>
                <w:sz w:val="18"/>
                <w:szCs w:val="18"/>
              </w:rPr>
            </w:pPr>
            <w:r>
              <w:rPr>
                <w:rFonts w:ascii="Calibri" w:hAnsi="Calibri" w:cs="Arial"/>
                <w:color w:val="000000"/>
                <w:sz w:val="18"/>
                <w:szCs w:val="18"/>
              </w:rPr>
              <w:t>INCRA</w:t>
            </w:r>
          </w:p>
        </w:tc>
        <w:tc>
          <w:tcPr>
            <w:tcW w:w="850" w:type="dxa"/>
            <w:shd w:val="clear" w:color="auto" w:fill="DBE5F1" w:themeFill="accent1" w:themeFillTint="33"/>
          </w:tcPr>
          <w:p w14:paraId="59C28CAA">
            <w:pPr>
              <w:jc w:val="center"/>
              <w:rPr>
                <w:rFonts w:ascii="Calibri" w:hAnsi="Calibri" w:cs="Arial"/>
                <w:color w:val="000000"/>
                <w:sz w:val="18"/>
                <w:szCs w:val="18"/>
              </w:rPr>
            </w:pPr>
            <w:r>
              <w:rPr>
                <w:rFonts w:ascii="Calibri" w:hAnsi="Calibri" w:cs="Arial"/>
                <w:color w:val="000000"/>
                <w:sz w:val="18"/>
                <w:szCs w:val="18"/>
              </w:rPr>
              <w:t>0,20</w:t>
            </w:r>
          </w:p>
        </w:tc>
        <w:tc>
          <w:tcPr>
            <w:tcW w:w="1842" w:type="dxa"/>
            <w:shd w:val="clear" w:color="auto" w:fill="DBE5F1" w:themeFill="accent1" w:themeFillTint="33"/>
          </w:tcPr>
          <w:p w14:paraId="179B3F1C">
            <w:r>
              <w:rPr>
                <w:rFonts w:ascii="Calibri" w:hAnsi="Calibri" w:cs="Arial"/>
                <w:sz w:val="16"/>
                <w:szCs w:val="16"/>
              </w:rPr>
              <w:t xml:space="preserve">Total da remuneração </w:t>
            </w:r>
            <w:r>
              <w:rPr>
                <w:rFonts w:ascii="Calibri" w:hAnsi="Calibri" w:cs="Arial"/>
                <w:sz w:val="18"/>
                <w:szCs w:val="18"/>
              </w:rPr>
              <w:t>x %</w:t>
            </w:r>
          </w:p>
        </w:tc>
        <w:tc>
          <w:tcPr>
            <w:tcW w:w="3344" w:type="dxa"/>
            <w:shd w:val="clear" w:color="auto" w:fill="DBE5F1" w:themeFill="accent1" w:themeFillTint="33"/>
          </w:tcPr>
          <w:p w14:paraId="39D0D77C">
            <w:pPr>
              <w:rPr>
                <w:rFonts w:ascii="Calibri" w:hAnsi="Calibri" w:cs="Arial"/>
                <w:color w:val="000000"/>
                <w:sz w:val="18"/>
                <w:szCs w:val="18"/>
              </w:rPr>
            </w:pPr>
            <w:r>
              <w:rPr>
                <w:rFonts w:ascii="Calibri" w:hAnsi="Calibri" w:cs="Arial"/>
                <w:color w:val="000000"/>
                <w:sz w:val="18"/>
                <w:szCs w:val="18"/>
              </w:rPr>
              <w:t>Lei 7787/89 e DL 1146/70</w:t>
            </w:r>
          </w:p>
        </w:tc>
      </w:tr>
      <w:tr w14:paraId="7D1B9BC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270" w:hRule="atLeast"/>
        </w:trPr>
        <w:tc>
          <w:tcPr>
            <w:tcW w:w="845" w:type="dxa"/>
          </w:tcPr>
          <w:p w14:paraId="1B348B90">
            <w:pPr>
              <w:jc w:val="center"/>
              <w:rPr>
                <w:rFonts w:ascii="Calibri" w:hAnsi="Calibri" w:cs="Arial"/>
                <w:b/>
                <w:bCs/>
                <w:color w:val="000000"/>
                <w:sz w:val="18"/>
                <w:szCs w:val="18"/>
              </w:rPr>
            </w:pPr>
            <w:r>
              <w:rPr>
                <w:rFonts w:ascii="Calibri" w:hAnsi="Calibri" w:cs="Arial"/>
                <w:b/>
                <w:bCs/>
                <w:color w:val="000000"/>
                <w:sz w:val="18"/>
                <w:szCs w:val="18"/>
              </w:rPr>
              <w:t>H</w:t>
            </w:r>
          </w:p>
        </w:tc>
        <w:tc>
          <w:tcPr>
            <w:tcW w:w="2126" w:type="dxa"/>
          </w:tcPr>
          <w:p w14:paraId="49DADEFD">
            <w:pPr>
              <w:rPr>
                <w:rFonts w:ascii="Calibri" w:hAnsi="Calibri" w:cs="Arial"/>
                <w:color w:val="000000"/>
                <w:sz w:val="18"/>
                <w:szCs w:val="18"/>
              </w:rPr>
            </w:pPr>
            <w:r>
              <w:rPr>
                <w:rFonts w:ascii="Calibri" w:hAnsi="Calibri" w:cs="Arial"/>
                <w:color w:val="000000"/>
                <w:sz w:val="18"/>
                <w:szCs w:val="18"/>
              </w:rPr>
              <w:t>FGTS</w:t>
            </w:r>
          </w:p>
        </w:tc>
        <w:tc>
          <w:tcPr>
            <w:tcW w:w="850" w:type="dxa"/>
          </w:tcPr>
          <w:p w14:paraId="6CA97B48">
            <w:pPr>
              <w:jc w:val="center"/>
              <w:rPr>
                <w:rFonts w:ascii="Calibri" w:hAnsi="Calibri" w:cs="Arial"/>
                <w:color w:val="000000"/>
                <w:sz w:val="18"/>
                <w:szCs w:val="18"/>
              </w:rPr>
            </w:pPr>
            <w:r>
              <w:rPr>
                <w:rFonts w:ascii="Calibri" w:hAnsi="Calibri" w:cs="Arial"/>
                <w:color w:val="000000"/>
                <w:sz w:val="18"/>
                <w:szCs w:val="18"/>
              </w:rPr>
              <w:t>8,00</w:t>
            </w:r>
          </w:p>
        </w:tc>
        <w:tc>
          <w:tcPr>
            <w:tcW w:w="1842" w:type="dxa"/>
          </w:tcPr>
          <w:p w14:paraId="3CEB5E29">
            <w:r>
              <w:rPr>
                <w:rFonts w:ascii="Calibri" w:hAnsi="Calibri" w:cs="Arial"/>
                <w:sz w:val="16"/>
                <w:szCs w:val="16"/>
              </w:rPr>
              <w:t xml:space="preserve">Total da remuneração </w:t>
            </w:r>
            <w:r>
              <w:rPr>
                <w:rFonts w:ascii="Calibri" w:hAnsi="Calibri" w:cs="Arial"/>
                <w:sz w:val="18"/>
                <w:szCs w:val="18"/>
              </w:rPr>
              <w:t>x %</w:t>
            </w:r>
          </w:p>
        </w:tc>
        <w:tc>
          <w:tcPr>
            <w:tcW w:w="3344" w:type="dxa"/>
          </w:tcPr>
          <w:p w14:paraId="2C881F0A">
            <w:pPr>
              <w:rPr>
                <w:rFonts w:ascii="Calibri" w:hAnsi="Calibri" w:cs="Arial"/>
                <w:color w:val="000000"/>
                <w:sz w:val="18"/>
                <w:szCs w:val="18"/>
              </w:rPr>
            </w:pPr>
            <w:r>
              <w:rPr>
                <w:rFonts w:ascii="Calibri" w:hAnsi="Calibri" w:cs="Arial"/>
                <w:color w:val="000000"/>
                <w:sz w:val="18"/>
                <w:szCs w:val="18"/>
              </w:rPr>
              <w:t>Art.15, da Lei 8036/90 e Art.7º III, CF</w:t>
            </w:r>
          </w:p>
        </w:tc>
      </w:tr>
      <w:tr w14:paraId="3C6AB60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3" w:hRule="atLeast"/>
        </w:trPr>
        <w:tc>
          <w:tcPr>
            <w:tcW w:w="845" w:type="dxa"/>
            <w:shd w:val="clear" w:color="auto" w:fill="DBE5F1" w:themeFill="accent1" w:themeFillTint="33"/>
          </w:tcPr>
          <w:p w14:paraId="2734C0CB">
            <w:pPr>
              <w:jc w:val="center"/>
              <w:rPr>
                <w:rFonts w:ascii="Calibri" w:hAnsi="Calibri" w:cs="Arial"/>
                <w:b/>
                <w:bCs/>
                <w:color w:val="000000"/>
                <w:sz w:val="18"/>
                <w:szCs w:val="18"/>
              </w:rPr>
            </w:pPr>
          </w:p>
        </w:tc>
        <w:tc>
          <w:tcPr>
            <w:tcW w:w="2126" w:type="dxa"/>
            <w:shd w:val="clear" w:color="auto" w:fill="DBE5F1" w:themeFill="accent1" w:themeFillTint="33"/>
          </w:tcPr>
          <w:p w14:paraId="2DD503F0">
            <w:pPr>
              <w:rPr>
                <w:rFonts w:ascii="Calibri" w:hAnsi="Calibri" w:cs="Arial"/>
                <w:color w:val="000000"/>
                <w:sz w:val="18"/>
                <w:szCs w:val="18"/>
              </w:rPr>
            </w:pPr>
            <w:r>
              <w:rPr>
                <w:rFonts w:ascii="Calibri" w:hAnsi="Calibri" w:cs="Arial"/>
                <w:color w:val="000000"/>
                <w:sz w:val="18"/>
                <w:szCs w:val="18"/>
              </w:rPr>
              <w:t>Total</w:t>
            </w:r>
          </w:p>
        </w:tc>
        <w:tc>
          <w:tcPr>
            <w:tcW w:w="850" w:type="dxa"/>
            <w:shd w:val="clear" w:color="auto" w:fill="DBE5F1" w:themeFill="accent1" w:themeFillTint="33"/>
          </w:tcPr>
          <w:p w14:paraId="6004E002">
            <w:pPr>
              <w:jc w:val="center"/>
              <w:rPr>
                <w:rFonts w:ascii="Calibri" w:hAnsi="Calibri" w:cs="Arial"/>
                <w:color w:val="000000"/>
                <w:sz w:val="18"/>
                <w:szCs w:val="18"/>
              </w:rPr>
            </w:pPr>
            <w:r>
              <w:rPr>
                <w:rFonts w:ascii="Calibri" w:hAnsi="Calibri" w:cs="Arial"/>
                <w:color w:val="000000"/>
                <w:sz w:val="18"/>
                <w:szCs w:val="18"/>
              </w:rPr>
              <w:t>39,80</w:t>
            </w:r>
          </w:p>
        </w:tc>
        <w:tc>
          <w:tcPr>
            <w:tcW w:w="1842" w:type="dxa"/>
            <w:shd w:val="clear" w:color="auto" w:fill="DBE5F1" w:themeFill="accent1" w:themeFillTint="33"/>
          </w:tcPr>
          <w:p w14:paraId="3612940E">
            <w:pPr>
              <w:jc w:val="center"/>
              <w:rPr>
                <w:rFonts w:ascii="Calibri" w:hAnsi="Calibri" w:cs="Arial"/>
                <w:color w:val="000000"/>
                <w:sz w:val="18"/>
                <w:szCs w:val="18"/>
              </w:rPr>
            </w:pPr>
          </w:p>
        </w:tc>
        <w:tc>
          <w:tcPr>
            <w:tcW w:w="3344" w:type="dxa"/>
            <w:shd w:val="clear" w:color="auto" w:fill="DBE5F1" w:themeFill="accent1" w:themeFillTint="33"/>
          </w:tcPr>
          <w:p w14:paraId="01C6A313">
            <w:pPr>
              <w:rPr>
                <w:rFonts w:ascii="Calibri" w:hAnsi="Calibri" w:cs="Arial"/>
                <w:sz w:val="18"/>
                <w:szCs w:val="18"/>
              </w:rPr>
            </w:pPr>
          </w:p>
        </w:tc>
      </w:tr>
    </w:tbl>
    <w:p w14:paraId="64D688EE">
      <w:pPr>
        <w:pStyle w:val="65"/>
        <w:shd w:val="clear" w:color="auto" w:fill="FFFFFF"/>
        <w:spacing w:beforeAutospacing="0" w:afterAutospacing="0"/>
        <w:textAlignment w:val="baseline"/>
        <w:rPr>
          <w:rFonts w:asciiTheme="minorHAnsi" w:hAnsiTheme="minorHAnsi" w:cstheme="minorHAnsi"/>
          <w:color w:val="000000"/>
          <w:sz w:val="22"/>
          <w:szCs w:val="22"/>
        </w:rPr>
      </w:pPr>
      <w:r>
        <w:rPr>
          <w:rStyle w:val="8"/>
          <w:rFonts w:asciiTheme="minorHAnsi" w:hAnsiTheme="minorHAnsi" w:cstheme="minorHAnsi"/>
          <w:color w:val="000000"/>
          <w:sz w:val="22"/>
          <w:szCs w:val="22"/>
        </w:rPr>
        <w:t>Nota 1:</w:t>
      </w:r>
      <w:r>
        <w:rPr>
          <w:rFonts w:asciiTheme="minorHAnsi" w:hAnsiTheme="minorHAnsi" w:cstheme="minorHAnsi"/>
          <w:color w:val="000000"/>
          <w:sz w:val="22"/>
          <w:szCs w:val="22"/>
        </w:rPr>
        <w:t> Os percentuais dos encargos previdenciários, do FGTS e demais contribuições são aqueles estabelecidos pela legislação vigente.</w:t>
      </w:r>
    </w:p>
    <w:p w14:paraId="15500780">
      <w:pPr>
        <w:pStyle w:val="65"/>
        <w:shd w:val="clear" w:color="auto" w:fill="FFFFFF"/>
        <w:spacing w:beforeAutospacing="0" w:afterAutospacing="0"/>
        <w:textAlignment w:val="baseline"/>
        <w:rPr>
          <w:rFonts w:asciiTheme="minorHAnsi" w:hAnsiTheme="minorHAnsi" w:cstheme="minorHAnsi"/>
          <w:color w:val="000000"/>
          <w:sz w:val="22"/>
          <w:szCs w:val="22"/>
        </w:rPr>
      </w:pPr>
    </w:p>
    <w:p w14:paraId="3A3C88B3">
      <w:pPr>
        <w:pStyle w:val="65"/>
        <w:shd w:val="clear" w:color="auto" w:fill="FFFFFF"/>
        <w:spacing w:beforeAutospacing="0" w:afterAutospacing="0"/>
        <w:textAlignment w:val="baseline"/>
        <w:rPr>
          <w:rFonts w:asciiTheme="minorHAnsi" w:hAnsiTheme="minorHAnsi" w:cstheme="minorHAnsi"/>
          <w:color w:val="000000"/>
          <w:sz w:val="22"/>
          <w:szCs w:val="22"/>
        </w:rPr>
      </w:pPr>
      <w:r>
        <w:rPr>
          <w:rStyle w:val="8"/>
          <w:rFonts w:asciiTheme="minorHAnsi" w:hAnsiTheme="minorHAnsi" w:cstheme="minorHAnsi"/>
          <w:color w:val="000000"/>
          <w:sz w:val="22"/>
          <w:szCs w:val="22"/>
        </w:rPr>
        <w:t>Nota 2:</w:t>
      </w:r>
      <w:r>
        <w:rPr>
          <w:rFonts w:asciiTheme="minorHAnsi" w:hAnsiTheme="minorHAnsi" w:cstheme="minorHAnsi"/>
          <w:color w:val="000000"/>
          <w:sz w:val="22"/>
          <w:szCs w:val="22"/>
        </w:rPr>
        <w:t> O SAT a depender do grau de risco do serviço irá variar entre 1%, para risco leve, de 2%, para risco médio, e de 3% de risco grave. No caso, consideraremos as alíquotas de 3%, relativa à Locação de mão de obra temporária (CNAE 7820-5-00).</w:t>
      </w:r>
    </w:p>
    <w:p w14:paraId="3F5514A4">
      <w:pPr>
        <w:jc w:val="both"/>
        <w:rPr>
          <w:rFonts w:asciiTheme="minorHAnsi" w:hAnsiTheme="minorHAnsi" w:cstheme="minorHAnsi"/>
          <w:color w:val="000000"/>
          <w:sz w:val="22"/>
          <w:szCs w:val="22"/>
        </w:rPr>
      </w:pPr>
    </w:p>
    <w:p w14:paraId="3E05BAB5">
      <w:pPr>
        <w:jc w:val="both"/>
        <w:rPr>
          <w:rFonts w:asciiTheme="minorHAnsi" w:hAnsiTheme="minorHAnsi" w:cstheme="minorHAnsi"/>
          <w:color w:val="000000"/>
          <w:sz w:val="22"/>
          <w:szCs w:val="22"/>
          <w:highlight w:val="white"/>
        </w:rPr>
      </w:pPr>
      <w:r>
        <w:rPr>
          <w:rFonts w:asciiTheme="minorHAnsi" w:hAnsiTheme="minorHAnsi" w:cstheme="minorHAnsi"/>
          <w:sz w:val="22"/>
          <w:szCs w:val="22"/>
        </w:rPr>
        <mc:AlternateContent>
          <mc:Choice Requires="wps">
            <w:drawing>
              <wp:anchor distT="91440" distB="91440" distL="137160" distR="137160" simplePos="0" relativeHeight="251661312" behindDoc="0" locked="0" layoutInCell="1" allowOverlap="1">
                <wp:simplePos x="0" y="0"/>
                <wp:positionH relativeFrom="margin">
                  <wp:posOffset>-635</wp:posOffset>
                </wp:positionH>
                <wp:positionV relativeFrom="margin">
                  <wp:posOffset>-4182745</wp:posOffset>
                </wp:positionV>
                <wp:extent cx="1802765" cy="2482215"/>
                <wp:effectExtent l="3175" t="0" r="0" b="0"/>
                <wp:wrapSquare wrapText="bothSides"/>
                <wp:docPr id="5" name="AutoForma 2"/>
                <wp:cNvGraphicFramePr/>
                <a:graphic xmlns:a="http://schemas.openxmlformats.org/drawingml/2006/main">
                  <a:graphicData uri="http://schemas.microsoft.com/office/word/2010/wordprocessingShape">
                    <wps:wsp>
                      <wps:cNvSpPr/>
                      <wps:spPr>
                        <a:xfrm rot="5400000">
                          <a:off x="0" y="0"/>
                          <a:ext cx="1802160" cy="2481480"/>
                        </a:xfrm>
                        <a:prstGeom prst="roundRect">
                          <a:avLst>
                            <a:gd name="adj" fmla="val 13032"/>
                          </a:avLst>
                        </a:prstGeom>
                        <a:solidFill>
                          <a:schemeClr val="accent3">
                            <a:lumMod val="40000"/>
                            <a:lumOff val="60000"/>
                          </a:schemeClr>
                        </a:solidFill>
                        <a:ln>
                          <a:noFill/>
                        </a:ln>
                      </wps:spPr>
                      <wps:style>
                        <a:lnRef idx="0">
                          <a:scrgbClr r="0" g="0" b="0"/>
                        </a:lnRef>
                        <a:fillRef idx="0">
                          <a:scrgbClr r="0" g="0" b="0"/>
                        </a:fillRef>
                        <a:effectRef idx="0">
                          <a:scrgbClr r="0" g="0" b="0"/>
                        </a:effectRef>
                        <a:fontRef idx="minor"/>
                      </wps:style>
                      <wps:txbx>
                        <w:txbxContent>
                          <w:p w14:paraId="07B7F0D2">
                            <w:pPr>
                              <w:pStyle w:val="63"/>
                              <w:spacing w:beforeAutospacing="0" w:afterAutospacing="0"/>
                              <w:rPr>
                                <w:rFonts w:cs="Arial" w:asciiTheme="minorHAnsi" w:hAnsiTheme="minorHAnsi"/>
                                <w:iCs/>
                                <w:sz w:val="20"/>
                                <w:szCs w:val="20"/>
                              </w:rPr>
                            </w:pPr>
                            <w:r>
                              <w:rPr>
                                <w:rFonts w:asciiTheme="minorHAnsi" w:hAnsiTheme="minorHAnsi"/>
                                <w:iCs/>
                                <w:sz w:val="20"/>
                                <w:szCs w:val="20"/>
                              </w:rPr>
                              <w:t>Fórmula dias: [(365 / 7) x 5 – 9] /12 = </w:t>
                            </w:r>
                            <w:r>
                              <w:rPr>
                                <w:rStyle w:val="8"/>
                                <w:rFonts w:asciiTheme="minorHAnsi" w:hAnsiTheme="minorHAnsi"/>
                                <w:iCs/>
                                <w:sz w:val="20"/>
                                <w:szCs w:val="20"/>
                              </w:rPr>
                              <w:t>20,98</w:t>
                            </w:r>
                          </w:p>
                          <w:p w14:paraId="369E6847">
                            <w:pPr>
                              <w:pStyle w:val="19"/>
                              <w:spacing w:beforeAutospacing="0" w:afterAutospacing="0"/>
                              <w:rPr>
                                <w:rFonts w:cs="Arial" w:asciiTheme="minorHAnsi" w:hAnsiTheme="minorHAnsi"/>
                                <w:i/>
                                <w:iCs/>
                                <w:sz w:val="20"/>
                                <w:szCs w:val="20"/>
                                <w:u w:val="single"/>
                              </w:rPr>
                            </w:pPr>
                            <w:r>
                              <w:rPr>
                                <w:rStyle w:val="11"/>
                                <w:rFonts w:asciiTheme="minorHAnsi" w:hAnsiTheme="minorHAnsi"/>
                                <w:sz w:val="20"/>
                                <w:szCs w:val="20"/>
                                <w:u w:val="single"/>
                              </w:rPr>
                              <w:t>Onde:</w:t>
                            </w:r>
                          </w:p>
                          <w:p w14:paraId="76134A46">
                            <w:pPr>
                              <w:pStyle w:val="64"/>
                              <w:spacing w:beforeAutospacing="0" w:afterAutospacing="0"/>
                              <w:ind w:left="600"/>
                            </w:pPr>
                            <w:r>
                              <w:rPr>
                                <w:rFonts w:asciiTheme="minorHAnsi" w:hAnsiTheme="minorHAnsi"/>
                                <w:i/>
                                <w:iCs/>
                                <w:sz w:val="20"/>
                                <w:szCs w:val="20"/>
                              </w:rPr>
                              <w:t>365 = número de dias no ano</w:t>
                            </w:r>
                            <w:r>
                              <w:rPr>
                                <w:rFonts w:asciiTheme="minorHAnsi" w:hAnsiTheme="minorHAnsi"/>
                                <w:i/>
                                <w:iCs/>
                                <w:sz w:val="20"/>
                                <w:szCs w:val="20"/>
                              </w:rPr>
                              <w:br w:type="textWrapping"/>
                            </w:r>
                            <w:r>
                              <w:rPr>
                                <w:rFonts w:asciiTheme="minorHAnsi" w:hAnsiTheme="minorHAnsi"/>
                                <w:i/>
                                <w:iCs/>
                                <w:sz w:val="20"/>
                                <w:szCs w:val="20"/>
                              </w:rPr>
                              <w:t>7 = número de dias na semana</w:t>
                            </w:r>
                            <w:r>
                              <w:rPr>
                                <w:rFonts w:asciiTheme="minorHAnsi" w:hAnsiTheme="minorHAnsi"/>
                                <w:i/>
                                <w:iCs/>
                                <w:sz w:val="20"/>
                                <w:szCs w:val="20"/>
                              </w:rPr>
                              <w:br w:type="textWrapping"/>
                            </w:r>
                            <w:r>
                              <w:rPr>
                                <w:rFonts w:asciiTheme="minorHAnsi" w:hAnsiTheme="minorHAnsi"/>
                                <w:i/>
                                <w:iCs/>
                                <w:sz w:val="20"/>
                                <w:szCs w:val="20"/>
                              </w:rPr>
                              <w:t>5 = número de dias úteis (segunda a sexta)</w:t>
                            </w:r>
                            <w:r>
                              <w:rPr>
                                <w:rFonts w:asciiTheme="minorHAnsi" w:hAnsiTheme="minorHAnsi"/>
                                <w:i/>
                                <w:iCs/>
                                <w:sz w:val="20"/>
                                <w:szCs w:val="20"/>
                              </w:rPr>
                              <w:br w:type="textWrapping"/>
                            </w:r>
                            <w:r>
                              <w:rPr>
                                <w:rFonts w:asciiTheme="minorHAnsi" w:hAnsiTheme="minorHAnsi"/>
                                <w:i/>
                                <w:iCs/>
                                <w:sz w:val="20"/>
                                <w:szCs w:val="20"/>
                              </w:rPr>
                              <w:t>9 = número de feriados nacionais em dias úteis (média)</w:t>
                            </w:r>
                            <w:r>
                              <w:rPr>
                                <w:rFonts w:asciiTheme="minorHAnsi" w:hAnsiTheme="minorHAnsi"/>
                                <w:i/>
                                <w:iCs/>
                                <w:sz w:val="20"/>
                                <w:szCs w:val="20"/>
                              </w:rPr>
                              <w:br w:type="textWrapping"/>
                            </w:r>
                            <w:r>
                              <w:rPr>
                                <w:rFonts w:asciiTheme="minorHAnsi" w:hAnsiTheme="minorHAnsi"/>
                                <w:i/>
                                <w:iCs/>
                                <w:sz w:val="20"/>
                                <w:szCs w:val="20"/>
                              </w:rPr>
                              <w:t>12 = número de meses no ano</w:t>
                            </w:r>
                          </w:p>
                        </w:txbxContent>
                      </wps:txbx>
                      <wps:bodyPr anchor="ctr">
                        <a:noAutofit/>
                      </wps:bodyPr>
                    </wps:wsp>
                  </a:graphicData>
                </a:graphic>
              </wp:anchor>
            </w:drawing>
          </mc:Choice>
          <mc:Fallback>
            <w:pict>
              <v:roundrect id="AutoForma 2" o:spid="_x0000_s1026" o:spt="2" style="position:absolute;left:0pt;margin-left:-0.05pt;margin-top:-329.35pt;height:195.45pt;width:141.95pt;mso-position-horizontal-relative:margin;mso-position-vertical-relative:margin;mso-wrap-distance-bottom:7.2pt;mso-wrap-distance-left:10.8pt;mso-wrap-distance-right:10.8pt;mso-wrap-distance-top:7.2pt;rotation:5898240f;z-index:251661312;v-text-anchor:middle;mso-width-relative:page;mso-height-relative:page;" fillcolor="#D7E4BD [1302]" filled="t" stroked="f" coordsize="21600,21600" arcsize="0.130324074074074" o:gfxdata="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vbSwDcAAAACwEAAA8AAAAAAAAAAQAgAAAAIgAAAGRycy9kb3ducmV2&#10;LnhtbFBLAQIUABQAAAAIAIdO4kBn10aW+AEAAAEEAAAOAAAAAAAAAAEAIAAAACsBAABkcnMvZTJv&#10;RG9jLnhtbFBLBQYAAAAABgAGAFkBAACVBQAAAAA=&#10;">
                <v:fill on="t" focussize="0,0"/>
                <v:stroke on="f"/>
                <v:imagedata o:title=""/>
                <o:lock v:ext="edit" aspectratio="f"/>
                <v:textbox>
                  <w:txbxContent>
                    <w:p w14:paraId="07B7F0D2">
                      <w:pPr>
                        <w:pStyle w:val="63"/>
                        <w:spacing w:beforeAutospacing="0" w:afterAutospacing="0"/>
                        <w:rPr>
                          <w:rFonts w:cs="Arial" w:asciiTheme="minorHAnsi" w:hAnsiTheme="minorHAnsi"/>
                          <w:iCs/>
                          <w:sz w:val="20"/>
                          <w:szCs w:val="20"/>
                        </w:rPr>
                      </w:pPr>
                      <w:r>
                        <w:rPr>
                          <w:rFonts w:asciiTheme="minorHAnsi" w:hAnsiTheme="minorHAnsi"/>
                          <w:iCs/>
                          <w:sz w:val="20"/>
                          <w:szCs w:val="20"/>
                        </w:rPr>
                        <w:t>Fórmula dias: [(365 / 7) x 5 – 9] /12 = </w:t>
                      </w:r>
                      <w:r>
                        <w:rPr>
                          <w:rStyle w:val="8"/>
                          <w:rFonts w:asciiTheme="minorHAnsi" w:hAnsiTheme="minorHAnsi"/>
                          <w:iCs/>
                          <w:sz w:val="20"/>
                          <w:szCs w:val="20"/>
                        </w:rPr>
                        <w:t>20,98</w:t>
                      </w:r>
                    </w:p>
                    <w:p w14:paraId="369E6847">
                      <w:pPr>
                        <w:pStyle w:val="19"/>
                        <w:spacing w:beforeAutospacing="0" w:afterAutospacing="0"/>
                        <w:rPr>
                          <w:rFonts w:cs="Arial" w:asciiTheme="minorHAnsi" w:hAnsiTheme="minorHAnsi"/>
                          <w:i/>
                          <w:iCs/>
                          <w:sz w:val="20"/>
                          <w:szCs w:val="20"/>
                          <w:u w:val="single"/>
                        </w:rPr>
                      </w:pPr>
                      <w:r>
                        <w:rPr>
                          <w:rStyle w:val="11"/>
                          <w:rFonts w:asciiTheme="minorHAnsi" w:hAnsiTheme="minorHAnsi"/>
                          <w:sz w:val="20"/>
                          <w:szCs w:val="20"/>
                          <w:u w:val="single"/>
                        </w:rPr>
                        <w:t>Onde:</w:t>
                      </w:r>
                    </w:p>
                    <w:p w14:paraId="76134A46">
                      <w:pPr>
                        <w:pStyle w:val="64"/>
                        <w:spacing w:beforeAutospacing="0" w:afterAutospacing="0"/>
                        <w:ind w:left="600"/>
                      </w:pPr>
                      <w:r>
                        <w:rPr>
                          <w:rFonts w:asciiTheme="minorHAnsi" w:hAnsiTheme="minorHAnsi"/>
                          <w:i/>
                          <w:iCs/>
                          <w:sz w:val="20"/>
                          <w:szCs w:val="20"/>
                        </w:rPr>
                        <w:t>365 = número de dias no ano</w:t>
                      </w:r>
                      <w:r>
                        <w:rPr>
                          <w:rFonts w:asciiTheme="minorHAnsi" w:hAnsiTheme="minorHAnsi"/>
                          <w:i/>
                          <w:iCs/>
                          <w:sz w:val="20"/>
                          <w:szCs w:val="20"/>
                        </w:rPr>
                        <w:br w:type="textWrapping"/>
                      </w:r>
                      <w:r>
                        <w:rPr>
                          <w:rFonts w:asciiTheme="minorHAnsi" w:hAnsiTheme="minorHAnsi"/>
                          <w:i/>
                          <w:iCs/>
                          <w:sz w:val="20"/>
                          <w:szCs w:val="20"/>
                        </w:rPr>
                        <w:t>7 = número de dias na semana</w:t>
                      </w:r>
                      <w:r>
                        <w:rPr>
                          <w:rFonts w:asciiTheme="minorHAnsi" w:hAnsiTheme="minorHAnsi"/>
                          <w:i/>
                          <w:iCs/>
                          <w:sz w:val="20"/>
                          <w:szCs w:val="20"/>
                        </w:rPr>
                        <w:br w:type="textWrapping"/>
                      </w:r>
                      <w:r>
                        <w:rPr>
                          <w:rFonts w:asciiTheme="minorHAnsi" w:hAnsiTheme="minorHAnsi"/>
                          <w:i/>
                          <w:iCs/>
                          <w:sz w:val="20"/>
                          <w:szCs w:val="20"/>
                        </w:rPr>
                        <w:t>5 = número de dias úteis (segunda a sexta)</w:t>
                      </w:r>
                      <w:r>
                        <w:rPr>
                          <w:rFonts w:asciiTheme="minorHAnsi" w:hAnsiTheme="minorHAnsi"/>
                          <w:i/>
                          <w:iCs/>
                          <w:sz w:val="20"/>
                          <w:szCs w:val="20"/>
                        </w:rPr>
                        <w:br w:type="textWrapping"/>
                      </w:r>
                      <w:r>
                        <w:rPr>
                          <w:rFonts w:asciiTheme="minorHAnsi" w:hAnsiTheme="minorHAnsi"/>
                          <w:i/>
                          <w:iCs/>
                          <w:sz w:val="20"/>
                          <w:szCs w:val="20"/>
                        </w:rPr>
                        <w:t>9 = número de feriados nacionais em dias úteis (média)</w:t>
                      </w:r>
                      <w:r>
                        <w:rPr>
                          <w:rFonts w:asciiTheme="minorHAnsi" w:hAnsiTheme="minorHAnsi"/>
                          <w:i/>
                          <w:iCs/>
                          <w:sz w:val="20"/>
                          <w:szCs w:val="20"/>
                        </w:rPr>
                        <w:br w:type="textWrapping"/>
                      </w:r>
                      <w:r>
                        <w:rPr>
                          <w:rFonts w:asciiTheme="minorHAnsi" w:hAnsiTheme="minorHAnsi"/>
                          <w:i/>
                          <w:iCs/>
                          <w:sz w:val="20"/>
                          <w:szCs w:val="20"/>
                        </w:rPr>
                        <w:t>12 = número de meses no ano</w:t>
                      </w:r>
                    </w:p>
                  </w:txbxContent>
                </v:textbox>
                <w10:wrap type="square"/>
              </v:roundrect>
            </w:pict>
          </mc:Fallback>
        </mc:AlternateContent>
      </w:r>
      <w:r>
        <w:rPr>
          <w:rStyle w:val="8"/>
          <w:rFonts w:asciiTheme="minorHAnsi" w:hAnsiTheme="minorHAnsi" w:cstheme="minorHAnsi"/>
          <w:color w:val="000000"/>
          <w:sz w:val="22"/>
          <w:szCs w:val="22"/>
          <w:shd w:val="clear" w:color="auto" w:fill="FFFFFF"/>
        </w:rPr>
        <w:t>Nota 3:</w:t>
      </w:r>
      <w:r>
        <w:rPr>
          <w:rFonts w:asciiTheme="minorHAnsi" w:hAnsiTheme="minorHAnsi" w:cstheme="minorHAnsi"/>
          <w:color w:val="000000"/>
          <w:sz w:val="22"/>
          <w:szCs w:val="22"/>
          <w:shd w:val="clear" w:color="auto" w:fill="FFFFFF"/>
        </w:rPr>
        <w:t xml:space="preserve"> Esses percentuais incidem sobre o Módulo 1, o Submódulo 2.1.  </w:t>
      </w:r>
    </w:p>
    <w:p w14:paraId="7CD89781">
      <w:pPr>
        <w:jc w:val="both"/>
        <w:rPr>
          <w:rFonts w:asciiTheme="minorHAnsi" w:hAnsiTheme="minorHAnsi" w:cstheme="minorHAnsi"/>
          <w:color w:val="000000"/>
          <w:sz w:val="22"/>
          <w:szCs w:val="22"/>
          <w:highlight w:val="white"/>
        </w:rPr>
      </w:pPr>
      <w:r>
        <w:rPr>
          <w:rFonts w:asciiTheme="minorHAnsi" w:hAnsiTheme="minorHAnsi" w:cstheme="minorHAnsi"/>
          <w:color w:val="000000"/>
          <w:sz w:val="22"/>
          <w:szCs w:val="22"/>
          <w:shd w:val="clear" w:color="auto" w:fill="FFFFFF"/>
        </w:rPr>
        <w:t xml:space="preserve">Obs.: Incidirá apenas na linha A do Submódulo 2.1 pois, na base de cálculo no primeiro ano, consideraremos que, inicialmente, não haverá prorrogação do contrato e segundo a tabela de incidência do </w:t>
      </w:r>
      <w:r>
        <w:rPr>
          <w:rFonts w:asciiTheme="minorHAnsi" w:hAnsiTheme="minorHAnsi" w:cstheme="minorHAnsi"/>
          <w:b/>
          <w:color w:val="000000"/>
          <w:sz w:val="22"/>
          <w:szCs w:val="22"/>
          <w:shd w:val="clear" w:color="auto" w:fill="FFFFFF"/>
        </w:rPr>
        <w:t>GPS e FGTS não incide sobre indenizações</w:t>
      </w:r>
      <w:r>
        <w:rPr>
          <w:rFonts w:asciiTheme="minorHAnsi" w:hAnsiTheme="minorHAnsi" w:cstheme="minorHAnsi"/>
          <w:color w:val="000000"/>
          <w:sz w:val="22"/>
          <w:szCs w:val="22"/>
          <w:shd w:val="clear" w:color="auto" w:fill="FFFFFF"/>
        </w:rPr>
        <w:t>.</w:t>
      </w:r>
    </w:p>
    <w:p w14:paraId="1C392355">
      <w:pPr>
        <w:jc w:val="both"/>
        <w:rPr>
          <w:rFonts w:asciiTheme="minorHAnsi" w:hAnsiTheme="minorHAnsi" w:cstheme="minorHAnsi"/>
          <w:b/>
          <w:sz w:val="22"/>
          <w:szCs w:val="22"/>
        </w:rPr>
      </w:pPr>
      <w:r>
        <w:rPr>
          <w:rFonts w:asciiTheme="minorHAnsi" w:hAnsiTheme="minorHAnsi" w:cstheme="minorHAnsi"/>
          <w:color w:val="000000"/>
          <w:sz w:val="22"/>
          <w:szCs w:val="22"/>
          <w:shd w:val="clear" w:color="auto" w:fill="FFFFFF"/>
        </w:rPr>
        <w:t xml:space="preserve"> No segundo ano, no caso de prorrogação, utilizar somente o 1/3 constitucional.</w:t>
      </w:r>
    </w:p>
    <w:p w14:paraId="570D23E8">
      <w:pPr>
        <w:jc w:val="both"/>
        <w:rPr>
          <w:rFonts w:asciiTheme="minorHAnsi" w:hAnsiTheme="minorHAnsi" w:cstheme="minorHAnsi"/>
          <w:sz w:val="22"/>
          <w:szCs w:val="22"/>
          <w:u w:val="single"/>
          <w:lang w:val="pt-PT"/>
        </w:rPr>
      </w:pPr>
    </w:p>
    <w:p w14:paraId="2E2765AE">
      <w:pPr>
        <w:jc w:val="both"/>
        <w:rPr>
          <w:rFonts w:asciiTheme="minorHAnsi" w:hAnsiTheme="minorHAnsi" w:cstheme="minorHAnsi"/>
          <w:sz w:val="22"/>
          <w:szCs w:val="22"/>
          <w:u w:val="single"/>
          <w:lang w:val="pt-PT"/>
        </w:rPr>
      </w:pPr>
      <w:r>
        <w:rPr>
          <w:rFonts w:asciiTheme="minorHAnsi" w:hAnsiTheme="minorHAnsi" w:cstheme="minorHAnsi"/>
          <w:sz w:val="22"/>
          <w:szCs w:val="22"/>
          <w:u w:val="single"/>
          <w:lang w:val="pt-PT"/>
        </w:rPr>
        <w:t>Submódulo 2.3 - Benefícios Mensais e Diários</w:t>
      </w:r>
    </w:p>
    <w:p w14:paraId="38749B5A">
      <w:pPr>
        <w:jc w:val="both"/>
        <w:rPr>
          <w:rFonts w:asciiTheme="minorHAnsi" w:hAnsiTheme="minorHAnsi" w:cstheme="minorHAnsi"/>
          <w:sz w:val="22"/>
          <w:szCs w:val="22"/>
          <w:u w:val="single"/>
          <w:lang w:val="pt-PT"/>
        </w:rPr>
      </w:pPr>
    </w:p>
    <w:p w14:paraId="6C78AF0C">
      <w:pPr>
        <w:jc w:val="both"/>
        <w:rPr>
          <w:rFonts w:ascii="Calibri" w:hAnsi="Calibri" w:cs="Arial"/>
          <w:b/>
          <w:u w:val="single"/>
          <w:lang w:val="pt-PT"/>
        </w:rPr>
      </w:pPr>
      <w:r>
        <w:rPr>
          <w:rFonts w:ascii="Calibri" w:hAnsi="Calibri" w:cs="Arial"/>
          <w:b/>
          <w:u w:val="single"/>
          <w:lang w:val="pt-PT"/>
        </w:rPr>
        <w:t>Conforme CCT:</w:t>
      </w:r>
    </w:p>
    <w:p w14:paraId="6CE05A04">
      <w:pPr>
        <w:jc w:val="both"/>
        <w:rPr>
          <w:rFonts w:ascii="Calibri" w:hAnsi="Calibri" w:cs="Arial"/>
          <w:b/>
          <w:u w:val="single"/>
          <w:lang w:val="pt-PT"/>
        </w:rPr>
      </w:pPr>
    </w:p>
    <w:tbl>
      <w:tblPr>
        <w:tblStyle w:val="70"/>
        <w:tblW w:w="7938"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562"/>
        <w:gridCol w:w="2410"/>
        <w:gridCol w:w="4966"/>
      </w:tblGrid>
      <w:tr w14:paraId="0B0C9BEC">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562"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75EA32A0">
            <w:pPr>
              <w:jc w:val="center"/>
              <w:rPr>
                <w:rFonts w:ascii="Calibri" w:hAnsi="Calibri" w:cs="Arial"/>
                <w:b w:val="0"/>
                <w:bCs w:val="0"/>
                <w:color w:val="000000"/>
                <w:sz w:val="18"/>
                <w:szCs w:val="18"/>
              </w:rPr>
            </w:pPr>
            <w:r>
              <w:rPr>
                <w:rFonts w:ascii="Calibri" w:hAnsi="Calibri" w:cs="Arial"/>
                <w:b/>
                <w:bCs/>
                <w:color w:val="000000"/>
                <w:sz w:val="18"/>
                <w:szCs w:val="18"/>
              </w:rPr>
              <w:t>2.3</w:t>
            </w:r>
          </w:p>
        </w:tc>
        <w:tc>
          <w:tcPr>
            <w:tcW w:w="241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4A528F9">
            <w:pPr>
              <w:jc w:val="center"/>
              <w:rPr>
                <w:rFonts w:ascii="Calibri" w:hAnsi="Calibri" w:cs="Arial"/>
                <w:b w:val="0"/>
                <w:bCs w:val="0"/>
                <w:color w:val="000000"/>
                <w:sz w:val="18"/>
                <w:szCs w:val="18"/>
              </w:rPr>
            </w:pPr>
            <w:r>
              <w:rPr>
                <w:rFonts w:ascii="Calibri" w:hAnsi="Calibri" w:cs="Arial"/>
                <w:b/>
                <w:bCs/>
                <w:color w:val="000000"/>
                <w:sz w:val="18"/>
                <w:szCs w:val="18"/>
              </w:rPr>
              <w:t>BENEFÍCIOS MENSAIS E DIÁRIOS</w:t>
            </w:r>
          </w:p>
        </w:tc>
        <w:tc>
          <w:tcPr>
            <w:tcW w:w="4966"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3F21B43F">
            <w:pPr>
              <w:jc w:val="center"/>
              <w:rPr>
                <w:rFonts w:ascii="Calibri" w:hAnsi="Calibri" w:cs="Arial"/>
                <w:b w:val="0"/>
                <w:bCs w:val="0"/>
                <w:color w:val="000000"/>
                <w:sz w:val="18"/>
                <w:szCs w:val="18"/>
              </w:rPr>
            </w:pPr>
            <w:r>
              <w:rPr>
                <w:rFonts w:ascii="Calibri" w:hAnsi="Calibri" w:cs="Arial"/>
                <w:b/>
                <w:bCs/>
                <w:color w:val="000000"/>
                <w:sz w:val="18"/>
                <w:szCs w:val="18"/>
              </w:rPr>
              <w:t xml:space="preserve">VALOR (R$) </w:t>
            </w:r>
          </w:p>
        </w:tc>
      </w:tr>
      <w:tr w14:paraId="0D6B6E5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631" w:hRule="atLeast"/>
        </w:trPr>
        <w:tc>
          <w:tcPr>
            <w:tcW w:w="562" w:type="dxa"/>
            <w:shd w:val="clear" w:color="auto" w:fill="DBE5F1" w:themeFill="accent1" w:themeFillTint="33"/>
          </w:tcPr>
          <w:p w14:paraId="451F899D">
            <w:pPr>
              <w:jc w:val="center"/>
              <w:rPr>
                <w:rFonts w:ascii="Calibri" w:hAnsi="Calibri" w:cs="Arial"/>
                <w:b w:val="0"/>
                <w:bCs w:val="0"/>
                <w:sz w:val="18"/>
                <w:szCs w:val="18"/>
              </w:rPr>
            </w:pPr>
            <w:r>
              <w:rPr>
                <w:rFonts w:ascii="Calibri" w:hAnsi="Calibri" w:cs="Arial"/>
                <w:b/>
                <w:bCs/>
                <w:sz w:val="18"/>
                <w:szCs w:val="18"/>
              </w:rPr>
              <w:t>A</w:t>
            </w:r>
          </w:p>
        </w:tc>
        <w:tc>
          <w:tcPr>
            <w:tcW w:w="2410" w:type="dxa"/>
            <w:shd w:val="clear" w:color="auto" w:fill="DBE5F1" w:themeFill="accent1" w:themeFillTint="33"/>
          </w:tcPr>
          <w:p w14:paraId="65EF31C9">
            <w:pPr>
              <w:rPr>
                <w:rFonts w:ascii="Calibri" w:hAnsi="Calibri" w:cs="Arial"/>
                <w:sz w:val="18"/>
                <w:szCs w:val="18"/>
              </w:rPr>
            </w:pPr>
            <w:r>
              <w:rPr>
                <w:rFonts w:ascii="Calibri" w:hAnsi="Calibri" w:cs="Arial"/>
                <w:sz w:val="18"/>
                <w:szCs w:val="18"/>
              </w:rPr>
              <w:t xml:space="preserve">Transporte </w:t>
            </w:r>
          </w:p>
        </w:tc>
        <w:tc>
          <w:tcPr>
            <w:tcW w:w="4966" w:type="dxa"/>
            <w:shd w:val="clear" w:color="auto" w:fill="DBE5F1" w:themeFill="accent1" w:themeFillTint="33"/>
          </w:tcPr>
          <w:p w14:paraId="2455DF7C">
            <w:pPr>
              <w:spacing w:line="276" w:lineRule="auto"/>
              <w:jc w:val="both"/>
              <w:rPr>
                <w:rFonts w:ascii="Calibri" w:hAnsi="Calibri" w:cs="Arial"/>
                <w:sz w:val="18"/>
                <w:szCs w:val="18"/>
              </w:rPr>
            </w:pPr>
            <w:r>
              <w:rPr>
                <w:rFonts w:ascii="Calibri" w:hAnsi="Calibri" w:cs="Arial"/>
                <w:sz w:val="18"/>
                <w:szCs w:val="18"/>
              </w:rPr>
              <w:t xml:space="preserve">valor do transporte </w:t>
            </w:r>
            <w:r>
              <w:rPr>
                <w:rFonts w:ascii="Calibri" w:hAnsi="Calibri" w:cs="Arial"/>
                <w:b/>
                <w:bCs/>
                <w:color w:val="FF0000"/>
                <w:sz w:val="18"/>
                <w:szCs w:val="18"/>
              </w:rPr>
              <w:t>(5,60)</w:t>
            </w:r>
            <w:r>
              <w:rPr>
                <w:rFonts w:ascii="Calibri" w:hAnsi="Calibri" w:cs="Arial"/>
                <w:sz w:val="18"/>
                <w:szCs w:val="18"/>
              </w:rPr>
              <w:t xml:space="preserve"> x nº de passagens por dia x nº de dias trabalhados – (6% x valor salário base)</w:t>
            </w:r>
          </w:p>
        </w:tc>
      </w:tr>
      <w:tr w14:paraId="0E3CD36D">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562" w:type="dxa"/>
          </w:tcPr>
          <w:p w14:paraId="6D75C936">
            <w:pPr>
              <w:jc w:val="center"/>
              <w:rPr>
                <w:rFonts w:ascii="Calibri" w:hAnsi="Calibri" w:cs="Arial"/>
                <w:b/>
                <w:bCs/>
                <w:sz w:val="18"/>
                <w:szCs w:val="18"/>
              </w:rPr>
            </w:pPr>
            <w:r>
              <w:rPr>
                <w:rFonts w:ascii="Calibri" w:hAnsi="Calibri" w:cs="Arial"/>
                <w:b/>
                <w:bCs/>
                <w:sz w:val="18"/>
                <w:szCs w:val="18"/>
              </w:rPr>
              <w:t>B</w:t>
            </w:r>
          </w:p>
        </w:tc>
        <w:tc>
          <w:tcPr>
            <w:tcW w:w="2410" w:type="dxa"/>
          </w:tcPr>
          <w:p w14:paraId="5AB51E3E">
            <w:pPr>
              <w:rPr>
                <w:rFonts w:ascii="Calibri" w:hAnsi="Calibri" w:cs="Arial"/>
                <w:sz w:val="18"/>
                <w:szCs w:val="18"/>
              </w:rPr>
            </w:pPr>
            <w:r>
              <w:rPr>
                <w:rFonts w:ascii="Calibri" w:hAnsi="Calibri" w:cs="Arial"/>
                <w:sz w:val="18"/>
                <w:szCs w:val="18"/>
              </w:rPr>
              <w:t>Auxílio Refeição/Alimentação</w:t>
            </w:r>
          </w:p>
        </w:tc>
        <w:tc>
          <w:tcPr>
            <w:tcW w:w="4966" w:type="dxa"/>
          </w:tcPr>
          <w:p w14:paraId="715613A7">
            <w:pPr>
              <w:spacing w:line="276" w:lineRule="auto"/>
              <w:jc w:val="both"/>
              <w:rPr>
                <w:rFonts w:ascii="Calibri" w:hAnsi="Calibri" w:cs="Arial"/>
                <w:sz w:val="18"/>
                <w:szCs w:val="18"/>
              </w:rPr>
            </w:pPr>
            <w:r>
              <w:rPr>
                <w:rFonts w:ascii="Calibri" w:hAnsi="Calibri" w:cs="Arial"/>
                <w:sz w:val="18"/>
                <w:szCs w:val="18"/>
              </w:rPr>
              <w:t>Há previsão de Vale diário no valor de R$27,00 (Cláusula 20ª da CCT)</w:t>
            </w:r>
          </w:p>
        </w:tc>
      </w:tr>
      <w:tr w14:paraId="39F6E1E8">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562" w:type="dxa"/>
            <w:shd w:val="clear" w:color="auto" w:fill="DBE5F1" w:themeFill="accent1" w:themeFillTint="33"/>
          </w:tcPr>
          <w:p w14:paraId="4E87A37C">
            <w:pPr>
              <w:jc w:val="center"/>
              <w:rPr>
                <w:rFonts w:ascii="Calibri" w:hAnsi="Calibri" w:cs="Arial"/>
                <w:b w:val="0"/>
                <w:bCs w:val="0"/>
                <w:sz w:val="18"/>
                <w:szCs w:val="18"/>
              </w:rPr>
            </w:pPr>
            <w:r>
              <w:rPr>
                <w:rFonts w:ascii="Calibri" w:hAnsi="Calibri" w:cs="Arial"/>
                <w:b/>
                <w:bCs/>
                <w:sz w:val="18"/>
                <w:szCs w:val="18"/>
              </w:rPr>
              <w:t>C</w:t>
            </w:r>
          </w:p>
        </w:tc>
        <w:tc>
          <w:tcPr>
            <w:tcW w:w="2410" w:type="dxa"/>
            <w:shd w:val="clear" w:color="auto" w:fill="DBE5F1" w:themeFill="accent1" w:themeFillTint="33"/>
          </w:tcPr>
          <w:p w14:paraId="4497B04D">
            <w:pPr>
              <w:rPr>
                <w:rFonts w:ascii="Calibri" w:hAnsi="Calibri" w:cs="Arial"/>
                <w:sz w:val="18"/>
                <w:szCs w:val="18"/>
                <w:lang w:eastAsia="en-US"/>
              </w:rPr>
            </w:pPr>
            <w:r>
              <w:rPr>
                <w:rFonts w:ascii="Calibri" w:hAnsi="Calibri" w:cs="Arial"/>
                <w:sz w:val="18"/>
                <w:szCs w:val="18"/>
                <w:lang w:eastAsia="en-US"/>
              </w:rPr>
              <w:t>Benefício Social Familiar</w:t>
            </w:r>
          </w:p>
        </w:tc>
        <w:tc>
          <w:tcPr>
            <w:tcW w:w="4966" w:type="dxa"/>
            <w:shd w:val="clear" w:color="auto" w:fill="DBE5F1" w:themeFill="accent1" w:themeFillTint="33"/>
          </w:tcPr>
          <w:p w14:paraId="0A53552A">
            <w:pPr>
              <w:rPr>
                <w:rFonts w:ascii="Calibri" w:hAnsi="Calibri" w:cs="Arial"/>
                <w:sz w:val="18"/>
                <w:szCs w:val="18"/>
              </w:rPr>
            </w:pPr>
            <w:r>
              <w:rPr>
                <w:rFonts w:ascii="Calibri" w:hAnsi="Calibri" w:cs="Arial"/>
                <w:sz w:val="18"/>
                <w:szCs w:val="18"/>
              </w:rPr>
              <w:t>Cláusula 26ª da CCT =  R$22,70, vedado qualquer desconto do trabalhador</w:t>
            </w:r>
          </w:p>
        </w:tc>
      </w:tr>
      <w:tr w14:paraId="6E63902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283" w:hRule="atLeast"/>
        </w:trPr>
        <w:tc>
          <w:tcPr>
            <w:tcW w:w="2972" w:type="dxa"/>
            <w:gridSpan w:val="2"/>
            <w:shd w:val="clear" w:color="auto" w:fill="DBE5F1" w:themeFill="accent1" w:themeFillTint="33"/>
          </w:tcPr>
          <w:p w14:paraId="4F455D38">
            <w:pPr>
              <w:jc w:val="center"/>
              <w:rPr>
                <w:rFonts w:ascii="Calibri" w:hAnsi="Calibri" w:cs="Arial"/>
                <w:b/>
                <w:bCs/>
                <w:sz w:val="18"/>
                <w:szCs w:val="18"/>
              </w:rPr>
            </w:pPr>
            <w:r>
              <w:rPr>
                <w:rFonts w:ascii="Calibri" w:hAnsi="Calibri" w:cs="Arial"/>
                <w:b/>
                <w:bCs/>
                <w:sz w:val="18"/>
                <w:szCs w:val="18"/>
              </w:rPr>
              <w:t>Total</w:t>
            </w:r>
          </w:p>
        </w:tc>
        <w:tc>
          <w:tcPr>
            <w:tcW w:w="4966" w:type="dxa"/>
            <w:shd w:val="clear" w:color="auto" w:fill="DBE5F1" w:themeFill="accent1" w:themeFillTint="33"/>
          </w:tcPr>
          <w:p w14:paraId="33160250">
            <w:pPr>
              <w:rPr>
                <w:rFonts w:ascii="Calibri" w:hAnsi="Calibri" w:cs="Arial"/>
                <w:sz w:val="18"/>
                <w:szCs w:val="18"/>
              </w:rPr>
            </w:pPr>
          </w:p>
        </w:tc>
      </w:tr>
    </w:tbl>
    <w:p w14:paraId="7C9E00E1">
      <w:pPr>
        <w:jc w:val="both"/>
        <w:rPr>
          <w:rFonts w:ascii="Calibri" w:hAnsi="Calibri" w:cs="Arial"/>
          <w:b/>
          <w:u w:val="single"/>
          <w:lang w:val="pt-PT"/>
        </w:rPr>
      </w:pPr>
    </w:p>
    <w:p w14:paraId="5494BA56">
      <w:pPr>
        <w:jc w:val="both"/>
        <w:rPr>
          <w:rFonts w:ascii="Calibri" w:hAnsi="Calibri" w:cs="Arial"/>
          <w:b/>
          <w:u w:val="single"/>
          <w:lang w:val="pt-PT"/>
        </w:rPr>
      </w:pPr>
    </w:p>
    <w:p w14:paraId="68BD6628">
      <w:pPr>
        <w:shd w:val="clear" w:color="auto" w:fill="FFFFFF"/>
        <w:textAlignment w:val="baseline"/>
        <w:rPr>
          <w:rFonts w:asciiTheme="minorHAnsi" w:hAnsiTheme="minorHAnsi" w:cstheme="minorHAnsi"/>
          <w:color w:val="000000"/>
          <w:lang w:eastAsia="en-US"/>
        </w:rPr>
      </w:pPr>
      <w:r>
        <w:rPr>
          <w:rFonts w:asciiTheme="minorHAnsi" w:hAnsiTheme="minorHAnsi" w:cstheme="minorHAnsi"/>
          <w:b/>
          <w:bCs/>
          <w:color w:val="000000"/>
          <w:lang w:eastAsia="en-US"/>
        </w:rPr>
        <w:t>Nota 1: </w:t>
      </w:r>
      <w:r>
        <w:rPr>
          <w:rFonts w:asciiTheme="minorHAnsi" w:hAnsiTheme="minorHAnsi" w:cstheme="minorHAnsi"/>
          <w:color w:val="000000"/>
          <w:lang w:eastAsia="en-US"/>
        </w:rPr>
        <w:t>Observar a previsão dos benefícios contidos em Acordos, Convenções e Dissídios Coletivos de Trabalho e atentar-se ao disposto no art. 6º da IN 5/2017.</w:t>
      </w:r>
    </w:p>
    <w:p w14:paraId="45050278">
      <w:pPr>
        <w:jc w:val="both"/>
        <w:rPr>
          <w:rFonts w:ascii="Calibri" w:hAnsi="Calibri" w:cs="Arial"/>
          <w:u w:val="single"/>
        </w:rPr>
      </w:pPr>
    </w:p>
    <w:p w14:paraId="6C3C8BAF">
      <w:pPr>
        <w:spacing w:line="276" w:lineRule="auto"/>
        <w:jc w:val="both"/>
        <w:rPr>
          <w:rFonts w:ascii="Calibri" w:hAnsi="Calibri" w:cs="Arial"/>
          <w:b/>
          <w:sz w:val="22"/>
          <w:szCs w:val="22"/>
        </w:rPr>
      </w:pPr>
      <w:r>
        <w:rPr>
          <w:rFonts w:ascii="Calibri" w:hAnsi="Calibri" w:cs="Arial"/>
          <w:b/>
          <w:sz w:val="22"/>
          <w:szCs w:val="22"/>
        </w:rPr>
        <w:t>A) Transporte</w:t>
      </w:r>
    </w:p>
    <w:p w14:paraId="69C7AD76">
      <w:pPr>
        <w:pStyle w:val="65"/>
        <w:spacing w:before="120" w:beforeAutospacing="0" w:after="120" w:afterAutospacing="0"/>
        <w:ind w:left="120" w:right="120"/>
        <w:jc w:val="both"/>
        <w:rPr>
          <w:rFonts w:asciiTheme="minorHAnsi" w:hAnsiTheme="minorHAnsi" w:cstheme="minorHAnsi"/>
          <w:sz w:val="22"/>
          <w:szCs w:val="22"/>
          <w:lang w:val="pt-PT"/>
        </w:rPr>
      </w:pPr>
      <w:r>
        <w:rPr>
          <w:rFonts w:asciiTheme="minorHAnsi" w:hAnsiTheme="minorHAnsi" w:cstheme="minorHAnsi"/>
          <w:sz w:val="22"/>
          <w:szCs w:val="22"/>
          <w:lang w:val="pt-PT"/>
        </w:rPr>
        <w:t>a.1. Para efeito da composição do Vale Transporte, foi utilizado como base o valor do Bilhete Único Intermunicipal, isto, pois, o Município do Rio e sua Região Metropolitana possui grande discrepância no que se refere à valores de passagens, à exemplo, caso seja cotado apenas o modal municipal para ônibus, restringiríamos a utilização de metrô, trem, barca ou VLT. Tal experiência tem prejudicado e muito a prestação de serviços atual, gerado atrasos e, por consequência, glosas</w:t>
      </w:r>
    </w:p>
    <w:p w14:paraId="2C566F7F">
      <w:pPr>
        <w:pStyle w:val="65"/>
        <w:spacing w:before="120" w:beforeAutospacing="0" w:after="120" w:afterAutospacing="0"/>
        <w:ind w:left="120" w:right="120"/>
        <w:jc w:val="both"/>
        <w:rPr>
          <w:rFonts w:asciiTheme="minorHAnsi" w:hAnsiTheme="minorHAnsi" w:cstheme="minorHAnsi"/>
          <w:sz w:val="22"/>
          <w:szCs w:val="22"/>
          <w:lang w:val="pt-PT"/>
        </w:rPr>
      </w:pPr>
      <w:r>
        <w:rPr>
          <w:rFonts w:asciiTheme="minorHAnsi" w:hAnsiTheme="minorHAnsi" w:cstheme="minorHAnsi"/>
          <w:sz w:val="22"/>
          <w:szCs w:val="22"/>
          <w:lang w:val="pt-PT"/>
        </w:rPr>
        <w:t>a.2. Outrossim, cabe destacar também a restrição de empregabilidade no que se refere a região metropolitana, dotada de mão de obra capacitada mas que, por vezes, frustra-se a contratação por divergências no valor da passagem. Deste modo, visando abrir um leque maior de possibilidades no que se refere a mão de obra qualificada, vinculamos o valor diário de passagens ao modal intermunicipal.</w:t>
      </w:r>
    </w:p>
    <w:p w14:paraId="0B0016A2">
      <w:pPr>
        <w:pStyle w:val="65"/>
        <w:spacing w:before="120" w:beforeAutospacing="0" w:after="120" w:afterAutospacing="0"/>
        <w:ind w:left="120" w:right="120"/>
        <w:jc w:val="both"/>
        <w:rPr>
          <w:rFonts w:asciiTheme="minorHAnsi" w:hAnsiTheme="minorHAnsi"/>
          <w:iCs/>
          <w:sz w:val="22"/>
          <w:szCs w:val="22"/>
        </w:rPr>
      </w:pPr>
      <w:r>
        <w:rPr>
          <w:rFonts w:asciiTheme="minorHAnsi" w:hAnsiTheme="minorHAnsi" w:cstheme="minorHAnsi"/>
          <w:sz w:val="22"/>
          <w:szCs w:val="22"/>
          <w:lang w:val="pt-PT"/>
        </w:rPr>
        <w:t>a.3. Para efeito de estimativa de custo e isonomia entre as licitantes, fica estabelecido que as propostas ofereçam, no mínimo, o valor correspondente ao de 02 (duas) tarifas do Bilhete Único Intermunicipal para a passagem diária (R$9,40 por tarifa)</w:t>
      </w:r>
      <w:r>
        <w:rPr>
          <w:rFonts w:asciiTheme="minorHAnsi" w:hAnsiTheme="minorHAnsi"/>
          <w:iCs/>
          <w:sz w:val="22"/>
          <w:szCs w:val="22"/>
        </w:rPr>
        <w:t>:</w:t>
      </w:r>
    </w:p>
    <w:p w14:paraId="1D7100DF">
      <w:pPr>
        <w:spacing w:line="276" w:lineRule="auto"/>
        <w:jc w:val="both"/>
        <w:rPr>
          <w:rFonts w:ascii="Calibri" w:hAnsi="Calibri" w:cs="Arial"/>
          <w:sz w:val="22"/>
          <w:szCs w:val="22"/>
        </w:rPr>
      </w:pPr>
    </w:p>
    <w:p w14:paraId="133B3173">
      <w:pPr>
        <w:spacing w:line="276" w:lineRule="auto"/>
        <w:jc w:val="both"/>
        <w:rPr>
          <w:rFonts w:ascii="Calibri" w:hAnsi="Calibri" w:cs="Arial"/>
          <w:b/>
          <w:sz w:val="22"/>
          <w:szCs w:val="22"/>
        </w:rPr>
      </w:pPr>
      <w:r>
        <w:rPr>
          <w:rFonts w:ascii="Calibri" w:hAnsi="Calibri" w:cs="Arial"/>
          <w:sz w:val="22"/>
          <w:szCs w:val="22"/>
        </w:rPr>
        <w:t xml:space="preserve">Fórmula 44h = </w:t>
      </w:r>
      <w:r>
        <w:rPr>
          <w:rFonts w:ascii="Calibri" w:hAnsi="Calibri" w:cs="Arial"/>
          <w:b/>
          <w:sz w:val="22"/>
          <w:szCs w:val="22"/>
        </w:rPr>
        <w:t xml:space="preserve">valor do transporte x nº de passagens por dia x nº de dias trabalhados – (6% x valor salário base) – </w:t>
      </w:r>
      <w:r>
        <w:rPr>
          <w:rFonts w:ascii="Calibri" w:hAnsi="Calibri" w:cs="Arial"/>
          <w:b/>
          <w:color w:val="FF0000"/>
          <w:sz w:val="22"/>
          <w:szCs w:val="22"/>
        </w:rPr>
        <w:t>5 dias na semana</w:t>
      </w:r>
    </w:p>
    <w:p w14:paraId="60E4B25C">
      <w:pPr>
        <w:spacing w:line="276" w:lineRule="auto"/>
        <w:jc w:val="both"/>
        <w:rPr>
          <w:rFonts w:ascii="Calibri" w:hAnsi="Calibri" w:cs="Arial"/>
          <w:sz w:val="22"/>
          <w:szCs w:val="22"/>
        </w:rPr>
      </w:pPr>
      <w:r>
        <w:rPr>
          <w:rFonts w:ascii="Calibri" w:hAnsi="Calibri" w:cs="Arial"/>
          <w:sz w:val="22"/>
          <w:szCs w:val="22"/>
        </w:rPr>
        <w:t xml:space="preserve">                                              R$ 9,40 x 2 x </w:t>
      </w:r>
      <w:r>
        <w:rPr>
          <w:rFonts w:asciiTheme="minorHAnsi" w:hAnsiTheme="minorHAnsi"/>
          <w:b/>
          <w:iCs/>
          <w:sz w:val="22"/>
          <w:szCs w:val="22"/>
        </w:rPr>
        <w:t>20,88</w:t>
      </w:r>
      <w:r>
        <w:rPr>
          <w:rFonts w:asciiTheme="minorHAnsi" w:hAnsiTheme="minorHAnsi"/>
          <w:iCs/>
          <w:sz w:val="22"/>
          <w:szCs w:val="22"/>
        </w:rPr>
        <w:t xml:space="preserve"> </w:t>
      </w:r>
      <w:r>
        <w:rPr>
          <w:rFonts w:ascii="Calibri" w:hAnsi="Calibri" w:cs="Arial"/>
          <w:sz w:val="22"/>
          <w:szCs w:val="22"/>
        </w:rPr>
        <w:t>– (6% x valor salário base)</w:t>
      </w:r>
    </w:p>
    <w:p w14:paraId="409B6C5B">
      <w:pPr>
        <w:spacing w:line="276" w:lineRule="auto"/>
        <w:jc w:val="both"/>
        <w:rPr>
          <w:rFonts w:ascii="Calibri" w:hAnsi="Calibri" w:cs="Arial"/>
          <w:sz w:val="22"/>
          <w:szCs w:val="22"/>
        </w:rPr>
      </w:pPr>
    </w:p>
    <w:p w14:paraId="2598BF58">
      <w:pPr>
        <w:spacing w:line="276" w:lineRule="auto"/>
        <w:jc w:val="both"/>
        <w:rPr>
          <w:rFonts w:ascii="Calibri" w:hAnsi="Calibri" w:cs="Arial"/>
          <w:color w:val="FF0000"/>
        </w:rPr>
      </w:pPr>
      <w:r>
        <w:rPr>
          <w:rFonts w:ascii="Calibri" w:hAnsi="Calibri" w:cs="Arial"/>
          <w:color w:val="FF0000"/>
        </w:rPr>
        <w:t>Considerando que o Benefício para o Bilhete Único Intermunicipal é apenas com trabalhadores que recebam renda mensal inferior a R$3.205,20 (três mil, duzentos e cinco reais, e vinte centavos), optou-se estimar e definir, que, aqueles que recebam valores superiores ao citado, terão direito a 4 passagens por dia, conforme abaixo:</w:t>
      </w:r>
    </w:p>
    <w:p w14:paraId="6FF1561A">
      <w:pPr>
        <w:spacing w:line="276" w:lineRule="auto"/>
        <w:jc w:val="both"/>
        <w:rPr>
          <w:rFonts w:ascii="Calibri" w:hAnsi="Calibri" w:cs="Arial"/>
          <w:sz w:val="22"/>
          <w:szCs w:val="22"/>
        </w:rPr>
      </w:pPr>
    </w:p>
    <w:p w14:paraId="18811A0F">
      <w:pPr>
        <w:spacing w:line="276" w:lineRule="auto"/>
        <w:jc w:val="both"/>
        <w:rPr>
          <w:rFonts w:ascii="Calibri" w:hAnsi="Calibri" w:cs="Arial"/>
          <w:b/>
          <w:sz w:val="22"/>
          <w:szCs w:val="22"/>
        </w:rPr>
      </w:pPr>
      <w:r>
        <w:rPr>
          <w:rFonts w:ascii="Calibri" w:hAnsi="Calibri" w:cs="Arial"/>
          <w:sz w:val="22"/>
          <w:szCs w:val="22"/>
        </w:rPr>
        <w:t xml:space="preserve">Fórmula 44h = </w:t>
      </w:r>
      <w:r>
        <w:rPr>
          <w:rFonts w:ascii="Calibri" w:hAnsi="Calibri" w:cs="Arial"/>
          <w:b/>
          <w:sz w:val="22"/>
          <w:szCs w:val="22"/>
        </w:rPr>
        <w:t xml:space="preserve">valor do transporte x nº de passagens por dia x nº de dias trabalhados – (6% x valor salário base) – </w:t>
      </w:r>
      <w:r>
        <w:rPr>
          <w:rFonts w:ascii="Calibri" w:hAnsi="Calibri" w:cs="Arial"/>
          <w:b/>
          <w:color w:val="FF0000"/>
          <w:sz w:val="22"/>
          <w:szCs w:val="22"/>
        </w:rPr>
        <w:t>5 dias na semana</w:t>
      </w:r>
    </w:p>
    <w:p w14:paraId="2BD1799B">
      <w:pPr>
        <w:spacing w:line="276" w:lineRule="auto"/>
        <w:jc w:val="both"/>
        <w:rPr>
          <w:rFonts w:ascii="Calibri" w:hAnsi="Calibri" w:cs="Arial"/>
          <w:sz w:val="22"/>
          <w:szCs w:val="22"/>
        </w:rPr>
      </w:pPr>
      <w:r>
        <w:rPr>
          <w:rFonts w:ascii="Calibri" w:hAnsi="Calibri" w:cs="Arial"/>
          <w:sz w:val="22"/>
          <w:szCs w:val="22"/>
        </w:rPr>
        <w:t xml:space="preserve">                                              R$ 5,60 x 4 x </w:t>
      </w:r>
      <w:r>
        <w:rPr>
          <w:rFonts w:asciiTheme="minorHAnsi" w:hAnsiTheme="minorHAnsi"/>
          <w:b/>
          <w:iCs/>
          <w:sz w:val="22"/>
          <w:szCs w:val="22"/>
        </w:rPr>
        <w:t>20,88</w:t>
      </w:r>
      <w:r>
        <w:rPr>
          <w:rFonts w:asciiTheme="minorHAnsi" w:hAnsiTheme="minorHAnsi"/>
          <w:iCs/>
          <w:sz w:val="22"/>
          <w:szCs w:val="22"/>
        </w:rPr>
        <w:t xml:space="preserve"> </w:t>
      </w:r>
      <w:r>
        <w:rPr>
          <w:rFonts w:ascii="Calibri" w:hAnsi="Calibri" w:cs="Arial"/>
          <w:sz w:val="22"/>
          <w:szCs w:val="22"/>
        </w:rPr>
        <w:t>– (6% x valor salário base)</w:t>
      </w:r>
    </w:p>
    <w:p w14:paraId="1E330614">
      <w:pPr>
        <w:spacing w:line="276" w:lineRule="auto"/>
        <w:jc w:val="both"/>
        <w:rPr>
          <w:rFonts w:ascii="Calibri" w:hAnsi="Calibri" w:cs="Arial"/>
          <w:color w:val="FF0000"/>
        </w:rPr>
      </w:pPr>
    </w:p>
    <w:p w14:paraId="267CEDC8">
      <w:pPr>
        <w:spacing w:line="276" w:lineRule="auto"/>
        <w:jc w:val="both"/>
        <w:rPr>
          <w:rFonts w:ascii="Calibri" w:hAnsi="Calibri" w:cs="Arial"/>
          <w:color w:val="FF0000"/>
        </w:rPr>
      </w:pPr>
    </w:p>
    <w:p w14:paraId="21BAD432">
      <w:pPr>
        <w:spacing w:line="276" w:lineRule="auto"/>
        <w:jc w:val="both"/>
        <w:rPr>
          <w:rFonts w:ascii="Calibri" w:hAnsi="Calibri" w:cs="Arial"/>
          <w:b/>
          <w:sz w:val="22"/>
          <w:szCs w:val="22"/>
          <w:u w:val="single"/>
          <w:lang w:val="pt-PT"/>
        </w:rPr>
      </w:pPr>
      <w:r>
        <w:rPr>
          <w:rFonts w:ascii="Calibri" w:hAnsi="Calibri" w:cs="Arial"/>
          <w:b/>
          <w:sz w:val="22"/>
          <w:szCs w:val="22"/>
        </w:rPr>
        <w:t xml:space="preserve">B) Auxílio-alimentação - </w:t>
      </w:r>
      <w:r>
        <w:rPr>
          <w:rFonts w:ascii="Calibri" w:hAnsi="Calibri" w:cs="Arial"/>
          <w:b/>
          <w:sz w:val="22"/>
          <w:szCs w:val="22"/>
          <w:u w:val="single"/>
          <w:lang w:val="pt-PT"/>
        </w:rPr>
        <w:t xml:space="preserve">Todos os Postos </w:t>
      </w:r>
    </w:p>
    <w:p w14:paraId="176B4108">
      <w:pPr>
        <w:spacing w:line="276" w:lineRule="auto"/>
        <w:jc w:val="both"/>
        <w:rPr>
          <w:rFonts w:ascii="Calibri" w:hAnsi="Calibri" w:cs="Arial"/>
          <w:sz w:val="22"/>
          <w:szCs w:val="22"/>
        </w:rPr>
      </w:pPr>
      <w:r>
        <w:rPr>
          <w:rFonts w:ascii="Calibri" w:hAnsi="Calibri" w:cs="Arial"/>
          <w:sz w:val="22"/>
          <w:szCs w:val="22"/>
        </w:rPr>
        <w:t>Há previsão para este custo.</w:t>
      </w:r>
    </w:p>
    <w:p w14:paraId="08AA9299">
      <w:pPr>
        <w:spacing w:line="276" w:lineRule="auto"/>
        <w:jc w:val="both"/>
        <w:rPr>
          <w:rFonts w:ascii="Calibri" w:hAnsi="Calibri" w:cs="Arial"/>
          <w:sz w:val="22"/>
          <w:szCs w:val="22"/>
        </w:rPr>
      </w:pPr>
    </w:p>
    <w:p w14:paraId="12C69E06">
      <w:pPr>
        <w:rPr>
          <w:rFonts w:ascii="Calibri" w:hAnsi="Calibri" w:cs="Arial"/>
          <w:sz w:val="18"/>
          <w:szCs w:val="18"/>
          <w:lang w:eastAsia="en-US"/>
        </w:rPr>
      </w:pPr>
      <w:r>
        <w:rPr>
          <w:rFonts w:ascii="Calibri" w:hAnsi="Calibri" w:cs="Arial"/>
          <w:b/>
          <w:sz w:val="22"/>
          <w:szCs w:val="22"/>
        </w:rPr>
        <w:t>C) Benefício Social Familiar</w:t>
      </w:r>
    </w:p>
    <w:p w14:paraId="68A9069F">
      <w:pPr>
        <w:spacing w:line="276" w:lineRule="auto"/>
        <w:jc w:val="both"/>
        <w:rPr>
          <w:rFonts w:ascii="Calibri" w:hAnsi="Calibri" w:cs="Arial"/>
          <w:b/>
          <w:sz w:val="22"/>
          <w:szCs w:val="22"/>
        </w:rPr>
      </w:pPr>
    </w:p>
    <w:p w14:paraId="376FF5AD">
      <w:pPr>
        <w:jc w:val="both"/>
        <w:rPr>
          <w:rFonts w:ascii="Calibri" w:hAnsi="Calibri" w:cs="Arial"/>
          <w:sz w:val="22"/>
          <w:szCs w:val="22"/>
        </w:rPr>
      </w:pPr>
      <w:r>
        <w:rPr>
          <w:rFonts w:ascii="Calibri" w:hAnsi="Calibri" w:cs="Arial"/>
          <w:sz w:val="22"/>
          <w:szCs w:val="22"/>
        </w:rPr>
        <w:t>Cláusula 26ª da CCT =  R$22,70 vedado qualquer desconto do trabalhador</w:t>
      </w:r>
    </w:p>
    <w:p w14:paraId="5D30C79C">
      <w:pPr>
        <w:jc w:val="both"/>
        <w:rPr>
          <w:rFonts w:ascii="Calibri" w:hAnsi="Calibri" w:cs="Arial"/>
          <w:u w:val="single"/>
        </w:rPr>
      </w:pPr>
    </w:p>
    <w:p w14:paraId="33669CBD">
      <w:pPr>
        <w:spacing w:line="276" w:lineRule="auto"/>
        <w:jc w:val="both"/>
        <w:rPr>
          <w:rFonts w:ascii="Calibri" w:hAnsi="Calibri" w:cs="Arial"/>
        </w:rPr>
      </w:pPr>
      <w:r>
        <w:rPr>
          <w:rFonts w:ascii="Calibri" w:hAnsi="Calibri" w:cs="Arial"/>
          <w:color w:val="FF0000"/>
        </w:rPr>
        <w:t xml:space="preserve">                                       </w:t>
      </w:r>
    </w:p>
    <w:p w14:paraId="0297DC2D">
      <w:pPr>
        <w:jc w:val="both"/>
        <w:rPr>
          <w:rFonts w:ascii="Calibri" w:hAnsi="Calibri" w:cs="Arial"/>
          <w:b/>
          <w:sz w:val="22"/>
          <w:szCs w:val="22"/>
          <w:u w:val="single"/>
        </w:rPr>
      </w:pPr>
      <w:r>
        <w:rPr>
          <w:rFonts w:ascii="Calibri" w:hAnsi="Calibri" w:cs="Arial"/>
          <w:b/>
          <w:sz w:val="22"/>
          <w:szCs w:val="22"/>
          <w:u w:val="single"/>
        </w:rPr>
        <w:t>Módulo 3 – Provisão para Rescisão</w:t>
      </w:r>
    </w:p>
    <w:p w14:paraId="16E651D6">
      <w:pPr>
        <w:jc w:val="both"/>
        <w:rPr>
          <w:rFonts w:ascii="Calibri" w:hAnsi="Calibri" w:cs="Arial"/>
          <w:u w:val="single"/>
          <w:lang w:val="pt-PT"/>
        </w:rPr>
      </w:pPr>
    </w:p>
    <w:tbl>
      <w:tblPr>
        <w:tblStyle w:val="70"/>
        <w:tblW w:w="7938"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850"/>
        <w:gridCol w:w="2125"/>
        <w:gridCol w:w="3119"/>
        <w:gridCol w:w="1844"/>
      </w:tblGrid>
      <w:tr w14:paraId="4A8C22B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850"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1CDE4E05">
            <w:pPr>
              <w:jc w:val="center"/>
              <w:rPr>
                <w:rFonts w:cs="Arial" w:asciiTheme="minorHAnsi" w:hAnsiTheme="minorHAnsi"/>
                <w:b w:val="0"/>
                <w:bCs w:val="0"/>
                <w:color w:val="000000"/>
                <w:sz w:val="18"/>
                <w:szCs w:val="18"/>
              </w:rPr>
            </w:pPr>
            <w:r>
              <w:rPr>
                <w:rFonts w:cs="Arial" w:asciiTheme="minorHAnsi" w:hAnsiTheme="minorHAnsi"/>
                <w:b/>
                <w:bCs/>
                <w:color w:val="000000"/>
                <w:sz w:val="18"/>
                <w:szCs w:val="18"/>
              </w:rPr>
              <w:t>3</w:t>
            </w:r>
          </w:p>
        </w:tc>
        <w:tc>
          <w:tcPr>
            <w:tcW w:w="2125"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1763E70B">
            <w:pPr>
              <w:jc w:val="center"/>
              <w:rPr>
                <w:rFonts w:cs="Arial" w:asciiTheme="minorHAnsi" w:hAnsiTheme="minorHAnsi"/>
                <w:b w:val="0"/>
                <w:bCs w:val="0"/>
                <w:color w:val="000000"/>
                <w:sz w:val="18"/>
                <w:szCs w:val="18"/>
              </w:rPr>
            </w:pPr>
            <w:r>
              <w:rPr>
                <w:rFonts w:cs="Arial" w:asciiTheme="minorHAnsi" w:hAnsiTheme="minorHAnsi"/>
                <w:b/>
                <w:bCs/>
                <w:color w:val="000000"/>
                <w:sz w:val="18"/>
                <w:szCs w:val="18"/>
              </w:rPr>
              <w:t>PROVISÃO PARA RESCISÃO</w:t>
            </w:r>
          </w:p>
        </w:tc>
        <w:tc>
          <w:tcPr>
            <w:tcW w:w="3119"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6EA34093">
            <w:pPr>
              <w:jc w:val="center"/>
              <w:rPr>
                <w:rFonts w:cs="Arial" w:asciiTheme="minorHAnsi" w:hAnsiTheme="minorHAnsi"/>
                <w:b w:val="0"/>
                <w:bCs w:val="0"/>
                <w:color w:val="000000"/>
                <w:sz w:val="18"/>
                <w:szCs w:val="18"/>
              </w:rPr>
            </w:pPr>
            <w:r>
              <w:rPr>
                <w:rFonts w:cs="Arial" w:asciiTheme="minorHAnsi" w:hAnsiTheme="minorHAnsi"/>
                <w:b/>
                <w:bCs/>
                <w:color w:val="000000"/>
                <w:sz w:val="18"/>
                <w:szCs w:val="18"/>
              </w:rPr>
              <w:t xml:space="preserve">MEMÓRIA DE CÁLCULO </w:t>
            </w:r>
          </w:p>
        </w:tc>
        <w:tc>
          <w:tcPr>
            <w:tcW w:w="1843"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07F12E5C">
            <w:pPr>
              <w:jc w:val="center"/>
              <w:rPr>
                <w:rFonts w:cs="Arial" w:asciiTheme="minorHAnsi" w:hAnsiTheme="minorHAnsi"/>
                <w:b w:val="0"/>
                <w:bCs w:val="0"/>
                <w:color w:val="000000"/>
                <w:sz w:val="18"/>
                <w:szCs w:val="18"/>
              </w:rPr>
            </w:pPr>
            <w:r>
              <w:rPr>
                <w:rFonts w:cs="Arial" w:asciiTheme="minorHAnsi" w:hAnsiTheme="minorHAnsi"/>
                <w:b/>
                <w:bCs/>
                <w:color w:val="000000"/>
                <w:sz w:val="18"/>
                <w:szCs w:val="18"/>
              </w:rPr>
              <w:t>FUNDAMENTO</w:t>
            </w:r>
          </w:p>
        </w:tc>
      </w:tr>
      <w:tr w14:paraId="1ECDF873">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34" w:hRule="atLeast"/>
        </w:trPr>
        <w:tc>
          <w:tcPr>
            <w:tcW w:w="850" w:type="dxa"/>
            <w:shd w:val="clear" w:color="auto" w:fill="DBE5F1" w:themeFill="accent1" w:themeFillTint="33"/>
          </w:tcPr>
          <w:p w14:paraId="7D1C8F28">
            <w:pPr>
              <w:jc w:val="center"/>
              <w:rPr>
                <w:rFonts w:cs="Arial" w:asciiTheme="minorHAnsi" w:hAnsiTheme="minorHAnsi"/>
                <w:b/>
                <w:bCs/>
                <w:sz w:val="18"/>
                <w:szCs w:val="18"/>
              </w:rPr>
            </w:pPr>
            <w:r>
              <w:rPr>
                <w:rFonts w:cs="Arial" w:asciiTheme="minorHAnsi" w:hAnsiTheme="minorHAnsi"/>
                <w:b/>
                <w:bCs/>
                <w:sz w:val="18"/>
                <w:szCs w:val="18"/>
              </w:rPr>
              <w:t>A</w:t>
            </w:r>
          </w:p>
        </w:tc>
        <w:tc>
          <w:tcPr>
            <w:tcW w:w="2125" w:type="dxa"/>
            <w:shd w:val="clear" w:color="auto" w:fill="DBE5F1" w:themeFill="accent1" w:themeFillTint="33"/>
          </w:tcPr>
          <w:p w14:paraId="4BACF913">
            <w:pPr>
              <w:rPr>
                <w:rFonts w:cs="Arial" w:asciiTheme="minorHAnsi" w:hAnsiTheme="minorHAnsi"/>
                <w:sz w:val="18"/>
                <w:szCs w:val="18"/>
              </w:rPr>
            </w:pPr>
            <w:r>
              <w:rPr>
                <w:rFonts w:cs="Arial" w:asciiTheme="minorHAnsi" w:hAnsiTheme="minorHAnsi"/>
                <w:sz w:val="18"/>
                <w:szCs w:val="18"/>
              </w:rPr>
              <w:t>Aviso prévio indenizado</w:t>
            </w:r>
          </w:p>
        </w:tc>
        <w:tc>
          <w:tcPr>
            <w:tcW w:w="3119" w:type="dxa"/>
            <w:shd w:val="clear" w:color="auto" w:fill="DBE5F1" w:themeFill="accent1" w:themeFillTint="33"/>
          </w:tcPr>
          <w:p w14:paraId="45DC3E5F">
            <w:pPr>
              <w:rPr>
                <w:rFonts w:cs="Arial" w:asciiTheme="minorHAnsi" w:hAnsiTheme="minorHAnsi"/>
                <w:b/>
                <w:bCs/>
                <w:sz w:val="18"/>
                <w:szCs w:val="18"/>
              </w:rPr>
            </w:pPr>
            <w:r>
              <w:rPr>
                <w:rFonts w:cs="Arial" w:asciiTheme="minorHAnsi" w:hAnsiTheme="minorHAnsi"/>
                <w:b/>
                <w:bCs/>
                <w:sz w:val="18"/>
                <w:szCs w:val="18"/>
              </w:rPr>
              <w:t xml:space="preserve">Módulo 1 + Módulo 2 x 0,4167%   </w:t>
            </w:r>
          </w:p>
          <w:p w14:paraId="2D518EA4">
            <w:pPr>
              <w:rPr>
                <w:rFonts w:cs="Arial" w:asciiTheme="minorHAnsi" w:hAnsiTheme="minorHAnsi"/>
                <w:sz w:val="18"/>
                <w:szCs w:val="18"/>
              </w:rPr>
            </w:pPr>
          </w:p>
          <w:p w14:paraId="2CD9F209">
            <w:pPr>
              <w:rPr>
                <w:rFonts w:cs="Arial" w:asciiTheme="minorHAnsi" w:hAnsiTheme="minorHAnsi"/>
                <w:sz w:val="18"/>
                <w:szCs w:val="18"/>
              </w:rPr>
            </w:pPr>
            <w:r>
              <w:rPr>
                <w:rFonts w:cs="Arial" w:asciiTheme="minorHAnsi" w:hAnsiTheme="minorHAnsi"/>
                <w:sz w:val="18"/>
                <w:szCs w:val="18"/>
              </w:rPr>
              <w:t xml:space="preserve">0,4167%  foi obtido pela fórmula: </w:t>
            </w:r>
          </w:p>
          <w:p w14:paraId="40270F8C">
            <w:pPr>
              <w:rPr>
                <w:rFonts w:cs="Arial" w:asciiTheme="minorHAnsi" w:hAnsiTheme="minorHAnsi"/>
                <w:sz w:val="18"/>
                <w:szCs w:val="18"/>
              </w:rPr>
            </w:pPr>
            <w:r>
              <w:rPr>
                <w:rFonts w:cs="Arial" w:asciiTheme="minorHAnsi" w:hAnsiTheme="minorHAnsi"/>
                <w:sz w:val="18"/>
                <w:szCs w:val="18"/>
              </w:rPr>
              <w:t xml:space="preserve">1/12 * </w:t>
            </w:r>
            <w:r>
              <w:rPr>
                <w:rFonts w:cs="Arial" w:asciiTheme="minorHAnsi" w:hAnsiTheme="minorHAnsi"/>
                <w:b/>
                <w:bCs/>
                <w:color w:val="FF0000"/>
                <w:sz w:val="18"/>
                <w:szCs w:val="18"/>
              </w:rPr>
              <w:t>5%</w:t>
            </w:r>
            <w:r>
              <w:rPr>
                <w:rFonts w:cs="Arial" w:asciiTheme="minorHAnsi" w:hAnsiTheme="minorHAnsi"/>
                <w:sz w:val="18"/>
                <w:szCs w:val="18"/>
              </w:rPr>
              <w:t xml:space="preserve"> (indicador de rotatividade de dispensa sem justa causa)</w:t>
            </w:r>
          </w:p>
        </w:tc>
        <w:tc>
          <w:tcPr>
            <w:tcW w:w="1843" w:type="dxa"/>
            <w:shd w:val="clear" w:color="auto" w:fill="DBE5F1" w:themeFill="accent1" w:themeFillTint="33"/>
          </w:tcPr>
          <w:p w14:paraId="358C4441">
            <w:pPr>
              <w:rPr>
                <w:rFonts w:cs="Arial" w:asciiTheme="minorHAnsi" w:hAnsiTheme="minorHAnsi" w:eastAsiaTheme="minorHAnsi"/>
                <w:sz w:val="18"/>
                <w:szCs w:val="18"/>
                <w:lang w:val="en-US" w:eastAsia="en-US"/>
              </w:rPr>
            </w:pPr>
            <w:r>
              <w:rPr>
                <w:rFonts w:cs="Arial" w:asciiTheme="minorHAnsi" w:hAnsiTheme="minorHAnsi" w:eastAsiaTheme="minorHAnsi"/>
                <w:sz w:val="18"/>
                <w:szCs w:val="18"/>
                <w:lang w:val="en-US" w:eastAsia="en-US"/>
              </w:rPr>
              <w:t>Art. 7º, XXI, CF/88,</w:t>
            </w:r>
          </w:p>
          <w:p w14:paraId="612335A5">
            <w:pPr>
              <w:rPr>
                <w:rFonts w:cs="Arial" w:asciiTheme="minorHAnsi" w:hAnsiTheme="minorHAnsi"/>
                <w:sz w:val="18"/>
                <w:szCs w:val="18"/>
                <w:lang w:val="en-US"/>
              </w:rPr>
            </w:pPr>
            <w:r>
              <w:rPr>
                <w:rFonts w:cs="Arial" w:asciiTheme="minorHAnsi" w:hAnsiTheme="minorHAnsi" w:eastAsiaTheme="minorHAnsi"/>
                <w:sz w:val="18"/>
                <w:szCs w:val="18"/>
                <w:lang w:val="en-US" w:eastAsia="en-US"/>
              </w:rPr>
              <w:t>477, 487 e 491 CLT</w:t>
            </w:r>
          </w:p>
        </w:tc>
      </w:tr>
      <w:tr w14:paraId="104139A1">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56" w:hRule="atLeast"/>
        </w:trPr>
        <w:tc>
          <w:tcPr>
            <w:tcW w:w="850" w:type="dxa"/>
          </w:tcPr>
          <w:p w14:paraId="5EC110C4">
            <w:pPr>
              <w:jc w:val="center"/>
              <w:rPr>
                <w:rFonts w:cs="Arial" w:asciiTheme="minorHAnsi" w:hAnsiTheme="minorHAnsi"/>
                <w:b/>
                <w:bCs/>
                <w:sz w:val="18"/>
                <w:szCs w:val="18"/>
              </w:rPr>
            </w:pPr>
            <w:r>
              <w:rPr>
                <w:rFonts w:cs="Arial" w:asciiTheme="minorHAnsi" w:hAnsiTheme="minorHAnsi"/>
                <w:b/>
                <w:bCs/>
                <w:sz w:val="18"/>
                <w:szCs w:val="18"/>
              </w:rPr>
              <w:t>B</w:t>
            </w:r>
          </w:p>
        </w:tc>
        <w:tc>
          <w:tcPr>
            <w:tcW w:w="2125" w:type="dxa"/>
          </w:tcPr>
          <w:p w14:paraId="2FAD29DD">
            <w:pPr>
              <w:rPr>
                <w:rFonts w:cs="Arial" w:asciiTheme="minorHAnsi" w:hAnsiTheme="minorHAnsi"/>
                <w:sz w:val="18"/>
                <w:szCs w:val="18"/>
              </w:rPr>
            </w:pPr>
            <w:r>
              <w:rPr>
                <w:rFonts w:cs="Arial" w:asciiTheme="minorHAnsi" w:hAnsiTheme="minorHAnsi" w:eastAsiaTheme="minorHAnsi"/>
                <w:sz w:val="18"/>
                <w:szCs w:val="18"/>
                <w:lang w:eastAsia="en-US"/>
              </w:rPr>
              <w:t>Incidência do FGTS sobre o Aviso prévio indenizado.</w:t>
            </w:r>
          </w:p>
        </w:tc>
        <w:tc>
          <w:tcPr>
            <w:tcW w:w="3119" w:type="dxa"/>
          </w:tcPr>
          <w:p w14:paraId="212BC407">
            <w:pPr>
              <w:rPr>
                <w:rFonts w:cs="Arial" w:asciiTheme="minorHAnsi" w:hAnsiTheme="minorHAnsi" w:eastAsiaTheme="minorHAnsi"/>
                <w:sz w:val="18"/>
                <w:szCs w:val="18"/>
                <w:lang w:eastAsia="en-US"/>
              </w:rPr>
            </w:pPr>
            <w:r>
              <w:rPr>
                <w:rFonts w:cs="Arial" w:asciiTheme="minorHAnsi" w:hAnsiTheme="minorHAnsi" w:eastAsiaTheme="minorHAnsi"/>
                <w:sz w:val="18"/>
                <w:szCs w:val="18"/>
                <w:lang w:eastAsia="en-US"/>
              </w:rPr>
              <w:t xml:space="preserve">Valor do aviso prévio indenizado x </w:t>
            </w:r>
            <w:r>
              <w:rPr>
                <w:rFonts w:cs="Arial" w:asciiTheme="minorHAnsi" w:hAnsiTheme="minorHAnsi" w:eastAsiaTheme="minorHAnsi"/>
                <w:b/>
                <w:bCs/>
                <w:sz w:val="18"/>
                <w:szCs w:val="18"/>
                <w:lang w:eastAsia="en-US"/>
              </w:rPr>
              <w:t>8%</w:t>
            </w:r>
          </w:p>
        </w:tc>
        <w:tc>
          <w:tcPr>
            <w:tcW w:w="1843" w:type="dxa"/>
          </w:tcPr>
          <w:p w14:paraId="270BF19F">
            <w:pPr>
              <w:rPr>
                <w:rFonts w:cs="Arial" w:asciiTheme="minorHAnsi" w:hAnsiTheme="minorHAnsi" w:eastAsiaTheme="minorHAnsi"/>
                <w:sz w:val="18"/>
                <w:szCs w:val="18"/>
                <w:lang w:eastAsia="en-US"/>
              </w:rPr>
            </w:pPr>
            <w:r>
              <w:rPr>
                <w:rFonts w:cs="Arial" w:asciiTheme="minorHAnsi" w:hAnsiTheme="minorHAnsi" w:eastAsiaTheme="minorHAnsi"/>
                <w:sz w:val="18"/>
                <w:szCs w:val="18"/>
                <w:lang w:eastAsia="en-US"/>
              </w:rPr>
              <w:t>Súmula nº 305 do TST</w:t>
            </w:r>
          </w:p>
        </w:tc>
      </w:tr>
      <w:tr w14:paraId="55F9AE6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50" w:hRule="atLeast"/>
        </w:trPr>
        <w:tc>
          <w:tcPr>
            <w:tcW w:w="850" w:type="dxa"/>
            <w:shd w:val="clear" w:color="auto" w:fill="DBE5F1" w:themeFill="accent1" w:themeFillTint="33"/>
          </w:tcPr>
          <w:p w14:paraId="314C994D">
            <w:pPr>
              <w:jc w:val="center"/>
              <w:rPr>
                <w:rFonts w:cs="Arial" w:asciiTheme="minorHAnsi" w:hAnsiTheme="minorHAnsi"/>
                <w:b/>
                <w:bCs/>
                <w:sz w:val="18"/>
                <w:szCs w:val="18"/>
              </w:rPr>
            </w:pPr>
            <w:r>
              <w:rPr>
                <w:rFonts w:cs="Arial" w:asciiTheme="minorHAnsi" w:hAnsiTheme="minorHAnsi"/>
                <w:b/>
                <w:bCs/>
                <w:sz w:val="18"/>
                <w:szCs w:val="18"/>
              </w:rPr>
              <w:t>C</w:t>
            </w:r>
          </w:p>
        </w:tc>
        <w:tc>
          <w:tcPr>
            <w:tcW w:w="2125" w:type="dxa"/>
            <w:shd w:val="clear" w:color="auto" w:fill="DBE5F1" w:themeFill="accent1" w:themeFillTint="33"/>
          </w:tcPr>
          <w:p w14:paraId="62A1E135">
            <w:pPr>
              <w:rPr>
                <w:rFonts w:cs="Arial" w:asciiTheme="minorHAnsi" w:hAnsiTheme="minorHAnsi"/>
                <w:sz w:val="18"/>
                <w:szCs w:val="18"/>
              </w:rPr>
            </w:pPr>
            <w:r>
              <w:rPr>
                <w:rFonts w:cs="Arial" w:asciiTheme="minorHAnsi" w:hAnsiTheme="minorHAnsi"/>
                <w:sz w:val="18"/>
                <w:szCs w:val="18"/>
              </w:rPr>
              <w:t>Multa do FGTS e Contribuição Social sobre Aviso Prévio Indenizado - 5%</w:t>
            </w:r>
          </w:p>
        </w:tc>
        <w:tc>
          <w:tcPr>
            <w:tcW w:w="3119" w:type="dxa"/>
            <w:shd w:val="clear" w:color="auto" w:fill="DBE5F1" w:themeFill="accent1" w:themeFillTint="33"/>
          </w:tcPr>
          <w:p w14:paraId="77499DF8">
            <w:pPr>
              <w:rPr>
                <w:rFonts w:cs="Arial" w:asciiTheme="minorHAnsi" w:hAnsiTheme="minorHAnsi"/>
                <w:b/>
                <w:bCs/>
                <w:sz w:val="18"/>
                <w:szCs w:val="18"/>
              </w:rPr>
            </w:pPr>
            <w:r>
              <w:rPr>
                <w:rFonts w:cs="Arial" w:asciiTheme="minorHAnsi" w:hAnsiTheme="minorHAnsi"/>
                <w:b/>
                <w:bCs/>
                <w:sz w:val="18"/>
                <w:szCs w:val="18"/>
              </w:rPr>
              <w:t>Módulo 1 + Módulo 2 x 0,16%</w:t>
            </w:r>
          </w:p>
          <w:p w14:paraId="5E3E2CA0">
            <w:pPr>
              <w:rPr>
                <w:rFonts w:cs="Arial" w:asciiTheme="minorHAnsi" w:hAnsiTheme="minorHAnsi"/>
                <w:sz w:val="18"/>
                <w:szCs w:val="18"/>
              </w:rPr>
            </w:pPr>
          </w:p>
          <w:p w14:paraId="1242E7F2">
            <w:pPr>
              <w:rPr>
                <w:rFonts w:cs="Arial" w:asciiTheme="minorHAnsi" w:hAnsiTheme="minorHAnsi"/>
                <w:sz w:val="18"/>
                <w:szCs w:val="18"/>
              </w:rPr>
            </w:pPr>
            <w:r>
              <w:rPr>
                <w:rFonts w:cs="Arial" w:asciiTheme="minorHAnsi" w:hAnsiTheme="minorHAnsi"/>
                <w:sz w:val="18"/>
                <w:szCs w:val="18"/>
              </w:rPr>
              <w:t>0,16% foi obtido pela fórmula:</w:t>
            </w:r>
          </w:p>
          <w:p w14:paraId="2BC8DF05">
            <w:pPr>
              <w:rPr>
                <w:rFonts w:cs="Arial" w:asciiTheme="minorHAnsi" w:hAnsiTheme="minorHAnsi"/>
                <w:sz w:val="18"/>
                <w:szCs w:val="18"/>
              </w:rPr>
            </w:pPr>
            <w:r>
              <w:rPr>
                <w:rFonts w:cs="Arial" w:asciiTheme="minorHAnsi" w:hAnsiTheme="minorHAnsi"/>
                <w:sz w:val="18"/>
                <w:szCs w:val="18"/>
              </w:rPr>
              <w:t>8% de FGTS x 40% de multa x 5% (estatística)</w:t>
            </w:r>
          </w:p>
        </w:tc>
        <w:tc>
          <w:tcPr>
            <w:tcW w:w="1843" w:type="dxa"/>
            <w:shd w:val="clear" w:color="auto" w:fill="DBE5F1" w:themeFill="accent1" w:themeFillTint="33"/>
          </w:tcPr>
          <w:p w14:paraId="54208DD2">
            <w:pPr>
              <w:rPr>
                <w:rFonts w:cs="Arial" w:asciiTheme="minorHAnsi" w:hAnsiTheme="minorHAnsi" w:eastAsiaTheme="minorHAnsi"/>
                <w:sz w:val="18"/>
                <w:szCs w:val="18"/>
                <w:lang w:eastAsia="en-US"/>
              </w:rPr>
            </w:pPr>
            <w:r>
              <w:rPr>
                <w:rFonts w:cs="Arial" w:asciiTheme="minorHAnsi" w:hAnsiTheme="minorHAnsi" w:eastAsiaTheme="minorHAnsi"/>
                <w:sz w:val="18"/>
                <w:szCs w:val="18"/>
                <w:lang w:eastAsia="en-US"/>
              </w:rPr>
              <w:t>Leis n.ºs 8.036/90 e</w:t>
            </w:r>
          </w:p>
          <w:p w14:paraId="7FED844E">
            <w:pPr>
              <w:rPr>
                <w:rFonts w:cs="Arial" w:asciiTheme="minorHAnsi" w:hAnsiTheme="minorHAnsi"/>
                <w:sz w:val="18"/>
                <w:szCs w:val="18"/>
              </w:rPr>
            </w:pPr>
            <w:r>
              <w:rPr>
                <w:rFonts w:cs="Arial" w:asciiTheme="minorHAnsi" w:hAnsiTheme="minorHAnsi" w:eastAsiaTheme="minorHAnsi"/>
                <w:sz w:val="18"/>
                <w:szCs w:val="18"/>
                <w:lang w:eastAsia="en-US"/>
              </w:rPr>
              <w:t>9.491/97</w:t>
            </w:r>
          </w:p>
        </w:tc>
      </w:tr>
      <w:tr w14:paraId="07F5FAE9">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16" w:hRule="atLeast"/>
        </w:trPr>
        <w:tc>
          <w:tcPr>
            <w:tcW w:w="850" w:type="dxa"/>
          </w:tcPr>
          <w:p w14:paraId="66A582CE">
            <w:pPr>
              <w:jc w:val="center"/>
              <w:rPr>
                <w:rFonts w:cs="Arial" w:asciiTheme="minorHAnsi" w:hAnsiTheme="minorHAnsi"/>
                <w:b/>
                <w:bCs/>
                <w:sz w:val="18"/>
                <w:szCs w:val="18"/>
              </w:rPr>
            </w:pPr>
            <w:r>
              <w:rPr>
                <w:rFonts w:cs="Arial" w:asciiTheme="minorHAnsi" w:hAnsiTheme="minorHAnsi"/>
                <w:b/>
                <w:bCs/>
                <w:sz w:val="18"/>
                <w:szCs w:val="18"/>
              </w:rPr>
              <w:t>D</w:t>
            </w:r>
          </w:p>
        </w:tc>
        <w:tc>
          <w:tcPr>
            <w:tcW w:w="2125" w:type="dxa"/>
          </w:tcPr>
          <w:p w14:paraId="769818A9">
            <w:pPr>
              <w:rPr>
                <w:rFonts w:cs="Arial" w:asciiTheme="minorHAnsi" w:hAnsiTheme="minorHAnsi"/>
                <w:sz w:val="18"/>
                <w:szCs w:val="18"/>
              </w:rPr>
            </w:pPr>
            <w:r>
              <w:rPr>
                <w:rFonts w:cs="Arial" w:asciiTheme="minorHAnsi" w:hAnsiTheme="minorHAnsi"/>
                <w:sz w:val="18"/>
                <w:szCs w:val="18"/>
              </w:rPr>
              <w:t>Aviso Prévio Trabalhado</w:t>
            </w:r>
          </w:p>
        </w:tc>
        <w:tc>
          <w:tcPr>
            <w:tcW w:w="3119" w:type="dxa"/>
          </w:tcPr>
          <w:p w14:paraId="43F706F4">
            <w:pPr>
              <w:rPr>
                <w:rFonts w:cs="Arial" w:asciiTheme="minorHAnsi" w:hAnsiTheme="minorHAnsi"/>
                <w:sz w:val="18"/>
                <w:szCs w:val="18"/>
              </w:rPr>
            </w:pPr>
            <w:r>
              <w:rPr>
                <w:rFonts w:cs="Arial" w:asciiTheme="minorHAnsi" w:hAnsiTheme="minorHAnsi"/>
                <w:sz w:val="18"/>
                <w:szCs w:val="18"/>
              </w:rPr>
              <w:t>Percentual total do submódulo 2.2 x $ do aviso prévio trabalhado</w:t>
            </w:r>
          </w:p>
        </w:tc>
        <w:tc>
          <w:tcPr>
            <w:tcW w:w="1843" w:type="dxa"/>
          </w:tcPr>
          <w:p w14:paraId="76D28658">
            <w:pPr>
              <w:rPr>
                <w:rFonts w:cs="Arial" w:asciiTheme="minorHAnsi" w:hAnsiTheme="minorHAnsi" w:eastAsiaTheme="minorHAnsi"/>
                <w:sz w:val="18"/>
                <w:szCs w:val="18"/>
                <w:lang w:val="en-US" w:eastAsia="en-US"/>
              </w:rPr>
            </w:pPr>
            <w:r>
              <w:rPr>
                <w:rFonts w:cs="Arial" w:asciiTheme="minorHAnsi" w:hAnsiTheme="minorHAnsi" w:eastAsiaTheme="minorHAnsi"/>
                <w:sz w:val="18"/>
                <w:szCs w:val="18"/>
                <w:lang w:val="en-US" w:eastAsia="en-US"/>
              </w:rPr>
              <w:t>Art. 7º, XXI, CF/88,</w:t>
            </w:r>
          </w:p>
          <w:p w14:paraId="0578D7A8">
            <w:pPr>
              <w:rPr>
                <w:rFonts w:cs="Arial" w:asciiTheme="minorHAnsi" w:hAnsiTheme="minorHAnsi"/>
                <w:sz w:val="18"/>
                <w:szCs w:val="18"/>
                <w:lang w:val="en-US"/>
              </w:rPr>
            </w:pPr>
            <w:r>
              <w:rPr>
                <w:rFonts w:cs="Arial" w:asciiTheme="minorHAnsi" w:hAnsiTheme="minorHAnsi" w:eastAsiaTheme="minorHAnsi"/>
                <w:sz w:val="18"/>
                <w:szCs w:val="18"/>
                <w:lang w:val="en-US" w:eastAsia="en-US"/>
              </w:rPr>
              <w:t>477, 487 e 491 CLT.</w:t>
            </w:r>
          </w:p>
        </w:tc>
      </w:tr>
      <w:tr w14:paraId="1568855A">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63" w:hRule="atLeast"/>
        </w:trPr>
        <w:tc>
          <w:tcPr>
            <w:tcW w:w="850" w:type="dxa"/>
            <w:shd w:val="clear" w:color="auto" w:fill="DBE5F1" w:themeFill="accent1" w:themeFillTint="33"/>
          </w:tcPr>
          <w:p w14:paraId="02A77CF0">
            <w:pPr>
              <w:jc w:val="center"/>
              <w:rPr>
                <w:rFonts w:cs="Arial" w:asciiTheme="minorHAnsi" w:hAnsiTheme="minorHAnsi"/>
                <w:b/>
                <w:bCs/>
                <w:sz w:val="18"/>
                <w:szCs w:val="18"/>
              </w:rPr>
            </w:pPr>
            <w:r>
              <w:rPr>
                <w:rFonts w:cs="Arial" w:asciiTheme="minorHAnsi" w:hAnsiTheme="minorHAnsi"/>
                <w:b/>
                <w:bCs/>
                <w:sz w:val="18"/>
                <w:szCs w:val="18"/>
              </w:rPr>
              <w:t>E</w:t>
            </w:r>
          </w:p>
        </w:tc>
        <w:tc>
          <w:tcPr>
            <w:tcW w:w="2125" w:type="dxa"/>
            <w:shd w:val="clear" w:color="auto" w:fill="DBE5F1" w:themeFill="accent1" w:themeFillTint="33"/>
          </w:tcPr>
          <w:p w14:paraId="6E70B0D1">
            <w:pPr>
              <w:rPr>
                <w:rFonts w:cs="Arial" w:asciiTheme="minorHAnsi" w:hAnsiTheme="minorHAnsi"/>
                <w:sz w:val="18"/>
                <w:szCs w:val="18"/>
              </w:rPr>
            </w:pPr>
            <w:r>
              <w:rPr>
                <w:rFonts w:cs="Arial" w:asciiTheme="minorHAnsi" w:hAnsiTheme="minorHAnsi"/>
                <w:sz w:val="18"/>
                <w:szCs w:val="18"/>
              </w:rPr>
              <w:t>Incidência dos encargos do Submódulo 2.2 sobre Aviso Prévio Trabalhado.</w:t>
            </w:r>
          </w:p>
        </w:tc>
        <w:tc>
          <w:tcPr>
            <w:tcW w:w="3119" w:type="dxa"/>
            <w:shd w:val="clear" w:color="auto" w:fill="DBE5F1" w:themeFill="accent1" w:themeFillTint="33"/>
          </w:tcPr>
          <w:p w14:paraId="743C3384">
            <w:pPr>
              <w:rPr>
                <w:rFonts w:cs="Arial" w:asciiTheme="minorHAnsi" w:hAnsiTheme="minorHAnsi"/>
                <w:sz w:val="18"/>
                <w:szCs w:val="18"/>
              </w:rPr>
            </w:pPr>
            <w:r>
              <w:rPr>
                <w:rFonts w:cs="Arial" w:asciiTheme="minorHAnsi" w:hAnsiTheme="minorHAnsi"/>
                <w:sz w:val="18"/>
                <w:szCs w:val="18"/>
              </w:rPr>
              <w:t>[(Remuneração / dias do mês) / meses do ano] x 7 dias de redução da jornada x 8%</w:t>
            </w:r>
          </w:p>
        </w:tc>
        <w:tc>
          <w:tcPr>
            <w:tcW w:w="1843" w:type="dxa"/>
            <w:shd w:val="clear" w:color="auto" w:fill="DBE5F1" w:themeFill="accent1" w:themeFillTint="33"/>
          </w:tcPr>
          <w:p w14:paraId="44914DF5">
            <w:pPr>
              <w:jc w:val="center"/>
              <w:rPr>
                <w:rFonts w:cs="Arial" w:asciiTheme="minorHAnsi" w:hAnsiTheme="minorHAnsi"/>
                <w:sz w:val="18"/>
                <w:szCs w:val="18"/>
              </w:rPr>
            </w:pPr>
            <w:r>
              <w:rPr>
                <w:rFonts w:cs="Arial" w:asciiTheme="minorHAnsi" w:hAnsiTheme="minorHAnsi"/>
                <w:sz w:val="18"/>
                <w:szCs w:val="18"/>
              </w:rPr>
              <w:t>-</w:t>
            </w:r>
          </w:p>
        </w:tc>
      </w:tr>
      <w:tr w14:paraId="32C5F69F">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58" w:hRule="atLeast"/>
        </w:trPr>
        <w:tc>
          <w:tcPr>
            <w:tcW w:w="850" w:type="dxa"/>
          </w:tcPr>
          <w:p w14:paraId="65D07CE6">
            <w:pPr>
              <w:jc w:val="center"/>
              <w:rPr>
                <w:rFonts w:cs="Arial" w:asciiTheme="minorHAnsi" w:hAnsiTheme="minorHAnsi"/>
                <w:b/>
                <w:bCs/>
                <w:sz w:val="18"/>
                <w:szCs w:val="18"/>
              </w:rPr>
            </w:pPr>
            <w:r>
              <w:rPr>
                <w:rFonts w:cs="Arial" w:asciiTheme="minorHAnsi" w:hAnsiTheme="minorHAnsi"/>
                <w:b/>
                <w:bCs/>
                <w:sz w:val="18"/>
                <w:szCs w:val="18"/>
              </w:rPr>
              <w:t>F</w:t>
            </w:r>
          </w:p>
        </w:tc>
        <w:tc>
          <w:tcPr>
            <w:tcW w:w="2125" w:type="dxa"/>
          </w:tcPr>
          <w:p w14:paraId="0A546E08">
            <w:pPr>
              <w:rPr>
                <w:rFonts w:cs="Arial" w:asciiTheme="minorHAnsi" w:hAnsiTheme="minorHAnsi"/>
                <w:sz w:val="18"/>
                <w:szCs w:val="18"/>
              </w:rPr>
            </w:pPr>
            <w:r>
              <w:rPr>
                <w:rFonts w:cs="Arial" w:asciiTheme="minorHAnsi" w:hAnsiTheme="minorHAnsi"/>
                <w:sz w:val="18"/>
                <w:szCs w:val="18"/>
              </w:rPr>
              <w:t>Multa FGTS e Contribuição Social sobre o Aviso Prévio Trabalhado – 100%</w:t>
            </w:r>
          </w:p>
        </w:tc>
        <w:tc>
          <w:tcPr>
            <w:tcW w:w="3119" w:type="dxa"/>
          </w:tcPr>
          <w:p w14:paraId="640DE0A7">
            <w:pPr>
              <w:rPr>
                <w:rFonts w:cs="Arial" w:asciiTheme="minorHAnsi" w:hAnsiTheme="minorHAnsi"/>
                <w:b/>
                <w:bCs/>
                <w:sz w:val="18"/>
                <w:szCs w:val="18"/>
              </w:rPr>
            </w:pPr>
            <w:r>
              <w:rPr>
                <w:rFonts w:cs="Arial" w:asciiTheme="minorHAnsi" w:hAnsiTheme="minorHAnsi"/>
                <w:b/>
                <w:bCs/>
                <w:sz w:val="18"/>
                <w:szCs w:val="18"/>
              </w:rPr>
              <w:t>Módulo 1 + Módulo 2 x 3,20%</w:t>
            </w:r>
          </w:p>
          <w:p w14:paraId="037045E8">
            <w:pPr>
              <w:rPr>
                <w:rFonts w:cs="Arial" w:asciiTheme="minorHAnsi" w:hAnsiTheme="minorHAnsi"/>
                <w:b/>
                <w:bCs/>
                <w:sz w:val="18"/>
                <w:szCs w:val="18"/>
              </w:rPr>
            </w:pPr>
          </w:p>
          <w:p w14:paraId="05368397">
            <w:pPr>
              <w:rPr>
                <w:rFonts w:cs="Arial" w:asciiTheme="minorHAnsi" w:hAnsiTheme="minorHAnsi"/>
                <w:sz w:val="18"/>
                <w:szCs w:val="18"/>
              </w:rPr>
            </w:pPr>
            <w:r>
              <w:rPr>
                <w:rFonts w:cs="Arial" w:asciiTheme="minorHAnsi" w:hAnsiTheme="minorHAnsi"/>
                <w:sz w:val="18"/>
                <w:szCs w:val="18"/>
              </w:rPr>
              <w:t>3,20% foi obtido pela fórmula:</w:t>
            </w:r>
          </w:p>
          <w:p w14:paraId="1762F513">
            <w:pPr>
              <w:rPr>
                <w:rFonts w:cs="Arial" w:asciiTheme="minorHAnsi" w:hAnsiTheme="minorHAnsi"/>
                <w:sz w:val="18"/>
                <w:szCs w:val="18"/>
              </w:rPr>
            </w:pPr>
            <w:r>
              <w:rPr>
                <w:rFonts w:cs="Arial" w:asciiTheme="minorHAnsi" w:hAnsiTheme="minorHAnsi"/>
                <w:sz w:val="18"/>
                <w:szCs w:val="18"/>
              </w:rPr>
              <w:t>8% de FGTS x 40% de multa x 100%</w:t>
            </w:r>
          </w:p>
        </w:tc>
        <w:tc>
          <w:tcPr>
            <w:tcW w:w="1843" w:type="dxa"/>
          </w:tcPr>
          <w:p w14:paraId="4A609CBD">
            <w:pPr>
              <w:rPr>
                <w:rFonts w:cs="Arial" w:asciiTheme="minorHAnsi" w:hAnsiTheme="minorHAnsi" w:eastAsiaTheme="minorHAnsi"/>
                <w:sz w:val="18"/>
                <w:szCs w:val="18"/>
                <w:lang w:val="en-US" w:eastAsia="en-US"/>
              </w:rPr>
            </w:pPr>
            <w:r>
              <w:rPr>
                <w:rFonts w:cs="Arial" w:asciiTheme="minorHAnsi" w:hAnsiTheme="minorHAnsi" w:eastAsiaTheme="minorHAnsi"/>
                <w:sz w:val="18"/>
                <w:szCs w:val="18"/>
                <w:lang w:val="en-US" w:eastAsia="en-US"/>
              </w:rPr>
              <w:t>Art. 7º, XXI, CF/88,</w:t>
            </w:r>
          </w:p>
          <w:p w14:paraId="7769D965">
            <w:pPr>
              <w:rPr>
                <w:rFonts w:cs="Arial" w:asciiTheme="minorHAnsi" w:hAnsiTheme="minorHAnsi"/>
                <w:sz w:val="18"/>
                <w:szCs w:val="18"/>
                <w:lang w:val="en-US"/>
              </w:rPr>
            </w:pPr>
            <w:r>
              <w:rPr>
                <w:rFonts w:cs="Arial" w:asciiTheme="minorHAnsi" w:hAnsiTheme="minorHAnsi" w:eastAsiaTheme="minorHAnsi"/>
                <w:sz w:val="18"/>
                <w:szCs w:val="18"/>
                <w:lang w:val="en-US" w:eastAsia="en-US"/>
              </w:rPr>
              <w:t>477, 487 e 491 CLT.</w:t>
            </w:r>
          </w:p>
        </w:tc>
      </w:tr>
      <w:tr w14:paraId="7E5B90FC">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11" w:hRule="atLeast"/>
        </w:trPr>
        <w:tc>
          <w:tcPr>
            <w:tcW w:w="850" w:type="dxa"/>
            <w:shd w:val="clear" w:color="auto" w:fill="DBE5F1" w:themeFill="accent1" w:themeFillTint="33"/>
          </w:tcPr>
          <w:p w14:paraId="6F930036">
            <w:pPr>
              <w:jc w:val="center"/>
              <w:rPr>
                <w:rFonts w:cs="Arial" w:asciiTheme="minorHAnsi" w:hAnsiTheme="minorHAnsi"/>
                <w:b/>
                <w:bCs/>
                <w:sz w:val="18"/>
                <w:szCs w:val="18"/>
                <w:lang w:val="en-US"/>
              </w:rPr>
            </w:pPr>
          </w:p>
        </w:tc>
        <w:tc>
          <w:tcPr>
            <w:tcW w:w="2125" w:type="dxa"/>
            <w:shd w:val="clear" w:color="auto" w:fill="DBE5F1" w:themeFill="accent1" w:themeFillTint="33"/>
          </w:tcPr>
          <w:p w14:paraId="757BF846">
            <w:pPr>
              <w:rPr>
                <w:rFonts w:cs="Arial" w:asciiTheme="minorHAnsi" w:hAnsiTheme="minorHAnsi"/>
                <w:sz w:val="18"/>
                <w:szCs w:val="18"/>
              </w:rPr>
            </w:pPr>
            <w:r>
              <w:rPr>
                <w:rFonts w:cs="Arial" w:asciiTheme="minorHAnsi" w:hAnsiTheme="minorHAnsi"/>
                <w:sz w:val="18"/>
                <w:szCs w:val="18"/>
              </w:rPr>
              <w:t>Total</w:t>
            </w:r>
          </w:p>
        </w:tc>
        <w:tc>
          <w:tcPr>
            <w:tcW w:w="3119" w:type="dxa"/>
            <w:shd w:val="clear" w:color="auto" w:fill="DBE5F1" w:themeFill="accent1" w:themeFillTint="33"/>
          </w:tcPr>
          <w:p w14:paraId="2FF07B8F">
            <w:pPr>
              <w:rPr>
                <w:rFonts w:cs="Arial" w:asciiTheme="minorHAnsi" w:hAnsiTheme="minorHAnsi" w:eastAsiaTheme="minorHAnsi"/>
                <w:sz w:val="18"/>
                <w:szCs w:val="18"/>
                <w:lang w:eastAsia="en-US"/>
              </w:rPr>
            </w:pPr>
          </w:p>
        </w:tc>
        <w:tc>
          <w:tcPr>
            <w:tcW w:w="1843" w:type="dxa"/>
            <w:shd w:val="clear" w:color="auto" w:fill="DBE5F1" w:themeFill="accent1" w:themeFillTint="33"/>
          </w:tcPr>
          <w:p w14:paraId="37C0E69B">
            <w:pPr>
              <w:rPr>
                <w:rFonts w:cs="Arial" w:asciiTheme="minorHAnsi" w:hAnsiTheme="minorHAnsi" w:eastAsiaTheme="minorHAnsi"/>
                <w:sz w:val="18"/>
                <w:szCs w:val="18"/>
                <w:lang w:eastAsia="en-US"/>
              </w:rPr>
            </w:pPr>
          </w:p>
        </w:tc>
      </w:tr>
    </w:tbl>
    <w:p w14:paraId="19D61B18">
      <w:pPr>
        <w:ind w:left="426"/>
        <w:jc w:val="both"/>
        <w:rPr>
          <w:rFonts w:cs="Arial" w:asciiTheme="minorHAnsi" w:hAnsiTheme="minorHAnsi" w:eastAsiaTheme="minorHAnsi"/>
          <w:sz w:val="16"/>
          <w:szCs w:val="16"/>
          <w:lang w:eastAsia="en-US"/>
        </w:rPr>
      </w:pPr>
      <w:r>
        <w:rPr>
          <w:rFonts w:cs="Arial" w:asciiTheme="minorHAnsi" w:hAnsiTheme="minorHAnsi" w:eastAsiaTheme="minorHAnsi"/>
          <w:sz w:val="16"/>
          <w:szCs w:val="16"/>
          <w:lang w:eastAsia="en-US"/>
        </w:rPr>
        <w:t>OBSERVAÇÕES: Nota Técnica nº 652/2017 - MP</w:t>
      </w:r>
    </w:p>
    <w:p w14:paraId="45DA31D3">
      <w:pPr>
        <w:ind w:left="426"/>
        <w:jc w:val="both"/>
        <w:rPr>
          <w:rFonts w:cs="Arial" w:asciiTheme="minorHAnsi" w:hAnsiTheme="minorHAnsi" w:eastAsiaTheme="minorHAnsi"/>
          <w:sz w:val="16"/>
          <w:szCs w:val="16"/>
          <w:lang w:eastAsia="en-US"/>
        </w:rPr>
      </w:pPr>
    </w:p>
    <w:p w14:paraId="5EB637C7">
      <w:pPr>
        <w:ind w:left="426"/>
        <w:jc w:val="both"/>
        <w:rPr>
          <w:rFonts w:cs="Arial" w:asciiTheme="minorHAnsi" w:hAnsiTheme="minorHAnsi" w:eastAsiaTheme="minorHAnsi"/>
          <w:sz w:val="16"/>
          <w:szCs w:val="16"/>
          <w:lang w:eastAsia="en-US"/>
        </w:rPr>
      </w:pPr>
    </w:p>
    <w:p w14:paraId="0F86BC1D">
      <w:pPr>
        <w:jc w:val="both"/>
        <w:rPr>
          <w:rFonts w:ascii="Calibri" w:hAnsi="Calibri" w:cs="Arial"/>
          <w:b/>
          <w:color w:val="FF0000"/>
          <w:sz w:val="22"/>
          <w:szCs w:val="22"/>
          <w:u w:val="single"/>
        </w:rPr>
      </w:pPr>
      <w:r>
        <w:rPr>
          <w:rFonts w:ascii="Calibri" w:hAnsi="Calibri" w:cs="Arial"/>
          <w:b/>
          <w:sz w:val="22"/>
          <w:szCs w:val="22"/>
          <w:u w:val="single"/>
        </w:rPr>
        <w:t xml:space="preserve">Módulo 4 – Custo de Reposição de Profissional Ausente </w:t>
      </w:r>
    </w:p>
    <w:p w14:paraId="3EEB70D0">
      <w:pPr>
        <w:rPr>
          <w:rFonts w:ascii="Calibri" w:hAnsi="Calibri" w:cs="Arial"/>
          <w:sz w:val="22"/>
          <w:szCs w:val="22"/>
        </w:rPr>
      </w:pPr>
    </w:p>
    <w:p w14:paraId="6953B1F4">
      <w:pPr>
        <w:jc w:val="both"/>
        <w:rPr>
          <w:rFonts w:ascii="Calibri" w:hAnsi="Calibri" w:cs="Arial"/>
          <w:sz w:val="22"/>
          <w:szCs w:val="22"/>
          <w:u w:val="single"/>
          <w:lang w:val="pt-PT"/>
        </w:rPr>
      </w:pPr>
      <w:r>
        <w:rPr>
          <w:rFonts w:ascii="Calibri" w:hAnsi="Calibri" w:cs="Arial"/>
          <w:sz w:val="22"/>
          <w:szCs w:val="22"/>
          <w:u w:val="single"/>
          <w:lang w:val="pt-PT"/>
        </w:rPr>
        <w:t>Submódulo 4.1 – Ausências Legais</w:t>
      </w:r>
    </w:p>
    <w:p w14:paraId="4ADEC80A">
      <w:pPr>
        <w:rPr>
          <w:rFonts w:ascii="Calibri" w:hAnsi="Calibri" w:cs="Arial"/>
          <w:lang w:val="pt-PT"/>
        </w:rPr>
      </w:pPr>
    </w:p>
    <w:tbl>
      <w:tblPr>
        <w:tblStyle w:val="70"/>
        <w:tblW w:w="9430"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fixed"/>
        <w:tblCellMar>
          <w:top w:w="0" w:type="dxa"/>
          <w:left w:w="108" w:type="dxa"/>
          <w:bottom w:w="0" w:type="dxa"/>
          <w:right w:w="108" w:type="dxa"/>
        </w:tblCellMar>
      </w:tblPr>
      <w:tblGrid>
        <w:gridCol w:w="393"/>
        <w:gridCol w:w="1825"/>
        <w:gridCol w:w="3316"/>
        <w:gridCol w:w="3896"/>
      </w:tblGrid>
      <w:tr w14:paraId="2D2BE833">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393"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5FACFEC6">
            <w:pPr>
              <w:jc w:val="center"/>
              <w:rPr>
                <w:rFonts w:ascii="Calibri" w:hAnsi="Calibri" w:cs="Arial"/>
                <w:b w:val="0"/>
                <w:bCs w:val="0"/>
                <w:color w:val="000000"/>
                <w:sz w:val="18"/>
                <w:szCs w:val="18"/>
              </w:rPr>
            </w:pPr>
            <w:r>
              <w:rPr>
                <w:rFonts w:ascii="Calibri" w:hAnsi="Calibri" w:cs="Arial"/>
                <w:b/>
                <w:bCs/>
                <w:color w:val="000000"/>
                <w:sz w:val="18"/>
                <w:szCs w:val="18"/>
              </w:rPr>
              <w:t>4.1</w:t>
            </w:r>
          </w:p>
        </w:tc>
        <w:tc>
          <w:tcPr>
            <w:tcW w:w="1825"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0AB6D54A">
            <w:pPr>
              <w:jc w:val="center"/>
              <w:rPr>
                <w:rFonts w:ascii="Calibri" w:hAnsi="Calibri" w:cs="Arial"/>
                <w:b w:val="0"/>
                <w:bCs w:val="0"/>
                <w:color w:val="000000"/>
                <w:sz w:val="18"/>
                <w:szCs w:val="18"/>
              </w:rPr>
            </w:pPr>
            <w:r>
              <w:rPr>
                <w:rFonts w:ascii="Calibri" w:hAnsi="Calibri" w:cs="Arial"/>
                <w:b/>
                <w:bCs/>
                <w:color w:val="000000"/>
                <w:sz w:val="18"/>
                <w:szCs w:val="18"/>
              </w:rPr>
              <w:t>Ausências Legais</w:t>
            </w:r>
          </w:p>
        </w:tc>
        <w:tc>
          <w:tcPr>
            <w:tcW w:w="3316"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232125D1">
            <w:pPr>
              <w:jc w:val="center"/>
              <w:rPr>
                <w:rFonts w:ascii="Calibri" w:hAnsi="Calibri" w:cs="Arial"/>
                <w:b w:val="0"/>
                <w:bCs w:val="0"/>
                <w:color w:val="000000"/>
                <w:sz w:val="18"/>
                <w:szCs w:val="18"/>
              </w:rPr>
            </w:pPr>
            <w:r>
              <w:rPr>
                <w:rFonts w:ascii="Calibri" w:hAnsi="Calibri" w:cs="Arial"/>
                <w:b/>
                <w:bCs/>
                <w:color w:val="000000"/>
                <w:sz w:val="18"/>
                <w:szCs w:val="18"/>
              </w:rPr>
              <w:t xml:space="preserve">MEMÓRIA DE CÁLCULO </w:t>
            </w:r>
          </w:p>
        </w:tc>
        <w:tc>
          <w:tcPr>
            <w:tcW w:w="3896"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49B483AA">
            <w:pPr>
              <w:jc w:val="center"/>
              <w:rPr>
                <w:rFonts w:ascii="Calibri" w:hAnsi="Calibri" w:cs="Arial"/>
                <w:b w:val="0"/>
                <w:bCs w:val="0"/>
                <w:color w:val="000000"/>
                <w:sz w:val="18"/>
                <w:szCs w:val="18"/>
              </w:rPr>
            </w:pPr>
            <w:r>
              <w:rPr>
                <w:rFonts w:ascii="Calibri" w:hAnsi="Calibri" w:cs="Arial"/>
                <w:b/>
                <w:bCs/>
                <w:color w:val="000000"/>
                <w:sz w:val="18"/>
                <w:szCs w:val="18"/>
              </w:rPr>
              <w:t>FUNDAMENTO</w:t>
            </w:r>
          </w:p>
        </w:tc>
      </w:tr>
      <w:tr w14:paraId="6CB42A2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61" w:hRule="atLeast"/>
        </w:trPr>
        <w:tc>
          <w:tcPr>
            <w:tcW w:w="393" w:type="dxa"/>
            <w:shd w:val="clear" w:color="auto" w:fill="DBE5F1" w:themeFill="accent1" w:themeFillTint="33"/>
          </w:tcPr>
          <w:p w14:paraId="0877C565">
            <w:pPr>
              <w:jc w:val="center"/>
              <w:rPr>
                <w:rFonts w:ascii="Calibri" w:hAnsi="Calibri" w:cs="Arial"/>
                <w:b/>
                <w:bCs/>
                <w:sz w:val="18"/>
                <w:szCs w:val="18"/>
              </w:rPr>
            </w:pPr>
            <w:r>
              <w:rPr>
                <w:rFonts w:ascii="Calibri" w:hAnsi="Calibri" w:cs="Arial"/>
                <w:b/>
                <w:bCs/>
                <w:sz w:val="18"/>
                <w:szCs w:val="18"/>
              </w:rPr>
              <w:t>A</w:t>
            </w:r>
          </w:p>
        </w:tc>
        <w:tc>
          <w:tcPr>
            <w:tcW w:w="1825" w:type="dxa"/>
            <w:shd w:val="clear" w:color="auto" w:fill="DBE5F1" w:themeFill="accent1" w:themeFillTint="33"/>
          </w:tcPr>
          <w:p w14:paraId="75DC7780">
            <w:pPr>
              <w:rPr>
                <w:rFonts w:cs="Arial" w:asciiTheme="minorHAnsi" w:hAnsiTheme="minorHAnsi"/>
                <w:sz w:val="18"/>
                <w:szCs w:val="18"/>
              </w:rPr>
            </w:pPr>
            <w:r>
              <w:rPr>
                <w:rFonts w:cs="Arial" w:asciiTheme="minorHAnsi" w:hAnsiTheme="minorHAnsi"/>
                <w:color w:val="000000"/>
                <w:sz w:val="18"/>
                <w:szCs w:val="18"/>
                <w:shd w:val="clear" w:color="auto" w:fill="FFFFFF"/>
              </w:rPr>
              <w:t>Substituto na cobertura de Férias</w:t>
            </w:r>
          </w:p>
        </w:tc>
        <w:tc>
          <w:tcPr>
            <w:tcW w:w="3316" w:type="dxa"/>
            <w:shd w:val="clear" w:color="auto" w:fill="DBE5F1" w:themeFill="accent1" w:themeFillTint="33"/>
          </w:tcPr>
          <w:p w14:paraId="25E1521A">
            <w:pPr>
              <w:jc w:val="center"/>
              <w:rPr>
                <w:rFonts w:ascii="Calibri" w:hAnsi="Calibri" w:cs="Arial"/>
                <w:b/>
                <w:bCs/>
                <w:sz w:val="18"/>
                <w:szCs w:val="18"/>
              </w:rPr>
            </w:pPr>
            <w:r>
              <w:rPr>
                <w:rFonts w:ascii="Calibri" w:hAnsi="Calibri" w:cs="Arial"/>
                <w:b/>
                <w:bCs/>
                <w:sz w:val="18"/>
                <w:szCs w:val="18"/>
              </w:rPr>
              <w:t>Módulo 1 + Módulo 2 + Módulo 3 x 0,926%</w:t>
            </w:r>
          </w:p>
          <w:p w14:paraId="501778CD">
            <w:pPr>
              <w:jc w:val="center"/>
              <w:rPr>
                <w:rFonts w:ascii="Calibri" w:hAnsi="Calibri" w:cs="Arial"/>
                <w:b/>
                <w:bCs/>
                <w:sz w:val="18"/>
                <w:szCs w:val="18"/>
              </w:rPr>
            </w:pPr>
          </w:p>
          <w:p w14:paraId="2F8223A5">
            <w:pPr>
              <w:jc w:val="center"/>
              <w:rPr>
                <w:rFonts w:ascii="Calibri" w:hAnsi="Calibri" w:cs="Arial"/>
                <w:b/>
                <w:bCs/>
                <w:sz w:val="18"/>
                <w:szCs w:val="18"/>
              </w:rPr>
            </w:pPr>
            <w:r>
              <w:rPr>
                <w:rFonts w:ascii="Calibri" w:hAnsi="Calibri" w:cs="Arial"/>
                <w:b/>
                <w:bCs/>
                <w:sz w:val="18"/>
                <w:szCs w:val="18"/>
              </w:rPr>
              <w:t xml:space="preserve">0,9626% foi obtido pela fórmula: </w:t>
            </w:r>
          </w:p>
          <w:p w14:paraId="2E9E3C3F">
            <w:pPr>
              <w:jc w:val="center"/>
              <w:rPr>
                <w:rFonts w:ascii="Calibri" w:hAnsi="Calibri" w:cs="Arial"/>
                <w:sz w:val="18"/>
                <w:szCs w:val="18"/>
              </w:rPr>
            </w:pPr>
            <w:r>
              <w:rPr>
                <w:rFonts w:ascii="Calibri" w:hAnsi="Calibri" w:cs="Arial"/>
                <w:b/>
                <w:bCs/>
                <w:sz w:val="18"/>
                <w:szCs w:val="18"/>
              </w:rPr>
              <w:t>1 + terço constitucional / pelo número de meses ((1+ 1/3)/12)/12</w:t>
            </w:r>
          </w:p>
        </w:tc>
        <w:tc>
          <w:tcPr>
            <w:tcW w:w="3896" w:type="dxa"/>
            <w:shd w:val="clear" w:color="auto" w:fill="DBE5F1" w:themeFill="accent1" w:themeFillTint="33"/>
          </w:tcPr>
          <w:p w14:paraId="077A056C">
            <w:pPr>
              <w:jc w:val="both"/>
              <w:rPr>
                <w:rFonts w:cs="Arial" w:asciiTheme="minorHAnsi" w:hAnsiTheme="minorHAnsi"/>
                <w:sz w:val="18"/>
                <w:szCs w:val="18"/>
              </w:rPr>
            </w:pPr>
            <w:r>
              <w:rPr>
                <w:rFonts w:cs="Arial" w:asciiTheme="minorHAnsi" w:hAnsiTheme="minorHAnsi"/>
                <w:sz w:val="18"/>
                <w:szCs w:val="18"/>
              </w:rPr>
              <w:t>-</w:t>
            </w:r>
          </w:p>
          <w:p w14:paraId="6F2EAD1D">
            <w:pPr>
              <w:jc w:val="both"/>
              <w:rPr>
                <w:rFonts w:cs="Arial" w:asciiTheme="minorHAnsi" w:hAnsiTheme="minorHAnsi"/>
                <w:sz w:val="18"/>
                <w:szCs w:val="18"/>
              </w:rPr>
            </w:pPr>
          </w:p>
        </w:tc>
      </w:tr>
      <w:tr w14:paraId="0E75E8C0">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393" w:type="dxa"/>
          </w:tcPr>
          <w:p w14:paraId="56C29E8B">
            <w:pPr>
              <w:jc w:val="center"/>
              <w:rPr>
                <w:rFonts w:ascii="Calibri" w:hAnsi="Calibri" w:cs="Arial"/>
                <w:b/>
                <w:bCs/>
                <w:sz w:val="18"/>
                <w:szCs w:val="18"/>
              </w:rPr>
            </w:pPr>
            <w:r>
              <w:rPr>
                <w:rFonts w:ascii="Calibri" w:hAnsi="Calibri" w:cs="Arial"/>
                <w:b/>
                <w:bCs/>
                <w:sz w:val="18"/>
                <w:szCs w:val="18"/>
              </w:rPr>
              <w:t>B</w:t>
            </w:r>
          </w:p>
        </w:tc>
        <w:tc>
          <w:tcPr>
            <w:tcW w:w="1825" w:type="dxa"/>
          </w:tcPr>
          <w:p w14:paraId="03491C22">
            <w:pPr>
              <w:rPr>
                <w:rFonts w:cs="Arial" w:asciiTheme="minorHAnsi" w:hAnsiTheme="minorHAnsi"/>
                <w:sz w:val="18"/>
                <w:szCs w:val="18"/>
              </w:rPr>
            </w:pPr>
            <w:r>
              <w:rPr>
                <w:rFonts w:cs="Arial" w:asciiTheme="minorHAnsi" w:hAnsiTheme="minorHAnsi"/>
                <w:color w:val="000000"/>
                <w:sz w:val="18"/>
                <w:szCs w:val="18"/>
                <w:shd w:val="clear" w:color="auto" w:fill="FFFFFF"/>
              </w:rPr>
              <w:t>Substituto na cobertura de Ausências Legais</w:t>
            </w:r>
          </w:p>
        </w:tc>
        <w:tc>
          <w:tcPr>
            <w:tcW w:w="3316" w:type="dxa"/>
          </w:tcPr>
          <w:p w14:paraId="26C8EB77">
            <w:pPr>
              <w:jc w:val="center"/>
              <w:rPr>
                <w:rFonts w:ascii="Calibri" w:hAnsi="Calibri" w:cs="Arial"/>
                <w:b/>
                <w:bCs/>
                <w:color w:val="FF0000"/>
                <w:sz w:val="18"/>
                <w:szCs w:val="18"/>
              </w:rPr>
            </w:pPr>
            <w:r>
              <w:rPr>
                <w:rFonts w:ascii="Calibri" w:hAnsi="Calibri" w:cs="Arial"/>
                <w:b/>
                <w:bCs/>
                <w:sz w:val="18"/>
                <w:szCs w:val="18"/>
              </w:rPr>
              <w:t xml:space="preserve">Módulo 1 + Módulo 2 + Módulo 3 x </w:t>
            </w:r>
            <w:r>
              <w:rPr>
                <w:rFonts w:ascii="Calibri" w:hAnsi="Calibri" w:cs="Arial"/>
                <w:b/>
                <w:bCs/>
                <w:color w:val="FF0000"/>
                <w:sz w:val="18"/>
                <w:szCs w:val="18"/>
              </w:rPr>
              <w:t>percentual</w:t>
            </w:r>
          </w:p>
          <w:p w14:paraId="04FE0708">
            <w:pPr>
              <w:jc w:val="center"/>
              <w:rPr>
                <w:rFonts w:ascii="Calibri" w:hAnsi="Calibri" w:cs="Arial"/>
                <w:b/>
                <w:bCs/>
                <w:color w:val="FF0000"/>
                <w:sz w:val="18"/>
                <w:szCs w:val="18"/>
              </w:rPr>
            </w:pPr>
          </w:p>
          <w:p w14:paraId="20607D5F">
            <w:pPr>
              <w:jc w:val="center"/>
              <w:rPr>
                <w:rFonts w:ascii="Calibri" w:hAnsi="Calibri" w:cs="Arial"/>
                <w:sz w:val="18"/>
                <w:szCs w:val="18"/>
              </w:rPr>
            </w:pPr>
            <w:r>
              <w:rPr>
                <w:rFonts w:ascii="Calibri" w:hAnsi="Calibri" w:cs="Arial"/>
                <w:sz w:val="18"/>
                <w:szCs w:val="18"/>
              </w:rPr>
              <w:t>Percentual: nDR(AL) / 30 dias / 12 meses</w:t>
            </w:r>
          </w:p>
          <w:p w14:paraId="30B67995">
            <w:pPr>
              <w:jc w:val="center"/>
              <w:rPr>
                <w:rFonts w:ascii="Calibri" w:hAnsi="Calibri" w:cs="Arial"/>
                <w:sz w:val="18"/>
                <w:szCs w:val="18"/>
              </w:rPr>
            </w:pPr>
            <w:r>
              <w:rPr>
                <w:rFonts w:ascii="Calibri" w:hAnsi="Calibri" w:cs="Arial"/>
                <w:sz w:val="18"/>
                <w:szCs w:val="18"/>
              </w:rPr>
              <w:t xml:space="preserve">2,96 / 30 /12 = </w:t>
            </w:r>
            <w:r>
              <w:rPr>
                <w:rFonts w:ascii="Calibri" w:hAnsi="Calibri" w:cs="Arial"/>
                <w:b/>
                <w:bCs/>
                <w:sz w:val="18"/>
                <w:szCs w:val="18"/>
              </w:rPr>
              <w:t>0,822%</w:t>
            </w:r>
          </w:p>
        </w:tc>
        <w:tc>
          <w:tcPr>
            <w:tcW w:w="3896" w:type="dxa"/>
          </w:tcPr>
          <w:p w14:paraId="63631B53">
            <w:pPr>
              <w:rPr>
                <w:rFonts w:ascii="Calibri" w:hAnsi="Calibri" w:cs="Arial" w:eastAsiaTheme="minorHAnsi"/>
                <w:sz w:val="18"/>
                <w:szCs w:val="18"/>
                <w:lang w:eastAsia="en-US"/>
              </w:rPr>
            </w:pPr>
            <w:r>
              <w:rPr>
                <w:rFonts w:ascii="Calibri" w:hAnsi="Calibri" w:cs="Arial" w:eastAsiaTheme="minorHAnsi"/>
                <w:sz w:val="18"/>
                <w:szCs w:val="18"/>
                <w:lang w:eastAsia="en-US"/>
              </w:rPr>
              <w:t>Art. 473 da CLT / Acórdão TCU 1.753/2008:  Calculado segundo estimativa do MPOG (manual de preenchimento, pg 54).</w:t>
            </w:r>
          </w:p>
          <w:p w14:paraId="6C1C22F4">
            <w:pPr>
              <w:rPr>
                <w:rFonts w:ascii="Calibri" w:hAnsi="Calibri" w:cs="Arial"/>
                <w:sz w:val="18"/>
                <w:szCs w:val="18"/>
              </w:rPr>
            </w:pPr>
            <w:r>
              <w:rPr>
                <w:rFonts w:ascii="Calibri" w:hAnsi="Calibri" w:cs="Arial"/>
                <w:b/>
                <w:sz w:val="18"/>
                <w:szCs w:val="18"/>
              </w:rPr>
              <w:t>nDR(AL)</w:t>
            </w:r>
            <w:r>
              <w:rPr>
                <w:rFonts w:ascii="Calibri" w:hAnsi="Calibri" w:cs="Arial"/>
                <w:sz w:val="18"/>
                <w:szCs w:val="18"/>
              </w:rPr>
              <w:t xml:space="preserve"> - nº médio anual de dias de ausências legais por ano = </w:t>
            </w:r>
            <w:r>
              <w:rPr>
                <w:rFonts w:ascii="Calibri" w:hAnsi="Calibri" w:cs="Arial"/>
                <w:b/>
                <w:sz w:val="18"/>
                <w:szCs w:val="18"/>
              </w:rPr>
              <w:t>2,96</w:t>
            </w:r>
          </w:p>
        </w:tc>
      </w:tr>
      <w:tr w14:paraId="1B499C6A">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42" w:hRule="atLeast"/>
        </w:trPr>
        <w:tc>
          <w:tcPr>
            <w:tcW w:w="393" w:type="dxa"/>
            <w:shd w:val="clear" w:color="auto" w:fill="DBE5F1" w:themeFill="accent1" w:themeFillTint="33"/>
          </w:tcPr>
          <w:p w14:paraId="5C6EB5D6">
            <w:pPr>
              <w:jc w:val="center"/>
              <w:rPr>
                <w:rFonts w:ascii="Calibri" w:hAnsi="Calibri" w:cs="Arial"/>
                <w:b/>
                <w:bCs/>
                <w:sz w:val="18"/>
                <w:szCs w:val="18"/>
              </w:rPr>
            </w:pPr>
            <w:r>
              <w:rPr>
                <w:rFonts w:ascii="Calibri" w:hAnsi="Calibri" w:cs="Arial"/>
                <w:b/>
                <w:bCs/>
                <w:sz w:val="18"/>
                <w:szCs w:val="18"/>
              </w:rPr>
              <w:t>C</w:t>
            </w:r>
          </w:p>
        </w:tc>
        <w:tc>
          <w:tcPr>
            <w:tcW w:w="1825" w:type="dxa"/>
            <w:shd w:val="clear" w:color="auto" w:fill="DBE5F1" w:themeFill="accent1" w:themeFillTint="33"/>
          </w:tcPr>
          <w:p w14:paraId="1E42B367">
            <w:pPr>
              <w:rPr>
                <w:rFonts w:cs="Arial" w:asciiTheme="minorHAnsi" w:hAnsiTheme="minorHAnsi"/>
                <w:sz w:val="18"/>
                <w:szCs w:val="18"/>
              </w:rPr>
            </w:pPr>
            <w:r>
              <w:rPr>
                <w:rFonts w:cs="Arial" w:asciiTheme="minorHAnsi" w:hAnsiTheme="minorHAnsi"/>
                <w:color w:val="000000"/>
                <w:sz w:val="18"/>
                <w:szCs w:val="18"/>
                <w:shd w:val="clear" w:color="auto" w:fill="FFFFFF"/>
              </w:rPr>
              <w:t>Substituto na cobertura de Licença-Paternidade</w:t>
            </w:r>
          </w:p>
        </w:tc>
        <w:tc>
          <w:tcPr>
            <w:tcW w:w="3316" w:type="dxa"/>
            <w:shd w:val="clear" w:color="auto" w:fill="DBE5F1" w:themeFill="accent1" w:themeFillTint="33"/>
          </w:tcPr>
          <w:p w14:paraId="7FE93607">
            <w:pPr>
              <w:jc w:val="center"/>
              <w:rPr>
                <w:rFonts w:ascii="Calibri" w:hAnsi="Calibri" w:cs="Arial"/>
                <w:b/>
                <w:bCs/>
                <w:color w:val="FF0000"/>
                <w:sz w:val="18"/>
                <w:szCs w:val="18"/>
              </w:rPr>
            </w:pPr>
            <w:r>
              <w:rPr>
                <w:rFonts w:ascii="Calibri" w:hAnsi="Calibri" w:cs="Arial"/>
                <w:b/>
                <w:bCs/>
                <w:sz w:val="18"/>
                <w:szCs w:val="18"/>
              </w:rPr>
              <w:t xml:space="preserve">Módulo 1 + Módulo 2 + Módulo 3 x </w:t>
            </w:r>
            <w:r>
              <w:rPr>
                <w:rFonts w:ascii="Calibri" w:hAnsi="Calibri" w:cs="Arial"/>
                <w:b/>
                <w:bCs/>
                <w:color w:val="FF0000"/>
                <w:sz w:val="18"/>
                <w:szCs w:val="18"/>
              </w:rPr>
              <w:t>percentual</w:t>
            </w:r>
          </w:p>
          <w:p w14:paraId="30CAB2EA">
            <w:pPr>
              <w:jc w:val="center"/>
              <w:rPr>
                <w:rFonts w:ascii="Calibri" w:hAnsi="Calibri" w:cs="Arial"/>
                <w:sz w:val="18"/>
                <w:szCs w:val="18"/>
              </w:rPr>
            </w:pPr>
          </w:p>
          <w:p w14:paraId="6B3E84F6">
            <w:pPr>
              <w:jc w:val="center"/>
              <w:rPr>
                <w:rFonts w:ascii="Calibri" w:hAnsi="Calibri" w:cs="Arial"/>
                <w:sz w:val="18"/>
                <w:szCs w:val="18"/>
              </w:rPr>
            </w:pPr>
            <w:r>
              <w:rPr>
                <w:rFonts w:ascii="Calibri" w:hAnsi="Calibri" w:cs="Arial"/>
                <w:sz w:val="18"/>
                <w:szCs w:val="18"/>
              </w:rPr>
              <w:t>Percentual: 5 dias / 30 dias / 12 meses x 1,5% =</w:t>
            </w:r>
            <w:r>
              <w:rPr>
                <w:rFonts w:ascii="Calibri" w:hAnsi="Calibri" w:cs="Arial"/>
                <w:b/>
                <w:bCs/>
                <w:sz w:val="18"/>
                <w:szCs w:val="18"/>
              </w:rPr>
              <w:t xml:space="preserve"> 0,020833%</w:t>
            </w:r>
          </w:p>
        </w:tc>
        <w:tc>
          <w:tcPr>
            <w:tcW w:w="3896" w:type="dxa"/>
            <w:shd w:val="clear" w:color="auto" w:fill="DBE5F1" w:themeFill="accent1" w:themeFillTint="33"/>
          </w:tcPr>
          <w:p w14:paraId="587FB5EB">
            <w:pPr>
              <w:rPr>
                <w:rFonts w:ascii="Calibri" w:hAnsi="Calibri" w:cs="Arial" w:eastAsiaTheme="minorHAnsi"/>
                <w:sz w:val="18"/>
                <w:szCs w:val="18"/>
                <w:lang w:eastAsia="en-US"/>
              </w:rPr>
            </w:pPr>
            <w:r>
              <w:rPr>
                <w:rFonts w:ascii="Calibri" w:hAnsi="Calibri" w:cs="Arial" w:eastAsiaTheme="minorHAnsi"/>
                <w:sz w:val="18"/>
                <w:szCs w:val="18"/>
                <w:lang w:eastAsia="en-US"/>
              </w:rPr>
              <w:t>Art. 7º, XIX, CF/88 e</w:t>
            </w:r>
          </w:p>
          <w:p w14:paraId="3672EF95">
            <w:pPr>
              <w:rPr>
                <w:rFonts w:ascii="Calibri" w:hAnsi="Calibri" w:cs="Arial" w:eastAsiaTheme="minorHAnsi"/>
                <w:sz w:val="18"/>
                <w:szCs w:val="18"/>
                <w:lang w:eastAsia="en-US"/>
              </w:rPr>
            </w:pPr>
            <w:r>
              <w:rPr>
                <w:rFonts w:ascii="Calibri" w:hAnsi="Calibri" w:cs="Arial" w:eastAsiaTheme="minorHAnsi"/>
                <w:sz w:val="18"/>
                <w:szCs w:val="18"/>
                <w:lang w:eastAsia="en-US"/>
              </w:rPr>
              <w:t>10, § 1º, da CLT.</w:t>
            </w:r>
          </w:p>
          <w:p w14:paraId="725E0097">
            <w:pPr>
              <w:rPr>
                <w:rFonts w:ascii="Calibri" w:hAnsi="Calibri" w:cs="Arial"/>
                <w:sz w:val="18"/>
                <w:szCs w:val="18"/>
              </w:rPr>
            </w:pPr>
            <w:r>
              <w:rPr>
                <w:rFonts w:ascii="Calibri" w:hAnsi="Calibri" w:cs="Arial"/>
                <w:sz w:val="18"/>
                <w:szCs w:val="18"/>
              </w:rPr>
              <w:t xml:space="preserve">Manual de Preenchimento de Planilhas do MPOG 2011 (pg 27): </w:t>
            </w:r>
            <w:r>
              <w:rPr>
                <w:rFonts w:ascii="Calibri" w:hAnsi="Calibri" w:cs="Arial"/>
                <w:b/>
                <w:sz w:val="18"/>
                <w:szCs w:val="18"/>
              </w:rPr>
              <w:t>1,5%</w:t>
            </w:r>
            <w:r>
              <w:rPr>
                <w:rFonts w:ascii="Calibri" w:hAnsi="Calibri" w:cs="Arial"/>
                <w:sz w:val="18"/>
                <w:szCs w:val="18"/>
              </w:rPr>
              <w:t xml:space="preserve"> dos trabalhadores tem filhos. Sendo </w:t>
            </w:r>
            <w:r>
              <w:rPr>
                <w:rFonts w:ascii="Calibri" w:hAnsi="Calibri" w:cs="Arial"/>
                <w:b/>
                <w:sz w:val="18"/>
                <w:szCs w:val="18"/>
              </w:rPr>
              <w:t>5 dias (nº de dias corridos de licença).</w:t>
            </w:r>
          </w:p>
        </w:tc>
      </w:tr>
      <w:tr w14:paraId="7DC09A32">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393" w:type="dxa"/>
          </w:tcPr>
          <w:p w14:paraId="72025636">
            <w:pPr>
              <w:jc w:val="center"/>
              <w:rPr>
                <w:rFonts w:ascii="Calibri" w:hAnsi="Calibri" w:cs="Arial"/>
                <w:b/>
                <w:bCs/>
                <w:sz w:val="18"/>
                <w:szCs w:val="18"/>
              </w:rPr>
            </w:pPr>
            <w:r>
              <w:rPr>
                <w:rFonts w:ascii="Calibri" w:hAnsi="Calibri" w:cs="Arial"/>
                <w:b/>
                <w:bCs/>
                <w:sz w:val="18"/>
                <w:szCs w:val="18"/>
              </w:rPr>
              <w:t>D</w:t>
            </w:r>
          </w:p>
        </w:tc>
        <w:tc>
          <w:tcPr>
            <w:tcW w:w="1825" w:type="dxa"/>
          </w:tcPr>
          <w:p w14:paraId="5EB24F4D">
            <w:pPr>
              <w:rPr>
                <w:rFonts w:cs="Arial" w:asciiTheme="minorHAnsi" w:hAnsiTheme="minorHAnsi"/>
                <w:sz w:val="18"/>
                <w:szCs w:val="18"/>
              </w:rPr>
            </w:pPr>
            <w:r>
              <w:rPr>
                <w:rFonts w:cs="Arial" w:asciiTheme="minorHAnsi" w:hAnsiTheme="minorHAnsi"/>
                <w:color w:val="000000"/>
                <w:sz w:val="18"/>
                <w:szCs w:val="18"/>
                <w:shd w:val="clear" w:color="auto" w:fill="FFFFFF"/>
              </w:rPr>
              <w:t>Substituto na cobertura de Ausência por acidente de trabalho</w:t>
            </w:r>
          </w:p>
        </w:tc>
        <w:tc>
          <w:tcPr>
            <w:tcW w:w="3316" w:type="dxa"/>
          </w:tcPr>
          <w:p w14:paraId="79991636">
            <w:pPr>
              <w:jc w:val="center"/>
              <w:rPr>
                <w:rFonts w:ascii="Calibri" w:hAnsi="Calibri" w:cs="Arial"/>
                <w:b/>
                <w:bCs/>
                <w:color w:val="FF0000"/>
                <w:sz w:val="18"/>
                <w:szCs w:val="18"/>
              </w:rPr>
            </w:pPr>
            <w:r>
              <w:rPr>
                <w:rFonts w:ascii="Calibri" w:hAnsi="Calibri" w:cs="Arial"/>
                <w:b/>
                <w:bCs/>
                <w:sz w:val="18"/>
                <w:szCs w:val="18"/>
              </w:rPr>
              <w:t xml:space="preserve">Módulo 1 + Módulo 2 + Módulo 3 x </w:t>
            </w:r>
            <w:r>
              <w:rPr>
                <w:rFonts w:ascii="Calibri" w:hAnsi="Calibri" w:cs="Arial"/>
                <w:b/>
                <w:bCs/>
                <w:color w:val="FF0000"/>
                <w:sz w:val="18"/>
                <w:szCs w:val="18"/>
              </w:rPr>
              <w:t>percentual</w:t>
            </w:r>
          </w:p>
          <w:p w14:paraId="00F5FC46">
            <w:pPr>
              <w:jc w:val="center"/>
              <w:rPr>
                <w:rFonts w:ascii="Calibri" w:hAnsi="Calibri" w:cs="Arial"/>
                <w:sz w:val="18"/>
                <w:szCs w:val="18"/>
              </w:rPr>
            </w:pPr>
          </w:p>
          <w:p w14:paraId="77DBB735">
            <w:pPr>
              <w:jc w:val="center"/>
              <w:rPr>
                <w:rFonts w:ascii="Calibri" w:hAnsi="Calibri" w:cs="Arial"/>
                <w:sz w:val="18"/>
                <w:szCs w:val="18"/>
              </w:rPr>
            </w:pPr>
            <w:r>
              <w:rPr>
                <w:rFonts w:ascii="Calibri" w:hAnsi="Calibri" w:cs="Arial"/>
                <w:sz w:val="18"/>
                <w:szCs w:val="18"/>
              </w:rPr>
              <w:t>Percentual: 15 dias / 30 dias / 12 meses x 0,78% =</w:t>
            </w:r>
            <w:r>
              <w:rPr>
                <w:rFonts w:ascii="Calibri" w:hAnsi="Calibri" w:cs="Arial"/>
                <w:b/>
                <w:bCs/>
                <w:sz w:val="18"/>
                <w:szCs w:val="18"/>
              </w:rPr>
              <w:t xml:space="preserve"> 0,0325%</w:t>
            </w:r>
          </w:p>
        </w:tc>
        <w:tc>
          <w:tcPr>
            <w:tcW w:w="3896" w:type="dxa"/>
          </w:tcPr>
          <w:p w14:paraId="43106BC8">
            <w:pPr>
              <w:rPr>
                <w:rFonts w:ascii="Calibri" w:hAnsi="Calibri" w:cs="Arial" w:eastAsiaTheme="minorHAnsi"/>
                <w:sz w:val="18"/>
                <w:szCs w:val="18"/>
                <w:lang w:eastAsia="en-US"/>
              </w:rPr>
            </w:pPr>
            <w:r>
              <w:rPr>
                <w:rFonts w:ascii="Calibri" w:hAnsi="Calibri" w:cs="Arial" w:eastAsiaTheme="minorHAnsi"/>
                <w:sz w:val="18"/>
                <w:szCs w:val="18"/>
                <w:lang w:eastAsia="en-US"/>
              </w:rPr>
              <w:t>Arts. 19 a 23 c/c § 2º, Art. 43 da Lei 8.213/91.</w:t>
            </w:r>
          </w:p>
          <w:p w14:paraId="6803C2E0">
            <w:pPr>
              <w:rPr>
                <w:rFonts w:ascii="Calibri" w:hAnsi="Calibri" w:cs="Arial"/>
                <w:b/>
                <w:sz w:val="18"/>
                <w:szCs w:val="18"/>
              </w:rPr>
            </w:pPr>
            <w:r>
              <w:rPr>
                <w:rFonts w:ascii="Calibri" w:hAnsi="Calibri" w:cs="Arial"/>
                <w:sz w:val="18"/>
                <w:szCs w:val="18"/>
              </w:rPr>
              <w:t xml:space="preserve">Manual de Preenchimento de Planilhas do MPOG 2011 (pg 28): </w:t>
            </w:r>
            <w:r>
              <w:rPr>
                <w:rFonts w:ascii="Calibri" w:hAnsi="Calibri" w:cs="Arial"/>
                <w:b/>
                <w:sz w:val="18"/>
                <w:szCs w:val="18"/>
              </w:rPr>
              <w:t>0,78%</w:t>
            </w:r>
            <w:r>
              <w:rPr>
                <w:rFonts w:ascii="Calibri" w:hAnsi="Calibri" w:cs="Arial"/>
                <w:sz w:val="18"/>
                <w:szCs w:val="18"/>
              </w:rPr>
              <w:t xml:space="preserve"> dos empregados se acidentam</w:t>
            </w:r>
            <w:r>
              <w:rPr>
                <w:rFonts w:ascii="Calibri" w:hAnsi="Calibri" w:cs="Arial"/>
                <w:b/>
                <w:sz w:val="18"/>
                <w:szCs w:val="18"/>
              </w:rPr>
              <w:t xml:space="preserve">; </w:t>
            </w:r>
          </w:p>
          <w:p w14:paraId="735808CD">
            <w:pPr>
              <w:rPr>
                <w:rFonts w:ascii="Calibri" w:hAnsi="Calibri" w:cs="Arial"/>
                <w:sz w:val="18"/>
                <w:szCs w:val="18"/>
              </w:rPr>
            </w:pPr>
            <w:r>
              <w:rPr>
                <w:rFonts w:ascii="Calibri" w:hAnsi="Calibri" w:cs="Arial"/>
                <w:sz w:val="18"/>
                <w:szCs w:val="18"/>
              </w:rPr>
              <w:t xml:space="preserve">Sendo </w:t>
            </w:r>
            <w:r>
              <w:rPr>
                <w:rFonts w:ascii="Calibri" w:hAnsi="Calibri" w:cs="Arial"/>
                <w:b/>
                <w:sz w:val="18"/>
                <w:szCs w:val="18"/>
              </w:rPr>
              <w:t>15 dias (nº de dias corridos de licença pagos pelo empregador).</w:t>
            </w:r>
          </w:p>
          <w:p w14:paraId="1356A33A">
            <w:pPr>
              <w:rPr>
                <w:rFonts w:ascii="Calibri" w:hAnsi="Calibri" w:cs="Arial"/>
                <w:sz w:val="18"/>
                <w:szCs w:val="18"/>
              </w:rPr>
            </w:pPr>
          </w:p>
        </w:tc>
      </w:tr>
      <w:tr w14:paraId="35FBD585">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16" w:hRule="atLeast"/>
        </w:trPr>
        <w:tc>
          <w:tcPr>
            <w:tcW w:w="393" w:type="dxa"/>
            <w:shd w:val="clear" w:color="auto" w:fill="DBE5F1" w:themeFill="accent1" w:themeFillTint="33"/>
          </w:tcPr>
          <w:p w14:paraId="60E85DDB">
            <w:pPr>
              <w:jc w:val="center"/>
              <w:rPr>
                <w:rFonts w:ascii="Calibri" w:hAnsi="Calibri" w:cs="Arial"/>
                <w:b/>
                <w:bCs/>
                <w:sz w:val="18"/>
                <w:szCs w:val="18"/>
              </w:rPr>
            </w:pPr>
            <w:r>
              <w:rPr>
                <w:rFonts w:ascii="Calibri" w:hAnsi="Calibri" w:cs="Arial"/>
                <w:b/>
                <w:bCs/>
                <w:sz w:val="18"/>
                <w:szCs w:val="18"/>
              </w:rPr>
              <w:t>E</w:t>
            </w:r>
          </w:p>
        </w:tc>
        <w:tc>
          <w:tcPr>
            <w:tcW w:w="1825" w:type="dxa"/>
            <w:shd w:val="clear" w:color="auto" w:fill="DBE5F1" w:themeFill="accent1" w:themeFillTint="33"/>
          </w:tcPr>
          <w:p w14:paraId="4D6597C3">
            <w:pPr>
              <w:rPr>
                <w:rFonts w:cs="Arial" w:asciiTheme="minorHAnsi" w:hAnsiTheme="minorHAnsi"/>
                <w:sz w:val="18"/>
                <w:szCs w:val="18"/>
              </w:rPr>
            </w:pPr>
            <w:r>
              <w:rPr>
                <w:rFonts w:cs="Arial" w:asciiTheme="minorHAnsi" w:hAnsiTheme="minorHAnsi"/>
                <w:sz w:val="18"/>
                <w:szCs w:val="18"/>
                <w:shd w:val="clear" w:color="auto" w:fill="FFFFFF"/>
              </w:rPr>
              <w:t>Substituto na cobertura de Afastamento Maternidade</w:t>
            </w:r>
            <w:r>
              <w:rPr>
                <w:rFonts w:cs="Arial" w:asciiTheme="minorHAnsi" w:hAnsiTheme="minorHAnsi"/>
                <w:sz w:val="18"/>
                <w:szCs w:val="18"/>
              </w:rPr>
              <w:t xml:space="preserve"> </w:t>
            </w:r>
          </w:p>
        </w:tc>
        <w:tc>
          <w:tcPr>
            <w:tcW w:w="3316" w:type="dxa"/>
            <w:shd w:val="clear" w:color="auto" w:fill="DBE5F1" w:themeFill="accent1" w:themeFillTint="33"/>
          </w:tcPr>
          <w:p w14:paraId="4D7C01AF">
            <w:pPr>
              <w:jc w:val="center"/>
              <w:rPr>
                <w:rFonts w:ascii="Calibri" w:hAnsi="Calibri" w:cs="Arial"/>
                <w:b/>
                <w:bCs/>
                <w:color w:val="FF0000"/>
                <w:sz w:val="18"/>
                <w:szCs w:val="18"/>
              </w:rPr>
            </w:pPr>
            <w:r>
              <w:rPr>
                <w:rFonts w:ascii="Calibri" w:hAnsi="Calibri" w:cs="Arial"/>
                <w:b/>
                <w:bCs/>
                <w:sz w:val="18"/>
                <w:szCs w:val="18"/>
              </w:rPr>
              <w:t xml:space="preserve">Módulo 1 + Módulo 2 + Módulo 3 x </w:t>
            </w:r>
            <w:r>
              <w:rPr>
                <w:rFonts w:ascii="Calibri" w:hAnsi="Calibri" w:cs="Arial"/>
                <w:b/>
                <w:bCs/>
                <w:color w:val="FF0000"/>
                <w:sz w:val="18"/>
                <w:szCs w:val="18"/>
              </w:rPr>
              <w:t>percentual</w:t>
            </w:r>
          </w:p>
          <w:p w14:paraId="29597B5B">
            <w:pPr>
              <w:tabs>
                <w:tab w:val="left" w:pos="2800"/>
              </w:tabs>
              <w:jc w:val="center"/>
              <w:rPr>
                <w:rFonts w:cs="Arial" w:asciiTheme="minorHAnsi" w:hAnsiTheme="minorHAnsi" w:eastAsiaTheme="minorHAnsi"/>
                <w:sz w:val="18"/>
                <w:szCs w:val="18"/>
                <w:lang w:eastAsia="en-US"/>
              </w:rPr>
            </w:pPr>
          </w:p>
          <w:p w14:paraId="68DE114C">
            <w:pPr>
              <w:jc w:val="center"/>
              <w:rPr>
                <w:rFonts w:cs="Arial" w:asciiTheme="minorHAnsi" w:hAnsiTheme="minorHAnsi" w:eastAsiaTheme="minorHAnsi"/>
                <w:sz w:val="18"/>
                <w:szCs w:val="18"/>
                <w:lang w:eastAsia="en-US"/>
              </w:rPr>
            </w:pPr>
            <w:r>
              <w:rPr>
                <w:rFonts w:cs="Arial" w:asciiTheme="minorHAnsi" w:hAnsiTheme="minorHAnsi" w:eastAsiaTheme="minorHAnsi"/>
                <w:sz w:val="18"/>
                <w:szCs w:val="18"/>
                <w:lang w:eastAsia="en-US"/>
              </w:rPr>
              <w:t xml:space="preserve">Percentual: 4 meses / 12 meses / 12 x 0,270% = </w:t>
            </w:r>
            <w:r>
              <w:rPr>
                <w:rFonts w:cs="Arial" w:asciiTheme="minorHAnsi" w:hAnsiTheme="minorHAnsi" w:eastAsiaTheme="minorHAnsi"/>
                <w:b/>
                <w:bCs/>
                <w:sz w:val="18"/>
                <w:szCs w:val="18"/>
                <w:lang w:eastAsia="en-US"/>
              </w:rPr>
              <w:t>0,0075%</w:t>
            </w:r>
          </w:p>
        </w:tc>
        <w:tc>
          <w:tcPr>
            <w:tcW w:w="3896" w:type="dxa"/>
            <w:shd w:val="clear" w:color="auto" w:fill="DBE5F1" w:themeFill="accent1" w:themeFillTint="33"/>
          </w:tcPr>
          <w:p w14:paraId="2A4A7624">
            <w:pPr>
              <w:rPr>
                <w:rStyle w:val="11"/>
                <w:rFonts w:asciiTheme="minorHAnsi" w:hAnsiTheme="minorHAnsi"/>
                <w:i w:val="0"/>
                <w:sz w:val="18"/>
                <w:szCs w:val="18"/>
                <w:highlight w:val="white"/>
              </w:rPr>
            </w:pPr>
            <w:r>
              <w:rPr>
                <w:rStyle w:val="11"/>
                <w:rFonts w:asciiTheme="minorHAnsi" w:hAnsiTheme="minorHAnsi"/>
                <w:i w:val="0"/>
                <w:sz w:val="18"/>
                <w:szCs w:val="18"/>
                <w:shd w:val="clear" w:color="auto" w:fill="FFFFFF"/>
              </w:rPr>
              <w:t>Art. 6º e 201 da CF, art. 392 da CLT.</w:t>
            </w:r>
          </w:p>
          <w:p w14:paraId="05A2FB47">
            <w:pPr>
              <w:rPr>
                <w:rFonts w:ascii="Calibri" w:hAnsi="Calibri" w:cs="Arial"/>
                <w:b/>
                <w:sz w:val="18"/>
                <w:szCs w:val="18"/>
              </w:rPr>
            </w:pPr>
            <w:r>
              <w:rPr>
                <w:rFonts w:ascii="Calibri" w:hAnsi="Calibri" w:cs="Arial"/>
                <w:b/>
                <w:sz w:val="18"/>
                <w:szCs w:val="18"/>
              </w:rPr>
              <w:t xml:space="preserve">Considerando os dados do IBGE 2022, a taxa de fecundidade no estado do Rio de Janeiro é de 1,35% </w:t>
            </w:r>
            <w:r>
              <w:rPr>
                <w:rFonts w:ascii="Calibri" w:hAnsi="Calibri"/>
                <w:b/>
                <w:sz w:val="18"/>
                <w:szCs w:val="18"/>
              </w:rPr>
              <w:t>https://agendadopoder.com.br/rio-de-janeiro-tem-a-menor-taxa-de-fecundidade-do-brasil-aponta-ibge/#google_vignette</w:t>
            </w:r>
            <w:r>
              <w:t>. Acesso em 13/02/2026)</w:t>
            </w:r>
            <w:r>
              <w:rPr>
                <w:rFonts w:ascii="Calibri" w:hAnsi="Calibri" w:cs="Arial"/>
                <w:b/>
                <w:sz w:val="18"/>
                <w:szCs w:val="18"/>
              </w:rPr>
              <w:t>;</w:t>
            </w:r>
          </w:p>
          <w:p w14:paraId="588E8F1C">
            <w:pPr>
              <w:rPr>
                <w:rFonts w:ascii="Calibri" w:hAnsi="Calibri" w:cs="Arial"/>
                <w:b/>
                <w:sz w:val="18"/>
                <w:szCs w:val="18"/>
              </w:rPr>
            </w:pPr>
          </w:p>
          <w:p w14:paraId="7015077A">
            <w:pPr>
              <w:rPr>
                <w:rFonts w:ascii="Calibri" w:hAnsi="Calibri"/>
                <w:sz w:val="18"/>
                <w:szCs w:val="18"/>
              </w:rPr>
            </w:pPr>
            <w:r>
              <w:rPr>
                <w:rFonts w:ascii="Calibri" w:hAnsi="Calibri" w:cs="Arial"/>
                <w:sz w:val="18"/>
                <w:szCs w:val="18"/>
              </w:rPr>
              <w:t>Considerando dados disponibilizados na internet sobre média percentual de mulheres que atuam nessa ramo profissional (</w:t>
            </w:r>
            <w:r>
              <w:rPr>
                <w:rFonts w:ascii="Calibri" w:hAnsi="Calibri"/>
                <w:sz w:val="18"/>
                <w:szCs w:val="18"/>
              </w:rPr>
              <w:t>https://fenati.org.br/mulheres-ocupam-menos-de-30-das-vagas-no-setor-de-tecnologia/#:~:text=Mulheres%20ocupam%20menos%20de%2030,no%20setor%20de%20tecnologia%20%2D%20FENATI). Acesso em 26/02/2026</w:t>
            </w:r>
          </w:p>
          <w:p w14:paraId="71CCB925">
            <w:pPr>
              <w:rPr>
                <w:rFonts w:ascii="Calibri" w:hAnsi="Calibri"/>
                <w:sz w:val="18"/>
                <w:szCs w:val="18"/>
              </w:rPr>
            </w:pPr>
          </w:p>
          <w:p w14:paraId="55E7BAF3">
            <w:pPr>
              <w:rPr>
                <w:rFonts w:cs="Arial" w:asciiTheme="minorHAnsi" w:hAnsiTheme="minorHAnsi" w:eastAsiaTheme="minorHAnsi"/>
                <w:i/>
                <w:sz w:val="18"/>
                <w:szCs w:val="18"/>
                <w:lang w:eastAsia="en-US"/>
              </w:rPr>
            </w:pPr>
            <w:r>
              <w:rPr>
                <w:rFonts w:ascii="Calibri" w:hAnsi="Calibri" w:cs="Arial"/>
                <w:color w:val="FF0000"/>
                <w:sz w:val="18"/>
                <w:szCs w:val="18"/>
              </w:rPr>
              <w:t xml:space="preserve">Temos, portanto, aproximadamente 20% de mulheres do número </w:t>
            </w:r>
            <w:r>
              <w:rPr>
                <w:rFonts w:ascii="Calibri" w:hAnsi="Calibri" w:cs="Arial"/>
                <w:sz w:val="18"/>
                <w:szCs w:val="18"/>
              </w:rPr>
              <w:t xml:space="preserve">total de trabalhadores. Sendo assim, a percentagem de afastamento maternidade é </w:t>
            </w:r>
            <w:r>
              <w:rPr>
                <w:rFonts w:ascii="Calibri" w:hAnsi="Calibri" w:cs="Arial"/>
                <w:color w:val="FF0000"/>
                <w:sz w:val="18"/>
                <w:szCs w:val="18"/>
              </w:rPr>
              <w:t>de 20</w:t>
            </w:r>
            <w:r>
              <w:rPr>
                <w:rFonts w:ascii="Calibri" w:hAnsi="Calibri" w:cs="Arial"/>
                <w:b/>
                <w:color w:val="FF0000"/>
                <w:sz w:val="18"/>
                <w:szCs w:val="18"/>
              </w:rPr>
              <w:t>% x 1,35%</w:t>
            </w:r>
            <w:r>
              <w:rPr>
                <w:rFonts w:ascii="Calibri" w:hAnsi="Calibri" w:cs="Arial"/>
                <w:color w:val="FF0000"/>
                <w:sz w:val="18"/>
                <w:szCs w:val="18"/>
              </w:rPr>
              <w:t xml:space="preserve"> = 0,270%</w:t>
            </w:r>
          </w:p>
        </w:tc>
      </w:tr>
      <w:tr w14:paraId="2BF11F9A">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16" w:hRule="atLeast"/>
        </w:trPr>
        <w:tc>
          <w:tcPr>
            <w:tcW w:w="393" w:type="dxa"/>
          </w:tcPr>
          <w:p w14:paraId="193B0F9C">
            <w:pPr>
              <w:jc w:val="center"/>
              <w:rPr>
                <w:rFonts w:ascii="Calibri" w:hAnsi="Calibri" w:cs="Arial"/>
                <w:b/>
                <w:bCs/>
                <w:sz w:val="18"/>
                <w:szCs w:val="18"/>
              </w:rPr>
            </w:pPr>
            <w:r>
              <w:rPr>
                <w:rFonts w:ascii="Calibri" w:hAnsi="Calibri" w:cs="Arial"/>
                <w:b/>
                <w:bCs/>
                <w:sz w:val="18"/>
                <w:szCs w:val="18"/>
              </w:rPr>
              <w:t>F</w:t>
            </w:r>
          </w:p>
        </w:tc>
        <w:tc>
          <w:tcPr>
            <w:tcW w:w="1825" w:type="dxa"/>
          </w:tcPr>
          <w:p w14:paraId="09D2814F">
            <w:pPr>
              <w:rPr>
                <w:rFonts w:cs="Arial" w:asciiTheme="minorHAnsi" w:hAnsiTheme="minorHAnsi"/>
                <w:sz w:val="18"/>
                <w:szCs w:val="18"/>
              </w:rPr>
            </w:pPr>
            <w:r>
              <w:rPr>
                <w:rFonts w:cs="Arial" w:asciiTheme="minorHAnsi" w:hAnsiTheme="minorHAnsi"/>
                <w:color w:val="000000"/>
                <w:sz w:val="18"/>
                <w:szCs w:val="18"/>
                <w:shd w:val="clear" w:color="auto" w:fill="FFFFFF"/>
              </w:rPr>
              <w:t>Substituto na cobertura de Outras ausências (especificar)</w:t>
            </w:r>
          </w:p>
        </w:tc>
        <w:tc>
          <w:tcPr>
            <w:tcW w:w="3316" w:type="dxa"/>
          </w:tcPr>
          <w:p w14:paraId="6BB75890">
            <w:pPr>
              <w:rPr>
                <w:rFonts w:ascii="Calibri" w:hAnsi="Calibri" w:cs="Arial"/>
                <w:sz w:val="18"/>
                <w:szCs w:val="18"/>
              </w:rPr>
            </w:pPr>
          </w:p>
        </w:tc>
        <w:tc>
          <w:tcPr>
            <w:tcW w:w="3896" w:type="dxa"/>
          </w:tcPr>
          <w:p w14:paraId="73CD743C">
            <w:pPr>
              <w:rPr>
                <w:rFonts w:ascii="Calibri" w:hAnsi="Calibri" w:cs="Arial"/>
                <w:sz w:val="18"/>
                <w:szCs w:val="18"/>
              </w:rPr>
            </w:pPr>
            <w:r>
              <w:rPr>
                <w:rFonts w:ascii="Calibri" w:hAnsi="Calibri" w:cs="Arial" w:eastAsiaTheme="minorHAnsi"/>
                <w:sz w:val="18"/>
                <w:szCs w:val="18"/>
                <w:lang w:eastAsia="en-US"/>
              </w:rPr>
              <w:t>-</w:t>
            </w:r>
          </w:p>
        </w:tc>
      </w:tr>
      <w:tr w14:paraId="366BC93D">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0" w:hRule="atLeast"/>
        </w:trPr>
        <w:tc>
          <w:tcPr>
            <w:tcW w:w="393" w:type="dxa"/>
            <w:shd w:val="clear" w:color="auto" w:fill="DBE5F1" w:themeFill="accent1" w:themeFillTint="33"/>
          </w:tcPr>
          <w:p w14:paraId="5C562FE2">
            <w:pPr>
              <w:jc w:val="center"/>
              <w:rPr>
                <w:rFonts w:ascii="Calibri" w:hAnsi="Calibri" w:cs="Arial"/>
                <w:b/>
                <w:bCs/>
                <w:sz w:val="18"/>
                <w:szCs w:val="18"/>
                <w:lang w:val="en-US"/>
              </w:rPr>
            </w:pPr>
          </w:p>
        </w:tc>
        <w:tc>
          <w:tcPr>
            <w:tcW w:w="1825" w:type="dxa"/>
            <w:shd w:val="clear" w:color="auto" w:fill="DBE5F1" w:themeFill="accent1" w:themeFillTint="33"/>
          </w:tcPr>
          <w:p w14:paraId="7177E23E">
            <w:pPr>
              <w:rPr>
                <w:rFonts w:ascii="Calibri" w:hAnsi="Calibri" w:cs="Arial"/>
                <w:sz w:val="18"/>
                <w:szCs w:val="18"/>
              </w:rPr>
            </w:pPr>
            <w:r>
              <w:rPr>
                <w:rFonts w:ascii="Calibri" w:hAnsi="Calibri" w:cs="Arial"/>
                <w:sz w:val="18"/>
                <w:szCs w:val="18"/>
              </w:rPr>
              <w:t>Total</w:t>
            </w:r>
          </w:p>
        </w:tc>
        <w:tc>
          <w:tcPr>
            <w:tcW w:w="3316" w:type="dxa"/>
            <w:shd w:val="clear" w:color="auto" w:fill="DBE5F1" w:themeFill="accent1" w:themeFillTint="33"/>
          </w:tcPr>
          <w:p w14:paraId="1F2F4901">
            <w:pPr>
              <w:rPr>
                <w:rFonts w:ascii="Calibri" w:hAnsi="Calibri" w:cs="Arial"/>
                <w:sz w:val="18"/>
                <w:szCs w:val="18"/>
              </w:rPr>
            </w:pPr>
          </w:p>
        </w:tc>
        <w:tc>
          <w:tcPr>
            <w:tcW w:w="3896" w:type="dxa"/>
            <w:shd w:val="clear" w:color="auto" w:fill="DBE5F1" w:themeFill="accent1" w:themeFillTint="33"/>
          </w:tcPr>
          <w:p w14:paraId="7410752A">
            <w:pPr>
              <w:rPr>
                <w:rFonts w:ascii="Calibri" w:hAnsi="Calibri" w:cs="Arial" w:eastAsiaTheme="minorHAnsi"/>
                <w:sz w:val="18"/>
                <w:szCs w:val="18"/>
                <w:lang w:eastAsia="en-US"/>
              </w:rPr>
            </w:pPr>
          </w:p>
        </w:tc>
      </w:tr>
    </w:tbl>
    <w:p w14:paraId="60140219">
      <w:pPr>
        <w:ind w:left="426"/>
        <w:jc w:val="both"/>
        <w:rPr>
          <w:rStyle w:val="8"/>
          <w:rFonts w:cs="Arial" w:asciiTheme="minorHAnsi" w:hAnsiTheme="minorHAnsi"/>
          <w:color w:val="000000"/>
          <w:sz w:val="16"/>
          <w:szCs w:val="16"/>
          <w:shd w:val="clear" w:color="auto" w:fill="FFFFFF"/>
        </w:rPr>
      </w:pPr>
    </w:p>
    <w:p w14:paraId="7AA16A38">
      <w:pPr>
        <w:ind w:left="426"/>
        <w:rPr>
          <w:rFonts w:cs="Arial" w:asciiTheme="minorHAnsi" w:hAnsiTheme="minorHAnsi"/>
          <w:color w:val="000000"/>
          <w:sz w:val="22"/>
          <w:szCs w:val="22"/>
          <w:highlight w:val="white"/>
        </w:rPr>
      </w:pPr>
      <w:r>
        <w:rPr>
          <w:rStyle w:val="8"/>
          <w:rFonts w:cs="Arial" w:asciiTheme="minorHAnsi" w:hAnsiTheme="minorHAnsi"/>
          <w:color w:val="000000"/>
          <w:sz w:val="22"/>
          <w:szCs w:val="22"/>
          <w:shd w:val="clear" w:color="auto" w:fill="FFFFFF"/>
        </w:rPr>
        <w:t>Nota 1: </w:t>
      </w:r>
      <w:r>
        <w:rPr>
          <w:rFonts w:cs="Arial" w:asciiTheme="minorHAnsi" w:hAnsiTheme="minorHAnsi"/>
          <w:color w:val="000000"/>
          <w:sz w:val="22"/>
          <w:szCs w:val="22"/>
          <w:shd w:val="clear" w:color="auto" w:fill="FFFFFF"/>
        </w:rPr>
        <w:t>Os itens que contemplam o módulo 4 se referem ao custo dos dias trabalhados pelo repositor/substituto, quando o empregado alocado na prestação de serviço estiver ausente, conforme as previsões estabelecidas na legislação.</w:t>
      </w:r>
    </w:p>
    <w:p w14:paraId="1D74F130">
      <w:pPr>
        <w:ind w:left="426"/>
        <w:rPr>
          <w:rFonts w:cs="Arial" w:asciiTheme="minorHAnsi" w:hAnsiTheme="minorHAnsi" w:eastAsiaTheme="minorHAnsi"/>
          <w:sz w:val="22"/>
          <w:szCs w:val="22"/>
          <w:lang w:eastAsia="en-US"/>
        </w:rPr>
      </w:pPr>
    </w:p>
    <w:p w14:paraId="2A55883E">
      <w:pPr>
        <w:pStyle w:val="58"/>
        <w:ind w:left="786"/>
        <w:rPr>
          <w:rFonts w:cs="Arial" w:asciiTheme="minorHAnsi" w:hAnsiTheme="minorHAnsi" w:eastAsiaTheme="minorHAnsi"/>
          <w:sz w:val="22"/>
          <w:szCs w:val="22"/>
          <w:lang w:eastAsia="en-US"/>
        </w:rPr>
      </w:pPr>
    </w:p>
    <w:p w14:paraId="2E588924">
      <w:pPr>
        <w:jc w:val="both"/>
        <w:rPr>
          <w:rFonts w:ascii="Calibri" w:hAnsi="Calibri" w:cs="Arial"/>
          <w:sz w:val="22"/>
          <w:szCs w:val="22"/>
          <w:u w:val="single"/>
          <w:lang w:val="pt-PT"/>
        </w:rPr>
      </w:pPr>
      <w:r>
        <w:rPr>
          <w:rFonts w:ascii="Calibri" w:hAnsi="Calibri" w:cs="Arial"/>
          <w:sz w:val="22"/>
          <w:szCs w:val="22"/>
          <w:u w:val="single"/>
          <w:lang w:val="pt-PT"/>
        </w:rPr>
        <w:t xml:space="preserve">Submódulo 4.2 – </w:t>
      </w:r>
      <w:r>
        <w:rPr>
          <w:rStyle w:val="8"/>
          <w:rFonts w:cs="Arial" w:asciiTheme="minorHAnsi" w:hAnsiTheme="minorHAnsi"/>
          <w:b w:val="0"/>
          <w:color w:val="000000"/>
          <w:sz w:val="22"/>
          <w:szCs w:val="22"/>
          <w:u w:val="single"/>
          <w:shd w:val="clear" w:color="auto" w:fill="FFFFFF"/>
        </w:rPr>
        <w:t>Substituto na Intrajornada</w:t>
      </w:r>
    </w:p>
    <w:p w14:paraId="15920305">
      <w:pPr>
        <w:tabs>
          <w:tab w:val="left" w:pos="8130"/>
        </w:tabs>
        <w:jc w:val="both"/>
        <w:rPr>
          <w:rFonts w:asciiTheme="minorHAnsi" w:hAnsiTheme="minorHAnsi" w:cstheme="minorHAnsi"/>
          <w:color w:val="FF0000"/>
          <w:sz w:val="22"/>
          <w:szCs w:val="22"/>
        </w:rPr>
      </w:pPr>
      <w:r>
        <w:rPr>
          <w:rFonts w:asciiTheme="minorHAnsi" w:hAnsiTheme="minorHAnsi" w:cstheme="minorHAnsi"/>
          <w:sz w:val="22"/>
          <w:szCs w:val="22"/>
        </w:rPr>
        <w:t>Não haverá previsão de indenização pelo intervalor de intrajornada.</w:t>
      </w:r>
    </w:p>
    <w:p w14:paraId="1D8AA199">
      <w:pPr>
        <w:jc w:val="both"/>
        <w:rPr>
          <w:rFonts w:ascii="Calibri" w:hAnsi="Calibri" w:cs="Arial"/>
        </w:rPr>
      </w:pPr>
    </w:p>
    <w:p w14:paraId="6A6628B2">
      <w:pPr>
        <w:jc w:val="both"/>
        <w:rPr>
          <w:rFonts w:ascii="Calibri" w:hAnsi="Calibri" w:cs="Arial"/>
          <w:b/>
          <w:u w:val="single"/>
        </w:rPr>
      </w:pPr>
    </w:p>
    <w:p w14:paraId="6C3424C1">
      <w:pPr>
        <w:jc w:val="both"/>
        <w:rPr>
          <w:rFonts w:ascii="Calibri" w:hAnsi="Calibri" w:cs="Arial"/>
          <w:b/>
          <w:sz w:val="22"/>
          <w:szCs w:val="22"/>
          <w:u w:val="single"/>
        </w:rPr>
      </w:pPr>
      <w:r>
        <w:rPr>
          <w:rFonts w:ascii="Calibri" w:hAnsi="Calibri" w:cs="Arial"/>
          <w:b/>
          <w:sz w:val="22"/>
          <w:szCs w:val="22"/>
          <w:u w:val="single"/>
        </w:rPr>
        <w:t>Módulo 5 – Insumos Diversos</w:t>
      </w:r>
    </w:p>
    <w:p w14:paraId="2772F621">
      <w:pPr>
        <w:jc w:val="both"/>
        <w:rPr>
          <w:rFonts w:ascii="Calibri" w:hAnsi="Calibri" w:cs="Arial"/>
          <w:b/>
          <w:sz w:val="22"/>
          <w:szCs w:val="22"/>
          <w:u w:val="single"/>
        </w:rPr>
      </w:pPr>
    </w:p>
    <w:p w14:paraId="005906C4">
      <w:pPr>
        <w:spacing w:line="276" w:lineRule="auto"/>
        <w:jc w:val="both"/>
        <w:rPr>
          <w:rFonts w:ascii="Calibri" w:hAnsi="Calibri" w:cs="Arial"/>
          <w:b/>
          <w:sz w:val="22"/>
          <w:szCs w:val="22"/>
        </w:rPr>
      </w:pPr>
      <w:r>
        <w:rPr>
          <w:rFonts w:ascii="Calibri" w:hAnsi="Calibri" w:cs="Arial"/>
          <w:b/>
          <w:sz w:val="22"/>
          <w:szCs w:val="22"/>
        </w:rPr>
        <w:t>A) Uniformes</w:t>
      </w:r>
    </w:p>
    <w:p w14:paraId="72653836">
      <w:pPr>
        <w:spacing w:line="276" w:lineRule="auto"/>
        <w:jc w:val="both"/>
        <w:rPr>
          <w:rFonts w:ascii="Calibri" w:hAnsi="Calibri" w:cs="Arial"/>
          <w:sz w:val="22"/>
          <w:szCs w:val="22"/>
        </w:rPr>
      </w:pPr>
      <w:r>
        <w:rPr>
          <w:rFonts w:ascii="Calibri" w:hAnsi="Calibri" w:cs="Arial"/>
          <w:sz w:val="22"/>
          <w:szCs w:val="22"/>
        </w:rPr>
        <w:t xml:space="preserve">É considerado os valores praticados no mercado para uniforme e EPIS </w:t>
      </w:r>
    </w:p>
    <w:p w14:paraId="302A5380">
      <w:pPr>
        <w:spacing w:line="276" w:lineRule="auto"/>
        <w:jc w:val="both"/>
        <w:rPr>
          <w:rFonts w:ascii="Calibri" w:hAnsi="Calibri" w:cs="Arial"/>
          <w:sz w:val="22"/>
          <w:szCs w:val="22"/>
        </w:rPr>
      </w:pPr>
      <w:r>
        <w:rPr>
          <w:rFonts w:ascii="Calibri" w:hAnsi="Calibri" w:cs="Arial"/>
          <w:sz w:val="22"/>
          <w:szCs w:val="22"/>
        </w:rPr>
        <w:t>Quantidade estimada por ano, sendo 1 (hum) conjunto na admissão e mais 1 (um) conjunto a cada 6 (seis) meses. Conforme Anexo III-B.</w:t>
      </w:r>
    </w:p>
    <w:p w14:paraId="62D21C4E">
      <w:pPr>
        <w:spacing w:line="276" w:lineRule="auto"/>
        <w:jc w:val="both"/>
        <w:rPr>
          <w:rFonts w:ascii="Calibri" w:hAnsi="Calibri" w:cs="Arial"/>
          <w:sz w:val="22"/>
          <w:szCs w:val="22"/>
        </w:rPr>
      </w:pPr>
    </w:p>
    <w:p w14:paraId="3194CF21">
      <w:pPr>
        <w:rPr>
          <w:rFonts w:cs="Arial" w:asciiTheme="minorHAnsi" w:hAnsiTheme="minorHAnsi"/>
          <w:b/>
          <w:lang w:val="pt-PT"/>
        </w:rPr>
      </w:pPr>
      <w:r>
        <w:rPr>
          <w:rFonts w:cs="Arial" w:asciiTheme="minorHAnsi" w:hAnsiTheme="minorHAnsi"/>
          <w:b/>
          <w:lang w:val="pt-PT"/>
        </w:rPr>
        <w:t>B) EQUIPAMENTOS</w:t>
      </w:r>
    </w:p>
    <w:p w14:paraId="34DAE2F4">
      <w:pPr>
        <w:rPr>
          <w:rFonts w:cs="Arial" w:asciiTheme="minorHAnsi" w:hAnsiTheme="minorHAnsi"/>
          <w:b/>
          <w:lang w:val="pt-PT"/>
        </w:rPr>
      </w:pPr>
      <w:r>
        <w:rPr>
          <w:rFonts w:cs="Arial" w:asciiTheme="minorHAnsi" w:hAnsiTheme="minorHAnsi"/>
          <w:b/>
          <w:lang w:val="pt-PT"/>
        </w:rPr>
        <w:t>Conforme Anexo III-A</w:t>
      </w:r>
    </w:p>
    <w:p w14:paraId="4C418CCC">
      <w:pPr>
        <w:rPr>
          <w:rFonts w:cs="Arial" w:asciiTheme="minorHAnsi" w:hAnsiTheme="minorHAnsi"/>
          <w:b/>
          <w:lang w:val="pt-PT"/>
        </w:rPr>
      </w:pPr>
    </w:p>
    <w:p w14:paraId="09C34601">
      <w:pPr>
        <w:rPr>
          <w:rFonts w:cs="Arial" w:asciiTheme="minorHAnsi" w:hAnsiTheme="minorHAnsi"/>
          <w:b/>
          <w:lang w:val="pt-PT"/>
        </w:rPr>
      </w:pPr>
      <w:r>
        <w:rPr>
          <w:rFonts w:cs="Arial" w:asciiTheme="minorHAnsi" w:hAnsiTheme="minorHAnsi"/>
          <w:b/>
          <w:lang w:val="pt-PT"/>
        </w:rPr>
        <w:t>C) Materais</w:t>
      </w:r>
    </w:p>
    <w:p w14:paraId="23614A50">
      <w:pPr>
        <w:rPr>
          <w:rFonts w:cs="Arial" w:asciiTheme="minorHAnsi" w:hAnsiTheme="minorHAnsi"/>
          <w:b/>
          <w:lang w:val="pt-PT"/>
        </w:rPr>
      </w:pPr>
      <w:r>
        <w:rPr>
          <w:rFonts w:cs="Arial" w:asciiTheme="minorHAnsi" w:hAnsiTheme="minorHAnsi"/>
          <w:b/>
          <w:lang w:val="pt-PT"/>
        </w:rPr>
        <w:t>Não há previsão.</w:t>
      </w:r>
    </w:p>
    <w:p w14:paraId="666CB082">
      <w:pPr>
        <w:rPr>
          <w:rFonts w:cs="Arial" w:asciiTheme="minorHAnsi" w:hAnsiTheme="minorHAnsi"/>
          <w:b/>
          <w:lang w:val="pt-PT"/>
        </w:rPr>
      </w:pPr>
    </w:p>
    <w:p w14:paraId="72BC5612">
      <w:pPr>
        <w:rPr>
          <w:rFonts w:cs="Arial" w:asciiTheme="minorHAnsi" w:hAnsiTheme="minorHAnsi"/>
          <w:b/>
        </w:rPr>
      </w:pPr>
    </w:p>
    <w:p w14:paraId="3E3EF17E">
      <w:pPr>
        <w:rPr>
          <w:rFonts w:cs="Arial" w:asciiTheme="minorHAnsi" w:hAnsiTheme="minorHAnsi"/>
          <w:b/>
          <w:lang w:val="pt-PT"/>
        </w:rPr>
      </w:pPr>
    </w:p>
    <w:p w14:paraId="0FC3397B">
      <w:pPr>
        <w:rPr>
          <w:rFonts w:ascii="Calibri" w:hAnsi="Calibri" w:cs="Arial" w:eastAsiaTheme="minorHAnsi"/>
          <w:b/>
          <w:sz w:val="22"/>
          <w:szCs w:val="22"/>
          <w:u w:val="single"/>
          <w:lang w:eastAsia="en-US"/>
        </w:rPr>
      </w:pPr>
      <w:r>
        <w:rPr>
          <w:rFonts w:ascii="Calibri" w:hAnsi="Calibri" w:cs="Arial" w:eastAsiaTheme="minorHAnsi"/>
          <w:b/>
          <w:sz w:val="22"/>
          <w:szCs w:val="22"/>
          <w:u w:val="single"/>
          <w:lang w:eastAsia="en-US"/>
        </w:rPr>
        <w:t>Módulo 6 – Custos Indiretos, Lucro e Tributos</w:t>
      </w:r>
    </w:p>
    <w:p w14:paraId="4F80DAD5">
      <w:pPr>
        <w:rPr>
          <w:rFonts w:ascii="Calibri" w:hAnsi="Calibri" w:cs="Arial" w:eastAsiaTheme="minorHAnsi"/>
          <w:b/>
          <w:u w:val="single"/>
          <w:lang w:eastAsia="en-US"/>
        </w:rPr>
      </w:pPr>
    </w:p>
    <w:tbl>
      <w:tblPr>
        <w:tblStyle w:val="70"/>
        <w:tblW w:w="5523"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850"/>
        <w:gridCol w:w="2126"/>
        <w:gridCol w:w="2547"/>
      </w:tblGrid>
      <w:tr w14:paraId="757EAF40">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850"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1D57EB3B">
            <w:pPr>
              <w:jc w:val="center"/>
              <w:rPr>
                <w:rFonts w:ascii="Calibri" w:hAnsi="Calibri" w:cs="Arial"/>
                <w:b w:val="0"/>
                <w:bCs w:val="0"/>
                <w:color w:val="000000"/>
                <w:sz w:val="18"/>
                <w:szCs w:val="18"/>
              </w:rPr>
            </w:pPr>
            <w:r>
              <w:rPr>
                <w:rFonts w:ascii="Calibri" w:hAnsi="Calibri" w:cs="Arial"/>
                <w:b/>
                <w:bCs/>
                <w:color w:val="000000"/>
                <w:sz w:val="18"/>
                <w:szCs w:val="18"/>
              </w:rPr>
              <w:t>6</w:t>
            </w:r>
          </w:p>
        </w:tc>
        <w:tc>
          <w:tcPr>
            <w:tcW w:w="2126"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50E805B5">
            <w:pPr>
              <w:jc w:val="center"/>
              <w:rPr>
                <w:rFonts w:ascii="Calibri" w:hAnsi="Calibri" w:cs="Arial"/>
                <w:b w:val="0"/>
                <w:bCs w:val="0"/>
                <w:color w:val="000000"/>
                <w:sz w:val="18"/>
                <w:szCs w:val="18"/>
              </w:rPr>
            </w:pPr>
            <w:r>
              <w:rPr>
                <w:rFonts w:ascii="Calibri" w:hAnsi="Calibri" w:cs="Arial"/>
                <w:b/>
                <w:bCs/>
                <w:color w:val="000000"/>
                <w:sz w:val="18"/>
                <w:szCs w:val="18"/>
              </w:rPr>
              <w:t>CUSTOS INDIRETOS, TRIBUTOS E LUCRO REAL</w:t>
            </w:r>
          </w:p>
        </w:tc>
        <w:tc>
          <w:tcPr>
            <w:tcW w:w="2547"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702FD155">
            <w:pPr>
              <w:jc w:val="center"/>
              <w:rPr>
                <w:rFonts w:ascii="Calibri" w:hAnsi="Calibri" w:cs="Arial"/>
                <w:b w:val="0"/>
                <w:bCs w:val="0"/>
                <w:color w:val="000000"/>
                <w:sz w:val="18"/>
                <w:szCs w:val="18"/>
              </w:rPr>
            </w:pPr>
            <w:r>
              <w:rPr>
                <w:rFonts w:ascii="Calibri" w:hAnsi="Calibri" w:cs="Arial"/>
                <w:b/>
                <w:bCs/>
                <w:color w:val="000000"/>
                <w:sz w:val="18"/>
                <w:szCs w:val="18"/>
              </w:rPr>
              <w:t xml:space="preserve">MEMÓRIA DE CÁLCULO </w:t>
            </w:r>
          </w:p>
        </w:tc>
      </w:tr>
      <w:tr w14:paraId="7FEC1331">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61" w:hRule="atLeast"/>
        </w:trPr>
        <w:tc>
          <w:tcPr>
            <w:tcW w:w="850" w:type="dxa"/>
            <w:shd w:val="clear" w:color="auto" w:fill="DBE5F1" w:themeFill="accent1" w:themeFillTint="33"/>
          </w:tcPr>
          <w:p w14:paraId="18161061">
            <w:pPr>
              <w:jc w:val="center"/>
              <w:rPr>
                <w:rFonts w:ascii="Calibri" w:hAnsi="Calibri" w:cs="Arial"/>
                <w:b/>
                <w:bCs/>
                <w:sz w:val="18"/>
                <w:szCs w:val="18"/>
              </w:rPr>
            </w:pPr>
            <w:r>
              <w:rPr>
                <w:rFonts w:ascii="Calibri" w:hAnsi="Calibri" w:cs="Arial"/>
                <w:b/>
                <w:bCs/>
                <w:sz w:val="18"/>
                <w:szCs w:val="18"/>
              </w:rPr>
              <w:t>A</w:t>
            </w:r>
          </w:p>
        </w:tc>
        <w:tc>
          <w:tcPr>
            <w:tcW w:w="2126" w:type="dxa"/>
            <w:shd w:val="clear" w:color="auto" w:fill="DBE5F1" w:themeFill="accent1" w:themeFillTint="33"/>
          </w:tcPr>
          <w:p w14:paraId="217F22E5">
            <w:pPr>
              <w:rPr>
                <w:rFonts w:cs="Arial" w:asciiTheme="minorHAnsi" w:hAnsiTheme="minorHAnsi"/>
                <w:sz w:val="18"/>
                <w:szCs w:val="18"/>
              </w:rPr>
            </w:pPr>
            <w:r>
              <w:rPr>
                <w:rFonts w:cs="Arial" w:asciiTheme="minorHAnsi" w:hAnsiTheme="minorHAnsi"/>
                <w:sz w:val="18"/>
                <w:szCs w:val="18"/>
              </w:rPr>
              <w:t>Custos Indiretos</w:t>
            </w:r>
          </w:p>
        </w:tc>
        <w:tc>
          <w:tcPr>
            <w:tcW w:w="2547" w:type="dxa"/>
            <w:shd w:val="clear" w:color="auto" w:fill="DBE5F1" w:themeFill="accent1" w:themeFillTint="33"/>
          </w:tcPr>
          <w:p w14:paraId="256A73E0">
            <w:pPr>
              <w:jc w:val="both"/>
              <w:rPr>
                <w:rFonts w:ascii="Calibri" w:hAnsi="Calibri" w:cs="Arial"/>
                <w:sz w:val="18"/>
                <w:szCs w:val="18"/>
              </w:rPr>
            </w:pPr>
            <w:r>
              <w:rPr>
                <w:rFonts w:ascii="Calibri" w:hAnsi="Calibri" w:cs="Arial"/>
                <w:sz w:val="18"/>
                <w:szCs w:val="18"/>
              </w:rPr>
              <w:t xml:space="preserve">Conforme valor pesquisado, será considerado a alíquota </w:t>
            </w:r>
            <w:r>
              <w:rPr>
                <w:rFonts w:cs="Arial" w:asciiTheme="minorHAnsi" w:hAnsiTheme="minorHAnsi"/>
                <w:b/>
              </w:rPr>
              <w:t>4,81%</w:t>
            </w:r>
          </w:p>
        </w:tc>
      </w:tr>
      <w:tr w14:paraId="6AA123D5">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850" w:type="dxa"/>
          </w:tcPr>
          <w:p w14:paraId="1EA92F32">
            <w:pPr>
              <w:jc w:val="center"/>
              <w:rPr>
                <w:rFonts w:ascii="Calibri" w:hAnsi="Calibri" w:cs="Arial"/>
                <w:b/>
                <w:bCs/>
                <w:sz w:val="18"/>
                <w:szCs w:val="18"/>
              </w:rPr>
            </w:pPr>
            <w:r>
              <w:rPr>
                <w:rFonts w:ascii="Calibri" w:hAnsi="Calibri" w:cs="Arial"/>
                <w:b/>
                <w:bCs/>
                <w:sz w:val="18"/>
                <w:szCs w:val="18"/>
              </w:rPr>
              <w:t>B</w:t>
            </w:r>
          </w:p>
        </w:tc>
        <w:tc>
          <w:tcPr>
            <w:tcW w:w="2126" w:type="dxa"/>
          </w:tcPr>
          <w:p w14:paraId="5B845652">
            <w:pPr>
              <w:rPr>
                <w:rFonts w:cs="Arial" w:asciiTheme="minorHAnsi" w:hAnsiTheme="minorHAnsi"/>
                <w:sz w:val="18"/>
                <w:szCs w:val="18"/>
              </w:rPr>
            </w:pPr>
            <w:r>
              <w:rPr>
                <w:rFonts w:cs="Arial" w:asciiTheme="minorHAnsi" w:hAnsiTheme="minorHAnsi"/>
                <w:sz w:val="18"/>
                <w:szCs w:val="18"/>
              </w:rPr>
              <w:t>Lucro</w:t>
            </w:r>
          </w:p>
        </w:tc>
        <w:tc>
          <w:tcPr>
            <w:tcW w:w="2547" w:type="dxa"/>
          </w:tcPr>
          <w:p w14:paraId="7EF07ABA">
            <w:pPr>
              <w:jc w:val="both"/>
              <w:rPr>
                <w:rFonts w:ascii="Calibri" w:hAnsi="Calibri" w:cs="Arial"/>
                <w:sz w:val="18"/>
                <w:szCs w:val="18"/>
              </w:rPr>
            </w:pPr>
            <w:r>
              <w:rPr>
                <w:rFonts w:ascii="Calibri" w:hAnsi="Calibri" w:cs="Arial"/>
                <w:sz w:val="18"/>
                <w:szCs w:val="18"/>
              </w:rPr>
              <w:t xml:space="preserve">Conforme valor pesquisado, será considerado a alíquota </w:t>
            </w:r>
            <w:r>
              <w:rPr>
                <w:rFonts w:cs="Arial" w:asciiTheme="minorHAnsi" w:hAnsiTheme="minorHAnsi"/>
                <w:b/>
              </w:rPr>
              <w:t>4,14%</w:t>
            </w:r>
          </w:p>
        </w:tc>
      </w:tr>
      <w:tr w14:paraId="672470FD">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42" w:hRule="atLeast"/>
        </w:trPr>
        <w:tc>
          <w:tcPr>
            <w:tcW w:w="850" w:type="dxa"/>
            <w:shd w:val="clear" w:color="auto" w:fill="DBE5F1" w:themeFill="accent1" w:themeFillTint="33"/>
          </w:tcPr>
          <w:p w14:paraId="42E8A2BB">
            <w:pPr>
              <w:jc w:val="center"/>
              <w:rPr>
                <w:rFonts w:ascii="Calibri" w:hAnsi="Calibri" w:cs="Arial"/>
                <w:b/>
                <w:bCs/>
                <w:sz w:val="18"/>
                <w:szCs w:val="18"/>
              </w:rPr>
            </w:pPr>
            <w:r>
              <w:rPr>
                <w:rFonts w:ascii="Calibri" w:hAnsi="Calibri" w:cs="Arial"/>
                <w:b/>
                <w:bCs/>
                <w:sz w:val="18"/>
                <w:szCs w:val="18"/>
              </w:rPr>
              <w:t>C</w:t>
            </w:r>
          </w:p>
        </w:tc>
        <w:tc>
          <w:tcPr>
            <w:tcW w:w="2126" w:type="dxa"/>
            <w:shd w:val="clear" w:color="auto" w:fill="DBE5F1" w:themeFill="accent1" w:themeFillTint="33"/>
          </w:tcPr>
          <w:p w14:paraId="71B7BF8A">
            <w:pPr>
              <w:rPr>
                <w:rFonts w:cs="Arial" w:asciiTheme="minorHAnsi" w:hAnsiTheme="minorHAnsi"/>
                <w:sz w:val="18"/>
                <w:szCs w:val="18"/>
              </w:rPr>
            </w:pPr>
            <w:r>
              <w:rPr>
                <w:rFonts w:cs="Arial" w:asciiTheme="minorHAnsi" w:hAnsiTheme="minorHAnsi"/>
                <w:sz w:val="18"/>
                <w:szCs w:val="18"/>
              </w:rPr>
              <w:t>Tributos</w:t>
            </w:r>
          </w:p>
        </w:tc>
        <w:tc>
          <w:tcPr>
            <w:tcW w:w="2547" w:type="dxa"/>
            <w:shd w:val="clear" w:color="auto" w:fill="DBE5F1" w:themeFill="accent1" w:themeFillTint="33"/>
          </w:tcPr>
          <w:p w14:paraId="313C08A5">
            <w:pPr>
              <w:rPr>
                <w:rFonts w:ascii="Calibri" w:hAnsi="Calibri" w:cs="Arial"/>
                <w:sz w:val="18"/>
                <w:szCs w:val="18"/>
              </w:rPr>
            </w:pPr>
          </w:p>
        </w:tc>
      </w:tr>
      <w:tr w14:paraId="65748FCA">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850" w:type="dxa"/>
          </w:tcPr>
          <w:p w14:paraId="7C0F8BF3">
            <w:pPr>
              <w:jc w:val="center"/>
              <w:rPr>
                <w:rFonts w:ascii="Calibri" w:hAnsi="Calibri" w:cs="Arial"/>
                <w:b/>
                <w:bCs/>
                <w:sz w:val="18"/>
                <w:szCs w:val="18"/>
              </w:rPr>
            </w:pPr>
          </w:p>
        </w:tc>
        <w:tc>
          <w:tcPr>
            <w:tcW w:w="2126" w:type="dxa"/>
          </w:tcPr>
          <w:p w14:paraId="7B78D4A5">
            <w:pPr>
              <w:rPr>
                <w:rFonts w:cs="Arial" w:asciiTheme="minorHAnsi" w:hAnsiTheme="minorHAnsi"/>
                <w:sz w:val="18"/>
                <w:szCs w:val="18"/>
              </w:rPr>
            </w:pPr>
            <w:r>
              <w:rPr>
                <w:rFonts w:cs="Arial" w:asciiTheme="minorHAnsi" w:hAnsiTheme="minorHAnsi"/>
                <w:sz w:val="18"/>
                <w:szCs w:val="18"/>
              </w:rPr>
              <w:t xml:space="preserve">C.1. Tributos federais </w:t>
            </w:r>
          </w:p>
        </w:tc>
        <w:tc>
          <w:tcPr>
            <w:tcW w:w="2547" w:type="dxa"/>
          </w:tcPr>
          <w:p w14:paraId="6582C962">
            <w:pPr>
              <w:rPr>
                <w:rFonts w:ascii="Calibri" w:hAnsi="Calibri" w:cs="Arial"/>
                <w:sz w:val="18"/>
                <w:szCs w:val="18"/>
              </w:rPr>
            </w:pPr>
            <w:r>
              <w:rPr>
                <w:rFonts w:ascii="Calibri" w:hAnsi="Calibri" w:cs="Arial"/>
                <w:sz w:val="18"/>
                <w:szCs w:val="18"/>
              </w:rPr>
              <w:t>(PIS = 1,65% e COFINS = 7,65%)</w:t>
            </w:r>
          </w:p>
        </w:tc>
      </w:tr>
      <w:tr w14:paraId="6FBB3497">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850" w:type="dxa"/>
            <w:shd w:val="clear" w:color="auto" w:fill="DBE5F1" w:themeFill="accent1" w:themeFillTint="33"/>
          </w:tcPr>
          <w:p w14:paraId="43BD1465">
            <w:pPr>
              <w:jc w:val="center"/>
              <w:rPr>
                <w:rFonts w:ascii="Calibri" w:hAnsi="Calibri" w:cs="Arial"/>
                <w:b/>
                <w:bCs/>
                <w:sz w:val="18"/>
                <w:szCs w:val="18"/>
              </w:rPr>
            </w:pPr>
          </w:p>
        </w:tc>
        <w:tc>
          <w:tcPr>
            <w:tcW w:w="2126" w:type="dxa"/>
            <w:shd w:val="clear" w:color="auto" w:fill="DBE5F1" w:themeFill="accent1" w:themeFillTint="33"/>
          </w:tcPr>
          <w:p w14:paraId="47C442A1">
            <w:pPr>
              <w:rPr>
                <w:rFonts w:cs="Arial" w:asciiTheme="minorHAnsi" w:hAnsiTheme="minorHAnsi"/>
                <w:sz w:val="18"/>
                <w:szCs w:val="18"/>
              </w:rPr>
            </w:pPr>
            <w:r>
              <w:rPr>
                <w:rFonts w:cs="Arial" w:asciiTheme="minorHAnsi" w:hAnsiTheme="minorHAnsi"/>
                <w:sz w:val="18"/>
                <w:szCs w:val="18"/>
              </w:rPr>
              <w:t>C.2. Tributos estaduais</w:t>
            </w:r>
          </w:p>
        </w:tc>
        <w:tc>
          <w:tcPr>
            <w:tcW w:w="2547" w:type="dxa"/>
            <w:shd w:val="clear" w:color="auto" w:fill="DBE5F1" w:themeFill="accent1" w:themeFillTint="33"/>
          </w:tcPr>
          <w:p w14:paraId="4F3CEF75">
            <w:pPr>
              <w:rPr>
                <w:rFonts w:ascii="Calibri" w:hAnsi="Calibri" w:cs="Arial"/>
                <w:sz w:val="18"/>
                <w:szCs w:val="18"/>
              </w:rPr>
            </w:pPr>
            <w:r>
              <w:rPr>
                <w:rFonts w:ascii="Calibri" w:hAnsi="Calibri" w:cs="Arial"/>
                <w:sz w:val="18"/>
                <w:szCs w:val="18"/>
              </w:rPr>
              <w:t>(ESPECIFICAR)</w:t>
            </w:r>
          </w:p>
        </w:tc>
      </w:tr>
      <w:tr w14:paraId="7F5BB9C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16" w:hRule="atLeast"/>
        </w:trPr>
        <w:tc>
          <w:tcPr>
            <w:tcW w:w="850" w:type="dxa"/>
          </w:tcPr>
          <w:p w14:paraId="7BDD83EE">
            <w:pPr>
              <w:jc w:val="center"/>
              <w:rPr>
                <w:rFonts w:ascii="Calibri" w:hAnsi="Calibri" w:cs="Arial"/>
                <w:b/>
                <w:bCs/>
                <w:sz w:val="18"/>
                <w:szCs w:val="18"/>
              </w:rPr>
            </w:pPr>
          </w:p>
        </w:tc>
        <w:tc>
          <w:tcPr>
            <w:tcW w:w="2126" w:type="dxa"/>
          </w:tcPr>
          <w:p w14:paraId="7C1B440F">
            <w:pPr>
              <w:rPr>
                <w:rFonts w:cs="Arial" w:asciiTheme="minorHAnsi" w:hAnsiTheme="minorHAnsi"/>
                <w:sz w:val="18"/>
                <w:szCs w:val="18"/>
              </w:rPr>
            </w:pPr>
            <w:r>
              <w:rPr>
                <w:rFonts w:cs="Arial" w:asciiTheme="minorHAnsi" w:hAnsiTheme="minorHAnsi"/>
                <w:sz w:val="18"/>
                <w:szCs w:val="18"/>
              </w:rPr>
              <w:t>C.3 Tributos municipais</w:t>
            </w:r>
          </w:p>
        </w:tc>
        <w:tc>
          <w:tcPr>
            <w:tcW w:w="2547" w:type="dxa"/>
          </w:tcPr>
          <w:p w14:paraId="3D0EE45E">
            <w:pPr>
              <w:rPr>
                <w:rFonts w:ascii="Calibri" w:hAnsi="Calibri" w:cs="Arial"/>
                <w:sz w:val="18"/>
                <w:szCs w:val="18"/>
              </w:rPr>
            </w:pPr>
            <w:r>
              <w:rPr>
                <w:rFonts w:ascii="Calibri" w:hAnsi="Calibri" w:cs="Arial"/>
                <w:sz w:val="18"/>
                <w:szCs w:val="18"/>
              </w:rPr>
              <w:t>(ISS = 5,00%)</w:t>
            </w:r>
          </w:p>
        </w:tc>
      </w:tr>
      <w:tr w14:paraId="135764B8">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0" w:hRule="atLeast"/>
        </w:trPr>
        <w:tc>
          <w:tcPr>
            <w:tcW w:w="850" w:type="dxa"/>
            <w:shd w:val="clear" w:color="auto" w:fill="DBE5F1" w:themeFill="accent1" w:themeFillTint="33"/>
          </w:tcPr>
          <w:p w14:paraId="7CF3A42B">
            <w:pPr>
              <w:jc w:val="center"/>
              <w:rPr>
                <w:rFonts w:ascii="Calibri" w:hAnsi="Calibri" w:cs="Arial"/>
                <w:b/>
                <w:bCs/>
                <w:sz w:val="18"/>
                <w:szCs w:val="18"/>
              </w:rPr>
            </w:pPr>
          </w:p>
        </w:tc>
        <w:tc>
          <w:tcPr>
            <w:tcW w:w="2126" w:type="dxa"/>
            <w:shd w:val="clear" w:color="auto" w:fill="DBE5F1" w:themeFill="accent1" w:themeFillTint="33"/>
          </w:tcPr>
          <w:p w14:paraId="29EDF68A">
            <w:pPr>
              <w:rPr>
                <w:rFonts w:ascii="Calibri" w:hAnsi="Calibri" w:cs="Arial"/>
                <w:sz w:val="18"/>
                <w:szCs w:val="18"/>
              </w:rPr>
            </w:pPr>
            <w:r>
              <w:rPr>
                <w:rFonts w:ascii="Calibri" w:hAnsi="Calibri" w:cs="Arial"/>
                <w:sz w:val="18"/>
                <w:szCs w:val="18"/>
              </w:rPr>
              <w:t>Total</w:t>
            </w:r>
          </w:p>
        </w:tc>
        <w:tc>
          <w:tcPr>
            <w:tcW w:w="2547" w:type="dxa"/>
            <w:shd w:val="clear" w:color="auto" w:fill="DBE5F1" w:themeFill="accent1" w:themeFillTint="33"/>
          </w:tcPr>
          <w:p w14:paraId="2917DBC9">
            <w:pPr>
              <w:rPr>
                <w:rFonts w:ascii="Calibri" w:hAnsi="Calibri" w:cs="Arial"/>
                <w:sz w:val="18"/>
                <w:szCs w:val="18"/>
              </w:rPr>
            </w:pPr>
          </w:p>
        </w:tc>
      </w:tr>
    </w:tbl>
    <w:p w14:paraId="1ABFB140">
      <w:pPr>
        <w:rPr>
          <w:rFonts w:ascii="Calibri" w:hAnsi="Calibri" w:cs="Arial" w:eastAsiaTheme="minorHAnsi"/>
          <w:b/>
          <w:u w:val="single"/>
          <w:lang w:eastAsia="en-US"/>
        </w:rPr>
      </w:pPr>
    </w:p>
    <w:p w14:paraId="46FFA5E3">
      <w:pPr>
        <w:rPr>
          <w:rFonts w:ascii="Calibri" w:hAnsi="Calibri" w:cs="Arial" w:eastAsiaTheme="minorHAnsi"/>
          <w:lang w:eastAsia="en-US"/>
        </w:rPr>
      </w:pPr>
    </w:p>
    <w:p w14:paraId="588BD3CC">
      <w:pPr>
        <w:rPr>
          <w:rFonts w:ascii="Calibri" w:hAnsi="Calibri" w:cs="Arial" w:eastAsiaTheme="minorHAnsi"/>
          <w:b/>
          <w:u w:val="single"/>
          <w:lang w:eastAsia="en-US"/>
        </w:rPr>
      </w:pPr>
      <w:r>
        <w:rPr>
          <w:rFonts w:ascii="Calibri" w:hAnsi="Calibri" w:cs="Arial" w:eastAsiaTheme="minorHAnsi"/>
          <w:b/>
          <w:u w:val="single"/>
          <w:lang w:eastAsia="en-US"/>
        </w:rPr>
        <w:t xml:space="preserve">OBSERVAÇÕES: </w:t>
      </w:r>
    </w:p>
    <w:p w14:paraId="07492D41">
      <w:pPr>
        <w:rPr>
          <w:rFonts w:ascii="Calibri" w:hAnsi="Calibri" w:cs="Arial" w:eastAsiaTheme="minorHAnsi"/>
          <w:b/>
          <w:u w:val="single"/>
          <w:lang w:eastAsia="en-US"/>
        </w:rPr>
      </w:pPr>
    </w:p>
    <w:p w14:paraId="1D59B88F">
      <w:pPr>
        <w:numPr>
          <w:ilvl w:val="0"/>
          <w:numId w:val="1"/>
        </w:numPr>
        <w:rPr>
          <w:rFonts w:ascii="Calibri" w:hAnsi="Calibri" w:cs="Arial" w:eastAsiaTheme="minorHAnsi"/>
          <w:b/>
          <w:u w:val="single"/>
          <w:lang w:eastAsia="en-US"/>
        </w:rPr>
      </w:pPr>
      <w:r>
        <w:rPr>
          <w:rFonts w:ascii="Calibri" w:hAnsi="Calibri" w:cs="Arial" w:eastAsiaTheme="minorHAnsi"/>
          <w:b/>
          <w:u w:val="single"/>
          <w:lang w:eastAsia="en-US"/>
        </w:rPr>
        <w:t>Caso a empresa utilize o regime tributário do lucro presumido, alterar as alíquotas de PIS e COFINS.</w:t>
      </w:r>
    </w:p>
    <w:p w14:paraId="160A044B">
      <w:pPr>
        <w:rPr>
          <w:rFonts w:ascii="Calibri" w:hAnsi="Calibri" w:cs="Arial" w:eastAsiaTheme="minorHAnsi"/>
          <w:b/>
          <w:u w:val="single"/>
          <w:lang w:eastAsia="en-US"/>
        </w:rPr>
      </w:pPr>
    </w:p>
    <w:p w14:paraId="19536985">
      <w:pPr>
        <w:jc w:val="both"/>
        <w:rPr>
          <w:rFonts w:ascii="Calibri" w:hAnsi="Calibri" w:cs="Arial" w:eastAsiaTheme="minorHAnsi"/>
          <w:sz w:val="22"/>
          <w:szCs w:val="22"/>
          <w:lang w:eastAsia="en-US"/>
        </w:rPr>
      </w:pPr>
    </w:p>
    <w:p w14:paraId="3003D69A">
      <w:pPr>
        <w:jc w:val="both"/>
        <w:rPr>
          <w:rFonts w:ascii="Calibri" w:hAnsi="Calibri" w:cs="Arial" w:eastAsiaTheme="minorHAnsi"/>
          <w:sz w:val="22"/>
          <w:szCs w:val="22"/>
          <w:lang w:eastAsia="en-US"/>
        </w:rPr>
      </w:pPr>
      <w:r>
        <w:rPr>
          <w:rFonts w:ascii="Calibri" w:hAnsi="Calibri" w:cs="Arial" w:eastAsiaTheme="minorHAnsi"/>
          <w:sz w:val="22"/>
          <w:szCs w:val="22"/>
          <w:lang w:eastAsia="en-US"/>
        </w:rPr>
        <w:t>Para fins de estimativa, os percentuais médios de lucro e custos indiretos foram baseados nos valores praticados nas planilhas de custos por empresas do mesmo ramo de atuação.</w:t>
      </w:r>
    </w:p>
    <w:p w14:paraId="1E4CB022">
      <w:pPr>
        <w:jc w:val="both"/>
        <w:rPr>
          <w:rFonts w:ascii="Calibri" w:hAnsi="Calibri" w:cs="Arial" w:eastAsiaTheme="minorHAnsi"/>
          <w:sz w:val="22"/>
          <w:szCs w:val="22"/>
          <w:lang w:eastAsia="en-US"/>
        </w:rPr>
      </w:pPr>
    </w:p>
    <w:p w14:paraId="7F0DC830">
      <w:pPr>
        <w:spacing w:line="276" w:lineRule="auto"/>
        <w:jc w:val="both"/>
        <w:rPr>
          <w:rFonts w:cs="Arial" w:asciiTheme="minorHAnsi" w:hAnsiTheme="minorHAnsi"/>
          <w:b/>
          <w:sz w:val="22"/>
          <w:szCs w:val="22"/>
          <w:u w:val="single"/>
        </w:rPr>
      </w:pPr>
      <w:r>
        <w:rPr>
          <w:rFonts w:cs="Arial" w:asciiTheme="minorHAnsi" w:hAnsiTheme="minorHAnsi"/>
          <w:b/>
          <w:sz w:val="22"/>
          <w:szCs w:val="22"/>
          <w:u w:val="single"/>
        </w:rPr>
        <w:t>CÁLCULO CUSTOS INDIRETOS:</w:t>
      </w:r>
    </w:p>
    <w:p w14:paraId="4EC5D059">
      <w:pPr>
        <w:spacing w:line="276" w:lineRule="auto"/>
        <w:jc w:val="both"/>
        <w:rPr>
          <w:rFonts w:cs="Arial" w:asciiTheme="minorHAnsi" w:hAnsiTheme="minorHAnsi"/>
          <w:sz w:val="22"/>
          <w:szCs w:val="22"/>
        </w:rPr>
      </w:pPr>
      <w:r>
        <w:rPr>
          <w:rFonts w:cs="Arial" w:asciiTheme="minorHAnsi" w:hAnsiTheme="minorHAnsi"/>
          <w:sz w:val="22"/>
          <w:szCs w:val="22"/>
        </w:rPr>
        <w:t>Cálculo: (Módulo 1 + Módulo 2 + Módulo 3 + Módulo 4 + Módulo 5) x % custos indiretos (média praticada pelas empresas do setor)</w:t>
      </w:r>
    </w:p>
    <w:p w14:paraId="15D6CA5D">
      <w:pPr>
        <w:spacing w:line="276" w:lineRule="auto"/>
        <w:jc w:val="both"/>
        <w:rPr>
          <w:rFonts w:cs="Arial" w:asciiTheme="minorHAnsi" w:hAnsiTheme="minorHAnsi"/>
          <w:sz w:val="22"/>
          <w:szCs w:val="22"/>
        </w:rPr>
      </w:pPr>
    </w:p>
    <w:p w14:paraId="169508EC">
      <w:pPr>
        <w:spacing w:line="276" w:lineRule="auto"/>
        <w:jc w:val="both"/>
        <w:rPr>
          <w:rFonts w:asciiTheme="minorHAnsi" w:hAnsiTheme="minorHAnsi" w:cstheme="minorHAnsi"/>
          <w:sz w:val="22"/>
          <w:szCs w:val="22"/>
        </w:rPr>
      </w:pPr>
      <w:r>
        <w:rPr>
          <w:rFonts w:asciiTheme="minorHAnsi" w:hAnsiTheme="minorHAnsi" w:cstheme="minorHAnsi"/>
          <w:sz w:val="22"/>
          <w:szCs w:val="22"/>
        </w:rPr>
        <w:t xml:space="preserve">Proposta 1 (Pregão Eletrônico 90036/2025 – UASG 150182) – Sanatto = 4,80% </w:t>
      </w:r>
    </w:p>
    <w:p w14:paraId="6E83F576">
      <w:pPr>
        <w:spacing w:line="276" w:lineRule="auto"/>
        <w:jc w:val="both"/>
        <w:rPr>
          <w:rFonts w:asciiTheme="minorHAnsi" w:hAnsiTheme="minorHAnsi" w:cstheme="minorHAnsi"/>
          <w:sz w:val="22"/>
          <w:szCs w:val="22"/>
        </w:rPr>
      </w:pPr>
      <w:r>
        <w:rPr>
          <w:rFonts w:asciiTheme="minorHAnsi" w:hAnsiTheme="minorHAnsi" w:cstheme="minorHAnsi"/>
          <w:sz w:val="22"/>
          <w:szCs w:val="22"/>
        </w:rPr>
        <w:t xml:space="preserve">Proposta 2 (Pregão Eletrônico 90001/2025 – UASG 150182) – Soluções = 5,50% </w:t>
      </w:r>
    </w:p>
    <w:p w14:paraId="576CA4C1">
      <w:pPr>
        <w:spacing w:line="276" w:lineRule="auto"/>
        <w:jc w:val="both"/>
        <w:rPr>
          <w:rFonts w:asciiTheme="minorHAnsi" w:hAnsiTheme="minorHAnsi" w:cstheme="minorHAnsi"/>
          <w:sz w:val="22"/>
          <w:szCs w:val="22"/>
        </w:rPr>
      </w:pPr>
      <w:r>
        <w:rPr>
          <w:rFonts w:asciiTheme="minorHAnsi" w:hAnsiTheme="minorHAnsi" w:cstheme="minorHAnsi"/>
          <w:sz w:val="22"/>
          <w:szCs w:val="22"/>
        </w:rPr>
        <w:t xml:space="preserve">Proposta 3 (Pregão Eletrônico 90013/2025 – UASG 150182) – Spectru = 4,14% </w:t>
      </w:r>
    </w:p>
    <w:p w14:paraId="78CE22E7">
      <w:pPr>
        <w:spacing w:line="276" w:lineRule="auto"/>
        <w:jc w:val="both"/>
        <w:rPr>
          <w:rFonts w:asciiTheme="minorHAnsi" w:hAnsiTheme="minorHAnsi" w:cstheme="minorHAnsi"/>
          <w:b/>
          <w:bCs/>
          <w:sz w:val="22"/>
          <w:szCs w:val="22"/>
        </w:rPr>
      </w:pPr>
      <w:r>
        <w:rPr>
          <w:rFonts w:asciiTheme="minorHAnsi" w:hAnsiTheme="minorHAnsi" w:cstheme="minorHAnsi"/>
          <w:b/>
          <w:bCs/>
          <w:sz w:val="22"/>
          <w:szCs w:val="22"/>
        </w:rPr>
        <w:t>Média = 4,81%</w:t>
      </w:r>
    </w:p>
    <w:p w14:paraId="7AAC8928">
      <w:pPr>
        <w:spacing w:line="276" w:lineRule="auto"/>
        <w:jc w:val="both"/>
        <w:rPr>
          <w:rFonts w:cs="Arial" w:asciiTheme="minorHAnsi" w:hAnsiTheme="minorHAnsi"/>
          <w:sz w:val="22"/>
          <w:szCs w:val="22"/>
        </w:rPr>
      </w:pPr>
    </w:p>
    <w:p w14:paraId="171DF1C1">
      <w:pPr>
        <w:spacing w:line="276" w:lineRule="auto"/>
        <w:jc w:val="both"/>
        <w:rPr>
          <w:rFonts w:cs="Arial" w:asciiTheme="minorHAnsi" w:hAnsiTheme="minorHAnsi"/>
          <w:b/>
          <w:sz w:val="22"/>
          <w:szCs w:val="22"/>
          <w:u w:val="single"/>
        </w:rPr>
      </w:pPr>
      <w:r>
        <w:rPr>
          <w:rFonts w:cs="Arial" w:asciiTheme="minorHAnsi" w:hAnsiTheme="minorHAnsi"/>
          <w:b/>
          <w:sz w:val="22"/>
          <w:szCs w:val="22"/>
          <w:u w:val="single"/>
        </w:rPr>
        <w:t>CÁLCULO LUCRO:</w:t>
      </w:r>
    </w:p>
    <w:p w14:paraId="72D03A13">
      <w:pPr>
        <w:spacing w:line="276" w:lineRule="auto"/>
        <w:jc w:val="both"/>
        <w:rPr>
          <w:rFonts w:cs="Arial" w:asciiTheme="minorHAnsi" w:hAnsiTheme="minorHAnsi"/>
          <w:sz w:val="22"/>
          <w:szCs w:val="22"/>
        </w:rPr>
      </w:pPr>
    </w:p>
    <w:p w14:paraId="3950D740">
      <w:pPr>
        <w:spacing w:line="276" w:lineRule="auto"/>
        <w:jc w:val="both"/>
        <w:rPr>
          <w:rFonts w:cs="Arial" w:asciiTheme="minorHAnsi" w:hAnsiTheme="minorHAnsi"/>
          <w:sz w:val="22"/>
          <w:szCs w:val="22"/>
        </w:rPr>
      </w:pPr>
      <w:r>
        <w:rPr>
          <w:rFonts w:cs="Arial" w:asciiTheme="minorHAnsi" w:hAnsiTheme="minorHAnsi"/>
          <w:sz w:val="22"/>
          <w:szCs w:val="22"/>
        </w:rPr>
        <w:t>Cálculo: (Módulo 1 + Módulo 2 + Módulo 3 + Módulo 4 + Módulo 5 + Módulo 6-A) x % lucro (média praticada pelas empresas do setor)</w:t>
      </w:r>
    </w:p>
    <w:p w14:paraId="6D5E7EE6">
      <w:pPr>
        <w:spacing w:line="276" w:lineRule="auto"/>
        <w:jc w:val="both"/>
        <w:rPr>
          <w:rFonts w:cs="Arial" w:asciiTheme="minorHAnsi" w:hAnsiTheme="minorHAnsi"/>
          <w:sz w:val="22"/>
          <w:szCs w:val="22"/>
        </w:rPr>
      </w:pPr>
    </w:p>
    <w:p w14:paraId="44B2EFD9">
      <w:pPr>
        <w:spacing w:line="276" w:lineRule="auto"/>
        <w:jc w:val="both"/>
        <w:rPr>
          <w:rFonts w:asciiTheme="minorHAnsi" w:hAnsiTheme="minorHAnsi" w:cstheme="minorHAnsi"/>
          <w:sz w:val="22"/>
          <w:szCs w:val="22"/>
        </w:rPr>
      </w:pPr>
      <w:bookmarkStart w:id="0" w:name="_Hlk34141943"/>
      <w:r>
        <w:rPr>
          <w:rFonts w:asciiTheme="minorHAnsi" w:hAnsiTheme="minorHAnsi" w:cstheme="minorHAnsi"/>
          <w:sz w:val="22"/>
          <w:szCs w:val="22"/>
        </w:rPr>
        <w:t xml:space="preserve">Proposta 1 (Pregão Eletrônico 90036/2025 – UASG 150182) – Sanatto = 3,92% </w:t>
      </w:r>
    </w:p>
    <w:p w14:paraId="1FA834E5">
      <w:pPr>
        <w:spacing w:line="276" w:lineRule="auto"/>
        <w:jc w:val="both"/>
        <w:rPr>
          <w:rFonts w:asciiTheme="minorHAnsi" w:hAnsiTheme="minorHAnsi" w:cstheme="minorHAnsi"/>
          <w:sz w:val="22"/>
          <w:szCs w:val="22"/>
        </w:rPr>
      </w:pPr>
      <w:r>
        <w:rPr>
          <w:rFonts w:asciiTheme="minorHAnsi" w:hAnsiTheme="minorHAnsi" w:cstheme="minorHAnsi"/>
          <w:sz w:val="22"/>
          <w:szCs w:val="22"/>
        </w:rPr>
        <w:t xml:space="preserve">Proposta 2 (Pregão Eletrônico 90001/2025 – UASG 150182) – Soluções = 5,15% </w:t>
      </w:r>
    </w:p>
    <w:p w14:paraId="1301FF99">
      <w:pPr>
        <w:spacing w:line="276" w:lineRule="auto"/>
        <w:jc w:val="both"/>
        <w:rPr>
          <w:rFonts w:asciiTheme="minorHAnsi" w:hAnsiTheme="minorHAnsi" w:cstheme="minorHAnsi"/>
          <w:sz w:val="22"/>
          <w:szCs w:val="22"/>
        </w:rPr>
      </w:pPr>
      <w:r>
        <w:rPr>
          <w:rFonts w:asciiTheme="minorHAnsi" w:hAnsiTheme="minorHAnsi" w:cstheme="minorHAnsi"/>
          <w:sz w:val="22"/>
          <w:szCs w:val="22"/>
        </w:rPr>
        <w:t xml:space="preserve">Proposta 3 (Pregão Eletrônico 90013/2025 – UASG 150182) – Spectru = 3,37% </w:t>
      </w:r>
    </w:p>
    <w:p w14:paraId="556FE2CD">
      <w:pPr>
        <w:spacing w:line="276" w:lineRule="auto"/>
        <w:jc w:val="both"/>
        <w:rPr>
          <w:rFonts w:asciiTheme="minorHAnsi" w:hAnsiTheme="minorHAnsi" w:cstheme="minorHAnsi"/>
          <w:b/>
          <w:bCs/>
          <w:sz w:val="22"/>
          <w:szCs w:val="22"/>
        </w:rPr>
      </w:pPr>
    </w:p>
    <w:p w14:paraId="36D1FA0C">
      <w:pPr>
        <w:spacing w:line="276" w:lineRule="auto"/>
        <w:jc w:val="both"/>
        <w:rPr>
          <w:rFonts w:asciiTheme="minorHAnsi" w:hAnsiTheme="minorHAnsi" w:cstheme="minorHAnsi"/>
          <w:b/>
          <w:sz w:val="22"/>
          <w:szCs w:val="22"/>
        </w:rPr>
      </w:pPr>
      <w:r>
        <w:rPr>
          <w:rFonts w:asciiTheme="minorHAnsi" w:hAnsiTheme="minorHAnsi" w:cstheme="minorHAnsi"/>
          <w:b/>
          <w:bCs/>
          <w:sz w:val="22"/>
          <w:szCs w:val="22"/>
        </w:rPr>
        <w:t>Média = 4,14%</w:t>
      </w:r>
    </w:p>
    <w:p w14:paraId="307267A4">
      <w:pPr>
        <w:spacing w:line="276" w:lineRule="auto"/>
        <w:jc w:val="both"/>
        <w:rPr>
          <w:rFonts w:asciiTheme="minorHAnsi" w:hAnsiTheme="minorHAnsi" w:cstheme="minorHAnsi"/>
          <w:b/>
          <w:sz w:val="22"/>
          <w:szCs w:val="22"/>
        </w:rPr>
      </w:pPr>
    </w:p>
    <w:bookmarkEnd w:id="0"/>
    <w:p w14:paraId="2FFECAC8">
      <w:pPr>
        <w:spacing w:line="276" w:lineRule="auto"/>
        <w:jc w:val="both"/>
        <w:rPr>
          <w:rFonts w:cs="Arial" w:asciiTheme="minorHAnsi" w:hAnsiTheme="minorHAnsi"/>
          <w:sz w:val="22"/>
          <w:szCs w:val="22"/>
        </w:rPr>
      </w:pPr>
    </w:p>
    <w:p w14:paraId="5CB62A14">
      <w:pPr>
        <w:spacing w:line="276" w:lineRule="auto"/>
        <w:jc w:val="both"/>
        <w:rPr>
          <w:rFonts w:cs="Arial" w:asciiTheme="minorHAnsi" w:hAnsiTheme="minorHAnsi"/>
          <w:b/>
          <w:sz w:val="22"/>
          <w:szCs w:val="22"/>
          <w:u w:val="single"/>
        </w:rPr>
      </w:pPr>
      <w:r>
        <w:rPr>
          <w:rFonts w:cs="Arial" w:asciiTheme="minorHAnsi" w:hAnsiTheme="minorHAnsi"/>
          <w:b/>
          <w:sz w:val="22"/>
          <w:szCs w:val="22"/>
          <w:u w:val="single"/>
        </w:rPr>
        <w:t>CÁLCULO TRIBUTOS:</w:t>
      </w:r>
    </w:p>
    <w:p w14:paraId="53792FC9">
      <w:pPr>
        <w:spacing w:line="276" w:lineRule="auto"/>
        <w:jc w:val="both"/>
        <w:rPr>
          <w:rFonts w:cs="Arial" w:asciiTheme="minorHAnsi" w:hAnsiTheme="minorHAnsi"/>
          <w:sz w:val="22"/>
          <w:szCs w:val="22"/>
        </w:rPr>
      </w:pPr>
    </w:p>
    <w:p w14:paraId="6B2B08C9">
      <w:pPr>
        <w:jc w:val="both"/>
        <w:rPr>
          <w:rFonts w:cs="Arial" w:asciiTheme="minorHAnsi" w:hAnsiTheme="minorHAnsi"/>
          <w:iCs/>
          <w:sz w:val="22"/>
          <w:szCs w:val="22"/>
        </w:rPr>
      </w:pPr>
      <w:r>
        <w:rPr>
          <w:rFonts w:cs="Arial" w:asciiTheme="minorHAnsi" w:hAnsiTheme="minorHAnsi"/>
          <w:iCs/>
          <w:sz w:val="22"/>
          <w:szCs w:val="22"/>
        </w:rPr>
        <w:t xml:space="preserve">Os tributos são calculados sobre o </w:t>
      </w:r>
      <w:r>
        <w:rPr>
          <w:rFonts w:cs="Arial" w:asciiTheme="minorHAnsi" w:hAnsiTheme="minorHAnsi"/>
          <w:b/>
          <w:bCs/>
          <w:iCs/>
          <w:sz w:val="22"/>
          <w:szCs w:val="22"/>
          <w:u w:val="single"/>
        </w:rPr>
        <w:t>faturamento</w:t>
      </w:r>
      <w:r>
        <w:rPr>
          <w:rFonts w:cs="Arial" w:asciiTheme="minorHAnsi" w:hAnsiTheme="minorHAnsi"/>
          <w:iCs/>
          <w:sz w:val="22"/>
          <w:szCs w:val="22"/>
        </w:rPr>
        <w:t>.</w:t>
      </w:r>
    </w:p>
    <w:p w14:paraId="6CFCEDE5">
      <w:pPr>
        <w:jc w:val="both"/>
        <w:rPr>
          <w:rFonts w:cs="Arial" w:asciiTheme="minorHAnsi" w:hAnsiTheme="minorHAnsi"/>
          <w:iCs/>
          <w:sz w:val="22"/>
          <w:szCs w:val="22"/>
        </w:rPr>
      </w:pPr>
    </w:p>
    <w:p w14:paraId="3E3F532B">
      <w:pPr>
        <w:jc w:val="both"/>
        <w:rPr>
          <w:rFonts w:cs="Arial" w:asciiTheme="minorHAnsi" w:hAnsiTheme="minorHAnsi"/>
          <w:iCs/>
          <w:sz w:val="22"/>
          <w:szCs w:val="22"/>
        </w:rPr>
      </w:pPr>
      <w:r>
        <w:rPr>
          <w:rFonts w:cs="Arial" w:asciiTheme="minorHAnsi" w:hAnsiTheme="minorHAnsi"/>
          <w:iCs/>
          <w:sz w:val="22"/>
          <w:szCs w:val="22"/>
        </w:rPr>
        <w:t xml:space="preserve">O faturamento corresponderá ao somatório dos </w:t>
      </w:r>
      <w:r>
        <w:rPr>
          <w:rFonts w:cs="Arial" w:asciiTheme="minorHAnsi" w:hAnsiTheme="minorHAnsi"/>
          <w:b/>
          <w:bCs/>
          <w:iCs/>
          <w:sz w:val="22"/>
          <w:szCs w:val="22"/>
          <w:u w:val="single"/>
        </w:rPr>
        <w:t>módulos 1 a 5 + Custos Indiretos + Lucro</w:t>
      </w:r>
      <w:r>
        <w:rPr>
          <w:rFonts w:cs="Arial" w:asciiTheme="minorHAnsi" w:hAnsiTheme="minorHAnsi"/>
          <w:iCs/>
          <w:sz w:val="22"/>
          <w:szCs w:val="22"/>
        </w:rPr>
        <w:t>.</w:t>
      </w:r>
    </w:p>
    <w:p w14:paraId="1E665E88">
      <w:pPr>
        <w:jc w:val="both"/>
        <w:rPr>
          <w:rFonts w:cs="Arial" w:asciiTheme="minorHAnsi" w:hAnsiTheme="minorHAnsi"/>
          <w:iCs/>
          <w:sz w:val="22"/>
          <w:szCs w:val="22"/>
        </w:rPr>
      </w:pPr>
    </w:p>
    <w:p w14:paraId="58454CF0">
      <w:pPr>
        <w:jc w:val="both"/>
        <w:rPr>
          <w:rFonts w:cs="Arial" w:asciiTheme="minorHAnsi" w:hAnsiTheme="minorHAnsi"/>
          <w:iCs/>
          <w:sz w:val="22"/>
          <w:szCs w:val="22"/>
        </w:rPr>
      </w:pPr>
      <w:r>
        <w:rPr>
          <w:rFonts w:cs="Arial" w:asciiTheme="minorHAnsi" w:hAnsiTheme="minorHAnsi"/>
          <w:iCs/>
          <w:sz w:val="22"/>
          <w:szCs w:val="22"/>
        </w:rPr>
        <w:t xml:space="preserve">Tendo em vista que os próprios tributos integram a base de cálculo, utiliza-se um tipo de fórmula denominada “circular”, chamada </w:t>
      </w:r>
      <w:r>
        <w:rPr>
          <w:rFonts w:cs="Arial" w:asciiTheme="minorHAnsi" w:hAnsiTheme="minorHAnsi"/>
          <w:b/>
          <w:bCs/>
          <w:iCs/>
          <w:sz w:val="22"/>
          <w:szCs w:val="22"/>
          <w:u w:val="single"/>
        </w:rPr>
        <w:t>cálculo por dentro</w:t>
      </w:r>
      <w:r>
        <w:rPr>
          <w:rFonts w:cs="Arial" w:asciiTheme="minorHAnsi" w:hAnsiTheme="minorHAnsi"/>
          <w:iCs/>
          <w:sz w:val="22"/>
          <w:szCs w:val="22"/>
        </w:rPr>
        <w:t xml:space="preserve">: </w:t>
      </w:r>
    </w:p>
    <w:p w14:paraId="75A5829A">
      <w:pPr>
        <w:jc w:val="both"/>
        <w:rPr>
          <w:rFonts w:cs="Arial" w:asciiTheme="minorHAnsi" w:hAnsiTheme="minorHAnsi"/>
          <w:iCs/>
          <w:sz w:val="22"/>
          <w:szCs w:val="22"/>
        </w:rPr>
      </w:pPr>
    </w:p>
    <w:p w14:paraId="699051F7">
      <w:pPr>
        <w:jc w:val="both"/>
        <w:rPr>
          <w:rFonts w:cs="Arial" w:asciiTheme="minorHAnsi" w:hAnsiTheme="minorHAnsi"/>
          <w:iCs/>
          <w:sz w:val="22"/>
          <w:szCs w:val="22"/>
        </w:rPr>
      </w:pPr>
      <w:r>
        <w:rPr>
          <w:rFonts w:cs="Arial" w:asciiTheme="minorHAnsi" w:hAnsiTheme="minorHAnsi"/>
          <w:iCs/>
          <w:sz w:val="22"/>
          <w:szCs w:val="22"/>
        </w:rPr>
        <w:t xml:space="preserve">1º) Somar os tributos (PIS+COFINS+ISS) = 1,65% + 7,60% + 5% = </w:t>
      </w:r>
      <w:r>
        <w:rPr>
          <w:rFonts w:cs="Arial" w:asciiTheme="minorHAnsi" w:hAnsiTheme="minorHAnsi"/>
          <w:b/>
          <w:bCs/>
          <w:iCs/>
          <w:sz w:val="22"/>
          <w:szCs w:val="22"/>
        </w:rPr>
        <w:t>14,25 (total dos tributos)</w:t>
      </w:r>
    </w:p>
    <w:p w14:paraId="60A57307">
      <w:pPr>
        <w:jc w:val="both"/>
        <w:rPr>
          <w:rFonts w:cs="Arial" w:asciiTheme="minorHAnsi" w:hAnsiTheme="minorHAnsi"/>
          <w:b/>
          <w:bCs/>
          <w:iCs/>
          <w:sz w:val="22"/>
          <w:szCs w:val="22"/>
        </w:rPr>
      </w:pPr>
      <w:r>
        <w:rPr>
          <w:rFonts w:cs="Arial" w:asciiTheme="minorHAnsi" w:hAnsiTheme="minorHAnsi"/>
          <w:iCs/>
          <w:sz w:val="22"/>
          <w:szCs w:val="22"/>
        </w:rPr>
        <w:t xml:space="preserve">2º )Subtrair o resultado de 100 e dividi-lo por 100 = (100-14,25)/100 = </w:t>
      </w:r>
      <w:r>
        <w:rPr>
          <w:rFonts w:cs="Arial" w:asciiTheme="minorHAnsi" w:hAnsiTheme="minorHAnsi"/>
          <w:b/>
          <w:bCs/>
          <w:iCs/>
          <w:sz w:val="22"/>
          <w:szCs w:val="22"/>
        </w:rPr>
        <w:t>0,8575</w:t>
      </w:r>
    </w:p>
    <w:p w14:paraId="463ACEE0">
      <w:pPr>
        <w:jc w:val="both"/>
        <w:rPr>
          <w:rFonts w:cs="Arial" w:asciiTheme="minorHAnsi" w:hAnsiTheme="minorHAnsi"/>
          <w:iCs/>
          <w:sz w:val="22"/>
          <w:szCs w:val="22"/>
        </w:rPr>
      </w:pPr>
      <w:r>
        <w:rPr>
          <w:rFonts w:cs="Arial" w:asciiTheme="minorHAnsi" w:hAnsiTheme="minorHAnsi"/>
          <w:iCs/>
          <w:sz w:val="22"/>
          <w:szCs w:val="22"/>
        </w:rPr>
        <w:t>3º ) Dividir 0,8575 pelo faturamento</w:t>
      </w:r>
    </w:p>
    <w:p w14:paraId="591F4077">
      <w:pPr>
        <w:jc w:val="both"/>
        <w:rPr>
          <w:rFonts w:cs="Arial" w:asciiTheme="minorHAnsi" w:hAnsiTheme="minorHAnsi"/>
          <w:iCs/>
          <w:sz w:val="22"/>
          <w:szCs w:val="22"/>
        </w:rPr>
      </w:pPr>
      <w:r>
        <w:rPr>
          <w:rFonts w:cs="Arial" w:asciiTheme="minorHAnsi" w:hAnsiTheme="minorHAnsi"/>
          <w:iCs/>
          <w:sz w:val="22"/>
          <w:szCs w:val="22"/>
        </w:rPr>
        <w:t>4º) Desse resultado, aplicou-se individualmente os percentuais de cada um dos tributos</w:t>
      </w:r>
    </w:p>
    <w:p w14:paraId="1EF8EDF3">
      <w:pPr>
        <w:jc w:val="both"/>
        <w:rPr>
          <w:rFonts w:cs="Arial" w:asciiTheme="minorHAnsi" w:hAnsiTheme="minorHAnsi"/>
          <w:iCs/>
          <w:sz w:val="22"/>
          <w:szCs w:val="22"/>
        </w:rPr>
      </w:pPr>
      <w:r>
        <w:rPr>
          <w:rFonts w:cs="Arial" w:asciiTheme="minorHAnsi" w:hAnsiTheme="minorHAnsi"/>
          <w:iCs/>
          <w:sz w:val="22"/>
          <w:szCs w:val="22"/>
        </w:rPr>
        <w:t>5º) Somar os resultados = Total dos tributos</w:t>
      </w:r>
    </w:p>
    <w:p w14:paraId="4ECD3926">
      <w:pPr>
        <w:jc w:val="both"/>
        <w:rPr>
          <w:rFonts w:cs="Arial" w:asciiTheme="minorHAnsi" w:hAnsiTheme="minorHAnsi"/>
          <w:iCs/>
          <w:sz w:val="22"/>
          <w:szCs w:val="22"/>
        </w:rPr>
      </w:pPr>
    </w:p>
    <w:p w14:paraId="321657A6">
      <w:pPr>
        <w:jc w:val="both"/>
        <w:rPr>
          <w:rFonts w:cs="Arial" w:asciiTheme="minorHAnsi" w:hAnsiTheme="minorHAnsi"/>
          <w:iCs/>
          <w:sz w:val="22"/>
          <w:szCs w:val="22"/>
        </w:rPr>
      </w:pPr>
      <w:r>
        <w:rPr>
          <w:rFonts w:cs="Arial" w:asciiTheme="minorHAnsi" w:hAnsiTheme="minorHAnsi"/>
          <w:iCs/>
          <w:sz w:val="22"/>
          <w:szCs w:val="22"/>
        </w:rPr>
        <w:t xml:space="preserve">Memória de Cálculo: </w:t>
      </w:r>
      <w:r>
        <w:rPr>
          <w:rFonts w:cs="Arial" w:asciiTheme="minorHAnsi" w:hAnsiTheme="minorHAnsi"/>
          <w:b/>
          <w:bCs/>
          <w:iCs/>
          <w:sz w:val="22"/>
          <w:szCs w:val="22"/>
        </w:rPr>
        <w:t>Tributos: PIS-COFINS-ISS</w:t>
      </w:r>
    </w:p>
    <w:p w14:paraId="1E2D43EA">
      <w:pPr>
        <w:jc w:val="center"/>
        <w:rPr>
          <w:rFonts w:ascii="Calibri" w:hAnsi="Calibri" w:cs="Arial" w:eastAsiaTheme="minorHAnsi"/>
          <w:b/>
          <w:sz w:val="22"/>
          <w:szCs w:val="22"/>
          <w:lang w:eastAsia="en-US"/>
        </w:rPr>
      </w:pPr>
    </w:p>
    <w:p w14:paraId="49931BDC">
      <w:pPr>
        <w:jc w:val="both"/>
        <w:rPr>
          <w:rFonts w:ascii="Calibri" w:hAnsi="Calibri" w:cs="Arial" w:eastAsiaTheme="minorHAnsi"/>
          <w:sz w:val="22"/>
          <w:szCs w:val="22"/>
          <w:lang w:eastAsia="en-US"/>
        </w:rPr>
      </w:pPr>
    </w:p>
    <w:p w14:paraId="2BA09513">
      <w:pPr>
        <w:spacing w:line="276" w:lineRule="auto"/>
        <w:jc w:val="both"/>
        <w:rPr>
          <w:rFonts w:ascii="Calibri" w:hAnsi="Calibri" w:cs="Arial" w:eastAsiaTheme="minorHAnsi"/>
          <w:b/>
          <w:sz w:val="22"/>
          <w:szCs w:val="22"/>
          <w:u w:val="single"/>
          <w:lang w:eastAsia="en-US"/>
        </w:rPr>
      </w:pPr>
      <w:r>
        <w:rPr>
          <w:rFonts w:ascii="Calibri" w:hAnsi="Calibri" w:cs="Arial" w:eastAsiaTheme="minorHAnsi"/>
          <w:b/>
          <w:sz w:val="22"/>
          <w:szCs w:val="22"/>
          <w:u w:val="single"/>
          <w:lang w:eastAsia="en-US"/>
        </w:rPr>
        <w:t>Tributação</w:t>
      </w:r>
    </w:p>
    <w:p w14:paraId="4A83BEB0">
      <w:pPr>
        <w:spacing w:line="276" w:lineRule="auto"/>
        <w:jc w:val="both"/>
        <w:rPr>
          <w:rFonts w:ascii="Calibri" w:hAnsi="Calibri" w:cs="Arial" w:eastAsiaTheme="minorHAnsi"/>
          <w:sz w:val="22"/>
          <w:szCs w:val="22"/>
          <w:lang w:eastAsia="en-US"/>
        </w:rPr>
      </w:pPr>
    </w:p>
    <w:p w14:paraId="3B373609">
      <w:pPr>
        <w:spacing w:line="276" w:lineRule="auto"/>
        <w:jc w:val="both"/>
        <w:rPr>
          <w:rFonts w:cs="Arial" w:asciiTheme="minorHAnsi" w:hAnsiTheme="minorHAnsi" w:eastAsiaTheme="minorHAnsi"/>
          <w:sz w:val="22"/>
          <w:szCs w:val="22"/>
          <w:lang w:eastAsia="en-US"/>
        </w:rPr>
      </w:pPr>
      <w:r>
        <w:rPr>
          <w:rFonts w:cs="Arial" w:asciiTheme="minorHAnsi" w:hAnsiTheme="minorHAnsi" w:eastAsiaTheme="minorHAnsi"/>
          <w:sz w:val="22"/>
          <w:szCs w:val="22"/>
          <w:lang w:eastAsia="en-US"/>
        </w:rPr>
        <w:t>Os tributos (ISS, COFINS e PIS) foram definidos utilizando o regime de tributação de Lucro REAL e PRESUMIDO, e a licitante deve elaborar sua proposta e, por conseguinte, sua planilha com base no regime de tributação ao qual estará submetido durante a execução do contrato.</w:t>
      </w:r>
    </w:p>
    <w:p w14:paraId="5020D7C7">
      <w:pPr>
        <w:spacing w:line="276" w:lineRule="auto"/>
        <w:jc w:val="both"/>
        <w:rPr>
          <w:rFonts w:cs="Arial" w:asciiTheme="minorHAnsi" w:hAnsiTheme="minorHAnsi" w:eastAsiaTheme="minorHAnsi"/>
          <w:sz w:val="22"/>
          <w:szCs w:val="22"/>
          <w:lang w:eastAsia="en-US"/>
        </w:rPr>
      </w:pPr>
    </w:p>
    <w:p w14:paraId="1702C556">
      <w:pPr>
        <w:spacing w:line="276" w:lineRule="auto"/>
        <w:jc w:val="both"/>
        <w:rPr>
          <w:rFonts w:cs="Arial" w:asciiTheme="minorHAnsi" w:hAnsiTheme="minorHAnsi"/>
          <w:sz w:val="22"/>
          <w:szCs w:val="22"/>
        </w:rPr>
      </w:pPr>
      <w:r>
        <w:rPr>
          <w:rFonts w:cs="Arial" w:asciiTheme="minorHAnsi" w:hAnsiTheme="minorHAnsi"/>
          <w:sz w:val="22"/>
          <w:szCs w:val="22"/>
        </w:rPr>
        <w:t xml:space="preserve">O ISSQN está sendo cotado conforme a legislação do município de Niterói onde serão prestados os serviços. Os tributos IRPJ e CSLL deixaram de constar na planilha </w:t>
      </w:r>
      <w:r>
        <w:rPr>
          <w:rFonts w:cs="Arial" w:asciiTheme="minorHAnsi" w:hAnsiTheme="minorHAnsi"/>
          <w:b/>
          <w:sz w:val="22"/>
          <w:szCs w:val="22"/>
        </w:rPr>
        <w:t>para a empresa que optar pelo regime tributário de LUCRO REAL ou PRESUMIDO</w:t>
      </w:r>
      <w:r>
        <w:rPr>
          <w:rFonts w:cs="Arial" w:asciiTheme="minorHAnsi" w:hAnsiTheme="minorHAnsi"/>
          <w:sz w:val="22"/>
          <w:szCs w:val="22"/>
        </w:rPr>
        <w:t xml:space="preserve">, </w:t>
      </w:r>
      <w:r>
        <w:rPr>
          <w:rFonts w:cs="Arial" w:asciiTheme="minorHAnsi" w:hAnsiTheme="minorHAnsi"/>
          <w:b/>
          <w:sz w:val="22"/>
          <w:szCs w:val="22"/>
        </w:rPr>
        <w:t>já que estão contidos no lucro bruto apresentado na proposta</w:t>
      </w:r>
      <w:r>
        <w:rPr>
          <w:rFonts w:cs="Arial" w:asciiTheme="minorHAnsi" w:hAnsiTheme="minorHAnsi"/>
          <w:sz w:val="22"/>
          <w:szCs w:val="22"/>
        </w:rPr>
        <w:t xml:space="preserve"> e em virtude da determinação contida na Súmula do TCU nº 254, Acórdão TCU nº 1591/2008 – Plenário, Acórdão TCU nº 264/2012 – Plenário e Informativo  de Jurisprudência TCU nº 279.</w:t>
      </w:r>
    </w:p>
    <w:p w14:paraId="60593820">
      <w:pPr>
        <w:spacing w:line="276" w:lineRule="auto"/>
        <w:jc w:val="both"/>
        <w:rPr>
          <w:rFonts w:cs="Arial" w:asciiTheme="minorHAnsi" w:hAnsiTheme="minorHAnsi"/>
          <w:b/>
          <w:sz w:val="22"/>
          <w:szCs w:val="22"/>
        </w:rPr>
      </w:pPr>
    </w:p>
    <w:p w14:paraId="59CB1331">
      <w:pPr>
        <w:shd w:val="clear" w:color="auto" w:fill="FFFFFF"/>
        <w:jc w:val="both"/>
        <w:rPr>
          <w:rFonts w:cs="Arial" w:asciiTheme="minorHAnsi" w:hAnsiTheme="minorHAnsi"/>
          <w:sz w:val="22"/>
          <w:szCs w:val="22"/>
        </w:rPr>
      </w:pPr>
      <w:r>
        <w:rPr>
          <w:rFonts w:cs="Arial" w:asciiTheme="minorHAnsi" w:hAnsiTheme="minorHAnsi"/>
          <w:b/>
          <w:bCs/>
          <w:sz w:val="22"/>
          <w:szCs w:val="22"/>
        </w:rPr>
        <w:t>O preço ofertado pelos licitantes deve ser comprovadamente suficiente para cumprir suas obrigações legais, sociais e </w:t>
      </w:r>
      <w:r>
        <w:rPr>
          <w:rFonts w:cs="Arial" w:asciiTheme="minorHAnsi" w:hAnsiTheme="minorHAnsi"/>
          <w:b/>
          <w:bCs/>
          <w:sz w:val="22"/>
          <w:szCs w:val="22"/>
          <w:u w:val="single"/>
        </w:rPr>
        <w:t>tributárias.</w:t>
      </w:r>
      <w:r>
        <w:rPr>
          <w:rFonts w:cs="Arial" w:asciiTheme="minorHAnsi" w:hAnsiTheme="minorHAnsi"/>
          <w:b/>
          <w:bCs/>
          <w:sz w:val="22"/>
          <w:szCs w:val="22"/>
        </w:rPr>
        <w:t> O estado não pode contratar quem apresentar PCFP que demonstre que a contratação ensejará operar em prejuízo. Este é o conceito de inexequibilidade previsto no subitem 9.2 do Anexo VII-A da IN 05/2017 da SEGES/MP.</w:t>
      </w:r>
    </w:p>
    <w:p w14:paraId="5EAC2A65">
      <w:pPr>
        <w:spacing w:line="276" w:lineRule="auto"/>
        <w:jc w:val="both"/>
        <w:rPr>
          <w:rFonts w:cs="Arial" w:asciiTheme="minorHAnsi" w:hAnsiTheme="minorHAnsi"/>
          <w:sz w:val="22"/>
          <w:szCs w:val="22"/>
        </w:rPr>
      </w:pPr>
    </w:p>
    <w:p w14:paraId="0DE35E9A">
      <w:pPr>
        <w:shd w:val="clear" w:color="auto" w:fill="FFFFFF"/>
        <w:spacing w:line="276" w:lineRule="auto"/>
        <w:rPr>
          <w:rFonts w:ascii="Calibri" w:hAnsi="Calibri" w:eastAsia="Lucida Sans Unicode"/>
          <w:kern w:val="2"/>
          <w:sz w:val="22"/>
          <w:szCs w:val="22"/>
        </w:rPr>
      </w:pPr>
      <w:r>
        <w:rPr>
          <w:rFonts w:ascii="Arial" w:hAnsi="Arial" w:cs="Arial"/>
          <w:color w:val="222222"/>
          <w:sz w:val="22"/>
          <w:szCs w:val="22"/>
        </w:rPr>
        <w:t> </w:t>
      </w:r>
      <w:r>
        <w:rPr>
          <w:rFonts w:ascii="Calibri" w:hAnsi="Calibri" w:eastAsia="Lucida Sans Unicode"/>
          <w:kern w:val="2"/>
          <w:sz w:val="22"/>
          <w:szCs w:val="22"/>
        </w:rPr>
        <w:t xml:space="preserve">A LICITANTE deverá </w:t>
      </w:r>
      <w:r>
        <w:rPr>
          <w:rFonts w:ascii="Calibri" w:hAnsi="Calibri" w:eastAsia="Lucida Sans Unicode"/>
          <w:b/>
          <w:kern w:val="2"/>
          <w:sz w:val="22"/>
          <w:szCs w:val="22"/>
        </w:rPr>
        <w:t>comprovar, por meio de documentação hábil (DCTF, GFIP, EFD etc), a opção aos regimes acima elencados</w:t>
      </w:r>
      <w:r>
        <w:rPr>
          <w:rFonts w:ascii="Calibri" w:hAnsi="Calibri" w:eastAsia="Lucida Sans Unicode"/>
          <w:kern w:val="2"/>
          <w:sz w:val="22"/>
          <w:szCs w:val="22"/>
        </w:rPr>
        <w:t xml:space="preserve">, a fim de que se possa </w:t>
      </w:r>
      <w:r>
        <w:rPr>
          <w:rFonts w:ascii="Calibri" w:hAnsi="Calibri" w:eastAsia="Lucida Sans Unicode"/>
          <w:b/>
          <w:kern w:val="2"/>
          <w:sz w:val="22"/>
          <w:szCs w:val="22"/>
        </w:rPr>
        <w:t>certificar que as alíquotas do PIS e da COFINS e da Contribuição Social</w:t>
      </w:r>
      <w:r>
        <w:rPr>
          <w:rFonts w:ascii="Calibri" w:hAnsi="Calibri" w:eastAsia="Lucida Sans Unicode"/>
          <w:kern w:val="2"/>
          <w:sz w:val="22"/>
          <w:szCs w:val="22"/>
        </w:rPr>
        <w:t xml:space="preserve"> </w:t>
      </w:r>
      <w:r>
        <w:rPr>
          <w:rFonts w:ascii="Calibri" w:hAnsi="Calibri" w:eastAsia="Lucida Sans Unicode"/>
          <w:b/>
          <w:kern w:val="2"/>
          <w:sz w:val="22"/>
          <w:szCs w:val="22"/>
        </w:rPr>
        <w:t>consignadas na planilha conferem com sua opção tributária</w:t>
      </w:r>
      <w:r>
        <w:rPr>
          <w:rFonts w:ascii="Calibri" w:hAnsi="Calibri" w:eastAsia="Lucida Sans Unicode"/>
          <w:kern w:val="2"/>
          <w:sz w:val="22"/>
          <w:szCs w:val="22"/>
        </w:rPr>
        <w:t>.</w:t>
      </w:r>
    </w:p>
    <w:p w14:paraId="66B101B9">
      <w:pPr>
        <w:widowControl w:val="0"/>
        <w:tabs>
          <w:tab w:val="left" w:pos="1560"/>
        </w:tabs>
        <w:spacing w:line="276" w:lineRule="auto"/>
        <w:ind w:left="1224"/>
        <w:jc w:val="both"/>
        <w:rPr>
          <w:rFonts w:ascii="Calibri" w:hAnsi="Calibri" w:eastAsia="Lucida Sans Unicode"/>
          <w:kern w:val="2"/>
          <w:sz w:val="22"/>
          <w:szCs w:val="22"/>
        </w:rPr>
      </w:pPr>
    </w:p>
    <w:p w14:paraId="2F9C16DC">
      <w:pPr>
        <w:widowControl w:val="0"/>
        <w:tabs>
          <w:tab w:val="left" w:pos="1560"/>
        </w:tabs>
        <w:spacing w:line="276" w:lineRule="auto"/>
        <w:jc w:val="both"/>
        <w:rPr>
          <w:rFonts w:ascii="Calibri" w:hAnsi="Calibri" w:eastAsia="Lucida Sans Unicode"/>
          <w:kern w:val="2"/>
          <w:sz w:val="22"/>
          <w:szCs w:val="22"/>
        </w:rPr>
      </w:pPr>
      <w:r>
        <w:rPr>
          <w:rFonts w:ascii="Calibri" w:hAnsi="Calibri" w:eastAsia="Lucida Sans Unicode"/>
          <w:kern w:val="2"/>
          <w:sz w:val="22"/>
          <w:szCs w:val="22"/>
        </w:rPr>
        <w:t xml:space="preserve">As </w:t>
      </w:r>
      <w:r>
        <w:rPr>
          <w:rFonts w:ascii="Calibri" w:hAnsi="Calibri" w:eastAsia="Lucida Sans Unicode"/>
          <w:b/>
          <w:kern w:val="2"/>
          <w:sz w:val="22"/>
          <w:szCs w:val="22"/>
        </w:rPr>
        <w:t>empresas tributadas pelo regime de incidência</w:t>
      </w:r>
      <w:r>
        <w:rPr>
          <w:rFonts w:ascii="Calibri" w:hAnsi="Calibri" w:eastAsia="Lucida Sans Unicode"/>
          <w:kern w:val="2"/>
          <w:sz w:val="22"/>
          <w:szCs w:val="22"/>
        </w:rPr>
        <w:t xml:space="preserve"> </w:t>
      </w:r>
      <w:r>
        <w:rPr>
          <w:rFonts w:ascii="Calibri" w:hAnsi="Calibri" w:eastAsia="Lucida Sans Unicode"/>
          <w:b/>
          <w:kern w:val="2"/>
          <w:sz w:val="22"/>
          <w:szCs w:val="22"/>
          <w:u w:val="single"/>
        </w:rPr>
        <w:t>não-cumulativa</w:t>
      </w:r>
      <w:r>
        <w:rPr>
          <w:rFonts w:ascii="Calibri" w:hAnsi="Calibri" w:eastAsia="Lucida Sans Unicode"/>
          <w:kern w:val="2"/>
          <w:sz w:val="22"/>
          <w:szCs w:val="22"/>
        </w:rPr>
        <w:t xml:space="preserve"> de </w:t>
      </w:r>
      <w:r>
        <w:rPr>
          <w:rFonts w:ascii="Calibri" w:hAnsi="Calibri" w:eastAsia="Lucida Sans Unicode"/>
          <w:b/>
          <w:kern w:val="2"/>
          <w:sz w:val="22"/>
          <w:szCs w:val="22"/>
        </w:rPr>
        <w:t>PIS</w:t>
      </w:r>
      <w:r>
        <w:rPr>
          <w:rFonts w:ascii="Calibri" w:hAnsi="Calibri" w:eastAsia="Lucida Sans Unicode"/>
          <w:kern w:val="2"/>
          <w:sz w:val="22"/>
          <w:szCs w:val="22"/>
        </w:rPr>
        <w:t xml:space="preserve"> e </w:t>
      </w:r>
      <w:r>
        <w:rPr>
          <w:rFonts w:ascii="Calibri" w:hAnsi="Calibri" w:eastAsia="Lucida Sans Unicode"/>
          <w:b/>
          <w:kern w:val="2"/>
          <w:sz w:val="22"/>
          <w:szCs w:val="22"/>
        </w:rPr>
        <w:t>COFINS</w:t>
      </w:r>
      <w:r>
        <w:rPr>
          <w:rFonts w:ascii="Calibri" w:hAnsi="Calibri" w:eastAsia="Lucida Sans Unicode"/>
          <w:kern w:val="2"/>
          <w:sz w:val="22"/>
          <w:szCs w:val="22"/>
        </w:rPr>
        <w:t xml:space="preserve"> devem cotar </w:t>
      </w:r>
      <w:r>
        <w:rPr>
          <w:rFonts w:ascii="Calibri" w:hAnsi="Calibri" w:eastAsia="Lucida Sans Unicode"/>
          <w:b/>
          <w:kern w:val="2"/>
          <w:sz w:val="22"/>
          <w:szCs w:val="22"/>
          <w:u w:val="single"/>
        </w:rPr>
        <w:t>os percentuais que representem a média das alíquotas efetivamente recolhidas nos 12 (doze) meses anteriores à apresentação da proposta</w:t>
      </w:r>
      <w:r>
        <w:rPr>
          <w:rFonts w:ascii="Calibri" w:hAnsi="Calibri" w:eastAsia="Lucida Sans Unicode"/>
          <w:kern w:val="2"/>
          <w:sz w:val="22"/>
          <w:szCs w:val="22"/>
        </w:rPr>
        <w:t xml:space="preserve">, tendo em vista que as Leis 10.637/2002 e 10.833/2003, apurada com base nos dados da </w:t>
      </w:r>
      <w:r>
        <w:rPr>
          <w:rFonts w:ascii="Calibri" w:hAnsi="Calibri" w:eastAsia="Lucida Sans Unicode"/>
          <w:b/>
          <w:kern w:val="2"/>
          <w:sz w:val="22"/>
          <w:szCs w:val="22"/>
        </w:rPr>
        <w:t>Escrituração Fiscal Digital da Contribuição para o PIS/PASEP e para a COFINS (EFD-Contribuições)</w:t>
      </w:r>
      <w:r>
        <w:rPr>
          <w:rFonts w:ascii="Calibri" w:hAnsi="Calibri" w:eastAsia="Lucida Sans Unicode"/>
          <w:kern w:val="2"/>
          <w:sz w:val="22"/>
          <w:szCs w:val="22"/>
        </w:rPr>
        <w:t xml:space="preserve">, cujos respectivos </w:t>
      </w:r>
      <w:r>
        <w:rPr>
          <w:rFonts w:ascii="Calibri" w:hAnsi="Calibri" w:eastAsia="Lucida Sans Unicode"/>
          <w:b/>
          <w:kern w:val="2"/>
          <w:sz w:val="22"/>
          <w:szCs w:val="22"/>
          <w:u w:val="single"/>
        </w:rPr>
        <w:t>registros deverão ser remetidos juntamente com a proposta e as planilhas</w:t>
      </w:r>
      <w:r>
        <w:rPr>
          <w:rFonts w:ascii="Calibri" w:hAnsi="Calibri" w:eastAsia="Lucida Sans Unicode"/>
          <w:kern w:val="2"/>
          <w:sz w:val="22"/>
          <w:szCs w:val="22"/>
        </w:rPr>
        <w:t>.</w:t>
      </w:r>
    </w:p>
    <w:p w14:paraId="1225CB0B">
      <w:pPr>
        <w:widowControl w:val="0"/>
        <w:spacing w:line="276" w:lineRule="auto"/>
        <w:ind w:left="708"/>
        <w:rPr>
          <w:rFonts w:ascii="Calibri" w:hAnsi="Calibri" w:eastAsia="Lucida Sans Unicode"/>
          <w:kern w:val="2"/>
          <w:sz w:val="22"/>
          <w:szCs w:val="22"/>
        </w:rPr>
      </w:pPr>
    </w:p>
    <w:p w14:paraId="4EEB25A9">
      <w:pPr>
        <w:widowControl w:val="0"/>
        <w:tabs>
          <w:tab w:val="left" w:pos="1560"/>
        </w:tabs>
        <w:spacing w:line="276" w:lineRule="auto"/>
        <w:jc w:val="both"/>
      </w:pPr>
      <w:r>
        <w:rPr>
          <w:rFonts w:ascii="Calibri" w:hAnsi="Calibri" w:eastAsia="Lucida Sans Unicode"/>
          <w:kern w:val="2"/>
          <w:sz w:val="22"/>
          <w:szCs w:val="22"/>
        </w:rPr>
        <w:t xml:space="preserve">Caso a LICITANTE tenha </w:t>
      </w:r>
      <w:r>
        <w:rPr>
          <w:rFonts w:ascii="Calibri" w:hAnsi="Calibri" w:eastAsia="Lucida Sans Unicode"/>
          <w:b/>
          <w:kern w:val="2"/>
          <w:sz w:val="22"/>
          <w:szCs w:val="22"/>
        </w:rPr>
        <w:t>recolhido tributos pelo regime de incidência não-cumulativa</w:t>
      </w:r>
      <w:r>
        <w:rPr>
          <w:rFonts w:ascii="Calibri" w:hAnsi="Calibri" w:eastAsia="Lucida Sans Unicode"/>
          <w:kern w:val="2"/>
          <w:sz w:val="22"/>
          <w:szCs w:val="22"/>
        </w:rPr>
        <w:t xml:space="preserve"> em apenas </w:t>
      </w:r>
      <w:r>
        <w:rPr>
          <w:rFonts w:ascii="Calibri" w:hAnsi="Calibri" w:eastAsia="Lucida Sans Unicode"/>
          <w:b/>
          <w:kern w:val="2"/>
          <w:sz w:val="22"/>
          <w:szCs w:val="22"/>
        </w:rPr>
        <w:t>alguns meses do período que deve ser considerado para o cálculo do percentual médio efetivo</w:t>
      </w:r>
      <w:r>
        <w:rPr>
          <w:rFonts w:ascii="Calibri" w:hAnsi="Calibri" w:eastAsia="Lucida Sans Unicode"/>
          <w:kern w:val="2"/>
          <w:sz w:val="22"/>
          <w:szCs w:val="22"/>
        </w:rPr>
        <w:t xml:space="preserve"> (12 meses anteriores à data da proposta), poderá apresentar o cálculo </w:t>
      </w:r>
      <w:r>
        <w:rPr>
          <w:rFonts w:ascii="Calibri" w:hAnsi="Calibri" w:eastAsia="Lucida Sans Unicode"/>
          <w:b/>
          <w:kern w:val="2"/>
          <w:sz w:val="22"/>
          <w:szCs w:val="22"/>
        </w:rPr>
        <w:t>considerando apenas os meses em que houve recolhimento</w:t>
      </w:r>
      <w:r>
        <w:rPr>
          <w:rFonts w:ascii="Calibri" w:hAnsi="Calibri" w:eastAsia="Lucida Sans Unicode"/>
          <w:kern w:val="2"/>
          <w:sz w:val="22"/>
          <w:szCs w:val="22"/>
        </w:rPr>
        <w:t>.</w:t>
      </w:r>
    </w:p>
    <w:sectPr>
      <w:headerReference r:id="rId3" w:type="default"/>
      <w:footerReference r:id="rId4" w:type="default"/>
      <w:pgSz w:w="11906" w:h="16838"/>
      <w:pgMar w:top="1417" w:right="1274" w:bottom="1417" w:left="1418" w:header="708" w:footer="306" w:gutter="0"/>
      <w:pgBorders w:offsetFrom="page">
        <w:top w:val="single" w:color="000000" w:sz="18" w:space="24"/>
        <w:left w:val="single" w:color="000000" w:sz="18" w:space="24"/>
        <w:bottom w:val="single" w:color="000000" w:sz="18" w:space="24"/>
        <w:right w:val="single" w:color="000000" w:sz="18" w:space="24"/>
      </w:pgBorders>
      <w:cols w:space="720" w:num="1"/>
      <w:formProt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Book Antiqua">
    <w:panose1 w:val="02040602050305030304"/>
    <w:charset w:val="00"/>
    <w:family w:val="roman"/>
    <w:pitch w:val="default"/>
    <w:sig w:usb0="00000287" w:usb1="00000000" w:usb2="00000000" w:usb3="00000000" w:csb0="2000009F" w:csb1="DFD70000"/>
  </w:font>
  <w:font w:name="Lucida Sans Unicode">
    <w:panose1 w:val="020B0602030504020204"/>
    <w:charset w:val="00"/>
    <w:family w:val="swiss"/>
    <w:pitch w:val="default"/>
    <w:sig w:usb0="80001AFF" w:usb1="0000396B" w:usb2="00000000" w:usb3="00000000" w:csb0="200000BF" w:csb1="D7F70000"/>
  </w:font>
  <w:font w:name="Mangal">
    <w:altName w:val="Segoe Print"/>
    <w:panose1 w:val="00000400000000000000"/>
    <w:charset w:val="00"/>
    <w:family w:val="roman"/>
    <w:pitch w:val="default"/>
    <w:sig w:usb0="00000000" w:usb1="00000000" w:usb2="00000000" w:usb3="00000000" w:csb0="00000001" w:csb1="00000000"/>
  </w:font>
  <w:font w:name="Verdana">
    <w:panose1 w:val="020B0604030504040204"/>
    <w:charset w:val="00"/>
    <w:family w:val="swiss"/>
    <w:pitch w:val="default"/>
    <w:sig w:usb0="A00006FF" w:usb1="4000205B" w:usb2="00000010" w:usb3="00000000" w:csb0="2000019F" w:csb1="00000000"/>
  </w:font>
  <w:font w:name="MS Gothic">
    <w:panose1 w:val="020B0609070205080204"/>
    <w:charset w:val="80"/>
    <w:family w:val="modern"/>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ADA9FA">
    <w:pPr>
      <w:pStyle w:val="22"/>
    </w:pPr>
    <w:r>
      <w:t>____________________________________________________________________</w:t>
    </w:r>
  </w:p>
  <w:p w14:paraId="525ED25B">
    <w:pPr>
      <w:pStyle w:val="22"/>
      <w:jc w:val="center"/>
      <w:rPr>
        <w:i/>
      </w:rPr>
    </w:pPr>
    <w:r>
      <w:rPr>
        <w:sz w:val="12"/>
        <w:szCs w:val="12"/>
      </w:rPr>
      <w:t>Anexo X Memória de Cálculo</w:t>
    </w:r>
    <w:r>
      <w:rPr>
        <w:sz w:val="12"/>
        <w:szCs w:val="12"/>
      </w:rPr>
      <w:tab/>
    </w:r>
    <w:r>
      <w:rPr>
        <w:sz w:val="12"/>
        <w:szCs w:val="12"/>
      </w:rPr>
      <w:tab/>
    </w:r>
    <w:r>
      <w:rPr>
        <w:rFonts w:ascii="Verdana" w:hAnsi="Verdana"/>
        <w:sz w:val="16"/>
        <w:szCs w:val="16"/>
      </w:rPr>
      <w:t xml:space="preserve">Pág. </w:t>
    </w:r>
    <w:r>
      <w:rPr>
        <w:rStyle w:val="13"/>
        <w:rFonts w:ascii="Verdana" w:hAnsi="Verdana" w:eastAsia="MS Gothic"/>
        <w:sz w:val="16"/>
        <w:szCs w:val="16"/>
      </w:rPr>
      <w:t>1/10</w:t>
    </w:r>
  </w:p>
  <w:p w14:paraId="1AB8D48A">
    <w:pPr>
      <w:pStyle w:val="22"/>
      <w:rPr>
        <w:sz w:val="12"/>
        <w:szCs w:val="12"/>
      </w:rPr>
    </w:pPr>
  </w:p>
  <w:p w14:paraId="3FBE5FB1">
    <w:pPr>
      <w:pStyle w:val="2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4E03C6">
    <w:pPr>
      <w:pStyle w:val="20"/>
      <w:jc w:val="right"/>
      <w:rPr>
        <w:rFonts w:asciiTheme="minorHAnsi" w:hAnsiTheme="minorHAnsi"/>
        <w:sz w:val="16"/>
        <w:szCs w:val="16"/>
      </w:rPr>
    </w:pPr>
    <w:r>
      <w:drawing>
        <wp:anchor distT="0" distB="0" distL="0" distR="0" simplePos="0" relativeHeight="251662336" behindDoc="1" locked="0" layoutInCell="1" allowOverlap="1">
          <wp:simplePos x="0" y="0"/>
          <wp:positionH relativeFrom="column">
            <wp:posOffset>-305435</wp:posOffset>
          </wp:positionH>
          <wp:positionV relativeFrom="paragraph">
            <wp:posOffset>-57150</wp:posOffset>
          </wp:positionV>
          <wp:extent cx="838200" cy="333375"/>
          <wp:effectExtent l="0" t="0" r="0" b="0"/>
          <wp:wrapNone/>
          <wp:docPr id="12" name="Imagem 2"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m 2" descr="BRASAO UFF2"/>
                  <pic:cNvPicPr>
                    <a:picLocks noChangeAspect="1" noChangeArrowheads="1"/>
                  </pic:cNvPicPr>
                </pic:nvPicPr>
                <pic:blipFill>
                  <a:blip r:embed="rId1"/>
                  <a:stretch>
                    <a:fillRect/>
                  </a:stretch>
                </pic:blipFill>
                <pic:spPr>
                  <a:xfrm>
                    <a:off x="0" y="0"/>
                    <a:ext cx="838200" cy="333375"/>
                  </a:xfrm>
                  <a:prstGeom prst="rect">
                    <a:avLst/>
                  </a:prstGeom>
                </pic:spPr>
              </pic:pic>
            </a:graphicData>
          </a:graphic>
        </wp:anchor>
      </w:drawing>
    </w:r>
    <w:r>
      <w:rPr>
        <w:rFonts w:asciiTheme="minorHAnsi" w:hAnsiTheme="minorHAnsi"/>
        <w:sz w:val="16"/>
        <w:szCs w:val="16"/>
      </w:rPr>
      <w:t>Processo: 23069.156633/2025-49</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C7191B"/>
    <w:multiLevelType w:val="singleLevel"/>
    <w:tmpl w:val="26C7191B"/>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251D"/>
    <w:rsid w:val="00022464"/>
    <w:rsid w:val="00025F14"/>
    <w:rsid w:val="00062EE7"/>
    <w:rsid w:val="000647C5"/>
    <w:rsid w:val="0007091C"/>
    <w:rsid w:val="00081D06"/>
    <w:rsid w:val="00083DB0"/>
    <w:rsid w:val="000904BD"/>
    <w:rsid w:val="00096953"/>
    <w:rsid w:val="000D4F19"/>
    <w:rsid w:val="000D6305"/>
    <w:rsid w:val="000D7E4A"/>
    <w:rsid w:val="000E60C1"/>
    <w:rsid w:val="000F652F"/>
    <w:rsid w:val="00100793"/>
    <w:rsid w:val="00127394"/>
    <w:rsid w:val="0013021D"/>
    <w:rsid w:val="00131DDA"/>
    <w:rsid w:val="001338D9"/>
    <w:rsid w:val="00133CD1"/>
    <w:rsid w:val="00140BBD"/>
    <w:rsid w:val="0014616A"/>
    <w:rsid w:val="00150365"/>
    <w:rsid w:val="001518A3"/>
    <w:rsid w:val="00156A99"/>
    <w:rsid w:val="001776C1"/>
    <w:rsid w:val="0019718E"/>
    <w:rsid w:val="001B1E44"/>
    <w:rsid w:val="001D0DA4"/>
    <w:rsid w:val="001E1541"/>
    <w:rsid w:val="00200BEE"/>
    <w:rsid w:val="002100BD"/>
    <w:rsid w:val="00215289"/>
    <w:rsid w:val="0022215B"/>
    <w:rsid w:val="00222366"/>
    <w:rsid w:val="00233184"/>
    <w:rsid w:val="00240C8D"/>
    <w:rsid w:val="00241E06"/>
    <w:rsid w:val="00260F71"/>
    <w:rsid w:val="00262EB7"/>
    <w:rsid w:val="00296321"/>
    <w:rsid w:val="002B5411"/>
    <w:rsid w:val="002E31AA"/>
    <w:rsid w:val="002F73F4"/>
    <w:rsid w:val="0030151E"/>
    <w:rsid w:val="0030302C"/>
    <w:rsid w:val="003150FF"/>
    <w:rsid w:val="00327BF6"/>
    <w:rsid w:val="003339BA"/>
    <w:rsid w:val="0035251D"/>
    <w:rsid w:val="00363E9E"/>
    <w:rsid w:val="0036420B"/>
    <w:rsid w:val="00365204"/>
    <w:rsid w:val="00380B50"/>
    <w:rsid w:val="00382F6B"/>
    <w:rsid w:val="00383723"/>
    <w:rsid w:val="003858BC"/>
    <w:rsid w:val="003B2BEE"/>
    <w:rsid w:val="003D2A1B"/>
    <w:rsid w:val="003D7132"/>
    <w:rsid w:val="003E2244"/>
    <w:rsid w:val="003F496D"/>
    <w:rsid w:val="003F53BE"/>
    <w:rsid w:val="004020FD"/>
    <w:rsid w:val="00404D1C"/>
    <w:rsid w:val="00425FD6"/>
    <w:rsid w:val="004340DD"/>
    <w:rsid w:val="0043494E"/>
    <w:rsid w:val="00442149"/>
    <w:rsid w:val="00456CA1"/>
    <w:rsid w:val="00460EF0"/>
    <w:rsid w:val="004706D0"/>
    <w:rsid w:val="0047132A"/>
    <w:rsid w:val="00477D8D"/>
    <w:rsid w:val="00481D1C"/>
    <w:rsid w:val="004933EB"/>
    <w:rsid w:val="004A4856"/>
    <w:rsid w:val="004B4712"/>
    <w:rsid w:val="004C5329"/>
    <w:rsid w:val="004C5C4B"/>
    <w:rsid w:val="004D3DBC"/>
    <w:rsid w:val="004D4C2F"/>
    <w:rsid w:val="004E1415"/>
    <w:rsid w:val="004E1728"/>
    <w:rsid w:val="004E5031"/>
    <w:rsid w:val="00515DDC"/>
    <w:rsid w:val="00533A42"/>
    <w:rsid w:val="00543A19"/>
    <w:rsid w:val="00566F55"/>
    <w:rsid w:val="00572950"/>
    <w:rsid w:val="0059356D"/>
    <w:rsid w:val="00595236"/>
    <w:rsid w:val="0059701C"/>
    <w:rsid w:val="005B72D0"/>
    <w:rsid w:val="005E5BE8"/>
    <w:rsid w:val="00604B58"/>
    <w:rsid w:val="0060694C"/>
    <w:rsid w:val="0061341E"/>
    <w:rsid w:val="00643118"/>
    <w:rsid w:val="00664443"/>
    <w:rsid w:val="00674915"/>
    <w:rsid w:val="00675CD9"/>
    <w:rsid w:val="006927ED"/>
    <w:rsid w:val="00694321"/>
    <w:rsid w:val="00695D13"/>
    <w:rsid w:val="006962AF"/>
    <w:rsid w:val="006A1B35"/>
    <w:rsid w:val="006A24B4"/>
    <w:rsid w:val="006A4173"/>
    <w:rsid w:val="006A5225"/>
    <w:rsid w:val="006B073D"/>
    <w:rsid w:val="006B1E82"/>
    <w:rsid w:val="006B3F03"/>
    <w:rsid w:val="006B75C2"/>
    <w:rsid w:val="006C0732"/>
    <w:rsid w:val="006F4C05"/>
    <w:rsid w:val="006F50E0"/>
    <w:rsid w:val="00710621"/>
    <w:rsid w:val="00714503"/>
    <w:rsid w:val="00720009"/>
    <w:rsid w:val="007217B8"/>
    <w:rsid w:val="00757BF8"/>
    <w:rsid w:val="00760403"/>
    <w:rsid w:val="0076112C"/>
    <w:rsid w:val="0076401A"/>
    <w:rsid w:val="007643DE"/>
    <w:rsid w:val="00786D92"/>
    <w:rsid w:val="00791490"/>
    <w:rsid w:val="007B0AD0"/>
    <w:rsid w:val="007B1961"/>
    <w:rsid w:val="007B23CA"/>
    <w:rsid w:val="007C0B40"/>
    <w:rsid w:val="007C31B8"/>
    <w:rsid w:val="007C5E16"/>
    <w:rsid w:val="007D0BF1"/>
    <w:rsid w:val="007D5DDC"/>
    <w:rsid w:val="007F4CE0"/>
    <w:rsid w:val="007F7BA5"/>
    <w:rsid w:val="0081045C"/>
    <w:rsid w:val="00864661"/>
    <w:rsid w:val="00876481"/>
    <w:rsid w:val="00880459"/>
    <w:rsid w:val="008862D8"/>
    <w:rsid w:val="008A6FF3"/>
    <w:rsid w:val="008B36E0"/>
    <w:rsid w:val="008B6503"/>
    <w:rsid w:val="008C1B2B"/>
    <w:rsid w:val="008D647E"/>
    <w:rsid w:val="008F098C"/>
    <w:rsid w:val="009143CE"/>
    <w:rsid w:val="00944B26"/>
    <w:rsid w:val="00951E7B"/>
    <w:rsid w:val="009660B4"/>
    <w:rsid w:val="009869D5"/>
    <w:rsid w:val="009B57EB"/>
    <w:rsid w:val="00A076CD"/>
    <w:rsid w:val="00A11B58"/>
    <w:rsid w:val="00A34AB3"/>
    <w:rsid w:val="00A531F5"/>
    <w:rsid w:val="00A5736E"/>
    <w:rsid w:val="00A657B5"/>
    <w:rsid w:val="00A71BB4"/>
    <w:rsid w:val="00A777DD"/>
    <w:rsid w:val="00A85A33"/>
    <w:rsid w:val="00AA205C"/>
    <w:rsid w:val="00AA3D68"/>
    <w:rsid w:val="00AA68C0"/>
    <w:rsid w:val="00AC0F0D"/>
    <w:rsid w:val="00AD06CA"/>
    <w:rsid w:val="00AD242D"/>
    <w:rsid w:val="00B14366"/>
    <w:rsid w:val="00B602FA"/>
    <w:rsid w:val="00B73F23"/>
    <w:rsid w:val="00B807D1"/>
    <w:rsid w:val="00B91908"/>
    <w:rsid w:val="00BC1110"/>
    <w:rsid w:val="00BD0E8C"/>
    <w:rsid w:val="00BE1D75"/>
    <w:rsid w:val="00BE3442"/>
    <w:rsid w:val="00BF05FF"/>
    <w:rsid w:val="00C53AD7"/>
    <w:rsid w:val="00C57E60"/>
    <w:rsid w:val="00C609DB"/>
    <w:rsid w:val="00C60C1C"/>
    <w:rsid w:val="00C651C8"/>
    <w:rsid w:val="00C85F08"/>
    <w:rsid w:val="00C86FD7"/>
    <w:rsid w:val="00C90D31"/>
    <w:rsid w:val="00CB6253"/>
    <w:rsid w:val="00CC3BCF"/>
    <w:rsid w:val="00CC4061"/>
    <w:rsid w:val="00CD5693"/>
    <w:rsid w:val="00CE38FA"/>
    <w:rsid w:val="00CF30B1"/>
    <w:rsid w:val="00D010D1"/>
    <w:rsid w:val="00D312FD"/>
    <w:rsid w:val="00D66379"/>
    <w:rsid w:val="00D91DD1"/>
    <w:rsid w:val="00DA53E7"/>
    <w:rsid w:val="00DB2328"/>
    <w:rsid w:val="00E1260A"/>
    <w:rsid w:val="00E16A83"/>
    <w:rsid w:val="00E25932"/>
    <w:rsid w:val="00E354DA"/>
    <w:rsid w:val="00E40030"/>
    <w:rsid w:val="00E403E6"/>
    <w:rsid w:val="00E427F8"/>
    <w:rsid w:val="00E477A6"/>
    <w:rsid w:val="00E82A5D"/>
    <w:rsid w:val="00E941AC"/>
    <w:rsid w:val="00E97BDA"/>
    <w:rsid w:val="00EB64F6"/>
    <w:rsid w:val="00EC705B"/>
    <w:rsid w:val="00EE06F5"/>
    <w:rsid w:val="00EE6BB7"/>
    <w:rsid w:val="00EF182A"/>
    <w:rsid w:val="00F02E97"/>
    <w:rsid w:val="00F12D01"/>
    <w:rsid w:val="00F136AD"/>
    <w:rsid w:val="00F14725"/>
    <w:rsid w:val="00F53F52"/>
    <w:rsid w:val="00F57D43"/>
    <w:rsid w:val="00F6782F"/>
    <w:rsid w:val="00F7074E"/>
    <w:rsid w:val="00F77BB2"/>
    <w:rsid w:val="00F92087"/>
    <w:rsid w:val="00F94D2F"/>
    <w:rsid w:val="07A94915"/>
    <w:rsid w:val="2A4E63D4"/>
    <w:rsid w:val="33997744"/>
    <w:rsid w:val="43603A4D"/>
    <w:rsid w:val="71301D82"/>
  </w:rsids>
  <m:mathPr>
    <m:mathFont m:val="Cambria Math"/>
    <m:brkBin m:val="before"/>
    <m:brkBinSub m:val="--"/>
    <m:smallFrac m:val="0"/>
    <m:dispDef/>
    <m:lMargin m:val="0"/>
    <m:rMargin m:val="0"/>
    <m:defJc m:val="centerGroup"/>
    <m:wrapIndent m:val="1440"/>
    <m:intLim m:val="subSup"/>
    <m:naryLim m:val="undOvr"/>
  </m:mathPr>
  <w:themeFontLang w:val="pt-BR" w:eastAsia="zh-CN" w:bidi="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nhideWhenUsed="0" w:uiPriority="0"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lang w:val="pt-BR" w:eastAsia="pt-BR" w:bidi="ar-SA"/>
    </w:rPr>
  </w:style>
  <w:style w:type="paragraph" w:styleId="2">
    <w:name w:val="heading 1"/>
    <w:basedOn w:val="1"/>
    <w:next w:val="1"/>
    <w:link w:val="34"/>
    <w:qFormat/>
    <w:uiPriority w:val="9"/>
    <w:pPr>
      <w:keepNext/>
      <w:keepLines/>
      <w:spacing w:before="480"/>
      <w:outlineLvl w:val="0"/>
    </w:pPr>
    <w:rPr>
      <w:rFonts w:asciiTheme="majorHAnsi" w:hAnsiTheme="majorHAnsi" w:eastAsiaTheme="majorEastAsia" w:cstheme="majorBidi"/>
      <w:b/>
      <w:bCs/>
      <w:color w:val="376092" w:themeColor="accent1" w:themeShade="BF"/>
      <w:sz w:val="28"/>
      <w:szCs w:val="28"/>
    </w:rPr>
  </w:style>
  <w:style w:type="paragraph" w:styleId="3">
    <w:name w:val="heading 2"/>
    <w:basedOn w:val="1"/>
    <w:next w:val="1"/>
    <w:link w:val="36"/>
    <w:semiHidden/>
    <w:unhideWhenUsed/>
    <w:qFormat/>
    <w:uiPriority w:val="9"/>
    <w:pPr>
      <w:keepNext/>
      <w:keepLines/>
      <w:spacing w:before="40"/>
      <w:outlineLvl w:val="1"/>
    </w:pPr>
    <w:rPr>
      <w:rFonts w:asciiTheme="majorHAnsi" w:hAnsiTheme="majorHAnsi" w:eastAsiaTheme="majorEastAsia" w:cstheme="majorBidi"/>
      <w:color w:val="376092" w:themeColor="accent1" w:themeShade="BF"/>
      <w:sz w:val="26"/>
      <w:szCs w:val="26"/>
    </w:rPr>
  </w:style>
  <w:style w:type="paragraph" w:styleId="4">
    <w:name w:val="heading 4"/>
    <w:basedOn w:val="1"/>
    <w:next w:val="1"/>
    <w:link w:val="37"/>
    <w:semiHidden/>
    <w:unhideWhenUsed/>
    <w:qFormat/>
    <w:uiPriority w:val="9"/>
    <w:pPr>
      <w:keepNext/>
      <w:keepLines/>
      <w:spacing w:before="40"/>
      <w:outlineLvl w:val="3"/>
    </w:pPr>
    <w:rPr>
      <w:rFonts w:asciiTheme="majorHAnsi" w:hAnsiTheme="majorHAnsi" w:eastAsiaTheme="majorEastAsia" w:cstheme="majorBidi"/>
      <w:i/>
      <w:iCs/>
      <w:color w:val="376092" w:themeColor="accent1" w:themeShade="BF"/>
    </w:rPr>
  </w:style>
  <w:style w:type="paragraph" w:styleId="5">
    <w:name w:val="heading 7"/>
    <w:basedOn w:val="1"/>
    <w:next w:val="1"/>
    <w:link w:val="28"/>
    <w:qFormat/>
    <w:uiPriority w:val="0"/>
    <w:pPr>
      <w:keepNext/>
      <w:jc w:val="center"/>
      <w:outlineLvl w:val="6"/>
    </w:pPr>
    <w:rPr>
      <w:rFonts w:ascii="Arial" w:hAnsi="Arial"/>
      <w:b/>
      <w:sz w:val="28"/>
      <w:u w:val="single"/>
      <w:lang w:val="pt-PT"/>
    </w:rPr>
  </w:style>
  <w:style w:type="character" w:default="1" w:styleId="6">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character" w:styleId="8">
    <w:name w:val="Strong"/>
    <w:basedOn w:val="6"/>
    <w:qFormat/>
    <w:uiPriority w:val="22"/>
    <w:rPr>
      <w:b/>
      <w:bCs/>
    </w:rPr>
  </w:style>
  <w:style w:type="character" w:styleId="9">
    <w:name w:val="annotation reference"/>
    <w:basedOn w:val="6"/>
    <w:semiHidden/>
    <w:unhideWhenUsed/>
    <w:qFormat/>
    <w:uiPriority w:val="99"/>
    <w:rPr>
      <w:sz w:val="16"/>
      <w:szCs w:val="16"/>
    </w:rPr>
  </w:style>
  <w:style w:type="character" w:styleId="10">
    <w:name w:val="FollowedHyperlink"/>
    <w:basedOn w:val="6"/>
    <w:semiHidden/>
    <w:unhideWhenUsed/>
    <w:qFormat/>
    <w:uiPriority w:val="99"/>
    <w:rPr>
      <w:color w:val="800080" w:themeColor="followedHyperlink"/>
      <w:u w:val="single"/>
      <w14:textFill>
        <w14:solidFill>
          <w14:schemeClr w14:val="folHlink"/>
        </w14:solidFill>
      </w14:textFill>
    </w:rPr>
  </w:style>
  <w:style w:type="character" w:styleId="11">
    <w:name w:val="Emphasis"/>
    <w:basedOn w:val="6"/>
    <w:qFormat/>
    <w:uiPriority w:val="20"/>
    <w:rPr>
      <w:i/>
      <w:iCs/>
    </w:rPr>
  </w:style>
  <w:style w:type="character" w:styleId="12">
    <w:name w:val="Hyperlink"/>
    <w:basedOn w:val="6"/>
    <w:unhideWhenUsed/>
    <w:qFormat/>
    <w:uiPriority w:val="99"/>
    <w:rPr>
      <w:color w:val="0000FF"/>
      <w:u w:val="single"/>
    </w:rPr>
  </w:style>
  <w:style w:type="character" w:styleId="13">
    <w:name w:val="page number"/>
    <w:qFormat/>
    <w:uiPriority w:val="0"/>
  </w:style>
  <w:style w:type="paragraph" w:styleId="14">
    <w:name w:val="List"/>
    <w:basedOn w:val="15"/>
    <w:qFormat/>
    <w:uiPriority w:val="0"/>
    <w:rPr>
      <w:rFonts w:cs="Arial"/>
    </w:rPr>
  </w:style>
  <w:style w:type="paragraph" w:styleId="15">
    <w:name w:val="Body Text"/>
    <w:basedOn w:val="1"/>
    <w:qFormat/>
    <w:uiPriority w:val="0"/>
    <w:pPr>
      <w:spacing w:after="140" w:line="276" w:lineRule="auto"/>
    </w:pPr>
  </w:style>
  <w:style w:type="paragraph" w:styleId="16">
    <w:name w:val="annotation text"/>
    <w:basedOn w:val="1"/>
    <w:link w:val="40"/>
    <w:semiHidden/>
    <w:unhideWhenUsed/>
    <w:qFormat/>
    <w:uiPriority w:val="99"/>
  </w:style>
  <w:style w:type="paragraph" w:styleId="17">
    <w:name w:val="Body Text Indent 2"/>
    <w:basedOn w:val="1"/>
    <w:link w:val="30"/>
    <w:qFormat/>
    <w:uiPriority w:val="0"/>
    <w:pPr>
      <w:ind w:left="3686"/>
      <w:jc w:val="both"/>
    </w:pPr>
    <w:rPr>
      <w:rFonts w:ascii="Arial" w:hAnsi="Arial"/>
      <w:b/>
    </w:rPr>
  </w:style>
  <w:style w:type="paragraph" w:styleId="18">
    <w:name w:val="Title"/>
    <w:basedOn w:val="1"/>
    <w:next w:val="15"/>
    <w:qFormat/>
    <w:uiPriority w:val="0"/>
    <w:pPr>
      <w:keepNext/>
      <w:spacing w:before="240" w:after="120"/>
    </w:pPr>
    <w:rPr>
      <w:rFonts w:ascii="Liberation Sans" w:hAnsi="Liberation Sans" w:eastAsia="Microsoft YaHei" w:cs="Arial"/>
      <w:sz w:val="28"/>
      <w:szCs w:val="28"/>
    </w:rPr>
  </w:style>
  <w:style w:type="paragraph" w:styleId="19">
    <w:name w:val="Normal (Web)"/>
    <w:basedOn w:val="1"/>
    <w:semiHidden/>
    <w:unhideWhenUsed/>
    <w:qFormat/>
    <w:uiPriority w:val="99"/>
    <w:pPr>
      <w:spacing w:beforeAutospacing="1" w:afterAutospacing="1"/>
    </w:pPr>
    <w:rPr>
      <w:sz w:val="24"/>
      <w:szCs w:val="24"/>
    </w:rPr>
  </w:style>
  <w:style w:type="paragraph" w:styleId="20">
    <w:name w:val="header"/>
    <w:basedOn w:val="1"/>
    <w:link w:val="32"/>
    <w:unhideWhenUsed/>
    <w:qFormat/>
    <w:uiPriority w:val="99"/>
    <w:pPr>
      <w:tabs>
        <w:tab w:val="center" w:pos="4252"/>
        <w:tab w:val="right" w:pos="8504"/>
      </w:tabs>
    </w:pPr>
  </w:style>
  <w:style w:type="paragraph" w:styleId="21">
    <w:name w:val="annotation subject"/>
    <w:basedOn w:val="16"/>
    <w:next w:val="16"/>
    <w:link w:val="41"/>
    <w:semiHidden/>
    <w:unhideWhenUsed/>
    <w:qFormat/>
    <w:uiPriority w:val="99"/>
    <w:rPr>
      <w:b/>
      <w:bCs/>
    </w:rPr>
  </w:style>
  <w:style w:type="paragraph" w:styleId="22">
    <w:name w:val="footer"/>
    <w:basedOn w:val="1"/>
    <w:link w:val="33"/>
    <w:unhideWhenUsed/>
    <w:qFormat/>
    <w:uiPriority w:val="99"/>
    <w:pPr>
      <w:tabs>
        <w:tab w:val="center" w:pos="4252"/>
        <w:tab w:val="right" w:pos="8504"/>
      </w:tabs>
    </w:pPr>
  </w:style>
  <w:style w:type="paragraph" w:styleId="23">
    <w:name w:val="caption"/>
    <w:basedOn w:val="1"/>
    <w:next w:val="1"/>
    <w:qFormat/>
    <w:uiPriority w:val="0"/>
    <w:pPr>
      <w:suppressLineNumbers/>
      <w:spacing w:before="120" w:after="120"/>
    </w:pPr>
    <w:rPr>
      <w:rFonts w:cs="Arial"/>
      <w:i/>
      <w:iCs/>
      <w:sz w:val="24"/>
      <w:szCs w:val="24"/>
    </w:rPr>
  </w:style>
  <w:style w:type="paragraph" w:styleId="24">
    <w:name w:val="Balloon Text"/>
    <w:basedOn w:val="1"/>
    <w:link w:val="31"/>
    <w:semiHidden/>
    <w:unhideWhenUsed/>
    <w:qFormat/>
    <w:uiPriority w:val="99"/>
    <w:rPr>
      <w:rFonts w:ascii="Tahoma" w:hAnsi="Tahoma" w:cs="Tahoma"/>
      <w:sz w:val="16"/>
      <w:szCs w:val="16"/>
    </w:rPr>
  </w:style>
  <w:style w:type="paragraph" w:styleId="25">
    <w:name w:val="footnote text"/>
    <w:basedOn w:val="1"/>
    <w:link w:val="46"/>
    <w:semiHidden/>
    <w:unhideWhenUsed/>
    <w:qFormat/>
    <w:uiPriority w:val="99"/>
  </w:style>
  <w:style w:type="paragraph" w:styleId="26">
    <w:name w:val="Body Text Indent"/>
    <w:basedOn w:val="1"/>
    <w:link w:val="29"/>
    <w:qFormat/>
    <w:uiPriority w:val="0"/>
    <w:pPr>
      <w:ind w:left="426" w:hanging="426"/>
    </w:pPr>
  </w:style>
  <w:style w:type="table" w:styleId="27">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8">
    <w:name w:val="Título 7 Char"/>
    <w:basedOn w:val="6"/>
    <w:link w:val="5"/>
    <w:qFormat/>
    <w:uiPriority w:val="0"/>
    <w:rPr>
      <w:rFonts w:ascii="Arial" w:hAnsi="Arial" w:eastAsia="Times New Roman" w:cs="Times New Roman"/>
      <w:b/>
      <w:sz w:val="28"/>
      <w:szCs w:val="20"/>
      <w:u w:val="single"/>
      <w:lang w:val="pt-PT"/>
    </w:rPr>
  </w:style>
  <w:style w:type="character" w:customStyle="1" w:styleId="29">
    <w:name w:val="Recuo de corpo de texto Char"/>
    <w:basedOn w:val="6"/>
    <w:link w:val="26"/>
    <w:qFormat/>
    <w:uiPriority w:val="0"/>
    <w:rPr>
      <w:rFonts w:ascii="Times New Roman" w:hAnsi="Times New Roman" w:eastAsia="Times New Roman" w:cs="Times New Roman"/>
      <w:sz w:val="20"/>
      <w:szCs w:val="20"/>
      <w:lang w:eastAsia="pt-BR"/>
    </w:rPr>
  </w:style>
  <w:style w:type="character" w:customStyle="1" w:styleId="30">
    <w:name w:val="Recuo de corpo de texto 2 Char"/>
    <w:basedOn w:val="6"/>
    <w:link w:val="17"/>
    <w:qFormat/>
    <w:uiPriority w:val="0"/>
    <w:rPr>
      <w:rFonts w:ascii="Arial" w:hAnsi="Arial" w:eastAsia="Times New Roman" w:cs="Times New Roman"/>
      <w:b/>
      <w:sz w:val="20"/>
      <w:szCs w:val="20"/>
    </w:rPr>
  </w:style>
  <w:style w:type="character" w:customStyle="1" w:styleId="31">
    <w:name w:val="Texto de balão Char"/>
    <w:basedOn w:val="6"/>
    <w:link w:val="24"/>
    <w:semiHidden/>
    <w:qFormat/>
    <w:uiPriority w:val="99"/>
    <w:rPr>
      <w:rFonts w:ascii="Tahoma" w:hAnsi="Tahoma" w:eastAsia="Times New Roman" w:cs="Tahoma"/>
      <w:sz w:val="16"/>
      <w:szCs w:val="16"/>
      <w:lang w:eastAsia="pt-BR"/>
    </w:rPr>
  </w:style>
  <w:style w:type="character" w:customStyle="1" w:styleId="32">
    <w:name w:val="Cabeçalho Char"/>
    <w:basedOn w:val="6"/>
    <w:link w:val="20"/>
    <w:qFormat/>
    <w:uiPriority w:val="99"/>
    <w:rPr>
      <w:rFonts w:ascii="Times New Roman" w:hAnsi="Times New Roman" w:eastAsia="Times New Roman" w:cs="Times New Roman"/>
      <w:sz w:val="20"/>
      <w:szCs w:val="20"/>
      <w:lang w:eastAsia="pt-BR"/>
    </w:rPr>
  </w:style>
  <w:style w:type="character" w:customStyle="1" w:styleId="33">
    <w:name w:val="Rodapé Char"/>
    <w:basedOn w:val="6"/>
    <w:link w:val="22"/>
    <w:qFormat/>
    <w:uiPriority w:val="99"/>
    <w:rPr>
      <w:rFonts w:ascii="Times New Roman" w:hAnsi="Times New Roman" w:eastAsia="Times New Roman" w:cs="Times New Roman"/>
      <w:sz w:val="20"/>
      <w:szCs w:val="20"/>
      <w:lang w:eastAsia="pt-BR"/>
    </w:rPr>
  </w:style>
  <w:style w:type="character" w:customStyle="1" w:styleId="34">
    <w:name w:val="Título 1 Char"/>
    <w:basedOn w:val="6"/>
    <w:link w:val="2"/>
    <w:qFormat/>
    <w:uiPriority w:val="9"/>
    <w:rPr>
      <w:rFonts w:asciiTheme="majorHAnsi" w:hAnsiTheme="majorHAnsi" w:eastAsiaTheme="majorEastAsia" w:cstheme="majorBidi"/>
      <w:b/>
      <w:bCs/>
      <w:color w:val="376092" w:themeColor="accent1" w:themeShade="BF"/>
      <w:sz w:val="28"/>
      <w:szCs w:val="28"/>
      <w:lang w:eastAsia="pt-BR"/>
    </w:rPr>
  </w:style>
  <w:style w:type="character" w:customStyle="1" w:styleId="35">
    <w:name w:val="Fonte parág. padrão6"/>
    <w:qFormat/>
    <w:uiPriority w:val="0"/>
  </w:style>
  <w:style w:type="character" w:customStyle="1" w:styleId="36">
    <w:name w:val="Título 2 Char"/>
    <w:basedOn w:val="6"/>
    <w:link w:val="3"/>
    <w:semiHidden/>
    <w:qFormat/>
    <w:uiPriority w:val="9"/>
    <w:rPr>
      <w:rFonts w:asciiTheme="majorHAnsi" w:hAnsiTheme="majorHAnsi" w:eastAsiaTheme="majorEastAsia" w:cstheme="majorBidi"/>
      <w:color w:val="376092" w:themeColor="accent1" w:themeShade="BF"/>
      <w:sz w:val="26"/>
      <w:szCs w:val="26"/>
      <w:lang w:eastAsia="pt-BR"/>
    </w:rPr>
  </w:style>
  <w:style w:type="character" w:customStyle="1" w:styleId="37">
    <w:name w:val="Título 4 Char"/>
    <w:basedOn w:val="6"/>
    <w:link w:val="4"/>
    <w:semiHidden/>
    <w:qFormat/>
    <w:uiPriority w:val="9"/>
    <w:rPr>
      <w:rFonts w:asciiTheme="majorHAnsi" w:hAnsiTheme="majorHAnsi" w:eastAsiaTheme="majorEastAsia" w:cstheme="majorBidi"/>
      <w:i/>
      <w:iCs/>
      <w:color w:val="376092" w:themeColor="accent1" w:themeShade="BF"/>
      <w:sz w:val="20"/>
      <w:szCs w:val="20"/>
      <w:lang w:eastAsia="pt-BR"/>
    </w:rPr>
  </w:style>
  <w:style w:type="character" w:customStyle="1" w:styleId="38">
    <w:name w:val="Link da Internet"/>
    <w:basedOn w:val="6"/>
    <w:semiHidden/>
    <w:unhideWhenUsed/>
    <w:qFormat/>
    <w:uiPriority w:val="99"/>
    <w:rPr>
      <w:color w:val="0000FF"/>
      <w:u w:val="single"/>
    </w:rPr>
  </w:style>
  <w:style w:type="character" w:customStyle="1" w:styleId="39">
    <w:name w:val="qtip-link"/>
    <w:basedOn w:val="6"/>
    <w:qFormat/>
    <w:uiPriority w:val="0"/>
  </w:style>
  <w:style w:type="character" w:customStyle="1" w:styleId="40">
    <w:name w:val="Texto de comentário Char"/>
    <w:basedOn w:val="6"/>
    <w:link w:val="16"/>
    <w:semiHidden/>
    <w:qFormat/>
    <w:uiPriority w:val="99"/>
    <w:rPr>
      <w:rFonts w:ascii="Times New Roman" w:hAnsi="Times New Roman" w:eastAsia="Times New Roman" w:cs="Times New Roman"/>
      <w:sz w:val="20"/>
      <w:szCs w:val="20"/>
      <w:lang w:eastAsia="pt-BR"/>
    </w:rPr>
  </w:style>
  <w:style w:type="character" w:customStyle="1" w:styleId="41">
    <w:name w:val="Assunto do comentário Char"/>
    <w:basedOn w:val="40"/>
    <w:link w:val="21"/>
    <w:semiHidden/>
    <w:qFormat/>
    <w:uiPriority w:val="99"/>
    <w:rPr>
      <w:rFonts w:ascii="Times New Roman" w:hAnsi="Times New Roman" w:eastAsia="Times New Roman" w:cs="Times New Roman"/>
      <w:b/>
      <w:bCs/>
      <w:sz w:val="20"/>
      <w:szCs w:val="20"/>
      <w:lang w:eastAsia="pt-BR"/>
    </w:rPr>
  </w:style>
  <w:style w:type="character" w:customStyle="1" w:styleId="42">
    <w:name w:val="m_7892110431564642023ttulo2char"/>
    <w:basedOn w:val="6"/>
    <w:qFormat/>
    <w:uiPriority w:val="0"/>
  </w:style>
  <w:style w:type="character" w:customStyle="1" w:styleId="43">
    <w:name w:val="WW8Num5z3"/>
    <w:qFormat/>
    <w:uiPriority w:val="0"/>
    <w:rPr>
      <w:rFonts w:ascii="Symbol" w:hAnsi="Symbol" w:cs="Symbol"/>
    </w:rPr>
  </w:style>
  <w:style w:type="character" w:customStyle="1" w:styleId="44">
    <w:name w:val="WW8Num5z4"/>
    <w:qFormat/>
    <w:uiPriority w:val="0"/>
    <w:rPr>
      <w:rFonts w:ascii="Courier New" w:hAnsi="Courier New" w:cs="Courier New"/>
    </w:rPr>
  </w:style>
  <w:style w:type="character" w:customStyle="1" w:styleId="45">
    <w:name w:val="WW8Num6z0"/>
    <w:qFormat/>
    <w:uiPriority w:val="0"/>
    <w:rPr>
      <w:rFonts w:ascii="Times New Roman" w:hAnsi="Times New Roman" w:cs="Times New Roman"/>
    </w:rPr>
  </w:style>
  <w:style w:type="character" w:customStyle="1" w:styleId="46">
    <w:name w:val="Texto de nota de rodapé Char"/>
    <w:basedOn w:val="6"/>
    <w:link w:val="25"/>
    <w:semiHidden/>
    <w:qFormat/>
    <w:uiPriority w:val="99"/>
    <w:rPr>
      <w:rFonts w:ascii="Times New Roman" w:hAnsi="Times New Roman" w:eastAsia="Times New Roman" w:cs="Times New Roman"/>
      <w:sz w:val="20"/>
      <w:szCs w:val="20"/>
      <w:lang w:eastAsia="pt-BR"/>
    </w:rPr>
  </w:style>
  <w:style w:type="character" w:customStyle="1" w:styleId="47">
    <w:name w:val="Âncora da nota de rodapé"/>
    <w:uiPriority w:val="0"/>
    <w:rPr>
      <w:vertAlign w:val="superscript"/>
    </w:rPr>
  </w:style>
  <w:style w:type="character" w:customStyle="1" w:styleId="48">
    <w:name w:val="Footnote Characters"/>
    <w:basedOn w:val="6"/>
    <w:semiHidden/>
    <w:unhideWhenUsed/>
    <w:qFormat/>
    <w:uiPriority w:val="99"/>
    <w:rPr>
      <w:vertAlign w:val="superscript"/>
    </w:rPr>
  </w:style>
  <w:style w:type="character" w:customStyle="1" w:styleId="49">
    <w:name w:val="Caracteres de nota de rodapé"/>
    <w:qFormat/>
    <w:uiPriority w:val="0"/>
  </w:style>
  <w:style w:type="character" w:customStyle="1" w:styleId="50">
    <w:name w:val="Âncora da nota de fim"/>
    <w:uiPriority w:val="0"/>
    <w:rPr>
      <w:vertAlign w:val="superscript"/>
    </w:rPr>
  </w:style>
  <w:style w:type="character" w:customStyle="1" w:styleId="51">
    <w:name w:val="Caracteres de nota de fim"/>
    <w:qFormat/>
    <w:uiPriority w:val="0"/>
  </w:style>
  <w:style w:type="paragraph" w:customStyle="1" w:styleId="52">
    <w:name w:val="Índice"/>
    <w:basedOn w:val="1"/>
    <w:qFormat/>
    <w:uiPriority w:val="0"/>
    <w:pPr>
      <w:suppressLineNumbers/>
    </w:pPr>
    <w:rPr>
      <w:rFonts w:cs="Arial"/>
    </w:rPr>
  </w:style>
  <w:style w:type="paragraph" w:customStyle="1" w:styleId="53">
    <w:name w:val="ParaPrinc"/>
    <w:basedOn w:val="1"/>
    <w:qFormat/>
    <w:uiPriority w:val="0"/>
    <w:pPr>
      <w:widowControl w:val="0"/>
      <w:snapToGrid w:val="0"/>
      <w:jc w:val="both"/>
    </w:pPr>
    <w:rPr>
      <w:rFonts w:ascii="Book Antiqua" w:hAnsi="Book Antiqua"/>
      <w:sz w:val="24"/>
      <w:lang w:val="en-AU"/>
    </w:rPr>
  </w:style>
  <w:style w:type="paragraph" w:customStyle="1" w:styleId="54">
    <w:name w:val="Default"/>
    <w:qFormat/>
    <w:uiPriority w:val="0"/>
    <w:rPr>
      <w:rFonts w:ascii="Arial" w:hAnsi="Arial" w:eastAsia="Times New Roman" w:cs="Arial"/>
      <w:color w:val="000000"/>
      <w:sz w:val="24"/>
      <w:szCs w:val="24"/>
      <w:lang w:val="pt-BR" w:eastAsia="pt-BR" w:bidi="ar-SA"/>
    </w:rPr>
  </w:style>
  <w:style w:type="paragraph" w:customStyle="1" w:styleId="55">
    <w:name w:val="WW-Recuo de corpo de texto 2"/>
    <w:basedOn w:val="1"/>
    <w:qFormat/>
    <w:uiPriority w:val="0"/>
    <w:pPr>
      <w:suppressAutoHyphens/>
      <w:ind w:firstLine="708"/>
      <w:jc w:val="both"/>
    </w:pPr>
    <w:rPr>
      <w:b/>
    </w:rPr>
  </w:style>
  <w:style w:type="paragraph" w:customStyle="1" w:styleId="56">
    <w:name w:val="Contrato"/>
    <w:basedOn w:val="1"/>
    <w:qFormat/>
    <w:uiPriority w:val="0"/>
    <w:pPr>
      <w:spacing w:after="240"/>
      <w:jc w:val="both"/>
    </w:pPr>
    <w:rPr>
      <w:sz w:val="24"/>
    </w:rPr>
  </w:style>
  <w:style w:type="paragraph" w:customStyle="1" w:styleId="57">
    <w:name w:val="Cabeçalho e Rodapé"/>
    <w:basedOn w:val="1"/>
    <w:qFormat/>
    <w:uiPriority w:val="0"/>
  </w:style>
  <w:style w:type="paragraph" w:styleId="58">
    <w:name w:val="List Paragraph"/>
    <w:basedOn w:val="1"/>
    <w:qFormat/>
    <w:uiPriority w:val="34"/>
    <w:pPr>
      <w:ind w:left="720"/>
      <w:contextualSpacing/>
    </w:pPr>
  </w:style>
  <w:style w:type="paragraph" w:customStyle="1" w:styleId="59">
    <w:name w:val="Parágrafo da Lista1"/>
    <w:basedOn w:val="1"/>
    <w:qFormat/>
    <w:uiPriority w:val="0"/>
    <w:pPr>
      <w:widowControl w:val="0"/>
      <w:suppressAutoHyphens/>
      <w:textAlignment w:val="baseline"/>
    </w:pPr>
    <w:rPr>
      <w:rFonts w:eastAsia="Lucida Sans Unicode" w:cs="Mangal"/>
      <w:kern w:val="2"/>
      <w:sz w:val="24"/>
      <w:szCs w:val="24"/>
      <w:lang w:eastAsia="zh-CN" w:bidi="hi-IN"/>
    </w:rPr>
  </w:style>
  <w:style w:type="paragraph" w:customStyle="1" w:styleId="60">
    <w:name w:val="_A010165"/>
    <w:qFormat/>
    <w:uiPriority w:val="0"/>
    <w:pPr>
      <w:tabs>
        <w:tab w:val="left" w:pos="937"/>
      </w:tabs>
      <w:suppressAutoHyphens/>
      <w:jc w:val="both"/>
    </w:pPr>
    <w:rPr>
      <w:rFonts w:ascii="Arial" w:hAnsi="Arial" w:eastAsia="Times New Roman" w:cs="Times New Roman"/>
      <w:color w:val="000000"/>
      <w:lang w:val="pt-BR" w:eastAsia="ar-SA" w:bidi="ar-SA"/>
    </w:rPr>
  </w:style>
  <w:style w:type="paragraph" w:customStyle="1" w:styleId="61">
    <w:name w:val="Table Paragraph"/>
    <w:basedOn w:val="1"/>
    <w:qFormat/>
    <w:uiPriority w:val="1"/>
    <w:pPr>
      <w:widowControl w:val="0"/>
      <w:ind w:left="103"/>
    </w:pPr>
    <w:rPr>
      <w:sz w:val="22"/>
      <w:szCs w:val="22"/>
      <w:lang w:val="en-US" w:eastAsia="en-US"/>
    </w:rPr>
  </w:style>
  <w:style w:type="paragraph" w:customStyle="1" w:styleId="62">
    <w:name w:val="rtejustify"/>
    <w:basedOn w:val="1"/>
    <w:qFormat/>
    <w:uiPriority w:val="0"/>
    <w:pPr>
      <w:spacing w:beforeAutospacing="1" w:afterAutospacing="1"/>
    </w:pPr>
    <w:rPr>
      <w:sz w:val="24"/>
      <w:szCs w:val="24"/>
    </w:rPr>
  </w:style>
  <w:style w:type="paragraph" w:customStyle="1" w:styleId="63">
    <w:name w:val="rtecenter"/>
    <w:basedOn w:val="1"/>
    <w:qFormat/>
    <w:uiPriority w:val="0"/>
    <w:pPr>
      <w:spacing w:beforeAutospacing="1" w:afterAutospacing="1"/>
    </w:pPr>
    <w:rPr>
      <w:sz w:val="24"/>
      <w:szCs w:val="24"/>
    </w:rPr>
  </w:style>
  <w:style w:type="paragraph" w:customStyle="1" w:styleId="64">
    <w:name w:val="rteindent1"/>
    <w:basedOn w:val="1"/>
    <w:qFormat/>
    <w:uiPriority w:val="0"/>
    <w:pPr>
      <w:spacing w:beforeAutospacing="1" w:afterAutospacing="1"/>
    </w:pPr>
    <w:rPr>
      <w:sz w:val="24"/>
      <w:szCs w:val="24"/>
    </w:rPr>
  </w:style>
  <w:style w:type="paragraph" w:customStyle="1" w:styleId="65">
    <w:name w:val="texto_justificado"/>
    <w:basedOn w:val="1"/>
    <w:qFormat/>
    <w:uiPriority w:val="0"/>
    <w:pPr>
      <w:spacing w:beforeAutospacing="1" w:afterAutospacing="1"/>
    </w:pPr>
    <w:rPr>
      <w:sz w:val="24"/>
      <w:szCs w:val="24"/>
    </w:rPr>
  </w:style>
  <w:style w:type="paragraph" w:customStyle="1" w:styleId="66">
    <w:name w:val="Conteúdo do quadro"/>
    <w:basedOn w:val="1"/>
    <w:qFormat/>
    <w:uiPriority w:val="0"/>
  </w:style>
  <w:style w:type="table" w:customStyle="1" w:styleId="67">
    <w:name w:val="Tabela de Grade 4 - Ênfase 31"/>
    <w:basedOn w:val="7"/>
    <w:qFormat/>
    <w:uiPriority w:val="49"/>
    <w:tblPr>
      <w:tblBorders>
        <w:top w:val="single" w:color="C2D69B" w:themeColor="accent3" w:themeTint="99" w:sz="4" w:space="0"/>
        <w:left w:val="single" w:color="C2D69B" w:themeColor="accent3" w:themeTint="99" w:sz="4" w:space="0"/>
        <w:bottom w:val="single" w:color="C2D69B" w:themeColor="accent3" w:themeTint="99" w:sz="4" w:space="0"/>
        <w:right w:val="single" w:color="C2D69B" w:themeColor="accent3" w:themeTint="99" w:sz="4" w:space="0"/>
        <w:insideH w:val="single" w:color="C2D69B" w:themeColor="accent3" w:themeTint="99" w:sz="4" w:space="0"/>
        <w:insideV w:val="single" w:color="C2D69B" w:themeColor="accent3" w:themeTint="99" w:sz="4" w:space="0"/>
      </w:tblBorders>
    </w:tblPr>
    <w:tblStylePr w:type="firstRow">
      <w:rPr>
        <w:b/>
        <w:bCs/>
        <w:color w:val="FFFFFF" w:themeColor="background1"/>
        <w14:textFill>
          <w14:solidFill>
            <w14:schemeClr w14:val="bg1"/>
          </w14:solidFill>
        </w14:textFill>
      </w:rPr>
      <w:tcPr>
        <w:tcBorders>
          <w:top w:val="single" w:color="9BBB59" w:themeColor="accent3" w:sz="4" w:space="0"/>
          <w:left w:val="single" w:color="9BBB59" w:themeColor="accent3" w:sz="4" w:space="0"/>
          <w:bottom w:val="single" w:color="9BBB59" w:themeColor="accent3" w:sz="4" w:space="0"/>
          <w:right w:val="single" w:color="9BBB59" w:themeColor="accent3" w:sz="4" w:space="0"/>
          <w:insideH w:val="nil"/>
          <w:insideV w:val="nil"/>
        </w:tcBorders>
        <w:shd w:val="clear" w:color="auto" w:fill="9BBB59" w:themeFill="accent3"/>
      </w:tcPr>
    </w:tblStylePr>
    <w:tblStylePr w:type="lastRow">
      <w:rPr>
        <w:b/>
        <w:bCs/>
      </w:rPr>
      <w:tcPr>
        <w:tcBorders>
          <w:top w:val="double" w:color="9BBB59" w:themeColor="accent3" w:sz="4" w:space="0"/>
        </w:tcBorders>
      </w:tcPr>
    </w:tblStylePr>
    <w:tblStylePr w:type="firstCol">
      <w:rPr>
        <w:b/>
        <w:bCs/>
      </w:rPr>
    </w:tblStylePr>
    <w:tblStylePr w:type="lastCol">
      <w:rPr>
        <w:b/>
        <w:bCs/>
      </w:rPr>
    </w:tblStylePr>
    <w:tblStylePr w:type="band1Vert">
      <w:tcPr>
        <w:shd w:val="clear" w:color="auto" w:fill="EAF1DD" w:themeFill="accent3" w:themeFillTint="33"/>
      </w:tcPr>
    </w:tblStylePr>
    <w:tblStylePr w:type="band1Horz">
      <w:tcPr>
        <w:shd w:val="clear" w:color="auto" w:fill="EAF1DD" w:themeFill="accent3" w:themeFillTint="33"/>
      </w:tcPr>
    </w:tblStylePr>
  </w:style>
  <w:style w:type="table" w:customStyle="1" w:styleId="68">
    <w:name w:val="Tabela de Lista 3 - Ênfase 31"/>
    <w:basedOn w:val="7"/>
    <w:qFormat/>
    <w:uiPriority w:val="48"/>
    <w:tblPr>
      <w:tblBorders>
        <w:top w:val="single" w:color="9BBB59" w:themeColor="accent3" w:sz="4" w:space="0"/>
        <w:left w:val="single" w:color="9BBB59" w:themeColor="accent3" w:sz="4" w:space="0"/>
        <w:bottom w:val="single" w:color="9BBB59" w:themeColor="accent3" w:sz="4" w:space="0"/>
        <w:right w:val="single" w:color="9BBB59" w:themeColor="accent3" w:sz="4" w:space="0"/>
      </w:tblBorders>
    </w:tblPr>
    <w:tblStylePr w:type="firstRow">
      <w:rPr>
        <w:b/>
        <w:bCs/>
        <w:color w:val="FFFFFF" w:themeColor="background1"/>
        <w14:textFill>
          <w14:solidFill>
            <w14:schemeClr w14:val="bg1"/>
          </w14:solidFill>
        </w14:textFill>
      </w:rPr>
      <w:tcPr>
        <w:shd w:val="clear" w:color="auto" w:fill="9BBB59" w:themeFill="accent3"/>
      </w:tcPr>
    </w:tblStylePr>
    <w:tblStylePr w:type="lastRow">
      <w:rPr>
        <w:b/>
        <w:bCs/>
      </w:rPr>
      <w:tcPr>
        <w:tcBorders>
          <w:top w:val="double" w:color="9BBB59" w:themeColor="accent3"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9BBB59" w:themeColor="accent3" w:sz="4" w:space="0"/>
          <w:right w:val="single" w:color="9BBB59" w:themeColor="accent3" w:sz="4" w:space="0"/>
        </w:tcBorders>
      </w:tcPr>
    </w:tblStylePr>
    <w:tblStylePr w:type="band1Horz">
      <w:tcPr>
        <w:tcBorders>
          <w:top w:val="single" w:color="9BBB59" w:themeColor="accent3" w:sz="4" w:space="0"/>
          <w:bottom w:val="single" w:color="9BBB59" w:themeColor="accent3"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9BBB59" w:themeColor="accent3" w:sz="4" w:space="0"/>
          <w:left w:val="nil"/>
        </w:tcBorders>
      </w:tcPr>
    </w:tblStylePr>
    <w:tblStylePr w:type="swCell">
      <w:tcPr>
        <w:tcBorders>
          <w:top w:val="double" w:color="9BBB59" w:themeColor="accent3" w:sz="4" w:space="0"/>
          <w:right w:val="nil"/>
        </w:tcBorders>
      </w:tcPr>
    </w:tblStylePr>
  </w:style>
  <w:style w:type="table" w:customStyle="1" w:styleId="69">
    <w:name w:val="Tabela de Grade 6 Colorida - Ênfase 31"/>
    <w:basedOn w:val="7"/>
    <w:qFormat/>
    <w:uiPriority w:val="51"/>
    <w:rPr>
      <w:color w:val="77933C" w:themeColor="accent3" w:themeShade="BF"/>
    </w:rPr>
    <w:tblPr>
      <w:tblBorders>
        <w:top w:val="single" w:color="C2D69B" w:themeColor="accent3" w:themeTint="99" w:sz="4" w:space="0"/>
        <w:left w:val="single" w:color="C2D69B" w:themeColor="accent3" w:themeTint="99" w:sz="4" w:space="0"/>
        <w:bottom w:val="single" w:color="C2D69B" w:themeColor="accent3" w:themeTint="99" w:sz="4" w:space="0"/>
        <w:right w:val="single" w:color="C2D69B" w:themeColor="accent3" w:themeTint="99" w:sz="4" w:space="0"/>
        <w:insideH w:val="single" w:color="C2D69B" w:themeColor="accent3" w:themeTint="99" w:sz="4" w:space="0"/>
        <w:insideV w:val="single" w:color="C2D69B" w:themeColor="accent3" w:themeTint="99" w:sz="4" w:space="0"/>
      </w:tblBorders>
    </w:tblPr>
    <w:tblStylePr w:type="firstRow">
      <w:rPr>
        <w:b/>
        <w:bCs/>
      </w:rPr>
      <w:tcPr>
        <w:tcBorders>
          <w:bottom w:val="single" w:color="9BBB59" w:themeColor="accent3" w:sz="12" w:space="0"/>
        </w:tcBorders>
      </w:tcPr>
    </w:tblStylePr>
    <w:tblStylePr w:type="lastRow">
      <w:rPr>
        <w:b/>
        <w:bCs/>
      </w:rPr>
      <w:tcPr>
        <w:tcBorders>
          <w:top w:val="double" w:color="9BBB59" w:themeColor="accent3" w:sz="4" w:space="0"/>
        </w:tcBorders>
      </w:tcPr>
    </w:tblStylePr>
    <w:tblStylePr w:type="firstCol">
      <w:rPr>
        <w:b/>
        <w:bCs/>
      </w:rPr>
    </w:tblStylePr>
    <w:tblStylePr w:type="lastCol">
      <w:rPr>
        <w:b/>
        <w:bCs/>
      </w:rPr>
    </w:tblStylePr>
    <w:tblStylePr w:type="band1Vert">
      <w:tcPr>
        <w:shd w:val="clear" w:color="auto" w:fill="EAF1DD" w:themeFill="accent3" w:themeFillTint="33"/>
      </w:tcPr>
    </w:tblStylePr>
    <w:tblStylePr w:type="band1Horz">
      <w:tcPr>
        <w:shd w:val="clear" w:color="auto" w:fill="EAF1DD" w:themeFill="accent3" w:themeFillTint="33"/>
      </w:tcPr>
    </w:tblStylePr>
  </w:style>
  <w:style w:type="table" w:customStyle="1" w:styleId="70">
    <w:name w:val="Tabela de Grade 4 - Ênfase 11"/>
    <w:basedOn w:val="7"/>
    <w:qFormat/>
    <w:uiPriority w:val="49"/>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table" w:customStyle="1" w:styleId="71">
    <w:name w:val="Tabela de Grade 4 - Ênfase 12"/>
    <w:basedOn w:val="7"/>
    <w:qFormat/>
    <w:uiPriority w:val="49"/>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character" w:customStyle="1" w:styleId="72">
    <w:name w:val="Menção Pendente1"/>
    <w:basedOn w:val="6"/>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94D733A-D005-4F7B-8526-FBAE27407EFA}">
  <ds:schemaRefs/>
</ds:datastoreItem>
</file>

<file path=docProps/app.xml><?xml version="1.0" encoding="utf-8"?>
<Properties xmlns="http://schemas.openxmlformats.org/officeDocument/2006/extended-properties" xmlns:vt="http://schemas.openxmlformats.org/officeDocument/2006/docPropsVTypes">
  <Template>Normal</Template>
  <Pages>10</Pages>
  <Words>966</Words>
  <Characters>5019</Characters>
  <Lines>142</Lines>
  <Paragraphs>40</Paragraphs>
  <TotalTime>65</TotalTime>
  <ScaleCrop>false</ScaleCrop>
  <LinksUpToDate>false</LinksUpToDate>
  <CharactersWithSpaces>5940</CharactersWithSpaces>
  <Application>WPS Office_12.1.0.26880_F1E327BC-269C-435d-A152-05C5408002CA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2026-03-02T00:19:00Z</dcterms:created>
  <dc:creator>bteixeira</dc:creator>
  <cp:lastModifiedBy>Hellen de Lima Medeiros da Silva</cp:lastModifiedBy>
  <cp:lastPrinted>2026-06-25T14:17:00Z</cp:lastPrinted>
  <dcterms:modified xsi:type="dcterms:W3CDTF">2026-07-02T14:35:16Z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y fmtid="{D5CDD505-2E9C-101B-9397-08002B2CF9AE}" pid="8" name="KSOProductBuildVer">
    <vt:lpwstr>1046-12.1.0.26880</vt:lpwstr>
  </property>
  <property fmtid="{D5CDD505-2E9C-101B-9397-08002B2CF9AE}" pid="9" name="ICV">
    <vt:lpwstr>3A7CE6374BAD468A81F23B4D044CFC01_13</vt:lpwstr>
  </property>
  <property fmtid="{D5CDD505-2E9C-101B-9397-08002B2CF9AE}" pid="10" name="KSOTemplateDocerSaveRecord">
    <vt:lpwstr>eyJoZGlkIjoiMWY2MDQwZDk1YTNhOGIxYzIwNWI3Zjg2NTEzY2Q4OWUiLCJ1c2VySWQiOiIxMjM2OTUxMzI3NjYwIn0=</vt:lpwstr>
  </property>
</Properties>
</file>