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70D1E">
      <w:pPr>
        <w:autoSpaceDE w:val="0"/>
        <w:autoSpaceDN w:val="0"/>
        <w:adjustRightInd w:val="0"/>
        <w:jc w:val="center"/>
        <w:rPr>
          <w:rFonts w:ascii="TTE431A0A0t00" w:hAnsi="TTE431A0A0t00" w:cs="TTE431A0A0t00"/>
          <w:b/>
          <w:color w:val="FF0000"/>
        </w:rPr>
      </w:pPr>
    </w:p>
    <w:p w14:paraId="2E2EFF9B">
      <w:pPr>
        <w:pStyle w:val="10"/>
        <w:autoSpaceDE w:val="0"/>
        <w:autoSpaceDN w:val="0"/>
        <w:adjustRightInd w:val="0"/>
        <w:ind w:left="1276"/>
        <w:rPr>
          <w:rFonts w:ascii="TTE431A0A0t00" w:hAnsi="TTE431A0A0t00" w:cs="TTE431A0A0t00"/>
          <w:b/>
          <w:color w:val="FF0000"/>
          <w:sz w:val="28"/>
          <w:szCs w:val="28"/>
        </w:rPr>
      </w:pPr>
      <w:r>
        <w:rPr>
          <w:rFonts w:ascii="TTE431A0A0t00" w:hAnsi="TTE431A0A0t00" w:cs="TTE431A0A0t00"/>
          <w:b/>
          <w:color w:val="FF0000"/>
          <w:sz w:val="28"/>
          <w:szCs w:val="28"/>
        </w:rPr>
        <w:t xml:space="preserve">ANEXO VI DO EDITAL DO PREGÃO ELETRÔNICO </w:t>
      </w:r>
      <w:r>
        <w:rPr>
          <w:rFonts w:hint="default" w:ascii="TTE431A0A0t00" w:hAnsi="TTE431A0A0t00" w:cs="TTE431A0A0t00"/>
          <w:b/>
          <w:color w:val="FF0000"/>
          <w:sz w:val="28"/>
          <w:szCs w:val="28"/>
          <w:lang w:val="pt-BR"/>
        </w:rPr>
        <w:t>51</w:t>
      </w:r>
      <w:bookmarkStart w:id="0" w:name="_GoBack"/>
      <w:bookmarkEnd w:id="0"/>
      <w:r>
        <w:rPr>
          <w:rFonts w:ascii="TTE431A0A0t00" w:hAnsi="TTE431A0A0t00" w:cs="TTE431A0A0t00"/>
          <w:b/>
          <w:color w:val="FF0000"/>
          <w:sz w:val="28"/>
          <w:szCs w:val="28"/>
        </w:rPr>
        <w:t xml:space="preserve">/2026/AD </w:t>
      </w:r>
    </w:p>
    <w:p w14:paraId="5C10B0A1">
      <w:pPr>
        <w:autoSpaceDE w:val="0"/>
        <w:autoSpaceDN w:val="0"/>
        <w:adjustRightInd w:val="0"/>
        <w:jc w:val="center"/>
        <w:rPr>
          <w:rFonts w:ascii="TTE431A0A0t00" w:hAnsi="TTE431A0A0t00" w:cs="TTE431A0A0t00"/>
          <w:b/>
        </w:rPr>
      </w:pPr>
    </w:p>
    <w:p w14:paraId="0754E9BB">
      <w:pPr>
        <w:autoSpaceDE w:val="0"/>
        <w:autoSpaceDN w:val="0"/>
        <w:adjustRightInd w:val="0"/>
        <w:jc w:val="center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TERMO DE CONCILIAÇÃO JUDICIAL FIRMADO ENTRE O MINISTÉRIO PÚBLICO DO TRABALHO E A UNIÃO</w:t>
      </w:r>
    </w:p>
    <w:p w14:paraId="5F976B38">
      <w:pPr>
        <w:autoSpaceDE w:val="0"/>
        <w:autoSpaceDN w:val="0"/>
        <w:adjustRightInd w:val="0"/>
        <w:jc w:val="center"/>
        <w:rPr>
          <w:rFonts w:ascii="TTE431A0A0t00" w:hAnsi="TTE431A0A0t00" w:cs="TTE431A0A0t00"/>
          <w:b/>
        </w:rPr>
      </w:pPr>
    </w:p>
    <w:p w14:paraId="4EF93DB3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  <w:b/>
        </w:rPr>
        <w:t xml:space="preserve">O </w:t>
      </w:r>
      <w:r>
        <w:rPr>
          <w:rFonts w:ascii="TTE431A0A0t00" w:hAnsi="TTE431A0A0t00" w:cs="TTE431A0A0t00"/>
          <w:b/>
        </w:rPr>
        <w:t>MINISTÉRIO PÚBLICO DO TRABALHO</w:t>
      </w:r>
      <w:r>
        <w:rPr>
          <w:rFonts w:ascii="TTE4E87780t00" w:hAnsi="TTE4E87780t00" w:cs="TTE4E87780t00"/>
        </w:rPr>
        <w:t xml:space="preserve">, neste ato representado pelo Procurador-Geral do Trabalho, Dr. Guilherme Mastrichi Basso, pela Vice-Procuradora-Geral do Trabalho, Dra. Guiomar Rechia Gomes, pelo Procurador-Chefe da PRT da 10ª. Região, Dr. Brasilino Santos Ramos e pelo Procurador do Trabalho Dr. Fábio Leal Cardoso, e a </w:t>
      </w:r>
      <w:r>
        <w:rPr>
          <w:rFonts w:ascii="TTE431A0A0t00" w:hAnsi="TTE431A0A0t00" w:cs="TTE431A0A0t00"/>
        </w:rPr>
        <w:t>UNIÃO</w:t>
      </w:r>
      <w:r>
        <w:rPr>
          <w:rFonts w:ascii="TTE4E87780t00" w:hAnsi="TTE4E87780t00" w:cs="TTE4E87780t00"/>
        </w:rPr>
        <w:t>, neste ato representada pelo Procurador-Geral da União, Dr. Moacir Antonio da Silva Machado, pela Sub Procuradora Regional da União - 1ª. Região, Dra. Helia Maria de Oliveira Bettero e pelo Advogado da União, Dr. Mário Luiz Guerreiro;</w:t>
      </w:r>
    </w:p>
    <w:p w14:paraId="4AC0ED9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toda relação jurídica de trabalho cuja prestação laboral não eventual seja ofertada pessoalmente pelo obreiro, em estado de subordinação e mediante contraprestação pecuniária, será regida obrigatoriamente pela Consolidação das Leis do Trabalho ou por estatuto próprio, quando se tratar de relação de trabalho de natureza estatutária, com a Administração Pública;</w:t>
      </w:r>
    </w:p>
    <w:p w14:paraId="6668AE5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a legislação consolidada em seu art. 9º, comina de nulidade absoluta todos os atos praticados com o intuito de desvirtuar, impedir ou fraudar a aplicação da lei trabalhista;</w:t>
      </w:r>
    </w:p>
    <w:p w14:paraId="58F47D84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as sociedades cooperativas, segundo a Lei n</w:t>
      </w:r>
      <w:r>
        <w:rPr>
          <w:rFonts w:ascii="TTE4E87780t00" w:hAnsi="TTE4E87780t00" w:cs="TTE4E87780t00"/>
          <w:sz w:val="16"/>
          <w:szCs w:val="16"/>
        </w:rPr>
        <w:t>o</w:t>
      </w:r>
      <w:r>
        <w:rPr>
          <w:rFonts w:ascii="TTE4E87780t00" w:hAnsi="TTE4E87780t00" w:cs="TTE4E87780t00"/>
        </w:rPr>
        <w:t>. 5.764, de 16.12.1971, art. 4º., “(...) são sociedades de pessoas, com forma e natureza jurídica próprias, de natureza civil, não sujeitas à falência, constituídas para prestar serviços aos associados”.</w:t>
      </w:r>
    </w:p>
    <w:p w14:paraId="3680293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as cooperativas podem prestar serviços a não associados somente em caráter excepcional e desde que tal faculdade atenda aos objetivos sociais previstos na sua norma estatutária, (art. 86, da Lei n</w:t>
      </w:r>
      <w:r>
        <w:rPr>
          <w:rFonts w:ascii="TTE4E87780t00" w:hAnsi="TTE4E87780t00" w:cs="TTE4E87780t00"/>
          <w:sz w:val="16"/>
          <w:szCs w:val="16"/>
        </w:rPr>
        <w:t>o</w:t>
      </w:r>
      <w:r>
        <w:rPr>
          <w:rFonts w:ascii="TTE4E87780t00" w:hAnsi="TTE4E87780t00" w:cs="TTE4E87780t00"/>
        </w:rPr>
        <w:t>. 5.764, de 16.12.1971), aspecto legal que revela a patente impossibilidade jurídica das cooperativas funcionarem como agências de locação de mão de obra terceirizada;</w:t>
      </w:r>
    </w:p>
    <w:p w14:paraId="6DB9EAE9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a administração pública está inexoravelmente jungida ao princípio da legalidade, e que a prática do merchandage é vedada pelo art. 3º, da CLT e repelida pela jurisprudência sumulada do C. TST (En. 331);</w:t>
      </w:r>
    </w:p>
    <w:p w14:paraId="1075D4D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os trabalhadores aliciados por cooperativas de mão de obra, que prestam serviços de natureza subordinada à UNIÃO embora laborem em situação fática idêntica a dos empregados das empresas prestadoras de serviços terceirizáveis, encontram-se à margem de qualquer proteção jurídico-laboral, sendo-lhes sonegada a incidência de normas protetivas do trabalho, especialmente àquelas destinadas a tutelar a segurança e higidez do trabalho subordinado, o que afronta o princípio da isonomia, a dignidade da pessoa humana e os valores sociais do trabalho (art. 5º, caput e 1º, III e IV da Constituição Federal);</w:t>
      </w:r>
    </w:p>
    <w:p w14:paraId="13743BF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num processo de terceirização o tomador dos serviços (no caso a administração pública) tem responsabilidade sucessiva por eventuais débitos trabalhistas do fornecedor de mão de obra, nos termos do Enunciado 331, do TST, o que poderia gerar graves prejuízos financeiros ao erário, na hipótese de se apurar a presença dos requisitos do art. 3º., da CLT na atividade de intermediação de mão de obra patrocinada por falsas cooperativas;</w:t>
      </w:r>
    </w:p>
    <w:p w14:paraId="6D2D3B1C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o teor da Recomendação Para a Promoção das Cooperativas aprovada na 90ª. sessão, da OIT – Organização Internacional do Trabalho, em junho de 2002, dispondo que os Estados devem implementar políticas nos sentido de:</w:t>
      </w:r>
    </w:p>
    <w:p w14:paraId="7B418CD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“8.1.b Garantir que as cooperativas não sejam criadas para, ou direcionadas a, o não cumprimento das leis do trabalho ou usadas para estabelecer relações de emprego disfarçadas, e combater pseudocooperativas que violam os direitos dos trabalhadores velando para que a lei trabalhista seja aplicada em todas as empresas.”</w:t>
      </w:r>
    </w:p>
    <w:p w14:paraId="1CC5150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RESOLVEM</w:t>
      </w:r>
    </w:p>
    <w:p w14:paraId="4FC5AB2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Celebrar CONCILIAÇÃO nos autos do Processo 01082-2002-020-10-00-0, em tramitação perante a MM. Vigésima Vara do Trabalho de Brasília-DF, mediante os seguintes termos:</w:t>
      </w:r>
    </w:p>
    <w:p w14:paraId="6D43D4AD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Primeira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A UNIÃO abster-se-á de contratar trabalhadores, por meio de cooperativas de mão de obra, para a prestação de serviços ligados às suas atividades-fim ou meio, quando o labor, por sua própria natureza, demandar execução em estado de subordinação, quer em relação ao tomador, ou em relação ao fornecedor dos serviços, constituindo elemento essencial ao desenvolvimento e à prestação dos serviços terceirizados, sendo eles:</w:t>
      </w:r>
    </w:p>
    <w:p w14:paraId="5E42E50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a) – Serviços de limpeza;</w:t>
      </w:r>
    </w:p>
    <w:p w14:paraId="475A6629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b) – Serviços de conservação;</w:t>
      </w:r>
    </w:p>
    <w:p w14:paraId="720E1A71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c) – Serviços de segurança, de vigilância e de portaria;</w:t>
      </w:r>
    </w:p>
    <w:p w14:paraId="2219624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d) – Serviços de recepção;</w:t>
      </w:r>
    </w:p>
    <w:p w14:paraId="42DD0A8D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e) – Serviços de copeiragem;</w:t>
      </w:r>
    </w:p>
    <w:p w14:paraId="34EA9040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f) – Serviços de reprografia;</w:t>
      </w:r>
    </w:p>
    <w:p w14:paraId="25ACB69A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g) – Serviços de telefonia;</w:t>
      </w:r>
    </w:p>
    <w:p w14:paraId="6DE5F321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h) – Serviços de manutenção de prédios, de equipamentos, de veículos e de instalações;</w:t>
      </w:r>
    </w:p>
    <w:p w14:paraId="29AD3A3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i) – Serviços de secretariado e secretariado executivo;</w:t>
      </w:r>
    </w:p>
    <w:p w14:paraId="75A01CBC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j) – Serviços de auxiliar de escritório;</w:t>
      </w:r>
    </w:p>
    <w:p w14:paraId="1A7B4BB0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k) – Serviços de auxiliar administrativo;</w:t>
      </w:r>
    </w:p>
    <w:p w14:paraId="07136E4A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 xml:space="preserve">l) – Serviços de </w:t>
      </w:r>
      <w:r>
        <w:rPr>
          <w:rFonts w:ascii="TTE4E9E668t00" w:hAnsi="TTE4E9E668t00" w:cs="TTE4E9E668t00"/>
        </w:rPr>
        <w:t xml:space="preserve">office boy </w:t>
      </w:r>
      <w:r>
        <w:rPr>
          <w:rFonts w:ascii="TTE4E87780t00" w:hAnsi="TTE4E87780t00" w:cs="TTE4E87780t00"/>
        </w:rPr>
        <w:t>(contínuo);</w:t>
      </w:r>
    </w:p>
    <w:p w14:paraId="0F7ACE13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m) – Serviços de digitação;</w:t>
      </w:r>
    </w:p>
    <w:p w14:paraId="7540636D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n) – Serviços de assessoria de imprensa e de relações públicas;</w:t>
      </w:r>
    </w:p>
    <w:p w14:paraId="4233331A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o) – Serviços de motorista, no caso de os veículos serem fornecidos pelo próprio órgão licitante;</w:t>
      </w:r>
    </w:p>
    <w:p w14:paraId="413C3281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p) – Serviços de ascensorista;</w:t>
      </w:r>
    </w:p>
    <w:p w14:paraId="3D6A5255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q) – Serviços de enfermagem; e</w:t>
      </w:r>
    </w:p>
    <w:p w14:paraId="32E56E0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r) – Serviços de agentes comunitários de saúde.</w:t>
      </w:r>
    </w:p>
    <w:p w14:paraId="26BBED7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Primeiro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O disposto nesta Cláusula não autoriza outras formas de terceirização sem previsão legal.</w:t>
      </w:r>
    </w:p>
    <w:p w14:paraId="1292F5E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Segundo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 xml:space="preserve">– As partes podem, a qualquer momento, mediante comunicação e acordos prévios, ampliar o rol de serviços elencados no </w:t>
      </w:r>
      <w:r>
        <w:rPr>
          <w:rFonts w:ascii="TTE4E9E668t00" w:hAnsi="TTE4E9E668t00" w:cs="TTE4E9E668t00"/>
        </w:rPr>
        <w:t>caput</w:t>
      </w:r>
      <w:r>
        <w:rPr>
          <w:rFonts w:ascii="TTE4E87780t00" w:hAnsi="TTE4E87780t00" w:cs="TTE4E87780t00"/>
        </w:rPr>
        <w:t>.</w:t>
      </w:r>
    </w:p>
    <w:p w14:paraId="2AEFA34A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Segunda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Considera-se cooperativa de mão de obra, aquela associação cuja atividade precípua seja a mera intermediação individual de trabalhadores de uma ou várias profissões (inexistindo assim vínculo de solidariedade entre seus associados), que não detenham qualquer meio de produção, e cujos serviços sejam prestados a terceiros, de forma individual (e não coletiva), pelos seus associados.</w:t>
      </w:r>
    </w:p>
    <w:p w14:paraId="46580C99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Terceira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A UNIÃO obriga-se a estabelecer regras claras nos editais de licitação, a fim de esclarecer a natureza dos serviços licitados, determinando, por conseguinte, se os mesmos podem ser prestados por empresas prestadoras de serviços (trabalhadores subordinados), cooperativas de trabalho, trabalhadores autônomos, avulsos ou eventuais;</w:t>
      </w:r>
    </w:p>
    <w:p w14:paraId="3AE824B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Primeiro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É lícita a contratação de genuínas sociedades cooperativas desde que os serviços licitados não estejam incluídos no rol inserido nas alíneas “a” a “r” da Cláusula Primeira e sejam prestados em caráter coletivo e com absoluta autonomia dos cooperados, seja em relação às cooperativas, seja em relação ao tomador dos serviços, devendo ser juntada, na fase de habilitação, listagem contendo o nome de todos os associados. Esclarecem as partes que somente os serviços podem ser terceirizados, restando absolutamente vedado o fornecimento (intermediação de mão de obra) de trabalhadores a órgãos públicos por cooperativas de qualquer natureza.</w:t>
      </w:r>
    </w:p>
    <w:p w14:paraId="76D495B4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Segundo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Os editais de licitação que se destinem a contratar os serviços disciplinados pela Cláusula Primeira deverão fazer expressa menção ao presente termo de conciliação e sua homologação, se possível transcrevendo-os na íntegra ou fazendo parte integrante desses editais, como anexo.</w:t>
      </w:r>
    </w:p>
    <w:p w14:paraId="548020D0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Terceiro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 xml:space="preserve">- Para a prestação de serviços em sua forma subordinada, o </w:t>
      </w:r>
      <w:r>
        <w:rPr>
          <w:rFonts w:ascii="TTE431A0A0t00" w:hAnsi="TTE431A0A0t00" w:cs="TTE431A0A0t00"/>
        </w:rPr>
        <w:t xml:space="preserve">licitante </w:t>
      </w:r>
      <w:r>
        <w:rPr>
          <w:rFonts w:ascii="TTE4E87780t00" w:hAnsi="TTE4E87780t00" w:cs="TTE4E87780t00"/>
        </w:rPr>
        <w:t>vencedor do certame deverá comprovar a condição de empregador dos prestadores de serviços para as quais se objetiva a contratação, constituindo-se esse requisito, condição obrigatória à assinatura do respectivo contrato.</w:t>
      </w:r>
    </w:p>
    <w:p w14:paraId="5277A04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DAS SANÇÕES PELO DESCUMPRIMENTO</w:t>
      </w:r>
    </w:p>
    <w:p w14:paraId="524DBAE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Quarta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A UNIÃO obriga-se ao pagamento de multa (astreinte) correspondente a R$1.000,00 (um mil reais) por trabalhador que esteja em desacordo com as condições estabelecidas no presente Termo de Conciliação, sendo a mesma reversível ao Fundo de Amparo ao Trabalhador (FAT).</w:t>
      </w:r>
    </w:p>
    <w:p w14:paraId="0B07552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Primeiro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O servidor público que, em nome da Administração, firmar o contrato de prestação de serviços nas atividades relacionadas nas alíneas “a” a “r” da Cláusula Primeira, será responsável solidário por qualquer contratação irregular, respondendo pela multa prevista no caput, sem prejuízo das demais cominações legais.</w:t>
      </w:r>
    </w:p>
    <w:p w14:paraId="335BA0D3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Segundo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Em caso de notícia de descumprimento dos termos firmados neste ajuste, a UNIÃO, depois de intimada, terá prazo de 20 (vinte) dias para apresentar sua justificativa perante o Ministério Público do Trabalho.</w:t>
      </w:r>
    </w:p>
    <w:p w14:paraId="5D3593B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DA EXTENSÃO DO AJUSTE À ADMINISTRAÇÃO PÚBLICA INDIRETA</w:t>
      </w:r>
    </w:p>
    <w:p w14:paraId="6B6FF3B8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Quinta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A UNIÃO se compromete a recomendar o estabelecimento das mesmas diretrizes ora pactuadas em relação às autarquias, fundações públicas, empresas públicas e sociedades de economia mista, a fim de vincular todos os órgãos integrantes da administração pública indireta ao cumprimento do presente termo de conciliação, sendo que em relação às empresas públicas e sociedades de economia mista deverá ser dado conhecimento ao Departamento de Coordenação e Controle das Empresas Estatais – DEST, do Ministério do Planejamento, Orçamento e Gestão, ou órgão equivalente, para que discipline a matéria no âmbito de sua competência.</w:t>
      </w:r>
    </w:p>
    <w:p w14:paraId="40E5D4CD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DA HOMOLOGAÇÃO JUDICIAL DO AJUSTE</w:t>
      </w:r>
    </w:p>
    <w:p w14:paraId="4C219929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Sexta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As partes submetem os termos da presente conciliação à homologação do Juízo da MM. Vigésima Vara do Trabalho, para que o ajuste gere os seus efeitos jurídicos.</w:t>
      </w:r>
    </w:p>
    <w:p w14:paraId="3FFD87D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Sétima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Os termos da presente avença gerarão seus efeitos jurídicos a partir da data de sua homologação judicial.</w:t>
      </w:r>
    </w:p>
    <w:p w14:paraId="7C50598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único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Os contratos em vigor entre a UNIÃO e as Cooperativas, que contrariem o presente acordo, não serão renovados ou prorrogados.</w:t>
      </w:r>
    </w:p>
    <w:p w14:paraId="318792D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Oitava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 xml:space="preserve">- A presente conciliação extingue o processo com exame do mérito apenas em relação à UNIÃO, prosseguindo o feito quanto aos demais réus. Dito isto, por estarem as partes ajustadas e compromissadas, firmam a presente conciliação em cinco vias, a qual terá eficácia de título judicial, nos termos dos artigos 831, parágrafo único, e 876, </w:t>
      </w:r>
      <w:r>
        <w:rPr>
          <w:rFonts w:ascii="TTE4E9E668t00" w:hAnsi="TTE4E9E668t00" w:cs="TTE4E9E668t00"/>
        </w:rPr>
        <w:t>caput</w:t>
      </w:r>
      <w:r>
        <w:rPr>
          <w:rFonts w:ascii="TTE4E87780t00" w:hAnsi="TTE4E87780t00" w:cs="TTE4E87780t00"/>
        </w:rPr>
        <w:t>, da CLT.</w:t>
      </w:r>
    </w:p>
    <w:p w14:paraId="391A2E2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</w:p>
    <w:p w14:paraId="3C6A8B41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Brasília, 05 de junho de 2003.</w:t>
      </w:r>
    </w:p>
    <w:p w14:paraId="5E6D0FB5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</w:p>
    <w:p w14:paraId="19007D74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GUILHERME MASTRICHI BASSO GUIOMAR RECHIA GOMES</w:t>
      </w:r>
    </w:p>
    <w:p w14:paraId="42D997CB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Procurador-Geral do Trabalho Vice-Procuradora-Geral do Trabalho</w:t>
      </w:r>
    </w:p>
    <w:p w14:paraId="30A1199E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BRASILINO SANTOS RAMOS FÁBIO LEAL CARDOSO</w:t>
      </w:r>
    </w:p>
    <w:p w14:paraId="2F609831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Procurador-Chefe/PRT 10ª. Região Procurador do Trabalho</w:t>
      </w:r>
    </w:p>
    <w:p w14:paraId="27BB68D1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MOACIR ANTONIO DA SILVA MACHADO</w:t>
      </w:r>
    </w:p>
    <w:p w14:paraId="5BB0EBAC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Procurador-Geral da União</w:t>
      </w:r>
    </w:p>
    <w:p w14:paraId="2D4E05D8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HELIA MARIA DE OLIVEIRA BETTERO MÁRIO LUIZ GUERREIRO</w:t>
      </w:r>
    </w:p>
    <w:p w14:paraId="2542F993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Sub-Procuradora-Regional da União–1ª. Região Advogado da União</w:t>
      </w:r>
    </w:p>
    <w:p w14:paraId="156D4888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</w:p>
    <w:p w14:paraId="1C8451DD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Testemunhas:</w:t>
      </w:r>
    </w:p>
    <w:p w14:paraId="1B455791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GRIJALBO FERNANDES COUTINHO</w:t>
      </w:r>
    </w:p>
    <w:p w14:paraId="4E3D05B4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Presidente da Associação Nacional dos Magistrados</w:t>
      </w:r>
    </w:p>
    <w:p w14:paraId="1610B4CB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da Justiça do Trabalho - ANAMATRA</w:t>
      </w:r>
    </w:p>
    <w:p w14:paraId="19F48087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PAULO SÉRGIO DOMINGUES</w:t>
      </w:r>
    </w:p>
    <w:p w14:paraId="53F37809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Presidente da Associação dos Juízes Federais</w:t>
      </w:r>
    </w:p>
    <w:p w14:paraId="3E50C590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do Brasil - AJUFE</w:t>
      </w:r>
    </w:p>
    <w:p w14:paraId="3BB80C6A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REGINA BUTRUS</w:t>
      </w:r>
    </w:p>
    <w:p w14:paraId="1EC115F4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Presidente da Associação Nacional dos Procuradores</w:t>
      </w:r>
    </w:p>
    <w:p w14:paraId="7073E424">
      <w:pPr>
        <w:spacing w:after="120"/>
        <w:ind w:left="500" w:right="227"/>
        <w:jc w:val="center"/>
      </w:pPr>
      <w:r>
        <w:rPr>
          <w:rFonts w:ascii="TTE4E87780t00" w:hAnsi="TTE4E87780t00" w:cs="TTE4E87780t00"/>
        </w:rPr>
        <w:t>do Trabalho – ANPT</w:t>
      </w:r>
    </w:p>
    <w:sectPr>
      <w:headerReference r:id="rId3" w:type="default"/>
      <w:footerReference r:id="rId4" w:type="default"/>
      <w:type w:val="continuous"/>
      <w:pgSz w:w="11907" w:h="16840"/>
      <w:pgMar w:top="851" w:right="850" w:bottom="851" w:left="851" w:header="567" w:footer="851" w:gutter="0"/>
      <w:cols w:space="708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TE431A0A0t00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TE4E87780t00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TE4E9E668t00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AE8E7">
    <w:pPr>
      <w:pStyle w:val="6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Pág. </w:t>
    </w:r>
    <w:r>
      <w:rPr>
        <w:rStyle w:val="4"/>
        <w:rFonts w:ascii="Verdana" w:hAnsi="Verdana"/>
        <w:sz w:val="18"/>
        <w:szCs w:val="18"/>
      </w:rPr>
      <w:fldChar w:fldCharType="begin"/>
    </w:r>
    <w:r>
      <w:rPr>
        <w:rStyle w:val="4"/>
        <w:rFonts w:ascii="Verdana" w:hAnsi="Verdana"/>
        <w:sz w:val="18"/>
        <w:szCs w:val="18"/>
      </w:rPr>
      <w:instrText xml:space="preserve"> PAGE </w:instrText>
    </w:r>
    <w:r>
      <w:rPr>
        <w:rStyle w:val="4"/>
        <w:rFonts w:ascii="Verdana" w:hAnsi="Verdana"/>
        <w:sz w:val="18"/>
        <w:szCs w:val="18"/>
      </w:rPr>
      <w:fldChar w:fldCharType="separate"/>
    </w:r>
    <w:r>
      <w:rPr>
        <w:rStyle w:val="4"/>
        <w:rFonts w:ascii="Verdana" w:hAnsi="Verdana"/>
        <w:sz w:val="18"/>
        <w:szCs w:val="18"/>
      </w:rPr>
      <w:t>1</w:t>
    </w:r>
    <w:r>
      <w:rPr>
        <w:rStyle w:val="4"/>
        <w:rFonts w:ascii="Verdana" w:hAnsi="Verdana"/>
        <w:sz w:val="18"/>
        <w:szCs w:val="18"/>
      </w:rPr>
      <w:fldChar w:fldCharType="end"/>
    </w:r>
    <w:r>
      <w:rPr>
        <w:rStyle w:val="4"/>
        <w:rFonts w:ascii="Verdana" w:hAnsi="Verdana"/>
        <w:sz w:val="18"/>
        <w:szCs w:val="18"/>
      </w:rPr>
      <w:t>/</w:t>
    </w:r>
    <w:r>
      <w:rPr>
        <w:rStyle w:val="4"/>
        <w:rFonts w:ascii="Verdana" w:hAnsi="Verdana"/>
        <w:sz w:val="18"/>
        <w:szCs w:val="18"/>
      </w:rPr>
      <w:fldChar w:fldCharType="begin"/>
    </w:r>
    <w:r>
      <w:rPr>
        <w:rStyle w:val="4"/>
        <w:rFonts w:ascii="Verdana" w:hAnsi="Verdana"/>
        <w:sz w:val="18"/>
        <w:szCs w:val="18"/>
      </w:rPr>
      <w:instrText xml:space="preserve"> NUMPAGES </w:instrText>
    </w:r>
    <w:r>
      <w:rPr>
        <w:rStyle w:val="4"/>
        <w:rFonts w:ascii="Verdana" w:hAnsi="Verdana"/>
        <w:sz w:val="18"/>
        <w:szCs w:val="18"/>
      </w:rPr>
      <w:fldChar w:fldCharType="separate"/>
    </w:r>
    <w:r>
      <w:rPr>
        <w:rStyle w:val="4"/>
        <w:rFonts w:ascii="Verdana" w:hAnsi="Verdana"/>
        <w:sz w:val="18"/>
        <w:szCs w:val="18"/>
      </w:rPr>
      <w:t>4</w:t>
    </w:r>
    <w:r>
      <w:rPr>
        <w:rStyle w:val="4"/>
        <w:rFonts w:ascii="Verdana" w:hAnsi="Verdana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775C7">
    <w:pPr>
      <w:pStyle w:val="5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Processo n.º </w:t>
    </w:r>
    <w:r>
      <w:rPr>
        <w:rFonts w:asciiTheme="minorHAnsi" w:hAnsiTheme="minorHAnsi" w:cstheme="minorHAnsi"/>
        <w:bCs/>
        <w:sz w:val="22"/>
        <w:szCs w:val="22"/>
      </w:rPr>
      <w:t>23069.156633/2025-49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11"/>
    <w:rsid w:val="0000760E"/>
    <w:rsid w:val="00015AC8"/>
    <w:rsid w:val="000421C0"/>
    <w:rsid w:val="0006060C"/>
    <w:rsid w:val="000812A5"/>
    <w:rsid w:val="000B7F4E"/>
    <w:rsid w:val="000C0F86"/>
    <w:rsid w:val="00106AE1"/>
    <w:rsid w:val="001208CF"/>
    <w:rsid w:val="001218EE"/>
    <w:rsid w:val="001315D6"/>
    <w:rsid w:val="00151B2E"/>
    <w:rsid w:val="00172641"/>
    <w:rsid w:val="00173E1B"/>
    <w:rsid w:val="001807E4"/>
    <w:rsid w:val="00190E3C"/>
    <w:rsid w:val="001A1161"/>
    <w:rsid w:val="001A6235"/>
    <w:rsid w:val="001C198F"/>
    <w:rsid w:val="001D7F90"/>
    <w:rsid w:val="001E1F01"/>
    <w:rsid w:val="00203C9A"/>
    <w:rsid w:val="002220E1"/>
    <w:rsid w:val="00234E42"/>
    <w:rsid w:val="0027193E"/>
    <w:rsid w:val="00272694"/>
    <w:rsid w:val="00274871"/>
    <w:rsid w:val="002817CB"/>
    <w:rsid w:val="0029364D"/>
    <w:rsid w:val="002B7069"/>
    <w:rsid w:val="002B7646"/>
    <w:rsid w:val="002D2AB6"/>
    <w:rsid w:val="002D43CF"/>
    <w:rsid w:val="002D6AF4"/>
    <w:rsid w:val="00321329"/>
    <w:rsid w:val="00323514"/>
    <w:rsid w:val="00391440"/>
    <w:rsid w:val="00397552"/>
    <w:rsid w:val="003B11F0"/>
    <w:rsid w:val="003E15B3"/>
    <w:rsid w:val="00462850"/>
    <w:rsid w:val="00490943"/>
    <w:rsid w:val="004C6111"/>
    <w:rsid w:val="004C6724"/>
    <w:rsid w:val="004D37D0"/>
    <w:rsid w:val="004D6AAB"/>
    <w:rsid w:val="004F0853"/>
    <w:rsid w:val="004F0990"/>
    <w:rsid w:val="00507FEB"/>
    <w:rsid w:val="005133D8"/>
    <w:rsid w:val="0051395B"/>
    <w:rsid w:val="00543A19"/>
    <w:rsid w:val="00544124"/>
    <w:rsid w:val="00566C72"/>
    <w:rsid w:val="005726CE"/>
    <w:rsid w:val="00583B99"/>
    <w:rsid w:val="005849FF"/>
    <w:rsid w:val="00593F25"/>
    <w:rsid w:val="005E16A2"/>
    <w:rsid w:val="005F5B01"/>
    <w:rsid w:val="00606497"/>
    <w:rsid w:val="00625964"/>
    <w:rsid w:val="00633EE8"/>
    <w:rsid w:val="006765BD"/>
    <w:rsid w:val="006767AE"/>
    <w:rsid w:val="006C344B"/>
    <w:rsid w:val="006C4805"/>
    <w:rsid w:val="006E0379"/>
    <w:rsid w:val="00705221"/>
    <w:rsid w:val="00711236"/>
    <w:rsid w:val="00777AAE"/>
    <w:rsid w:val="00787221"/>
    <w:rsid w:val="007B4E6A"/>
    <w:rsid w:val="007D6D01"/>
    <w:rsid w:val="007F4959"/>
    <w:rsid w:val="007F7476"/>
    <w:rsid w:val="00802210"/>
    <w:rsid w:val="00817305"/>
    <w:rsid w:val="0082090E"/>
    <w:rsid w:val="0083073C"/>
    <w:rsid w:val="008A7E9B"/>
    <w:rsid w:val="008A7FC6"/>
    <w:rsid w:val="008B1EB9"/>
    <w:rsid w:val="008D267C"/>
    <w:rsid w:val="008F5ED0"/>
    <w:rsid w:val="00910C62"/>
    <w:rsid w:val="00926B5F"/>
    <w:rsid w:val="009306D8"/>
    <w:rsid w:val="00931D50"/>
    <w:rsid w:val="009404B8"/>
    <w:rsid w:val="0096600C"/>
    <w:rsid w:val="0098505C"/>
    <w:rsid w:val="00985387"/>
    <w:rsid w:val="009C2015"/>
    <w:rsid w:val="009C2612"/>
    <w:rsid w:val="009D71E4"/>
    <w:rsid w:val="00A233C1"/>
    <w:rsid w:val="00A25DAE"/>
    <w:rsid w:val="00A32286"/>
    <w:rsid w:val="00A4192B"/>
    <w:rsid w:val="00AA04E4"/>
    <w:rsid w:val="00AB3077"/>
    <w:rsid w:val="00AB50AB"/>
    <w:rsid w:val="00AE7BDB"/>
    <w:rsid w:val="00AF5572"/>
    <w:rsid w:val="00B00D4C"/>
    <w:rsid w:val="00B019FB"/>
    <w:rsid w:val="00B031C6"/>
    <w:rsid w:val="00B10BBC"/>
    <w:rsid w:val="00B10DC9"/>
    <w:rsid w:val="00B32EFF"/>
    <w:rsid w:val="00B406B6"/>
    <w:rsid w:val="00B60E03"/>
    <w:rsid w:val="00B61346"/>
    <w:rsid w:val="00B61711"/>
    <w:rsid w:val="00BA08CB"/>
    <w:rsid w:val="00BD2623"/>
    <w:rsid w:val="00C5291D"/>
    <w:rsid w:val="00CE33B4"/>
    <w:rsid w:val="00CE7C3E"/>
    <w:rsid w:val="00D147C3"/>
    <w:rsid w:val="00D260DC"/>
    <w:rsid w:val="00D450F8"/>
    <w:rsid w:val="00D604FB"/>
    <w:rsid w:val="00D7104C"/>
    <w:rsid w:val="00D821AC"/>
    <w:rsid w:val="00DC0E45"/>
    <w:rsid w:val="00DC68D6"/>
    <w:rsid w:val="00DF084A"/>
    <w:rsid w:val="00E203D1"/>
    <w:rsid w:val="00E30E8C"/>
    <w:rsid w:val="00E5524D"/>
    <w:rsid w:val="00E55655"/>
    <w:rsid w:val="00E90337"/>
    <w:rsid w:val="00EB1722"/>
    <w:rsid w:val="00EE40AD"/>
    <w:rsid w:val="00F56666"/>
    <w:rsid w:val="00F82B56"/>
    <w:rsid w:val="00FA770B"/>
    <w:rsid w:val="00FB7533"/>
    <w:rsid w:val="00FC65B5"/>
    <w:rsid w:val="00FE21AB"/>
    <w:rsid w:val="5E16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qFormat/>
    <w:uiPriority w:val="0"/>
  </w:style>
  <w:style w:type="paragraph" w:styleId="5">
    <w:name w:val="header"/>
    <w:basedOn w:val="1"/>
    <w:link w:val="9"/>
    <w:qFormat/>
    <w:uiPriority w:val="99"/>
    <w:pPr>
      <w:tabs>
        <w:tab w:val="center" w:pos="4419"/>
        <w:tab w:val="right" w:pos="8838"/>
      </w:tabs>
    </w:pPr>
  </w:style>
  <w:style w:type="paragraph" w:styleId="6">
    <w:name w:val="footer"/>
    <w:basedOn w:val="1"/>
    <w:qFormat/>
    <w:uiPriority w:val="0"/>
    <w:pPr>
      <w:tabs>
        <w:tab w:val="center" w:pos="4419"/>
        <w:tab w:val="right" w:pos="8838"/>
      </w:tabs>
    </w:pPr>
  </w:style>
  <w:style w:type="paragraph" w:styleId="7">
    <w:name w:val="Balloon Text"/>
    <w:basedOn w:val="1"/>
    <w:link w:val="8"/>
    <w:qFormat/>
    <w:uiPriority w:val="0"/>
    <w:rPr>
      <w:rFonts w:ascii="Tahoma" w:hAnsi="Tahoma" w:cs="Tahoma"/>
      <w:sz w:val="16"/>
      <w:szCs w:val="16"/>
    </w:rPr>
  </w:style>
  <w:style w:type="character" w:customStyle="1" w:styleId="8">
    <w:name w:val="Texto de balão Char"/>
    <w:basedOn w:val="2"/>
    <w:link w:val="7"/>
    <w:qFormat/>
    <w:uiPriority w:val="0"/>
    <w:rPr>
      <w:rFonts w:ascii="Tahoma" w:hAnsi="Tahoma" w:cs="Tahoma"/>
      <w:sz w:val="16"/>
      <w:szCs w:val="16"/>
    </w:rPr>
  </w:style>
  <w:style w:type="character" w:customStyle="1" w:styleId="9">
    <w:name w:val="Cabeçalho Char"/>
    <w:basedOn w:val="2"/>
    <w:link w:val="5"/>
    <w:qFormat/>
    <w:uiPriority w:val="99"/>
    <w:rPr>
      <w:sz w:val="24"/>
      <w:szCs w:val="24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Universidade Federal Fluminense</Company>
  <Pages>4</Pages>
  <Words>1576</Words>
  <Characters>8993</Characters>
  <Lines>74</Lines>
  <Paragraphs>21</Paragraphs>
  <TotalTime>0</TotalTime>
  <ScaleCrop>false</ScaleCrop>
  <LinksUpToDate>false</LinksUpToDate>
  <CharactersWithSpaces>10500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2023-04-01T05:27:00Z</dcterms:created>
  <dc:creator>CPL 3</dc:creator>
  <cp:lastModifiedBy>Hellen de Lima Medeiros da Silva</cp:lastModifiedBy>
  <cp:lastPrinted>2026-06-25T14:14:00Z</cp:lastPrinted>
  <dcterms:modified xsi:type="dcterms:W3CDTF">2026-07-02T14:32:47Z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eyJoZGlkIjoiMWY2MDQwZDk1YTNhOGIxYzIwNWI3Zjg2NTEzY2Q4OWUiLCJ1c2VySWQiOiIxMjM2OTUxMzI3NjYwIn0=</vt:lpwstr>
  </property>
  <property fmtid="{D5CDD505-2E9C-101B-9397-08002B2CF9AE}" pid="3" name="KSOProductBuildVer">
    <vt:lpwstr>1046-12.1.0.26880</vt:lpwstr>
  </property>
  <property fmtid="{D5CDD505-2E9C-101B-9397-08002B2CF9AE}" pid="4" name="ICV">
    <vt:lpwstr>5C88C4DE70514357B813B9FDFE6C3D63_12</vt:lpwstr>
  </property>
</Properties>
</file>