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7A3C1">
      <w:pPr>
        <w:pStyle w:val="18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 w:type="textWrapping"/>
      </w:r>
    </w:p>
    <w:p w14:paraId="19F1D71E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6DD64F9F">
      <w:pPr>
        <w:pStyle w:val="2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51B969AB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511795F8">
      <w:pPr>
        <w:pStyle w:val="55"/>
        <w:rPr>
          <w:rFonts w:asciiTheme="minorHAnsi" w:hAnsiTheme="minorHAnsi"/>
          <w:b/>
        </w:rPr>
      </w:pPr>
    </w:p>
    <w:p w14:paraId="10E12490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PREGÃO ELETRÔNICO Nº 90.</w:t>
      </w:r>
      <w:r>
        <w:rPr>
          <w:rFonts w:hint="default" w:asciiTheme="minorHAnsi" w:hAnsiTheme="minorHAnsi" w:cstheme="minorHAnsi"/>
          <w:b/>
          <w:sz w:val="24"/>
          <w:szCs w:val="24"/>
          <w:lang w:val="pt-BR"/>
        </w:rPr>
        <w:t>029</w:t>
      </w:r>
      <w:bookmarkStart w:id="1" w:name="_GoBack"/>
      <w:bookmarkEnd w:id="1"/>
      <w:r>
        <w:rPr>
          <w:rFonts w:asciiTheme="minorHAnsi" w:hAnsiTheme="minorHAnsi" w:cstheme="minorHAnsi"/>
          <w:b/>
          <w:sz w:val="24"/>
          <w:szCs w:val="24"/>
        </w:rPr>
        <w:t>/2026</w:t>
      </w:r>
    </w:p>
    <w:p w14:paraId="28445725">
      <w:pPr>
        <w:pStyle w:val="55"/>
        <w:rPr>
          <w:rFonts w:asciiTheme="minorHAnsi" w:hAnsiTheme="minorHAnsi"/>
          <w:b/>
        </w:rPr>
      </w:pPr>
    </w:p>
    <w:p w14:paraId="60CFEE12">
      <w:pPr>
        <w:pStyle w:val="6"/>
        <w:rPr>
          <w:rFonts w:cs="Arial" w:asciiTheme="minorHAnsi" w:hAnsiTheme="minorHAnsi"/>
          <w:sz w:val="24"/>
          <w:szCs w:val="24"/>
          <w:u w:val="none"/>
        </w:rPr>
      </w:pPr>
      <w:r>
        <w:rPr>
          <w:rFonts w:cs="Arial" w:asciiTheme="minorHAnsi" w:hAnsiTheme="minorHAnsi"/>
          <w:sz w:val="24"/>
          <w:szCs w:val="24"/>
          <w:u w:val="none"/>
        </w:rPr>
        <w:t>ANEXO  X DO EDITAL</w:t>
      </w:r>
    </w:p>
    <w:p w14:paraId="23ED1B42">
      <w:pPr>
        <w:rPr>
          <w:lang w:val="pt-PT"/>
        </w:rPr>
      </w:pPr>
    </w:p>
    <w:p w14:paraId="5A3B69F9">
      <w:pPr>
        <w:rPr>
          <w:lang w:val="pt-PT"/>
        </w:rPr>
      </w:pPr>
    </w:p>
    <w:p w14:paraId="345D5BBC">
      <w:pPr>
        <w:pStyle w:val="6"/>
        <w:rPr>
          <w:rFonts w:cs="Arial" w:asciiTheme="minorHAnsi" w:hAnsiTheme="minorHAnsi"/>
          <w:sz w:val="16"/>
          <w:szCs w:val="16"/>
        </w:rPr>
      </w:pPr>
    </w:p>
    <w:p w14:paraId="7C9512CF">
      <w:pPr>
        <w:pStyle w:val="6"/>
        <w:rPr>
          <w:rFonts w:cs="Arial" w:asciiTheme="minorHAnsi" w:hAnsiTheme="minorHAnsi"/>
          <w:sz w:val="20"/>
        </w:rPr>
      </w:pPr>
      <w:r>
        <w:rPr>
          <w:rFonts w:cs="Arial" w:asciiTheme="minorHAnsi" w:hAnsiTheme="minorHAnsi"/>
          <w:sz w:val="20"/>
        </w:rPr>
        <w:t>MEMÓRIA DE CÁLCULO DA PLANILHA DE CUSTO E FORMAÇÃO DE PREÇO</w:t>
      </w:r>
    </w:p>
    <w:p w14:paraId="7DFF9564">
      <w:pPr>
        <w:rPr>
          <w:rFonts w:cs="Arial" w:asciiTheme="minorHAnsi" w:hAnsiTheme="minorHAnsi"/>
          <w:sz w:val="16"/>
          <w:szCs w:val="16"/>
          <w:lang w:val="pt-PT"/>
        </w:rPr>
      </w:pPr>
    </w:p>
    <w:p w14:paraId="511329D1">
      <w:pPr>
        <w:rPr>
          <w:rFonts w:cs="Arial" w:asciiTheme="minorHAnsi" w:hAnsiTheme="minorHAnsi"/>
          <w:b/>
          <w:sz w:val="16"/>
          <w:szCs w:val="16"/>
          <w:u w:val="single"/>
          <w:lang w:val="pt-PT"/>
        </w:rPr>
      </w:pPr>
    </w:p>
    <w:p w14:paraId="673826F1">
      <w:pPr>
        <w:pStyle w:val="61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703ADA98">
      <w:pPr>
        <w:pStyle w:val="55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1CE0DA67">
      <w:pPr>
        <w:pStyle w:val="55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79276B85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7854BFCE">
      <w:pPr>
        <w:rPr>
          <w:rFonts w:ascii="Calibri" w:hAnsi="Calibri" w:cs="Arial"/>
          <w:sz w:val="22"/>
          <w:szCs w:val="22"/>
        </w:rPr>
      </w:pPr>
    </w:p>
    <w:p w14:paraId="664F30A7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070A6963">
      <w:pPr>
        <w:pStyle w:val="55"/>
        <w:jc w:val="both"/>
        <w:rPr>
          <w:rStyle w:val="36"/>
          <w:rFonts w:ascii="Calibri" w:hAnsi="Calibri"/>
          <w:sz w:val="22"/>
          <w:szCs w:val="22"/>
        </w:rPr>
      </w:pPr>
    </w:p>
    <w:p w14:paraId="3579B1F7">
      <w:pPr>
        <w:pStyle w:val="55"/>
        <w:jc w:val="both"/>
        <w:rPr>
          <w:rStyle w:val="36"/>
          <w:rFonts w:ascii="Calibri" w:hAnsi="Calibri"/>
          <w:sz w:val="22"/>
          <w:szCs w:val="22"/>
        </w:rPr>
      </w:pPr>
      <w:r>
        <w:rPr>
          <w:rStyle w:val="36"/>
          <w:rFonts w:ascii="Calibri" w:hAnsi="Calibri"/>
          <w:sz w:val="22"/>
          <w:szCs w:val="22"/>
        </w:rPr>
        <w:t xml:space="preserve">A 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Os valores dos salários e benefícios dos profissionais previstos neste Edital foram considerados de acordo com o estabelecido </w:t>
      </w:r>
      <w:r>
        <w:rPr>
          <w:rStyle w:val="36"/>
          <w:rFonts w:ascii="Calibri" w:hAnsi="Calibri"/>
          <w:b/>
          <w:bCs/>
          <w:sz w:val="22"/>
          <w:szCs w:val="22"/>
        </w:rPr>
        <w:t>SINDICATO DOS TRABALHADORES NAS EMPRESAS DE REFEIÇÃO COLETIVAS REF. RÁPIDAS E AFINSDO ESTADO DO RIO DE JANEIRO</w:t>
      </w:r>
      <w:r>
        <w:rPr>
          <w:rStyle w:val="36"/>
          <w:rFonts w:ascii="Calibri" w:hAnsi="Calibri"/>
          <w:sz w:val="22"/>
          <w:szCs w:val="22"/>
        </w:rPr>
        <w:t xml:space="preserve">, por meio da Convenção Coletiva de Trabalho 2025/2027, registrada sob o nº </w:t>
      </w:r>
      <w:r>
        <w:rPr>
          <w:rStyle w:val="36"/>
          <w:rFonts w:ascii="Calibri" w:hAnsi="Calibri"/>
          <w:b/>
          <w:sz w:val="22"/>
          <w:szCs w:val="22"/>
        </w:rPr>
        <w:t>RJ003145/2025</w:t>
      </w:r>
      <w:r>
        <w:rPr>
          <w:rStyle w:val="36"/>
          <w:rFonts w:ascii="Calibri" w:hAnsi="Calibri"/>
          <w:sz w:val="22"/>
          <w:szCs w:val="22"/>
        </w:rPr>
        <w:t>.</w:t>
      </w:r>
    </w:p>
    <w:p w14:paraId="18AD10A6">
      <w:pPr>
        <w:pStyle w:val="55"/>
        <w:jc w:val="both"/>
        <w:rPr>
          <w:rStyle w:val="36"/>
          <w:rFonts w:ascii="Calibri" w:hAnsi="Calibri"/>
          <w:sz w:val="22"/>
          <w:szCs w:val="22"/>
        </w:rPr>
      </w:pPr>
    </w:p>
    <w:p w14:paraId="42646175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b/>
          <w:bCs/>
          <w:iCs/>
          <w:color w:val="FF0000"/>
          <w:lang w:eastAsia="en-US"/>
        </w:rPr>
      </w:pPr>
      <w:r>
        <w:rPr>
          <w:rFonts w:asciiTheme="minorHAnsi" w:hAnsiTheme="minorHAnsi" w:cstheme="minorHAnsi"/>
          <w:b/>
          <w:bCs/>
          <w:iCs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>
        <w:rPr>
          <w:rFonts w:asciiTheme="minorHAnsi" w:hAnsiTheme="minorHAnsi" w:cstheme="minorHAnsi"/>
          <w:b/>
          <w:bCs/>
          <w:iCs/>
          <w:color w:val="FF0000"/>
          <w:sz w:val="22"/>
          <w:szCs w:val="22"/>
        </w:rPr>
        <w:t>acordos, dissídios ou</w:t>
      </w:r>
      <w:r>
        <w:rPr>
          <w:rFonts w:asciiTheme="minorHAnsi" w:hAnsiTheme="minorHAnsi" w:cstheme="minorHAnsi"/>
          <w:b/>
          <w:bCs/>
          <w:iCs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>
        <w:rPr>
          <w:rFonts w:cs="Arial"/>
          <w:b/>
          <w:bCs/>
          <w:iCs/>
          <w:color w:val="FF0000"/>
          <w:lang w:eastAsia="en-US"/>
        </w:rPr>
        <w:t xml:space="preserve"> </w:t>
      </w:r>
    </w:p>
    <w:p w14:paraId="5823EBB2">
      <w:pPr>
        <w:tabs>
          <w:tab w:val="left" w:pos="2552"/>
        </w:tabs>
        <w:spacing w:before="120" w:after="120" w:line="276" w:lineRule="auto"/>
        <w:ind w:right="-15"/>
        <w:jc w:val="both"/>
        <w:rPr>
          <w:rFonts w:asciiTheme="minorHAnsi" w:hAnsiTheme="minorHAnsi" w:cstheme="minorHAnsi"/>
          <w:iCs/>
          <w:color w:val="FF0000"/>
          <w:sz w:val="22"/>
          <w:szCs w:val="22"/>
          <w:lang w:eastAsia="en-US"/>
        </w:rPr>
      </w:pPr>
      <w:r>
        <w:rPr>
          <w:rFonts w:asciiTheme="minorHAnsi" w:hAnsiTheme="minorHAnsi" w:cstheme="minorHAnsi"/>
          <w:iCs/>
          <w:color w:val="FF0000"/>
          <w:sz w:val="22"/>
          <w:szCs w:val="22"/>
          <w:lang w:eastAsia="en-US"/>
        </w:rPr>
        <w:t>Considerando o previsto na IN 176/2024 e a IN SEGES/MGI 147/2026, para esta licitação, os custos mínimos relevantes serão os valores registrados na planilha para o salário base + alimentação + Reembolso Creche (R$526,64).  Porém, considerando que a CCT RJ003145/2025, em sua Cláusula 18ª estabelece um valor mais benéfico ao trabalhador no valor de R$774,40 para filhos até 36 meses de vida, e considerando que trata-se de uma rubrica estimada, será mantido o valor da CCT, e em caso de crianças acima de 36 meses e abaixo de 72 meses, será reembolsado o valor estabelecido na IN 176/2024.</w:t>
      </w:r>
    </w:p>
    <w:p w14:paraId="7515EEF1">
      <w:pPr>
        <w:tabs>
          <w:tab w:val="left" w:pos="2552"/>
        </w:tabs>
        <w:spacing w:before="120" w:after="120" w:line="276" w:lineRule="auto"/>
        <w:ind w:right="-15"/>
        <w:jc w:val="both"/>
        <w:rPr>
          <w:rFonts w:asciiTheme="minorHAnsi" w:hAnsiTheme="minorHAnsi" w:cstheme="minorHAnsi"/>
          <w:iCs/>
          <w:color w:val="FF0000"/>
          <w:sz w:val="22"/>
          <w:szCs w:val="22"/>
          <w:lang w:eastAsia="en-US"/>
        </w:rPr>
      </w:pPr>
      <w:r>
        <w:rPr>
          <w:rFonts w:asciiTheme="minorHAnsi" w:hAnsiTheme="minorHAnsi" w:cstheme="minorHAnsi"/>
          <w:iCs/>
          <w:color w:val="FF0000"/>
          <w:sz w:val="22"/>
          <w:szCs w:val="22"/>
          <w:lang w:eastAsia="en-US"/>
        </w:rPr>
        <w:t xml:space="preserve">Considerando esta contratação em 1 item, definiu-se a seguinte base de cálculo, que em caso insuficiente quando da execução do Contrato, poderá ser apostilado, mediante comprovação dos benefícios. </w:t>
      </w:r>
    </w:p>
    <w:p w14:paraId="78DB3B99">
      <w:pPr>
        <w:tabs>
          <w:tab w:val="left" w:pos="2552"/>
        </w:tabs>
        <w:spacing w:before="120" w:after="120" w:line="276" w:lineRule="auto"/>
        <w:ind w:right="-15"/>
        <w:jc w:val="both"/>
        <w:rPr>
          <w:rFonts w:asciiTheme="minorHAnsi" w:hAnsiTheme="minorHAnsi" w:cstheme="minorHAnsi"/>
          <w:iCs/>
          <w:color w:val="FF0000"/>
          <w:sz w:val="22"/>
          <w:szCs w:val="22"/>
          <w:lang w:eastAsia="en-US"/>
        </w:rPr>
      </w:pPr>
      <w:r>
        <w:rPr>
          <w:rFonts w:asciiTheme="minorHAnsi" w:hAnsiTheme="minorHAnsi" w:cstheme="minorHAnsi"/>
          <w:iCs/>
          <w:color w:val="FF0000"/>
          <w:sz w:val="22"/>
          <w:szCs w:val="22"/>
          <w:lang w:eastAsia="en-US"/>
        </w:rPr>
        <w:t>Item 1: 29 trabalhadores (aproximadamente 20% do total de postos).</w:t>
      </w:r>
    </w:p>
    <w:p w14:paraId="36339DA4">
      <w:pPr>
        <w:tabs>
          <w:tab w:val="left" w:pos="2552"/>
        </w:tabs>
        <w:spacing w:before="120" w:after="120" w:line="276" w:lineRule="auto"/>
        <w:ind w:right="-15"/>
        <w:jc w:val="both"/>
        <w:rPr>
          <w:rFonts w:asciiTheme="minorHAnsi" w:hAnsiTheme="minorHAnsi" w:cstheme="minorHAnsi"/>
          <w:iCs/>
          <w:color w:val="FF0000"/>
          <w:sz w:val="22"/>
          <w:szCs w:val="22"/>
          <w:lang w:eastAsia="en-US"/>
        </w:rPr>
      </w:pPr>
      <w:r>
        <w:rPr>
          <w:rFonts w:asciiTheme="minorHAnsi" w:hAnsiTheme="minorHAnsi" w:cstheme="minorHAnsi"/>
          <w:iCs/>
          <w:color w:val="FF0000"/>
          <w:sz w:val="22"/>
          <w:szCs w:val="22"/>
          <w:lang w:eastAsia="en-US"/>
        </w:rPr>
        <w:t xml:space="preserve">Custos Mínimos Relevantes que não poderão ser alterados pela Licitante: Valor do Salário, Auxílio Alimentação, Vale Transporte, Auxílio Creche e Amparo Social Familiar, Benefício e Cidadania, Telessaude e Clube de Vantagens. </w:t>
      </w:r>
    </w:p>
    <w:p w14:paraId="1FFBA557">
      <w:pPr>
        <w:pStyle w:val="55"/>
        <w:jc w:val="both"/>
        <w:rPr>
          <w:rStyle w:val="36"/>
          <w:rFonts w:ascii="Calibri" w:hAnsi="Calibri"/>
          <w:bCs/>
          <w:sz w:val="22"/>
          <w:szCs w:val="22"/>
        </w:rPr>
      </w:pPr>
      <w:r>
        <w:rPr>
          <w:rStyle w:val="36"/>
          <w:rFonts w:ascii="Calibri" w:hAnsi="Calibri"/>
          <w:sz w:val="22"/>
          <w:szCs w:val="22"/>
        </w:rPr>
        <w:t>Observação: Conforme CCTs Abaixo</w:t>
      </w:r>
      <w:r>
        <w:rPr>
          <w:rStyle w:val="36"/>
          <w:rFonts w:ascii="Calibri" w:hAnsi="Calibri"/>
          <w:b/>
          <w:sz w:val="22"/>
          <w:szCs w:val="22"/>
        </w:rPr>
        <w:t xml:space="preserve">, </w:t>
      </w:r>
      <w:r>
        <w:rPr>
          <w:rStyle w:val="36"/>
          <w:rFonts w:ascii="Calibri" w:hAnsi="Calibri"/>
          <w:bCs/>
          <w:sz w:val="22"/>
          <w:szCs w:val="22"/>
        </w:rPr>
        <w:t>o salário dos profissionais será:</w:t>
      </w:r>
    </w:p>
    <w:p w14:paraId="564AD79A">
      <w:pPr>
        <w:pStyle w:val="55"/>
        <w:jc w:val="both"/>
        <w:rPr>
          <w:rStyle w:val="36"/>
          <w:rFonts w:ascii="Calibri" w:hAnsi="Calibri"/>
          <w:bCs/>
          <w:sz w:val="22"/>
          <w:szCs w:val="22"/>
        </w:rPr>
      </w:pPr>
    </w:p>
    <w:tbl>
      <w:tblPr>
        <w:tblStyle w:val="8"/>
        <w:tblW w:w="8318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565"/>
        <w:gridCol w:w="3394"/>
        <w:gridCol w:w="1560"/>
        <w:gridCol w:w="1559"/>
        <w:gridCol w:w="1240"/>
      </w:tblGrid>
      <w:tr w14:paraId="4BE90C12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900" w:hRule="atLeast"/>
        </w:trPr>
        <w:tc>
          <w:tcPr>
            <w:tcW w:w="5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B4C6E7"/>
            <w:vAlign w:val="center"/>
          </w:tcPr>
          <w:p w14:paraId="0237A0B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39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4C6E7"/>
            <w:vAlign w:val="center"/>
          </w:tcPr>
          <w:p w14:paraId="2B1E67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Descrição/Especificação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4C6E7"/>
            <w:vAlign w:val="center"/>
          </w:tcPr>
          <w:p w14:paraId="48746D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Quantidade de Pessoal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4C6E7"/>
            <w:vAlign w:val="center"/>
          </w:tcPr>
          <w:p w14:paraId="359E1D0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CCT  RJ003145/2025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B4C6E7"/>
            <w:vAlign w:val="center"/>
          </w:tcPr>
          <w:p w14:paraId="65781C7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Média</w:t>
            </w:r>
          </w:p>
        </w:tc>
      </w:tr>
      <w:tr w14:paraId="1CB0779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0FE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B55C80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Almoxarife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AA7790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53B999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R$ 2.156,00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5EEBF20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R$ 2.156,00</w:t>
            </w:r>
          </w:p>
        </w:tc>
      </w:tr>
      <w:tr w14:paraId="3432F17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8CA8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E5B6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Auxiliar de Almoxarife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F49D3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6F40F0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R$ 1.997,60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42438AD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R$ 1.997,60</w:t>
            </w:r>
          </w:p>
        </w:tc>
      </w:tr>
      <w:tr w14:paraId="60F168C9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5358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C3155E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Supervisor de Restaurante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17A01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1266B17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R$ 2.622,40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4BA7018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R$ 2.622,40</w:t>
            </w:r>
          </w:p>
        </w:tc>
      </w:tr>
      <w:tr w14:paraId="63546901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DC65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BE6027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Magarefe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7B97A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1474BEB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R$ 2.156,00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5DAA24D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R$ 2.156,00</w:t>
            </w:r>
          </w:p>
        </w:tc>
      </w:tr>
      <w:tr w14:paraId="1E5A867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D32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A43607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Auxiliar de Magarefe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B96EC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26DC9A8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R$ 1.997,60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1A25271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R$ 1.997,60</w:t>
            </w:r>
          </w:p>
        </w:tc>
      </w:tr>
      <w:tr w14:paraId="77B8A023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436A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126954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Cozinheiro Industrial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FBD9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4FF9304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R$ 2.156,00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09CF7B4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R$ 2.156,00</w:t>
            </w:r>
          </w:p>
        </w:tc>
      </w:tr>
      <w:tr w14:paraId="11197FCF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4670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50A126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Auxiliar de Alimentação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431E7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56F3F9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R$ 1.962,40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0F10C31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R$ 1.962,40</w:t>
            </w:r>
          </w:p>
        </w:tc>
      </w:tr>
      <w:tr w14:paraId="058B637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8E6F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259F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Auxiliar de Serviços Manutenção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D3363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62D2FC9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R$ 1.962,40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2509D7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R$ 1.962,40</w:t>
            </w:r>
          </w:p>
        </w:tc>
      </w:tr>
      <w:tr w14:paraId="65EBBCC9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394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276FB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Operador de Caixa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F4EBF0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060C1BB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R$ 1.962,40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508A55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R$ 1.962,40</w:t>
            </w:r>
          </w:p>
        </w:tc>
      </w:tr>
      <w:tr w14:paraId="6F066A0A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6586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39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 w14:paraId="316ABBD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Auxiliar Suprimentos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B4FF1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CC" w:fill="FFFFFF"/>
            <w:noWrap/>
            <w:vAlign w:val="center"/>
          </w:tcPr>
          <w:p w14:paraId="48AA38D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R$ 2.156,00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FFFFCC" w:fill="FFFFFF"/>
            <w:noWrap/>
            <w:vAlign w:val="center"/>
          </w:tcPr>
          <w:p w14:paraId="0D757B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R$ 2.156,00</w:t>
            </w:r>
          </w:p>
        </w:tc>
      </w:tr>
      <w:tr w14:paraId="0D138A7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395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41F046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14F7FC1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bottom"/>
          </w:tcPr>
          <w:p w14:paraId="088EEC0E">
            <w:pPr>
              <w:jc w:val="center"/>
              <w:rPr>
                <w:rFonts w:ascii="Verdana" w:hAnsi="Verdana" w:cs="Calibri"/>
              </w:rPr>
            </w:pPr>
            <w:r>
              <w:rPr>
                <w:rFonts w:ascii="Verdana" w:hAnsi="Verdana" w:cs="Calibri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bottom"/>
          </w:tcPr>
          <w:p w14:paraId="71CAD32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389E84C7">
      <w:pPr>
        <w:pStyle w:val="55"/>
        <w:jc w:val="both"/>
        <w:rPr>
          <w:rStyle w:val="36"/>
          <w:rFonts w:ascii="Calibri" w:hAnsi="Calibri"/>
          <w:bCs/>
          <w:sz w:val="22"/>
          <w:szCs w:val="22"/>
          <w:highlight w:val="yellow"/>
        </w:rPr>
      </w:pPr>
    </w:p>
    <w:p w14:paraId="467C95FB">
      <w:pPr>
        <w:pStyle w:val="55"/>
        <w:jc w:val="both"/>
        <w:rPr>
          <w:rStyle w:val="36"/>
          <w:rFonts w:ascii="Calibri" w:hAnsi="Calibri"/>
          <w:bCs/>
          <w:sz w:val="22"/>
          <w:szCs w:val="22"/>
          <w:highlight w:val="yellow"/>
        </w:rPr>
      </w:pPr>
    </w:p>
    <w:p w14:paraId="7A4714C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13F4BFB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Poderá ser alvo de reequilíbrio após apresentação de laudo, mediante apresentação de laudo do SESMET das empresas prestadoras de serviço que considere os respectivos locais insalubres.</w:t>
      </w:r>
    </w:p>
    <w:p w14:paraId="2F6C2D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641FDC1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354A832B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sz w:val="22"/>
          <w:szCs w:val="22"/>
        </w:rPr>
        <w:t>Não há previsão de serviços noturnos.</w:t>
      </w:r>
    </w:p>
    <w:p w14:paraId="0696E04B">
      <w:pPr>
        <w:spacing w:line="276" w:lineRule="auto"/>
        <w:jc w:val="both"/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</w:pPr>
      <w:r>
        <w:rPr>
          <w:rStyle w:val="9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 Módulo 1 refere-se ao </w:t>
      </w:r>
      <w:r>
        <w:rPr>
          <w:rStyle w:val="9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valor mensal devido ao empregado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65273E4A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2D8D7AB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27A8C207">
      <w:pPr>
        <w:autoSpaceDE w:val="0"/>
        <w:autoSpaceDN w:val="0"/>
        <w:adjustRightInd w:val="0"/>
        <w:rPr>
          <w:rFonts w:ascii="Calibri" w:hAnsi="Calibri" w:cs="Calibri" w:eastAsiaTheme="minorHAnsi"/>
          <w:color w:val="000000"/>
          <w:sz w:val="22"/>
          <w:szCs w:val="22"/>
          <w:lang w:eastAsia="en-US"/>
        </w:rPr>
      </w:pPr>
      <w:r>
        <w:rPr>
          <w:rFonts w:ascii="Calibri" w:hAnsi="Calibri" w:cs="Calibri" w:eastAsiaTheme="minorHAnsi"/>
          <w:color w:val="000000"/>
          <w:sz w:val="22"/>
          <w:szCs w:val="22"/>
          <w:lang w:eastAsia="en-US"/>
        </w:rPr>
        <w:t xml:space="preserve">Não há previsão de adicional noturno. </w:t>
      </w:r>
    </w:p>
    <w:p w14:paraId="10284556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3F8AFF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2683414B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315B6C64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7D6FAB8F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1-E) Hora Extra 50% - Não há previsão.</w:t>
      </w:r>
    </w:p>
    <w:p w14:paraId="6740C83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410AECB3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Para Jornada de 30 diárias foi elaborado o seguinte cálculo</w:t>
      </w:r>
    </w:p>
    <w:p w14:paraId="00B908C7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Módulo semanal&gt; 30h x 5 = 150</w:t>
      </w:r>
    </w:p>
    <w:p w14:paraId="0F04BEDD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Cálculo do valor da Hora extra: Valor do Salário / 150 horas = X</w:t>
      </w:r>
    </w:p>
    <w:p w14:paraId="4646581A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Hora extra 50%: 50%*X + X = Y</w:t>
      </w:r>
    </w:p>
    <w:p w14:paraId="52E605E4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Cálculo mensal: Y * 20 horas = Z1</w:t>
      </w:r>
    </w:p>
    <w:p w14:paraId="2A80B520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9245A97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1-F) Hora Extra 100% Não há previsão.</w:t>
      </w:r>
    </w:p>
    <w:p w14:paraId="42B432D7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160F2FBC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Para Jornada de 30 diárias foi elaborado o seguinte cálculo</w:t>
      </w:r>
    </w:p>
    <w:p w14:paraId="5FA6F9AA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Módulo semanal&gt; 30h x 5 = 150</w:t>
      </w:r>
    </w:p>
    <w:p w14:paraId="23C4DBB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Cálculo do valor da Hora extra: Valor do Salário / 150 horas = X</w:t>
      </w:r>
    </w:p>
    <w:p w14:paraId="522D6646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Hora extra 100%: 100%*X + X = Y</w:t>
      </w:r>
    </w:p>
    <w:p w14:paraId="32B97C1F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Cálculo mensal: Y * 10 horas = Z2</w:t>
      </w:r>
    </w:p>
    <w:p w14:paraId="194D605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3BAEBA0D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088788CC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1-G) Reflexo Adicional de Hora Extra no RSR Hora Extra 50% Não há previsão.</w:t>
      </w:r>
    </w:p>
    <w:p w14:paraId="45AAFA29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=Z1*20%</w:t>
      </w:r>
    </w:p>
    <w:p w14:paraId="6EAC801F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578A2560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7C11EBB8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1-H) Reflexo Adicional de Hora Extra no RSR Hora Extra 100% Não há previsão.</w:t>
      </w:r>
    </w:p>
    <w:p w14:paraId="0427D736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=Z2*20%</w:t>
      </w:r>
    </w:p>
    <w:p w14:paraId="146C9452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482B880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45ECCE82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(40 horas semanais) – 2ª a 6ª Feira</w:t>
      </w:r>
    </w:p>
    <w:p w14:paraId="28BB1A0F">
      <w:pPr>
        <w:pStyle w:val="64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2CE37A3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2DD4050B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39D23CE8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517755D0">
      <w:pPr>
        <w:rPr>
          <w:rFonts w:asciiTheme="minorHAnsi" w:hAnsiTheme="minorHAnsi"/>
          <w:iCs/>
          <w:sz w:val="22"/>
          <w:szCs w:val="22"/>
        </w:rPr>
      </w:pPr>
    </w:p>
    <w:p w14:paraId="6A23FBFB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0186A9D9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262E9F42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>
        <w:rPr>
          <w:rFonts w:asciiTheme="minorHAnsi" w:hAnsiTheme="minorHAnsi"/>
          <w:b/>
          <w:iCs/>
          <w:sz w:val="22"/>
          <w:szCs w:val="22"/>
        </w:rPr>
        <w:t>10,1429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5A06E02">
      <w:pPr>
        <w:rPr>
          <w:rFonts w:asciiTheme="minorHAnsi" w:hAnsiTheme="minorHAnsi"/>
          <w:iCs/>
          <w:sz w:val="22"/>
          <w:szCs w:val="22"/>
        </w:rPr>
      </w:pPr>
    </w:p>
    <w:p w14:paraId="56A92F8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3392679A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2 = 104,2858  (dias de final de semana no ano)</w:t>
      </w:r>
    </w:p>
    <w:p w14:paraId="129D52F1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3883B2C8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2F6E6438">
      <w:pPr>
        <w:rPr>
          <w:rFonts w:asciiTheme="minorHAnsi" w:hAnsiTheme="minorHAnsi"/>
          <w:iCs/>
          <w:color w:val="FF0000"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250,5713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39078FB6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72210B03">
      <w:pPr>
        <w:spacing w:line="276" w:lineRule="auto"/>
        <w:jc w:val="both"/>
        <w:rPr>
          <w:rFonts w:ascii="Calibri" w:hAnsi="Calibri" w:cs="Arial"/>
          <w:b/>
        </w:rPr>
      </w:pPr>
    </w:p>
    <w:p w14:paraId="78B06062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9" o:spid="_x0000_s1026" o:spt="20" style="position:absolute;left:0pt;margin-left:26.6pt;margin-top:113.15pt;height:0.05pt;width:17.55pt;z-index:251660288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216E77D4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25F7CCF8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2E7F0E7A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1"/>
        <w:tblW w:w="891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240"/>
        <w:gridCol w:w="839"/>
        <w:gridCol w:w="2809"/>
        <w:gridCol w:w="1667"/>
        <w:gridCol w:w="222"/>
      </w:tblGrid>
      <w:tr w14:paraId="52742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4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5B5B23A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4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5272B200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3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5239407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280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0F284D9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67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2DF241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222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0577729A">
            <w:pPr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289902F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40" w:type="dxa"/>
            <w:shd w:val="clear" w:color="auto" w:fill="DBE5F1" w:themeFill="accent1" w:themeFillTint="33"/>
          </w:tcPr>
          <w:p w14:paraId="4D795AD7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240" w:type="dxa"/>
            <w:shd w:val="clear" w:color="auto" w:fill="DBE5F1" w:themeFill="accent1" w:themeFillTint="33"/>
          </w:tcPr>
          <w:p w14:paraId="439EB99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39" w:type="dxa"/>
            <w:shd w:val="clear" w:color="auto" w:fill="DBE5F1" w:themeFill="accent1" w:themeFillTint="33"/>
          </w:tcPr>
          <w:p w14:paraId="3B433E6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809" w:type="dxa"/>
            <w:shd w:val="clear" w:color="auto" w:fill="DBE5F1" w:themeFill="accent1" w:themeFillTint="33"/>
          </w:tcPr>
          <w:p w14:paraId="1DBEFAF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67" w:type="dxa"/>
            <w:shd w:val="clear" w:color="auto" w:fill="DBE5F1" w:themeFill="accent1" w:themeFillTint="33"/>
          </w:tcPr>
          <w:p w14:paraId="42AEE358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222" w:type="dxa"/>
            <w:shd w:val="clear" w:color="auto" w:fill="DBE5F1" w:themeFill="accent1" w:themeFillTint="33"/>
          </w:tcPr>
          <w:p w14:paraId="4A548C59"/>
        </w:tc>
      </w:tr>
      <w:tr w14:paraId="7AB7AB7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40" w:type="dxa"/>
          </w:tcPr>
          <w:p w14:paraId="11133591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240" w:type="dxa"/>
          </w:tcPr>
          <w:p w14:paraId="28FAB6D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39" w:type="dxa"/>
          </w:tcPr>
          <w:p w14:paraId="35464F8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809" w:type="dxa"/>
          </w:tcPr>
          <w:p w14:paraId="6565783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67" w:type="dxa"/>
          </w:tcPr>
          <w:p w14:paraId="00C26440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222" w:type="dxa"/>
          </w:tcPr>
          <w:p w14:paraId="3C8CA58B"/>
        </w:tc>
      </w:tr>
      <w:tr w14:paraId="5B1234F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80" w:type="dxa"/>
            <w:gridSpan w:val="2"/>
            <w:shd w:val="clear" w:color="auto" w:fill="DBE5F1" w:themeFill="accent1" w:themeFillTint="33"/>
          </w:tcPr>
          <w:p w14:paraId="733A2E6D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39" w:type="dxa"/>
            <w:shd w:val="clear" w:color="auto" w:fill="DBE5F1" w:themeFill="accent1" w:themeFillTint="33"/>
          </w:tcPr>
          <w:p w14:paraId="1A13F3FA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809" w:type="dxa"/>
            <w:shd w:val="clear" w:color="auto" w:fill="DBE5F1" w:themeFill="accent1" w:themeFillTint="33"/>
          </w:tcPr>
          <w:p w14:paraId="0A837259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67" w:type="dxa"/>
            <w:shd w:val="clear" w:color="auto" w:fill="DBE5F1" w:themeFill="accent1" w:themeFillTint="33"/>
          </w:tcPr>
          <w:p w14:paraId="6FC68078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22" w:type="dxa"/>
            <w:shd w:val="clear" w:color="auto" w:fill="DBE5F1" w:themeFill="accent1" w:themeFillTint="33"/>
          </w:tcPr>
          <w:p w14:paraId="2D3B6804"/>
        </w:tc>
      </w:tr>
    </w:tbl>
    <w:p w14:paraId="648808C8">
      <w:pPr>
        <w:jc w:val="center"/>
        <w:rPr>
          <w:rFonts w:ascii="Calibri" w:hAnsi="Calibri" w:cs="Arial"/>
        </w:rPr>
      </w:pPr>
    </w:p>
    <w:p w14:paraId="51C5BAF2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9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29A1AB09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3A2B38E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9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2733F94D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FEFB599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9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106 da Lei nº 14.133, de 01 de abril de 2021,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7A167204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4A20EF93">
      <w:pPr>
        <w:jc w:val="both"/>
        <w:rPr>
          <w:rFonts w:ascii="Calibri" w:hAnsi="Calibri" w:cs="Arial"/>
          <w:u w:val="single"/>
          <w:lang w:val="pt-PT"/>
        </w:rPr>
      </w:pPr>
    </w:p>
    <w:p w14:paraId="6C93B86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7A1778F3">
      <w:pPr>
        <w:rPr>
          <w:rFonts w:ascii="Calibri" w:hAnsi="Calibri" w:cs="Arial"/>
        </w:rPr>
      </w:pPr>
    </w:p>
    <w:tbl>
      <w:tblPr>
        <w:tblStyle w:val="71"/>
        <w:tblW w:w="900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126"/>
        <w:gridCol w:w="850"/>
        <w:gridCol w:w="1842"/>
        <w:gridCol w:w="3344"/>
      </w:tblGrid>
      <w:tr w14:paraId="69DA594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5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1880194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9B17BFC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8EE37B4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5DBE754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404673EE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427C4FB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45" w:type="dxa"/>
            <w:shd w:val="clear" w:color="auto" w:fill="DBE5F1" w:themeFill="accent1" w:themeFillTint="33"/>
          </w:tcPr>
          <w:p w14:paraId="78A12275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8B3DEE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77A7206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7F75158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9C916C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14:paraId="28EF1AE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</w:tcPr>
          <w:p w14:paraId="360B4E37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6AC45DEF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0A547E6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66811FE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02B305B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14:paraId="210A6E2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5" w:type="dxa"/>
            <w:shd w:val="clear" w:color="auto" w:fill="DBE5F1" w:themeFill="accent1" w:themeFillTint="33"/>
          </w:tcPr>
          <w:p w14:paraId="77E87041">
            <w:pPr>
              <w:jc w:val="center"/>
              <w:rPr>
                <w:rFonts w:ascii="Calibri" w:hAnsi="Calibri" w:cs="Arial"/>
                <w:b w:val="0"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2B275803">
            <w:pPr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F68423C">
            <w:pPr>
              <w:jc w:val="center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7DC1B4C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0B417DAE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9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40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6A7F3D06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2E54ED97">
            <w:pPr>
              <w:rPr>
                <w:rFonts w:cs="Arial" w:asciiTheme="minorHAnsi" w:hAnsi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0B2B8E9A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RATxFAT – </w:t>
            </w:r>
            <w:r>
              <w:rPr>
                <w:rStyle w:val="12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14:paraId="21ED4A3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5" w:type="dxa"/>
          </w:tcPr>
          <w:p w14:paraId="282FCD11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4CDAE04A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3DB4BE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0EFCA329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0D0C0A21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14:paraId="04E2789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45" w:type="dxa"/>
            <w:shd w:val="clear" w:color="auto" w:fill="DBE5F1" w:themeFill="accent1" w:themeFillTint="33"/>
          </w:tcPr>
          <w:p w14:paraId="2745CD1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3BDAD243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54C1306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126BA882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72C2DB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14:paraId="541EE72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5" w:type="dxa"/>
          </w:tcPr>
          <w:p w14:paraId="7F38C15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3F5D54C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A8A6F5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2BDF6CE0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35608D71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14:paraId="1BE7805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45" w:type="dxa"/>
            <w:shd w:val="clear" w:color="auto" w:fill="DBE5F1" w:themeFill="accent1" w:themeFillTint="33"/>
          </w:tcPr>
          <w:p w14:paraId="409627A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B7CB1E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59C28CAA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179B3F1C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39D0D77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14:paraId="7D1B9BC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" w:type="dxa"/>
          </w:tcPr>
          <w:p w14:paraId="1B348B90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49DADEFD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6CA97B48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3CEB5E29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2C881F0A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14:paraId="3C6AB60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45" w:type="dxa"/>
            <w:shd w:val="clear" w:color="auto" w:fill="DBE5F1" w:themeFill="accent1" w:themeFillTint="33"/>
          </w:tcPr>
          <w:p w14:paraId="2734C0C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2DD503F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004E002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612940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01C6A313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64D688EE">
      <w:pPr>
        <w:pStyle w:val="66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9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15500780">
      <w:pPr>
        <w:pStyle w:val="66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A3C88B3">
      <w:pPr>
        <w:pStyle w:val="66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9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3F5514A4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E05BAB5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61312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7B7F0D2">
                            <w:pPr>
                              <w:pStyle w:val="64"/>
                              <w:spacing w:beforeAutospacing="0" w:afterAutospacing="0"/>
                              <w:rPr>
                                <w:rFonts w:cs="Arial" w:asciiTheme="minorHAnsi" w:hAnsiTheme="minorHAnsi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9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69E6847">
                            <w:pPr>
                              <w:pStyle w:val="20"/>
                              <w:spacing w:beforeAutospacing="0" w:afterAutospacing="0"/>
                              <w:rPr>
                                <w:rFonts w:cs="Arial" w:asciiTheme="minorHAnsi" w:hAnsiTheme="minorHAns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12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76134A46">
                            <w:pPr>
                              <w:pStyle w:val="65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Forma 2" o:spid="_x0000_s1026" o:spt="2" style="position:absolute;left:0pt;margin-left:-0.05pt;margin-top:-329.35pt;height:195.45pt;width:141.95pt;mso-position-horizontal-relative:margin;mso-position-vertical-relative:margin;mso-wrap-distance-bottom:7.2pt;mso-wrap-distance-left:10.8pt;mso-wrap-distance-right:10.8pt;mso-wrap-distance-top:7.2pt;rotation:5898240f;z-index:251661312;v-text-anchor:middle;mso-width-relative:page;mso-height-relative:page;" fillcolor="#D7E4BD [1302]" filled="t" stroked="f" coordsize="21600,21600" arcsize="0.130324074074074" o:gfxdata="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vbSwDcAAAACwEAAA8AAAAAAAAAAQAgAAAAIgAAAGRycy9kb3ducmV2&#10;LnhtbFBLAQIUABQAAAAIAIdO4kBn10aW+AEAAAEEAAAOAAAAAAAAAAEAIAAAACsBAABkcnMvZTJv&#10;RG9jLnhtbFBLBQYAAAAABgAGAFkBAAC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7B7F0D2">
                      <w:pPr>
                        <w:pStyle w:val="64"/>
                        <w:spacing w:beforeAutospacing="0" w:afterAutospacing="0"/>
                        <w:rPr>
                          <w:rFonts w:cs="Arial" w:asciiTheme="minorHAnsi" w:hAnsiTheme="minorHAnsi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9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69E6847">
                      <w:pPr>
                        <w:pStyle w:val="20"/>
                        <w:spacing w:beforeAutospacing="0" w:afterAutospacing="0"/>
                        <w:rPr>
                          <w:rFonts w:cs="Arial" w:asciiTheme="minorHAnsi" w:hAnsiTheme="minorHAnsi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12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76134A46">
                      <w:pPr>
                        <w:pStyle w:val="65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12 = número de meses no ano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Style w:val="9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7CD89781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Submódulo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1C392355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570D23E8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2E2765AE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38749B5A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C78AF0C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6CE05A04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71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410"/>
        <w:gridCol w:w="4966"/>
      </w:tblGrid>
      <w:tr w14:paraId="0B0C9BE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5EA32A0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4A528F9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3F21B43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VALOR (R$) </w:t>
            </w:r>
          </w:p>
        </w:tc>
      </w:tr>
      <w:tr w14:paraId="0D6B6E5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62" w:type="dxa"/>
            <w:shd w:val="clear" w:color="auto" w:fill="DBE5F1" w:themeFill="accent1" w:themeFillTint="33"/>
          </w:tcPr>
          <w:p w14:paraId="451F899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65EF31C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Transporte 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2455DF7C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valor do transporte </w:t>
            </w: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(9,40)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x nº de passagens por dia x nº de dias trabalhados – (6% x valor salário base)</w:t>
            </w:r>
          </w:p>
        </w:tc>
      </w:tr>
      <w:tr w14:paraId="0E3CD36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</w:tcPr>
          <w:p w14:paraId="6D75C936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5AB51E3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715613A7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Há previsão de Vale diário no valor de R$31,00 (Cláusula 16ª da CCT menos 1% do valor do salário)</w:t>
            </w:r>
          </w:p>
        </w:tc>
      </w:tr>
      <w:tr w14:paraId="39F6E1E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4E87A37C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97B04D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Clube de Vantagens - Cláusula 48ª da CCT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0A53552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48ª da CCT =  R$31,30, vedado qualquer desconto do trabalhador</w:t>
            </w:r>
          </w:p>
        </w:tc>
      </w:tr>
      <w:tr w14:paraId="5AF5E25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7BD647E8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669178B4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Gratificação Natalina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75D0811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14ª da CCT. R$296,45 – R$32,20/12</w:t>
            </w:r>
          </w:p>
        </w:tc>
      </w:tr>
      <w:tr w14:paraId="45DA4E6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15CD4195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7E59BF6D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Vale Compras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5411B1A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15ª da CCCT – R$296,45 – R$34,70</w:t>
            </w:r>
          </w:p>
        </w:tc>
      </w:tr>
      <w:tr w14:paraId="4B2922A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3AF31547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1A840DC7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Amparo Social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57113B9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19ª da CCT – R$38,00 – R$15,00</w:t>
            </w:r>
          </w:p>
        </w:tc>
      </w:tr>
      <w:tr w14:paraId="4EA5F1E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32B7D263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10EE92B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e Cidadania – Telesaúde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14023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20ª da CCT – R$57,00</w:t>
            </w:r>
          </w:p>
        </w:tc>
      </w:tr>
      <w:tr w14:paraId="3AC4B36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49C64F0D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H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7D393CB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Assistencial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6AD9A610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40ª da CCT – R$34,50</w:t>
            </w:r>
          </w:p>
        </w:tc>
      </w:tr>
      <w:tr w14:paraId="6E63902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72" w:type="dxa"/>
            <w:gridSpan w:val="2"/>
            <w:shd w:val="clear" w:color="auto" w:fill="DBE5F1" w:themeFill="accent1" w:themeFillTint="33"/>
          </w:tcPr>
          <w:p w14:paraId="4F455D38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33160250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C9E00E1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5494BA56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8BD6628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45050278">
      <w:pPr>
        <w:jc w:val="both"/>
        <w:rPr>
          <w:rFonts w:ascii="Calibri" w:hAnsi="Calibri" w:cs="Arial"/>
          <w:u w:val="single"/>
        </w:rPr>
      </w:pPr>
    </w:p>
    <w:p w14:paraId="6C3C8B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69C7AD76">
      <w:pPr>
        <w:pStyle w:val="66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a.1. Para efeito da composição do Vale Transporte, foi utilizado como base o valor do Bilhete Único Intermunicipal, isto, pois, o Município do Rio e sua Região Metropolitana possui grande discrepância no que se refere à valores de passagens, à exemplo, caso seja cotado apenas o modal municipal para ônibus, restringiríamos a utilização de metrô, trem, barca ou VLT. Tal experiência tem prejudicado e muito a prestação de serviços atual, gerado atrasos e, por consequência, glosas</w:t>
      </w:r>
    </w:p>
    <w:p w14:paraId="2C566F7F">
      <w:pPr>
        <w:pStyle w:val="66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a.2. Outrossim, cabe destacar também a restrição de empregabilidade no que se refere a região metropolitana, dotada de mão de obra capacitada mas que, por vezes, frustra-se a contratação por divergências no valor da passagem. Deste modo, visando abrir um leque maior de possibilidades no que se refere a mão de obra qualificada, vinculamos o valor diário de passagens ao modal intermunicipal.</w:t>
      </w:r>
    </w:p>
    <w:p w14:paraId="0B0016A2">
      <w:pPr>
        <w:pStyle w:val="66"/>
        <w:spacing w:before="120" w:beforeAutospacing="0" w:after="120" w:afterAutospacing="0"/>
        <w:ind w:left="120" w:right="120"/>
        <w:jc w:val="both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a.3. Para efeito de estimativa de custo e isonomia entre as licitantes, fica estabelecido que as propostas ofereçam, no mínimo, o valor correspondente ao de 02 (duas) tarifas do Bilhete Único Intermunicipal para a passagem diária (R$9,40 por tarifa)</w:t>
      </w:r>
      <w:r>
        <w:rPr>
          <w:rFonts w:asciiTheme="minorHAnsi" w:hAnsiTheme="minorHAnsi"/>
          <w:iCs/>
          <w:sz w:val="22"/>
          <w:szCs w:val="22"/>
        </w:rPr>
        <w:t>:</w:t>
      </w:r>
    </w:p>
    <w:p w14:paraId="1D7100D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133B3173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40h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60E4B25C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R$ 9,40 x 2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409B6C5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2598BF58">
      <w:pPr>
        <w:spacing w:line="276" w:lineRule="auto"/>
        <w:jc w:val="both"/>
        <w:rPr>
          <w:rFonts w:ascii="Calibri" w:hAnsi="Calibri" w:cs="Arial"/>
          <w:color w:val="FF0000"/>
        </w:rPr>
      </w:pPr>
      <w:r>
        <w:rPr>
          <w:rFonts w:ascii="Calibri" w:hAnsi="Calibri" w:cs="Arial"/>
          <w:color w:val="FF0000"/>
        </w:rPr>
        <w:t>Considerando que o Benefício para o Bilhete Único Intermunicipal é apenas com trabalhadores que recebam renda mensal inferior a R$3.205,20 (três mil, duzentos e cinco reais, e vinte centavos), optou-se estimar e definir, que, aqueles que recebam valores superiores ao citado, terão direito a 4 passagens por dia, conforme abaixo:</w:t>
      </w:r>
    </w:p>
    <w:p w14:paraId="6FF1561A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18811A0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2BD1799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R$ 5,60 x 4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1E330614">
      <w:pPr>
        <w:spacing w:line="276" w:lineRule="auto"/>
        <w:jc w:val="both"/>
        <w:rPr>
          <w:rFonts w:ascii="Calibri" w:hAnsi="Calibri" w:cs="Arial"/>
          <w:color w:val="FF0000"/>
        </w:rPr>
      </w:pPr>
    </w:p>
    <w:p w14:paraId="267CEDC8">
      <w:pPr>
        <w:spacing w:line="276" w:lineRule="auto"/>
        <w:jc w:val="both"/>
        <w:rPr>
          <w:rFonts w:ascii="Calibri" w:hAnsi="Calibri" w:cs="Arial"/>
          <w:color w:val="FF0000"/>
        </w:rPr>
      </w:pPr>
    </w:p>
    <w:p w14:paraId="21BAD432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176B4108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este custo, porém o Valor só será devido referente aos dias que por forças maior, não for fornecida refeição aos trabalhadores e os mesmo estejam laborando nas dependências da UFF.</w:t>
      </w:r>
    </w:p>
    <w:p w14:paraId="5D30C79C">
      <w:pPr>
        <w:rPr>
          <w:rFonts w:ascii="Calibri" w:hAnsi="Calibri" w:cs="Arial"/>
          <w:b/>
          <w:bCs/>
          <w:color w:val="EE0000"/>
          <w:u w:val="single"/>
        </w:rPr>
      </w:pPr>
    </w:p>
    <w:p w14:paraId="33669CBD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0297DC2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16E651D6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1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5"/>
        <w:gridCol w:w="3119"/>
        <w:gridCol w:w="1844"/>
      </w:tblGrid>
      <w:tr w14:paraId="4A8C22B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CDE4E05">
            <w:pPr>
              <w:jc w:val="center"/>
              <w:rPr>
                <w:rFonts w:cs="Arial" w:asciiTheme="minorHAnsi" w:hAnsiTheme="minorHAnsi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763E70B">
            <w:pPr>
              <w:jc w:val="center"/>
              <w:rPr>
                <w:rFonts w:cs="Arial" w:asciiTheme="minorHAnsi" w:hAnsiTheme="minorHAnsi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EA34093">
            <w:pPr>
              <w:jc w:val="center"/>
              <w:rPr>
                <w:rFonts w:cs="Arial" w:asciiTheme="minorHAnsi" w:hAnsiTheme="minorHAnsi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07F12E5C">
            <w:pPr>
              <w:jc w:val="center"/>
              <w:rPr>
                <w:rFonts w:cs="Arial" w:asciiTheme="minorHAnsi" w:hAnsiTheme="minorHAnsi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1ECDF87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50" w:type="dxa"/>
            <w:shd w:val="clear" w:color="auto" w:fill="DBE5F1" w:themeFill="accent1" w:themeFillTint="33"/>
          </w:tcPr>
          <w:p w14:paraId="7D1C8F28">
            <w:pPr>
              <w:jc w:val="center"/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4BACF91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5DC3E5F">
            <w:pPr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 xml:space="preserve">Módulo 1 + Módulo 2 x 0,4167%   </w:t>
            </w:r>
          </w:p>
          <w:p w14:paraId="2D518EA4">
            <w:pPr>
              <w:rPr>
                <w:rFonts w:cs="Arial" w:asciiTheme="minorHAnsi" w:hAnsiTheme="minorHAnsi"/>
                <w:sz w:val="18"/>
                <w:szCs w:val="18"/>
              </w:rPr>
            </w:pPr>
          </w:p>
          <w:p w14:paraId="2CD9F209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0,4167%  foi obtido pela fórmula: </w:t>
            </w:r>
          </w:p>
          <w:p w14:paraId="40270F8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1/12 * </w:t>
            </w:r>
            <w:r>
              <w:rPr>
                <w:rFonts w:cs="Arial" w:asciiTheme="minorHAnsi" w:hAnsiTheme="minorHAnsi"/>
                <w:b/>
                <w:bCs/>
                <w:color w:val="FF0000"/>
                <w:sz w:val="18"/>
                <w:szCs w:val="18"/>
              </w:rPr>
              <w:t>5%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(indicador de rotatividade de dispensa sem justa causa)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58C4441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612335A5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14:paraId="104139A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0" w:type="dxa"/>
          </w:tcPr>
          <w:p w14:paraId="5EC110C4">
            <w:pPr>
              <w:jc w:val="center"/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2FAD29D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212BC407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 xml:space="preserve">Valor do aviso prévio indenizado x </w:t>
            </w:r>
            <w:r>
              <w:rPr>
                <w:rFonts w:cs="Arial" w:asciiTheme="minorHAnsi" w:hAnsiTheme="minorHAnsi" w:eastAsiaTheme="minorHAnsi"/>
                <w:b/>
                <w:bCs/>
                <w:sz w:val="18"/>
                <w:szCs w:val="18"/>
                <w:lang w:eastAsia="en-US"/>
              </w:rPr>
              <w:t>8%</w:t>
            </w:r>
          </w:p>
        </w:tc>
        <w:tc>
          <w:tcPr>
            <w:tcW w:w="1843" w:type="dxa"/>
          </w:tcPr>
          <w:p w14:paraId="270BF19F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Súmula nº 305 do TST</w:t>
            </w:r>
          </w:p>
        </w:tc>
      </w:tr>
      <w:tr w14:paraId="55F9AE6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0" w:type="dxa"/>
            <w:shd w:val="clear" w:color="auto" w:fill="DBE5F1" w:themeFill="accent1" w:themeFillTint="33"/>
          </w:tcPr>
          <w:p w14:paraId="314C994D">
            <w:pPr>
              <w:jc w:val="center"/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2A1E13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7499DF8">
            <w:pPr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Módulo 1 + Módulo 2 x 0,16%</w:t>
            </w:r>
          </w:p>
          <w:p w14:paraId="5E3E2CA0">
            <w:pPr>
              <w:rPr>
                <w:rFonts w:cs="Arial" w:asciiTheme="minorHAnsi" w:hAnsiTheme="minorHAnsi"/>
                <w:sz w:val="18"/>
                <w:szCs w:val="18"/>
              </w:rPr>
            </w:pPr>
          </w:p>
          <w:p w14:paraId="1242E7F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0,16% foi obtido pela fórmula:</w:t>
            </w:r>
          </w:p>
          <w:p w14:paraId="2BC8DF0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8% de FGTS x 40% de multa x 5% (estatística)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54208DD2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Leis n.ºs 8.036/90 e</w:t>
            </w:r>
          </w:p>
          <w:p w14:paraId="7FED844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9.491/97</w:t>
            </w:r>
          </w:p>
        </w:tc>
      </w:tr>
      <w:tr w14:paraId="07F5FAE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66A582CE">
            <w:pPr>
              <w:jc w:val="center"/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769818A9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43F706F4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Percentual total do submódulo 2.2 x $ do aviso prévio trabalhado</w:t>
            </w:r>
          </w:p>
        </w:tc>
        <w:tc>
          <w:tcPr>
            <w:tcW w:w="1843" w:type="dxa"/>
          </w:tcPr>
          <w:p w14:paraId="76D28658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0578D7A8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156885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0" w:type="dxa"/>
            <w:shd w:val="clear" w:color="auto" w:fill="DBE5F1" w:themeFill="accent1" w:themeFillTint="33"/>
          </w:tcPr>
          <w:p w14:paraId="02A77CF0">
            <w:pPr>
              <w:jc w:val="center"/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E70B0D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43C3384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44914DF5">
            <w:pPr>
              <w:jc w:val="center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</w:tc>
      </w:tr>
      <w:tr w14:paraId="32C5F69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0" w:type="dxa"/>
          </w:tcPr>
          <w:p w14:paraId="65D07CE6">
            <w:pPr>
              <w:jc w:val="center"/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0A546E08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640DE0A7">
            <w:pPr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Módulo 1 + Módulo 2 x 3,20%</w:t>
            </w:r>
          </w:p>
          <w:p w14:paraId="037045E8">
            <w:pPr>
              <w:rPr>
                <w:rFonts w:cs="Arial" w:asciiTheme="minorHAnsi" w:hAnsiTheme="minorHAnsi"/>
                <w:b/>
                <w:bCs/>
                <w:sz w:val="18"/>
                <w:szCs w:val="18"/>
              </w:rPr>
            </w:pPr>
          </w:p>
          <w:p w14:paraId="0536839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3,20% foi obtido pela fórmula:</w:t>
            </w:r>
          </w:p>
          <w:p w14:paraId="1762F51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8% de FGTS x 40% de multa x 100%</w:t>
            </w:r>
          </w:p>
        </w:tc>
        <w:tc>
          <w:tcPr>
            <w:tcW w:w="1843" w:type="dxa"/>
          </w:tcPr>
          <w:p w14:paraId="4A609CBD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7769D965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7E5B90F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50" w:type="dxa"/>
            <w:shd w:val="clear" w:color="auto" w:fill="DBE5F1" w:themeFill="accent1" w:themeFillTint="33"/>
          </w:tcPr>
          <w:p w14:paraId="6F930036">
            <w:pPr>
              <w:jc w:val="center"/>
              <w:rPr>
                <w:rFonts w:cs="Arial" w:asciiTheme="minorHAnsi" w:hAnsi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757BF84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FF07B8F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37C0E69B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</w:tr>
    </w:tbl>
    <w:p w14:paraId="19D61B18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  <w:r>
        <w:rPr>
          <w:rFonts w:cs="Arial" w:asciiTheme="minorHAnsi" w:hAnsiTheme="minorHAnsi" w:eastAsiaTheme="minorHAnsi"/>
          <w:sz w:val="16"/>
          <w:szCs w:val="16"/>
          <w:lang w:eastAsia="en-US"/>
        </w:rPr>
        <w:t>OBSERVAÇÕES: Nota Técnica nº 652/2017 - MP</w:t>
      </w:r>
    </w:p>
    <w:p w14:paraId="45DA31D3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5EB637C7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0F86BC1D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3EEB70D0">
      <w:pPr>
        <w:rPr>
          <w:rFonts w:ascii="Calibri" w:hAnsi="Calibri" w:cs="Arial"/>
          <w:sz w:val="22"/>
          <w:szCs w:val="22"/>
        </w:rPr>
      </w:pPr>
    </w:p>
    <w:p w14:paraId="6953B1F4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4ADEC80A">
      <w:pPr>
        <w:rPr>
          <w:rFonts w:ascii="Calibri" w:hAnsi="Calibri" w:cs="Arial"/>
          <w:lang w:val="pt-PT"/>
        </w:rPr>
      </w:pPr>
    </w:p>
    <w:tbl>
      <w:tblPr>
        <w:tblStyle w:val="71"/>
        <w:tblW w:w="9430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"/>
        <w:gridCol w:w="1825"/>
        <w:gridCol w:w="3316"/>
        <w:gridCol w:w="3896"/>
      </w:tblGrid>
      <w:tr w14:paraId="2D2BE8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3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5FACFEC6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825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AB6D54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2125D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89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49B483A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6CB42A2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393" w:type="dxa"/>
            <w:shd w:val="clear" w:color="auto" w:fill="DBE5F1" w:themeFill="accent1" w:themeFillTint="33"/>
          </w:tcPr>
          <w:p w14:paraId="0877C565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825" w:type="dxa"/>
            <w:shd w:val="clear" w:color="auto" w:fill="DBE5F1" w:themeFill="accent1" w:themeFillTint="33"/>
          </w:tcPr>
          <w:p w14:paraId="75DC7780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6" w:type="dxa"/>
            <w:shd w:val="clear" w:color="auto" w:fill="DBE5F1" w:themeFill="accent1" w:themeFillTint="33"/>
          </w:tcPr>
          <w:p w14:paraId="25E1521A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Módulo 1 + Módulo 2 + Módulo 3 x 0,926%</w:t>
            </w:r>
          </w:p>
          <w:p w14:paraId="501778CD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  <w:p w14:paraId="2F8223A5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0,9626% foi obtido pela fórmula: </w:t>
            </w:r>
          </w:p>
          <w:p w14:paraId="2E9E3C3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1 + terço constitucional / pelo número de meses ((1+ 1/3)/12)/12</w:t>
            </w:r>
          </w:p>
        </w:tc>
        <w:tc>
          <w:tcPr>
            <w:tcW w:w="3896" w:type="dxa"/>
            <w:shd w:val="clear" w:color="auto" w:fill="DBE5F1" w:themeFill="accent1" w:themeFillTint="33"/>
          </w:tcPr>
          <w:p w14:paraId="077A056C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  <w:p w14:paraId="6F2EAD1D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</w:p>
        </w:tc>
      </w:tr>
      <w:tr w14:paraId="0E75E8C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93" w:type="dxa"/>
          </w:tcPr>
          <w:p w14:paraId="56C29E8B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825" w:type="dxa"/>
          </w:tcPr>
          <w:p w14:paraId="03491C2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6" w:type="dxa"/>
          </w:tcPr>
          <w:p w14:paraId="26C8EB77">
            <w:pPr>
              <w:jc w:val="center"/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Módulo 1 + Módulo 2 + Módulo 3 x </w:t>
            </w: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percentual</w:t>
            </w:r>
          </w:p>
          <w:p w14:paraId="04FE0708">
            <w:pPr>
              <w:jc w:val="center"/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</w:pPr>
          </w:p>
          <w:p w14:paraId="20607D5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Percentual: nDR(AL) / 30 dias / 12 meses</w:t>
            </w:r>
          </w:p>
          <w:p w14:paraId="30B6799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2,96 / 30 /12 = </w:t>
            </w: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0,822%</w:t>
            </w:r>
          </w:p>
        </w:tc>
        <w:tc>
          <w:tcPr>
            <w:tcW w:w="3896" w:type="dxa"/>
          </w:tcPr>
          <w:p w14:paraId="63631B53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6C1C22F4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nDR(AL)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14:paraId="1B499C6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93" w:type="dxa"/>
            <w:shd w:val="clear" w:color="auto" w:fill="DBE5F1" w:themeFill="accent1" w:themeFillTint="33"/>
          </w:tcPr>
          <w:p w14:paraId="5C6EB5D6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825" w:type="dxa"/>
            <w:shd w:val="clear" w:color="auto" w:fill="DBE5F1" w:themeFill="accent1" w:themeFillTint="33"/>
          </w:tcPr>
          <w:p w14:paraId="1E42B36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316" w:type="dxa"/>
            <w:shd w:val="clear" w:color="auto" w:fill="DBE5F1" w:themeFill="accent1" w:themeFillTint="33"/>
          </w:tcPr>
          <w:p w14:paraId="7FE93607">
            <w:pPr>
              <w:jc w:val="center"/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Módulo 1 + Módulo 2 + Módulo 3 x </w:t>
            </w: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percentual</w:t>
            </w:r>
          </w:p>
          <w:p w14:paraId="30CAB2EA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  <w:p w14:paraId="6B3E84F6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Percentual: 5 dias / 30 dias / 12 meses x 1,5% =</w:t>
            </w: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 0,020833%</w:t>
            </w:r>
          </w:p>
        </w:tc>
        <w:tc>
          <w:tcPr>
            <w:tcW w:w="3896" w:type="dxa"/>
            <w:shd w:val="clear" w:color="auto" w:fill="DBE5F1" w:themeFill="accent1" w:themeFillTint="33"/>
          </w:tcPr>
          <w:p w14:paraId="587FB5EB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7º, XIX, CF/88 e</w:t>
            </w:r>
          </w:p>
          <w:p w14:paraId="3672EF95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10, § 1º, da CLT.</w:t>
            </w:r>
          </w:p>
          <w:p w14:paraId="725E009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14:paraId="7DC09A3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93" w:type="dxa"/>
          </w:tcPr>
          <w:p w14:paraId="72025636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1825" w:type="dxa"/>
          </w:tcPr>
          <w:p w14:paraId="5EB24F4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6" w:type="dxa"/>
          </w:tcPr>
          <w:p w14:paraId="79991636">
            <w:pPr>
              <w:jc w:val="center"/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Módulo 1 + Módulo 2 + Módulo 3 x </w:t>
            </w: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percentual</w:t>
            </w:r>
          </w:p>
          <w:p w14:paraId="00F5FC46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  <w:p w14:paraId="77DBB735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Percentual: 15 dias / 30 dias / 12 meses x 0,78% =</w:t>
            </w: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 0,0325%</w:t>
            </w:r>
          </w:p>
        </w:tc>
        <w:tc>
          <w:tcPr>
            <w:tcW w:w="3896" w:type="dxa"/>
          </w:tcPr>
          <w:p w14:paraId="43106BC8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6803C2E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735808CD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1356A33A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35FBD58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93" w:type="dxa"/>
            <w:shd w:val="clear" w:color="auto" w:fill="DBE5F1" w:themeFill="accent1" w:themeFillTint="33"/>
          </w:tcPr>
          <w:p w14:paraId="60E85DDB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1825" w:type="dxa"/>
            <w:shd w:val="clear" w:color="auto" w:fill="DBE5F1" w:themeFill="accent1" w:themeFillTint="33"/>
          </w:tcPr>
          <w:p w14:paraId="4D6597C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16" w:type="dxa"/>
            <w:shd w:val="clear" w:color="auto" w:fill="DBE5F1" w:themeFill="accent1" w:themeFillTint="33"/>
          </w:tcPr>
          <w:p w14:paraId="4D7C01AF">
            <w:pPr>
              <w:jc w:val="center"/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 xml:space="preserve">Módulo 1 + Módulo 2 + Módulo 3 x </w:t>
            </w: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percentual</w:t>
            </w:r>
          </w:p>
          <w:p w14:paraId="29597B5B">
            <w:pPr>
              <w:tabs>
                <w:tab w:val="left" w:pos="2800"/>
              </w:tabs>
              <w:jc w:val="center"/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  <w:p w14:paraId="68DE114C">
            <w:pPr>
              <w:jc w:val="center"/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 xml:space="preserve">Percentual: 4 meses / 12 meses / 12 x 0,270% = </w:t>
            </w:r>
            <w:r>
              <w:rPr>
                <w:rFonts w:cs="Arial" w:asciiTheme="minorHAnsi" w:hAnsiTheme="minorHAnsi" w:eastAsiaTheme="minorHAnsi"/>
                <w:b/>
                <w:bCs/>
                <w:sz w:val="18"/>
                <w:szCs w:val="18"/>
                <w:lang w:eastAsia="en-US"/>
              </w:rPr>
              <w:t>0,0075%</w:t>
            </w:r>
          </w:p>
        </w:tc>
        <w:tc>
          <w:tcPr>
            <w:tcW w:w="3896" w:type="dxa"/>
            <w:shd w:val="clear" w:color="auto" w:fill="DBE5F1" w:themeFill="accent1" w:themeFillTint="33"/>
          </w:tcPr>
          <w:p w14:paraId="2A4A7624">
            <w:pPr>
              <w:rPr>
                <w:rStyle w:val="12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12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05A2FB47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 xml:space="preserve">Considerando os dados do IBGE 2022, a taxa de fecundidade no estado do Rio de Janeiro é de 1,35% </w:t>
            </w:r>
            <w:r>
              <w:rPr>
                <w:rFonts w:ascii="Calibri" w:hAnsi="Calibri"/>
                <w:b/>
                <w:sz w:val="18"/>
                <w:szCs w:val="18"/>
              </w:rPr>
              <w:t>https://agendadopoder.com.br/rio-de-janeiro-tem-a-menor-taxa-de-fecundidade-do-brasil-aponta-ibge/#google_vignette</w:t>
            </w:r>
            <w:r>
              <w:t>. Acesso em 13/02/2026)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;</w:t>
            </w:r>
          </w:p>
          <w:p w14:paraId="588E8F1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14:paraId="7015077A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Considerando dados disponibilizados na internet sobre média percentual de mulheres que atuam nessa ramo profissional (</w:t>
            </w:r>
            <w:r>
              <w:rPr>
                <w:rFonts w:ascii="Calibri" w:hAnsi="Calibri"/>
                <w:sz w:val="18"/>
                <w:szCs w:val="18"/>
              </w:rPr>
              <w:t>https://fenati.org.br/mulheres-ocupam-menos-de-30-das-vagas-no-setor-de-tecnologia/#:~:text=Mulheres%20ocupam%20menos%20de%2030,no%20setor%20de%20tecnologia%20%2D%20FENATI). Acesso em 26/02/2026</w:t>
            </w:r>
          </w:p>
          <w:p w14:paraId="71CCB925">
            <w:pPr>
              <w:rPr>
                <w:rFonts w:ascii="Calibri" w:hAnsi="Calibri"/>
                <w:sz w:val="18"/>
                <w:szCs w:val="18"/>
              </w:rPr>
            </w:pPr>
          </w:p>
          <w:p w14:paraId="55E7BAF3">
            <w:pPr>
              <w:rPr>
                <w:rFonts w:cs="Arial" w:asciiTheme="minorHAnsi" w:hAnsiTheme="minorHAnsi" w:eastAsiaTheme="minorHAnsi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Temos, portanto, aproximadamente 20%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20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1,35%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0,270%</w:t>
            </w:r>
          </w:p>
        </w:tc>
      </w:tr>
      <w:tr w14:paraId="2BF11F9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93" w:type="dxa"/>
          </w:tcPr>
          <w:p w14:paraId="193B0F9C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1825" w:type="dxa"/>
          </w:tcPr>
          <w:p w14:paraId="09D2814F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6" w:type="dxa"/>
          </w:tcPr>
          <w:p w14:paraId="6BB75890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896" w:type="dxa"/>
          </w:tcPr>
          <w:p w14:paraId="73CD743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-</w:t>
            </w:r>
          </w:p>
        </w:tc>
      </w:tr>
      <w:tr w14:paraId="366BC93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3" w:type="dxa"/>
            <w:shd w:val="clear" w:color="auto" w:fill="DBE5F1" w:themeFill="accent1" w:themeFillTint="33"/>
          </w:tcPr>
          <w:p w14:paraId="5C562FE2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825" w:type="dxa"/>
            <w:shd w:val="clear" w:color="auto" w:fill="DBE5F1" w:themeFill="accent1" w:themeFillTint="33"/>
          </w:tcPr>
          <w:p w14:paraId="7177E23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6" w:type="dxa"/>
            <w:shd w:val="clear" w:color="auto" w:fill="DBE5F1" w:themeFill="accent1" w:themeFillTint="33"/>
          </w:tcPr>
          <w:p w14:paraId="1F2F4901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896" w:type="dxa"/>
            <w:shd w:val="clear" w:color="auto" w:fill="DBE5F1" w:themeFill="accent1" w:themeFillTint="33"/>
          </w:tcPr>
          <w:p w14:paraId="7410752A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</w:p>
        </w:tc>
      </w:tr>
    </w:tbl>
    <w:p w14:paraId="60140219">
      <w:pPr>
        <w:ind w:left="426"/>
        <w:jc w:val="both"/>
        <w:rPr>
          <w:rStyle w:val="9"/>
          <w:rFonts w:cs="Arial" w:asciiTheme="minorHAnsi" w:hAnsiTheme="minorHAnsi"/>
          <w:color w:val="000000"/>
          <w:sz w:val="16"/>
          <w:szCs w:val="16"/>
          <w:shd w:val="clear" w:color="auto" w:fill="FFFFFF"/>
        </w:rPr>
      </w:pPr>
    </w:p>
    <w:p w14:paraId="7AA16A38">
      <w:pPr>
        <w:ind w:left="426"/>
        <w:rPr>
          <w:rFonts w:cs="Arial" w:asciiTheme="minorHAnsi" w:hAnsiTheme="minorHAnsi"/>
          <w:color w:val="000000"/>
          <w:sz w:val="22"/>
          <w:szCs w:val="22"/>
          <w:highlight w:val="white"/>
        </w:rPr>
      </w:pPr>
      <w:r>
        <w:rPr>
          <w:rStyle w:val="9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1D74F130">
      <w:pPr>
        <w:ind w:left="42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A55883E">
      <w:pPr>
        <w:pStyle w:val="59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E588924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>
        <w:rPr>
          <w:rStyle w:val="9"/>
          <w:rFonts w:cs="Arial" w:asciiTheme="minorHAnsi" w:hAnsiTheme="minorHAnsi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15920305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1D8AA199">
      <w:pPr>
        <w:jc w:val="both"/>
        <w:rPr>
          <w:rFonts w:ascii="Calibri" w:hAnsi="Calibri" w:cs="Arial"/>
        </w:rPr>
      </w:pPr>
    </w:p>
    <w:p w14:paraId="6A6628B2">
      <w:pPr>
        <w:jc w:val="both"/>
        <w:rPr>
          <w:rFonts w:ascii="Calibri" w:hAnsi="Calibri" w:cs="Arial"/>
          <w:b/>
          <w:u w:val="single"/>
        </w:rPr>
      </w:pPr>
    </w:p>
    <w:p w14:paraId="6C3424C1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772F621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005906C4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7265383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É considerado os valores praticados no mercado para uniforme e EPIS </w:t>
      </w:r>
    </w:p>
    <w:p w14:paraId="302A538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Quantidade estimada por ano, sendo 1 (hum) conjunto na admissão e mais 1 (um) conjunto a cada 6 (seis) meses. Conforme Anexo III-B.</w:t>
      </w:r>
    </w:p>
    <w:p w14:paraId="62D21C4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194CF21">
      <w:pPr>
        <w:rPr>
          <w:rFonts w:cs="Arial" w:asciiTheme="minorHAnsi" w:hAnsiTheme="minorHAnsi"/>
          <w:b/>
          <w:lang w:val="pt-PT"/>
        </w:rPr>
      </w:pPr>
      <w:r>
        <w:rPr>
          <w:rFonts w:cs="Arial" w:asciiTheme="minorHAnsi" w:hAnsiTheme="minorHAnsi"/>
          <w:b/>
          <w:lang w:val="pt-PT"/>
        </w:rPr>
        <w:t>B) EQUIPAMENTOS</w:t>
      </w:r>
    </w:p>
    <w:p w14:paraId="34DAE2F4">
      <w:pPr>
        <w:rPr>
          <w:rFonts w:cs="Arial" w:asciiTheme="minorHAnsi" w:hAnsiTheme="minorHAnsi"/>
          <w:b/>
          <w:lang w:val="pt-PT"/>
        </w:rPr>
      </w:pPr>
      <w:r>
        <w:rPr>
          <w:rFonts w:cs="Arial" w:asciiTheme="minorHAnsi" w:hAnsiTheme="minorHAnsi"/>
          <w:b/>
          <w:lang w:val="pt-PT"/>
        </w:rPr>
        <w:t>Conforme Anexo III-A</w:t>
      </w:r>
    </w:p>
    <w:p w14:paraId="4C418CCC">
      <w:pPr>
        <w:rPr>
          <w:rFonts w:cs="Arial" w:asciiTheme="minorHAnsi" w:hAnsiTheme="minorHAnsi"/>
          <w:b/>
          <w:lang w:val="pt-PT"/>
        </w:rPr>
      </w:pPr>
    </w:p>
    <w:p w14:paraId="09C34601">
      <w:pPr>
        <w:rPr>
          <w:rFonts w:cs="Arial" w:asciiTheme="minorHAnsi" w:hAnsiTheme="minorHAnsi"/>
          <w:b/>
          <w:lang w:val="pt-PT"/>
        </w:rPr>
      </w:pPr>
      <w:r>
        <w:rPr>
          <w:rFonts w:cs="Arial" w:asciiTheme="minorHAnsi" w:hAnsiTheme="minorHAnsi"/>
          <w:b/>
          <w:lang w:val="pt-PT"/>
        </w:rPr>
        <w:t>C) Materais</w:t>
      </w:r>
    </w:p>
    <w:p w14:paraId="23614A50">
      <w:pPr>
        <w:rPr>
          <w:rFonts w:cs="Arial" w:asciiTheme="minorHAnsi" w:hAnsiTheme="minorHAnsi"/>
          <w:b/>
          <w:lang w:val="pt-PT"/>
        </w:rPr>
      </w:pPr>
      <w:r>
        <w:rPr>
          <w:rFonts w:cs="Arial" w:asciiTheme="minorHAnsi" w:hAnsiTheme="minorHAnsi"/>
          <w:b/>
          <w:lang w:val="pt-PT"/>
        </w:rPr>
        <w:t>Não há previsão.</w:t>
      </w:r>
    </w:p>
    <w:p w14:paraId="666CB082">
      <w:pPr>
        <w:rPr>
          <w:rFonts w:cs="Arial" w:asciiTheme="minorHAnsi" w:hAnsiTheme="minorHAnsi"/>
          <w:b/>
          <w:lang w:val="pt-PT"/>
        </w:rPr>
      </w:pPr>
    </w:p>
    <w:p w14:paraId="72BC5612">
      <w:pPr>
        <w:rPr>
          <w:rFonts w:cs="Arial" w:asciiTheme="minorHAnsi" w:hAnsiTheme="minorHAnsi"/>
          <w:b/>
        </w:rPr>
      </w:pPr>
    </w:p>
    <w:p w14:paraId="3E3EF17E">
      <w:pPr>
        <w:rPr>
          <w:rFonts w:cs="Arial" w:asciiTheme="minorHAnsi" w:hAnsiTheme="minorHAnsi"/>
          <w:b/>
          <w:lang w:val="pt-PT"/>
        </w:rPr>
      </w:pPr>
    </w:p>
    <w:p w14:paraId="0FC3397B">
      <w:pP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F80DAD5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1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757EAF4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D57EB3B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50E805B5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702FD155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7FEC133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8161061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217F22E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256A73E0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4,81%</w:t>
            </w:r>
          </w:p>
        </w:tc>
      </w:tr>
      <w:tr w14:paraId="6AA123D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1EA92F32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5B84565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7EF07ABA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Conforme valor pesquisado, será considerado a alíquota 4,14</w:t>
            </w:r>
            <w:r>
              <w:rPr>
                <w:rFonts w:cs="Arial" w:asciiTheme="minorHAnsi" w:hAnsiTheme="minorHAnsi"/>
                <w:b/>
              </w:rPr>
              <w:t>%</w:t>
            </w:r>
          </w:p>
        </w:tc>
      </w:tr>
      <w:tr w14:paraId="672470F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42E8A2BB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71B7BF8A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13C08A5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65748FC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7C0F8BF3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14:paraId="7B78D4A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6582C962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14:paraId="6FBB349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43BD1465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47C442A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F3CEF7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7F5BB9C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7BDD83EE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1B440F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3D0EE45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135764B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7CF3A42B">
            <w:pPr>
              <w:jc w:val="center"/>
              <w:rPr>
                <w:rFonts w:ascii="Calibri" w:hAnsi="Calibri" w:cs="Arial"/>
                <w:b/>
                <w:bCs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29EDF68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2917DBC9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1ABFB140">
      <w:pPr>
        <w:rPr>
          <w:rFonts w:ascii="Calibri" w:hAnsi="Calibri" w:cs="Arial" w:eastAsiaTheme="minorHAnsi"/>
          <w:b/>
          <w:u w:val="single"/>
          <w:lang w:eastAsia="en-US"/>
        </w:rPr>
      </w:pPr>
    </w:p>
    <w:p w14:paraId="46FFA5E3">
      <w:pPr>
        <w:rPr>
          <w:rFonts w:ascii="Calibri" w:hAnsi="Calibri" w:cs="Arial" w:eastAsiaTheme="minorHAnsi"/>
          <w:lang w:eastAsia="en-US"/>
        </w:rPr>
      </w:pPr>
    </w:p>
    <w:p w14:paraId="588BD3CC">
      <w:pPr>
        <w:rPr>
          <w:rFonts w:ascii="Calibri" w:hAnsi="Calibri" w:cs="Arial" w:eastAsiaTheme="minorHAnsi"/>
          <w:b/>
          <w:u w:val="single"/>
          <w:lang w:eastAsia="en-US"/>
        </w:rPr>
      </w:pPr>
      <w:r>
        <w:rPr>
          <w:rFonts w:ascii="Calibri" w:hAnsi="Calibri" w:cs="Arial" w:eastAsiaTheme="minorHAnsi"/>
          <w:b/>
          <w:u w:val="single"/>
          <w:lang w:eastAsia="en-US"/>
        </w:rPr>
        <w:t xml:space="preserve">OBSERVAÇÕES: </w:t>
      </w:r>
    </w:p>
    <w:p w14:paraId="07492D41">
      <w:pPr>
        <w:rPr>
          <w:rFonts w:ascii="Calibri" w:hAnsi="Calibri" w:cs="Arial" w:eastAsiaTheme="minorHAnsi"/>
          <w:b/>
          <w:u w:val="single"/>
          <w:lang w:eastAsia="en-US"/>
        </w:rPr>
      </w:pPr>
    </w:p>
    <w:p w14:paraId="1D59B88F">
      <w:pPr>
        <w:numPr>
          <w:ilvl w:val="0"/>
          <w:numId w:val="1"/>
        </w:numPr>
        <w:rPr>
          <w:rFonts w:ascii="Calibri" w:hAnsi="Calibri" w:cs="Arial" w:eastAsiaTheme="minorHAnsi"/>
          <w:b/>
          <w:u w:val="single"/>
          <w:lang w:eastAsia="en-US"/>
        </w:rPr>
      </w:pPr>
      <w:r>
        <w:rPr>
          <w:rFonts w:ascii="Calibri" w:hAnsi="Calibri" w:cs="Arial" w:eastAsiaTheme="minorHAnsi"/>
          <w:b/>
          <w:u w:val="single"/>
          <w:lang w:eastAsia="en-US"/>
        </w:rPr>
        <w:t>Caso a empresa utilize o regime tributário do lucro presumido, alterar as alíquotas de PIS e COFINS.</w:t>
      </w:r>
    </w:p>
    <w:p w14:paraId="160A044B">
      <w:pPr>
        <w:rPr>
          <w:rFonts w:ascii="Calibri" w:hAnsi="Calibri" w:cs="Arial" w:eastAsiaTheme="minorHAnsi"/>
          <w:b/>
          <w:u w:val="single"/>
          <w:lang w:eastAsia="en-US"/>
        </w:rPr>
      </w:pPr>
    </w:p>
    <w:p w14:paraId="19536985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3003D69A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1E4CB022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7F0DC830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CUSTOS INDIRETOS:</w:t>
      </w:r>
    </w:p>
    <w:p w14:paraId="4EC5D059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5) x % custos indiretos (média praticada pelas empresas do setor)</w:t>
      </w:r>
    </w:p>
    <w:p w14:paraId="15D6CA5D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0762E3C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Proposta 1 (Pregão Eletrônico 90036/2025 – UASG 150182) – Sanatto = 4,80% </w:t>
      </w:r>
    </w:p>
    <w:p w14:paraId="77C98117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Proposta 2 (Pregão Eletrônico 90001/2025 – UASG 150182) – Soluções = 5,50% </w:t>
      </w:r>
    </w:p>
    <w:p w14:paraId="086A3EDA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Proposta 3 (Pregão Eletrônico 90013/2025 – UASG 150182) – Spectru = 4,14% </w:t>
      </w:r>
    </w:p>
    <w:p w14:paraId="78CE22E7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Média = 4,81%</w:t>
      </w:r>
    </w:p>
    <w:p w14:paraId="31FC9F61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171DF1C1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LUCRO:</w:t>
      </w:r>
    </w:p>
    <w:p w14:paraId="72D03A13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3950D740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6D5E7EE6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1EE98129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43"/>
      <w:r>
        <w:rPr>
          <w:rFonts w:asciiTheme="minorHAnsi" w:hAnsiTheme="minorHAnsi" w:cstheme="minorHAnsi"/>
          <w:sz w:val="22"/>
          <w:szCs w:val="22"/>
        </w:rPr>
        <w:t xml:space="preserve">Proposta 1 (Pregão Eletrônico 90036/2025 – UASG 150182) – Sanatto = 3,92% </w:t>
      </w:r>
    </w:p>
    <w:p w14:paraId="7F0CC37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Proposta 2 (Pregão Eletrônico 90001/2025 – UASG 150182) – Soluções = 5,15% </w:t>
      </w:r>
    </w:p>
    <w:p w14:paraId="27B336DF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Proposta 3 (Pregão Eletrônico 90013/2025 – UASG 150182) – Spectru = 3,37% </w:t>
      </w:r>
    </w:p>
    <w:p w14:paraId="793AB14F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Média = 4,14%</w:t>
      </w:r>
    </w:p>
    <w:p w14:paraId="36D1FA0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07267A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bookmarkEnd w:id="0"/>
    <w:p w14:paraId="2FFECAC8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5CB62A14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TRIBUTOS:</w:t>
      </w:r>
    </w:p>
    <w:p w14:paraId="53792FC9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6B2B08C9">
      <w:pPr>
        <w:jc w:val="both"/>
        <w:rPr>
          <w:rFonts w:cs="Arial" w:asciiTheme="minorHAnsi" w:hAnsiTheme="minorHAnsi"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 xml:space="preserve">Os tributos são calculados sobre o </w:t>
      </w:r>
      <w:r>
        <w:rPr>
          <w:rFonts w:cs="Arial" w:asciiTheme="minorHAnsi" w:hAnsiTheme="minorHAnsi"/>
          <w:b/>
          <w:bCs/>
          <w:iCs/>
          <w:sz w:val="22"/>
          <w:szCs w:val="22"/>
          <w:u w:val="single"/>
        </w:rPr>
        <w:t>faturamento</w:t>
      </w:r>
      <w:r>
        <w:rPr>
          <w:rFonts w:cs="Arial" w:asciiTheme="minorHAnsi" w:hAnsiTheme="minorHAnsi"/>
          <w:iCs/>
          <w:sz w:val="22"/>
          <w:szCs w:val="22"/>
        </w:rPr>
        <w:t>.</w:t>
      </w:r>
    </w:p>
    <w:p w14:paraId="6CFCEDE5">
      <w:pPr>
        <w:jc w:val="both"/>
        <w:rPr>
          <w:rFonts w:cs="Arial" w:asciiTheme="minorHAnsi" w:hAnsiTheme="minorHAnsi"/>
          <w:iCs/>
          <w:sz w:val="22"/>
          <w:szCs w:val="22"/>
        </w:rPr>
      </w:pPr>
    </w:p>
    <w:p w14:paraId="3E3F532B">
      <w:pPr>
        <w:jc w:val="both"/>
        <w:rPr>
          <w:rFonts w:cs="Arial" w:asciiTheme="minorHAnsi" w:hAnsiTheme="minorHAnsi"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 xml:space="preserve">O faturamento corresponderá ao somatório dos </w:t>
      </w:r>
      <w:r>
        <w:rPr>
          <w:rFonts w:cs="Arial" w:asciiTheme="minorHAnsi" w:hAnsiTheme="minorHAnsi"/>
          <w:b/>
          <w:bCs/>
          <w:iCs/>
          <w:sz w:val="22"/>
          <w:szCs w:val="22"/>
          <w:u w:val="single"/>
        </w:rPr>
        <w:t>módulos 1 a 5 + Custos Indiretos + Lucro</w:t>
      </w:r>
      <w:r>
        <w:rPr>
          <w:rFonts w:cs="Arial" w:asciiTheme="minorHAnsi" w:hAnsiTheme="minorHAnsi"/>
          <w:iCs/>
          <w:sz w:val="22"/>
          <w:szCs w:val="22"/>
        </w:rPr>
        <w:t>.</w:t>
      </w:r>
    </w:p>
    <w:p w14:paraId="1E665E88">
      <w:pPr>
        <w:jc w:val="both"/>
        <w:rPr>
          <w:rFonts w:cs="Arial" w:asciiTheme="minorHAnsi" w:hAnsiTheme="minorHAnsi"/>
          <w:iCs/>
          <w:sz w:val="22"/>
          <w:szCs w:val="22"/>
        </w:rPr>
      </w:pPr>
    </w:p>
    <w:p w14:paraId="58454CF0">
      <w:pPr>
        <w:jc w:val="both"/>
        <w:rPr>
          <w:rFonts w:cs="Arial" w:asciiTheme="minorHAnsi" w:hAnsiTheme="minorHAnsi"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 xml:space="preserve">Tendo em vista que os próprios tributos integram a base de cálculo, utiliza-se um tipo de fórmula denominada “circular”, chamada </w:t>
      </w:r>
      <w:r>
        <w:rPr>
          <w:rFonts w:cs="Arial" w:asciiTheme="minorHAnsi" w:hAnsiTheme="minorHAnsi"/>
          <w:b/>
          <w:bCs/>
          <w:iCs/>
          <w:sz w:val="22"/>
          <w:szCs w:val="22"/>
          <w:u w:val="single"/>
        </w:rPr>
        <w:t>cálculo por dentro</w:t>
      </w:r>
      <w:r>
        <w:rPr>
          <w:rFonts w:cs="Arial" w:asciiTheme="minorHAnsi" w:hAnsiTheme="minorHAnsi"/>
          <w:iCs/>
          <w:sz w:val="22"/>
          <w:szCs w:val="22"/>
        </w:rPr>
        <w:t xml:space="preserve">: </w:t>
      </w:r>
    </w:p>
    <w:p w14:paraId="75A5829A">
      <w:pPr>
        <w:jc w:val="both"/>
        <w:rPr>
          <w:rFonts w:cs="Arial" w:asciiTheme="minorHAnsi" w:hAnsiTheme="minorHAnsi"/>
          <w:iCs/>
          <w:sz w:val="22"/>
          <w:szCs w:val="22"/>
        </w:rPr>
      </w:pPr>
    </w:p>
    <w:p w14:paraId="699051F7">
      <w:pPr>
        <w:jc w:val="both"/>
        <w:rPr>
          <w:rFonts w:cs="Arial" w:asciiTheme="minorHAnsi" w:hAnsiTheme="minorHAnsi"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 xml:space="preserve">1º) Somar os tributos (PIS+COFINS+ISS) = 1,65% + 7,60% + 5% = </w:t>
      </w:r>
      <w:r>
        <w:rPr>
          <w:rFonts w:cs="Arial" w:asciiTheme="minorHAnsi" w:hAnsiTheme="minorHAnsi"/>
          <w:b/>
          <w:bCs/>
          <w:iCs/>
          <w:sz w:val="22"/>
          <w:szCs w:val="22"/>
        </w:rPr>
        <w:t>14,25 (total dos tributos)</w:t>
      </w:r>
    </w:p>
    <w:p w14:paraId="60A57307">
      <w:pPr>
        <w:jc w:val="both"/>
        <w:rPr>
          <w:rFonts w:cs="Arial" w:asciiTheme="minorHAnsi" w:hAnsiTheme="minorHAnsi"/>
          <w:b/>
          <w:bCs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 xml:space="preserve">2º )Subtrair o resultado de 100 e dividi-lo por 100 = (100-14,25)/100 = </w:t>
      </w:r>
      <w:r>
        <w:rPr>
          <w:rFonts w:cs="Arial" w:asciiTheme="minorHAnsi" w:hAnsiTheme="minorHAnsi"/>
          <w:b/>
          <w:bCs/>
          <w:iCs/>
          <w:sz w:val="22"/>
          <w:szCs w:val="22"/>
        </w:rPr>
        <w:t>0,8575</w:t>
      </w:r>
    </w:p>
    <w:p w14:paraId="463ACEE0">
      <w:pPr>
        <w:jc w:val="both"/>
        <w:rPr>
          <w:rFonts w:cs="Arial" w:asciiTheme="minorHAnsi" w:hAnsiTheme="minorHAnsi"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>3º ) Dividir 0,8575 pelo faturamento</w:t>
      </w:r>
    </w:p>
    <w:p w14:paraId="591F4077">
      <w:pPr>
        <w:jc w:val="both"/>
        <w:rPr>
          <w:rFonts w:cs="Arial" w:asciiTheme="minorHAnsi" w:hAnsiTheme="minorHAnsi"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>4º) Desse resultado, aplicou-se individualmente os percentuais de cada um dos tributos</w:t>
      </w:r>
    </w:p>
    <w:p w14:paraId="1EF8EDF3">
      <w:pPr>
        <w:jc w:val="both"/>
        <w:rPr>
          <w:rFonts w:cs="Arial" w:asciiTheme="minorHAnsi" w:hAnsiTheme="minorHAnsi"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>5º) Somar os resultados = Total dos tributos</w:t>
      </w:r>
    </w:p>
    <w:p w14:paraId="4ECD3926">
      <w:pPr>
        <w:jc w:val="both"/>
        <w:rPr>
          <w:rFonts w:cs="Arial" w:asciiTheme="minorHAnsi" w:hAnsiTheme="minorHAnsi"/>
          <w:iCs/>
          <w:sz w:val="22"/>
          <w:szCs w:val="22"/>
        </w:rPr>
      </w:pPr>
    </w:p>
    <w:p w14:paraId="321657A6">
      <w:pPr>
        <w:jc w:val="both"/>
        <w:rPr>
          <w:rFonts w:cs="Arial" w:asciiTheme="minorHAnsi" w:hAnsiTheme="minorHAnsi"/>
          <w:iCs/>
          <w:sz w:val="22"/>
          <w:szCs w:val="22"/>
        </w:rPr>
      </w:pPr>
      <w:r>
        <w:rPr>
          <w:rFonts w:cs="Arial" w:asciiTheme="minorHAnsi" w:hAnsiTheme="minorHAnsi"/>
          <w:iCs/>
          <w:sz w:val="22"/>
          <w:szCs w:val="22"/>
        </w:rPr>
        <w:t xml:space="preserve">Memória de Cálculo: </w:t>
      </w:r>
      <w:r>
        <w:rPr>
          <w:rFonts w:cs="Arial" w:asciiTheme="minorHAnsi" w:hAnsiTheme="minorHAnsi"/>
          <w:b/>
          <w:bCs/>
          <w:iCs/>
          <w:sz w:val="22"/>
          <w:szCs w:val="22"/>
        </w:rPr>
        <w:t>Tributos: PIS-COFINS-ISS</w:t>
      </w:r>
    </w:p>
    <w:p w14:paraId="1E2D43EA">
      <w:pPr>
        <w:jc w:val="center"/>
        <w:rPr>
          <w:rFonts w:ascii="Calibri" w:hAnsi="Calibri" w:cs="Arial" w:eastAsiaTheme="minorHAnsi"/>
          <w:b/>
          <w:sz w:val="22"/>
          <w:szCs w:val="22"/>
          <w:lang w:eastAsia="en-US"/>
        </w:rPr>
      </w:pPr>
    </w:p>
    <w:p w14:paraId="49931BDC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2BA09513">
      <w:pPr>
        <w:spacing w:line="276" w:lineRule="auto"/>
        <w:jc w:val="both"/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Tributação</w:t>
      </w:r>
    </w:p>
    <w:p w14:paraId="4A83BEB0">
      <w:pPr>
        <w:spacing w:line="276" w:lineRule="auto"/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3B373609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5020D7C7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1702C556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cs="Arial" w:asciiTheme="minorHAnsi" w:hAnsiTheme="minorHAnsi"/>
          <w:b/>
          <w:sz w:val="22"/>
          <w:szCs w:val="22"/>
        </w:rPr>
        <w:t>para a empresa que optar pelo regime tributário de LUCRO REAL ou PRESUMIDO</w:t>
      </w:r>
      <w:r>
        <w:rPr>
          <w:rFonts w:cs="Arial" w:asciiTheme="minorHAnsi" w:hAnsiTheme="minorHAnsi"/>
          <w:sz w:val="22"/>
          <w:szCs w:val="22"/>
        </w:rPr>
        <w:t xml:space="preserve">, </w:t>
      </w:r>
      <w:r>
        <w:rPr>
          <w:rFonts w:cs="Arial" w:asciiTheme="minorHAnsi" w:hAnsiTheme="minorHAnsi"/>
          <w:b/>
          <w:sz w:val="22"/>
          <w:szCs w:val="22"/>
        </w:rPr>
        <w:t>já que estão contidos no lucro bruto apresentado na proposta</w:t>
      </w:r>
      <w:r>
        <w:rPr>
          <w:rFonts w:cs="Arial" w:asciiTheme="minorHAnsi" w:hAnsiTheme="minorHAnsi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60593820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</w:rPr>
      </w:pPr>
    </w:p>
    <w:p w14:paraId="59CB1331">
      <w:pPr>
        <w:shd w:val="clear" w:color="auto" w:fill="FFFFFF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cs="Arial" w:asciiTheme="minorHAnsi" w:hAnsiTheme="minorHAnsi"/>
          <w:b/>
          <w:bCs/>
          <w:sz w:val="22"/>
          <w:szCs w:val="22"/>
          <w:u w:val="single"/>
        </w:rPr>
        <w:t>tributárias.</w:t>
      </w:r>
      <w:r>
        <w:rPr>
          <w:rFonts w:cs="Arial" w:asciiTheme="minorHAnsi" w:hAnsiTheme="minorHAnsi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EAC2A65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0DE35E9A">
      <w:pPr>
        <w:shd w:val="clear" w:color="auto" w:fill="FFFFFF"/>
        <w:spacing w:line="276" w:lineRule="auto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A LICITANTE deverá </w:t>
      </w:r>
      <w:r>
        <w:rPr>
          <w:rFonts w:ascii="Calibri" w:hAnsi="Calibri" w:eastAsia="Lucida Sans Unicode"/>
          <w:b/>
          <w:kern w:val="2"/>
          <w:sz w:val="22"/>
          <w:szCs w:val="22"/>
        </w:rPr>
        <w:t>comprovar, por meio de documentação hábil (DCTF, GFIP, EFD etc), a opção aos regimes acima elencados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a fim de que se possa </w:t>
      </w:r>
      <w:r>
        <w:rPr>
          <w:rFonts w:ascii="Calibri" w:hAnsi="Calibri" w:eastAsia="Lucida Sans Unicode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66B101B9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hAnsi="Calibri" w:eastAsia="Lucida Sans Unicode"/>
          <w:kern w:val="2"/>
          <w:sz w:val="22"/>
          <w:szCs w:val="22"/>
        </w:rPr>
      </w:pPr>
    </w:p>
    <w:p w14:paraId="2F9C16DC">
      <w:pPr>
        <w:widowControl w:val="0"/>
        <w:tabs>
          <w:tab w:val="left" w:pos="1560"/>
        </w:tabs>
        <w:spacing w:line="276" w:lineRule="auto"/>
        <w:jc w:val="both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Calibri" w:hAnsi="Calibri" w:eastAsia="Lucida Sans Unicode"/>
          <w:kern w:val="2"/>
          <w:sz w:val="22"/>
          <w:szCs w:val="22"/>
        </w:rPr>
        <w:t xml:space="preserve">As </w:t>
      </w:r>
      <w:r>
        <w:rPr>
          <w:rFonts w:ascii="Calibri" w:hAnsi="Calibri" w:eastAsia="Lucida Sans Unicode"/>
          <w:b/>
          <w:kern w:val="2"/>
          <w:sz w:val="22"/>
          <w:szCs w:val="22"/>
        </w:rPr>
        <w:t>empresas tributadas pelo regime de incidência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 </w:t>
      </w:r>
      <w:r>
        <w:rPr>
          <w:rFonts w:ascii="Calibri" w:hAnsi="Calibri" w:eastAsia="Lucida Sans Unicode"/>
          <w:b/>
          <w:kern w:val="2"/>
          <w:sz w:val="22"/>
          <w:szCs w:val="22"/>
        </w:rPr>
        <w:t>PIS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 </w:t>
      </w:r>
      <w:r>
        <w:rPr>
          <w:rFonts w:ascii="Calibri" w:hAnsi="Calibri" w:eastAsia="Lucida Sans Unicode"/>
          <w:b/>
          <w:kern w:val="2"/>
          <w:sz w:val="22"/>
          <w:szCs w:val="22"/>
        </w:rPr>
        <w:t>COFINS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devem cotar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hAnsi="Calibri" w:eastAsia="Lucida Sans Unicode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cujos respectivos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1225CB0B">
      <w:pPr>
        <w:widowControl w:val="0"/>
        <w:spacing w:line="276" w:lineRule="auto"/>
        <w:ind w:left="708"/>
        <w:rPr>
          <w:rFonts w:ascii="Calibri" w:hAnsi="Calibri" w:eastAsia="Lucida Sans Unicode"/>
          <w:kern w:val="2"/>
          <w:sz w:val="22"/>
          <w:szCs w:val="22"/>
        </w:rPr>
      </w:pPr>
    </w:p>
    <w:p w14:paraId="4EEB25A9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hAnsi="Calibri" w:eastAsia="Lucida Sans Unicode"/>
          <w:kern w:val="2"/>
          <w:sz w:val="22"/>
          <w:szCs w:val="22"/>
        </w:rPr>
        <w:t xml:space="preserve">Caso a LICITANTE tenha </w:t>
      </w:r>
      <w:r>
        <w:rPr>
          <w:rFonts w:ascii="Calibri" w:hAnsi="Calibri" w:eastAsia="Lucida Sans Unicode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em apenas </w:t>
      </w:r>
      <w:r>
        <w:rPr>
          <w:rFonts w:ascii="Calibri" w:hAnsi="Calibri" w:eastAsia="Lucida Sans Unicode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(12 meses anteriores à data da proposta), poderá apresentar o cálculo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sectPr>
      <w:headerReference r:id="rId3" w:type="default"/>
      <w:footerReference r:id="rId4" w:type="default"/>
      <w:pgSz w:w="11906" w:h="16838"/>
      <w:pgMar w:top="1417" w:right="1274" w:bottom="1417" w:left="1418" w:header="708" w:footer="306" w:gutter="0"/>
      <w:pgBorders w:offsetFrom="page">
        <w:top w:val="single" w:color="000000" w:sz="18" w:space="24"/>
        <w:left w:val="single" w:color="000000" w:sz="18" w:space="24"/>
        <w:bottom w:val="single" w:color="000000" w:sz="18" w:space="24"/>
        <w:right w:val="single" w:color="000000" w:sz="18" w:space="24"/>
      </w:pgBorders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Segoe Print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ADA9FA">
    <w:pPr>
      <w:pStyle w:val="23"/>
    </w:pPr>
    <w:r>
      <w:t>____________________________________________________________________</w:t>
    </w:r>
  </w:p>
  <w:p w14:paraId="525ED25B">
    <w:pPr>
      <w:pStyle w:val="23"/>
      <w:jc w:val="center"/>
      <w:rPr>
        <w:i/>
      </w:rPr>
    </w:pPr>
    <w:r>
      <w:rPr>
        <w:sz w:val="12"/>
        <w:szCs w:val="12"/>
      </w:rPr>
      <w:t>Anexo X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4"/>
        <w:rFonts w:ascii="Verdana" w:hAnsi="Verdana" w:eastAsia="MS Gothic"/>
        <w:sz w:val="16"/>
        <w:szCs w:val="16"/>
      </w:rPr>
      <w:t>1/10</w:t>
    </w:r>
  </w:p>
  <w:p w14:paraId="1AB8D48A">
    <w:pPr>
      <w:pStyle w:val="23"/>
      <w:rPr>
        <w:sz w:val="12"/>
        <w:szCs w:val="12"/>
      </w:rPr>
    </w:pPr>
  </w:p>
  <w:p w14:paraId="3FBE5FB1">
    <w:pPr>
      <w:pStyle w:val="2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4E03C6">
    <w:pPr>
      <w:pStyle w:val="21"/>
      <w:jc w:val="right"/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>Processo: 23069.164350/2026-51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C7191B"/>
    <w:multiLevelType w:val="singleLevel"/>
    <w:tmpl w:val="26C7191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1D"/>
    <w:rsid w:val="00022464"/>
    <w:rsid w:val="00025F14"/>
    <w:rsid w:val="00062EE7"/>
    <w:rsid w:val="000647C5"/>
    <w:rsid w:val="0007091C"/>
    <w:rsid w:val="00081D06"/>
    <w:rsid w:val="00083DB0"/>
    <w:rsid w:val="000904BD"/>
    <w:rsid w:val="00096953"/>
    <w:rsid w:val="000D4F19"/>
    <w:rsid w:val="000D7E4A"/>
    <w:rsid w:val="000E60C1"/>
    <w:rsid w:val="00100793"/>
    <w:rsid w:val="00127394"/>
    <w:rsid w:val="0013021D"/>
    <w:rsid w:val="00131DDA"/>
    <w:rsid w:val="001338D9"/>
    <w:rsid w:val="00133CD1"/>
    <w:rsid w:val="00140BBD"/>
    <w:rsid w:val="0014616A"/>
    <w:rsid w:val="00150365"/>
    <w:rsid w:val="001518A3"/>
    <w:rsid w:val="00156A99"/>
    <w:rsid w:val="001776C1"/>
    <w:rsid w:val="0019718E"/>
    <w:rsid w:val="001B1E44"/>
    <w:rsid w:val="001D0DA4"/>
    <w:rsid w:val="001E1541"/>
    <w:rsid w:val="00200BEE"/>
    <w:rsid w:val="002100BD"/>
    <w:rsid w:val="00215289"/>
    <w:rsid w:val="0022215B"/>
    <w:rsid w:val="00222366"/>
    <w:rsid w:val="00233184"/>
    <w:rsid w:val="00240C8D"/>
    <w:rsid w:val="00241E06"/>
    <w:rsid w:val="00260F71"/>
    <w:rsid w:val="00262EB7"/>
    <w:rsid w:val="00290AF9"/>
    <w:rsid w:val="00292F9F"/>
    <w:rsid w:val="00296321"/>
    <w:rsid w:val="002B5411"/>
    <w:rsid w:val="002E31AA"/>
    <w:rsid w:val="002F73F4"/>
    <w:rsid w:val="0030151E"/>
    <w:rsid w:val="0030302C"/>
    <w:rsid w:val="003150FF"/>
    <w:rsid w:val="00327BF6"/>
    <w:rsid w:val="003339BA"/>
    <w:rsid w:val="00351CCA"/>
    <w:rsid w:val="0035251D"/>
    <w:rsid w:val="00363E9E"/>
    <w:rsid w:val="0036420B"/>
    <w:rsid w:val="00365204"/>
    <w:rsid w:val="00380B50"/>
    <w:rsid w:val="00381031"/>
    <w:rsid w:val="00382F6B"/>
    <w:rsid w:val="00383723"/>
    <w:rsid w:val="003858BC"/>
    <w:rsid w:val="003B2BEE"/>
    <w:rsid w:val="003D0495"/>
    <w:rsid w:val="003D2A1B"/>
    <w:rsid w:val="003D7132"/>
    <w:rsid w:val="003E2244"/>
    <w:rsid w:val="003F496D"/>
    <w:rsid w:val="003F53BE"/>
    <w:rsid w:val="004020FD"/>
    <w:rsid w:val="00404D1C"/>
    <w:rsid w:val="00425FD6"/>
    <w:rsid w:val="004340DD"/>
    <w:rsid w:val="0043494E"/>
    <w:rsid w:val="00442149"/>
    <w:rsid w:val="00456CA1"/>
    <w:rsid w:val="00460EF0"/>
    <w:rsid w:val="004706D0"/>
    <w:rsid w:val="0047132A"/>
    <w:rsid w:val="00481D1C"/>
    <w:rsid w:val="004933EB"/>
    <w:rsid w:val="0049788E"/>
    <w:rsid w:val="004A4856"/>
    <w:rsid w:val="004B4712"/>
    <w:rsid w:val="004C5329"/>
    <w:rsid w:val="004C5C4B"/>
    <w:rsid w:val="004D3DBC"/>
    <w:rsid w:val="004D4C2F"/>
    <w:rsid w:val="004E1415"/>
    <w:rsid w:val="004E1728"/>
    <w:rsid w:val="004E5031"/>
    <w:rsid w:val="00502670"/>
    <w:rsid w:val="00515DDC"/>
    <w:rsid w:val="00533A42"/>
    <w:rsid w:val="00566F55"/>
    <w:rsid w:val="00572950"/>
    <w:rsid w:val="00583F13"/>
    <w:rsid w:val="0059356D"/>
    <w:rsid w:val="00595236"/>
    <w:rsid w:val="005B72D0"/>
    <w:rsid w:val="005E5BE8"/>
    <w:rsid w:val="00604B58"/>
    <w:rsid w:val="0060694C"/>
    <w:rsid w:val="00612DE8"/>
    <w:rsid w:val="0061341E"/>
    <w:rsid w:val="00643118"/>
    <w:rsid w:val="00664443"/>
    <w:rsid w:val="00674915"/>
    <w:rsid w:val="00675CD9"/>
    <w:rsid w:val="006927ED"/>
    <w:rsid w:val="00694321"/>
    <w:rsid w:val="0069552F"/>
    <w:rsid w:val="00695D13"/>
    <w:rsid w:val="006962AF"/>
    <w:rsid w:val="006A1B35"/>
    <w:rsid w:val="006A24B4"/>
    <w:rsid w:val="006A4173"/>
    <w:rsid w:val="006A5225"/>
    <w:rsid w:val="006B073D"/>
    <w:rsid w:val="006B19C8"/>
    <w:rsid w:val="006B1E82"/>
    <w:rsid w:val="006B3F03"/>
    <w:rsid w:val="006B75C2"/>
    <w:rsid w:val="006C0732"/>
    <w:rsid w:val="006F4C05"/>
    <w:rsid w:val="006F50E0"/>
    <w:rsid w:val="00710621"/>
    <w:rsid w:val="00714503"/>
    <w:rsid w:val="00720009"/>
    <w:rsid w:val="007217B8"/>
    <w:rsid w:val="00757BF8"/>
    <w:rsid w:val="00760403"/>
    <w:rsid w:val="0076112C"/>
    <w:rsid w:val="0076401A"/>
    <w:rsid w:val="007643DE"/>
    <w:rsid w:val="00786D92"/>
    <w:rsid w:val="00791490"/>
    <w:rsid w:val="00796933"/>
    <w:rsid w:val="007B0AD0"/>
    <w:rsid w:val="007B0D3B"/>
    <w:rsid w:val="007B1961"/>
    <w:rsid w:val="007B23CA"/>
    <w:rsid w:val="007C0B40"/>
    <w:rsid w:val="007C31B8"/>
    <w:rsid w:val="007C5E16"/>
    <w:rsid w:val="007D0BF1"/>
    <w:rsid w:val="007D5DDC"/>
    <w:rsid w:val="007F4CE0"/>
    <w:rsid w:val="007F7BA5"/>
    <w:rsid w:val="0080509C"/>
    <w:rsid w:val="0081045C"/>
    <w:rsid w:val="00864661"/>
    <w:rsid w:val="00876481"/>
    <w:rsid w:val="00880459"/>
    <w:rsid w:val="008862D8"/>
    <w:rsid w:val="008A6FF3"/>
    <w:rsid w:val="008B36E0"/>
    <w:rsid w:val="008B6503"/>
    <w:rsid w:val="008C1B2B"/>
    <w:rsid w:val="008D647E"/>
    <w:rsid w:val="008E4FD3"/>
    <w:rsid w:val="008F098C"/>
    <w:rsid w:val="008F2E62"/>
    <w:rsid w:val="009143CE"/>
    <w:rsid w:val="00944B26"/>
    <w:rsid w:val="00951E7B"/>
    <w:rsid w:val="00956D58"/>
    <w:rsid w:val="009660B4"/>
    <w:rsid w:val="00966765"/>
    <w:rsid w:val="009869D5"/>
    <w:rsid w:val="00A076CD"/>
    <w:rsid w:val="00A11B58"/>
    <w:rsid w:val="00A34AB3"/>
    <w:rsid w:val="00A531F5"/>
    <w:rsid w:val="00A5736E"/>
    <w:rsid w:val="00A657B5"/>
    <w:rsid w:val="00A71BB4"/>
    <w:rsid w:val="00A777DD"/>
    <w:rsid w:val="00A85A33"/>
    <w:rsid w:val="00AA205C"/>
    <w:rsid w:val="00AA3D68"/>
    <w:rsid w:val="00AA68C0"/>
    <w:rsid w:val="00AC0E06"/>
    <w:rsid w:val="00AC0F0D"/>
    <w:rsid w:val="00AD06CA"/>
    <w:rsid w:val="00AD242D"/>
    <w:rsid w:val="00B14366"/>
    <w:rsid w:val="00B602FA"/>
    <w:rsid w:val="00B73F23"/>
    <w:rsid w:val="00B778BF"/>
    <w:rsid w:val="00B807D1"/>
    <w:rsid w:val="00BC1110"/>
    <w:rsid w:val="00BD0E8C"/>
    <w:rsid w:val="00BE1D75"/>
    <w:rsid w:val="00BF05FF"/>
    <w:rsid w:val="00C53AD7"/>
    <w:rsid w:val="00C57E60"/>
    <w:rsid w:val="00C609DB"/>
    <w:rsid w:val="00C60C1C"/>
    <w:rsid w:val="00C651C8"/>
    <w:rsid w:val="00C85F08"/>
    <w:rsid w:val="00C86FD7"/>
    <w:rsid w:val="00C90D31"/>
    <w:rsid w:val="00CB6253"/>
    <w:rsid w:val="00CC4061"/>
    <w:rsid w:val="00CD5693"/>
    <w:rsid w:val="00CE38FA"/>
    <w:rsid w:val="00CF30B1"/>
    <w:rsid w:val="00D010D1"/>
    <w:rsid w:val="00D225F3"/>
    <w:rsid w:val="00D312FD"/>
    <w:rsid w:val="00D6032B"/>
    <w:rsid w:val="00D66379"/>
    <w:rsid w:val="00D66F17"/>
    <w:rsid w:val="00D91DD1"/>
    <w:rsid w:val="00DA53E7"/>
    <w:rsid w:val="00DB2328"/>
    <w:rsid w:val="00DE434C"/>
    <w:rsid w:val="00E1260A"/>
    <w:rsid w:val="00E16A83"/>
    <w:rsid w:val="00E25932"/>
    <w:rsid w:val="00E25FDD"/>
    <w:rsid w:val="00E354DA"/>
    <w:rsid w:val="00E40030"/>
    <w:rsid w:val="00E403E6"/>
    <w:rsid w:val="00E427F8"/>
    <w:rsid w:val="00E477A6"/>
    <w:rsid w:val="00E82A5D"/>
    <w:rsid w:val="00E941AC"/>
    <w:rsid w:val="00E97BDA"/>
    <w:rsid w:val="00EB64F6"/>
    <w:rsid w:val="00EC705B"/>
    <w:rsid w:val="00EE06F5"/>
    <w:rsid w:val="00EE6BB7"/>
    <w:rsid w:val="00EF182A"/>
    <w:rsid w:val="00F02E97"/>
    <w:rsid w:val="00F12D01"/>
    <w:rsid w:val="00F136AD"/>
    <w:rsid w:val="00F14725"/>
    <w:rsid w:val="00F53F52"/>
    <w:rsid w:val="00F57D43"/>
    <w:rsid w:val="00F6782F"/>
    <w:rsid w:val="00F7074E"/>
    <w:rsid w:val="00F77BB2"/>
    <w:rsid w:val="00F92087"/>
    <w:rsid w:val="00F94D2F"/>
    <w:rsid w:val="260B7CB8"/>
    <w:rsid w:val="2A4E63D4"/>
    <w:rsid w:val="33997744"/>
    <w:rsid w:val="43603A4D"/>
    <w:rsid w:val="713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paragraph" w:styleId="4">
    <w:name w:val="heading 3"/>
    <w:basedOn w:val="1"/>
    <w:next w:val="1"/>
    <w:link w:val="74"/>
    <w:semiHidden/>
    <w:unhideWhenUsed/>
    <w:qFormat/>
    <w:uiPriority w:val="9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54061" w:themeColor="accent1" w:themeShade="80"/>
      <w:sz w:val="24"/>
      <w:szCs w:val="24"/>
    </w:rPr>
  </w:style>
  <w:style w:type="paragraph" w:styleId="5">
    <w:name w:val="heading 4"/>
    <w:basedOn w:val="1"/>
    <w:next w:val="1"/>
    <w:link w:val="38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76092" w:themeColor="accent1" w:themeShade="BF"/>
    </w:rPr>
  </w:style>
  <w:style w:type="paragraph" w:styleId="6">
    <w:name w:val="heading 7"/>
    <w:basedOn w:val="1"/>
    <w:next w:val="1"/>
    <w:link w:val="29"/>
    <w:qFormat/>
    <w:uiPriority w:val="0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7"/>
    <w:qFormat/>
    <w:uiPriority w:val="22"/>
    <w:rPr>
      <w:b/>
      <w:bCs/>
    </w:rPr>
  </w:style>
  <w:style w:type="character" w:styleId="10">
    <w:name w:val="annotation reference"/>
    <w:basedOn w:val="7"/>
    <w:semiHidden/>
    <w:unhideWhenUsed/>
    <w:qFormat/>
    <w:uiPriority w:val="99"/>
    <w:rPr>
      <w:sz w:val="16"/>
      <w:szCs w:val="16"/>
    </w:rPr>
  </w:style>
  <w:style w:type="character" w:styleId="11">
    <w:name w:val="FollowedHyperlink"/>
    <w:basedOn w:val="7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Emphasis"/>
    <w:basedOn w:val="7"/>
    <w:qFormat/>
    <w:uiPriority w:val="20"/>
    <w:rPr>
      <w:i/>
      <w:iCs/>
    </w:rPr>
  </w:style>
  <w:style w:type="character" w:styleId="13">
    <w:name w:val="Hyperlink"/>
    <w:basedOn w:val="7"/>
    <w:unhideWhenUsed/>
    <w:qFormat/>
    <w:uiPriority w:val="99"/>
    <w:rPr>
      <w:color w:val="0000FF"/>
      <w:u w:val="single"/>
    </w:rPr>
  </w:style>
  <w:style w:type="character" w:styleId="14">
    <w:name w:val="page number"/>
    <w:qFormat/>
    <w:uiPriority w:val="0"/>
  </w:style>
  <w:style w:type="paragraph" w:styleId="15">
    <w:name w:val="List"/>
    <w:basedOn w:val="16"/>
    <w:qFormat/>
    <w:uiPriority w:val="0"/>
    <w:rPr>
      <w:rFonts w:cs="Arial"/>
    </w:rPr>
  </w:style>
  <w:style w:type="paragraph" w:styleId="16">
    <w:name w:val="Body Text"/>
    <w:basedOn w:val="1"/>
    <w:qFormat/>
    <w:uiPriority w:val="0"/>
    <w:pPr>
      <w:spacing w:after="140" w:line="276" w:lineRule="auto"/>
    </w:pPr>
  </w:style>
  <w:style w:type="paragraph" w:styleId="17">
    <w:name w:val="annotation text"/>
    <w:basedOn w:val="1"/>
    <w:link w:val="41"/>
    <w:semiHidden/>
    <w:unhideWhenUsed/>
    <w:qFormat/>
    <w:uiPriority w:val="99"/>
  </w:style>
  <w:style w:type="paragraph" w:styleId="18">
    <w:name w:val="Body Text Indent 2"/>
    <w:basedOn w:val="1"/>
    <w:link w:val="31"/>
    <w:qFormat/>
    <w:uiPriority w:val="0"/>
    <w:pPr>
      <w:ind w:left="3686"/>
      <w:jc w:val="both"/>
    </w:pPr>
    <w:rPr>
      <w:rFonts w:ascii="Arial" w:hAnsi="Arial"/>
      <w:b/>
    </w:rPr>
  </w:style>
  <w:style w:type="paragraph" w:styleId="19">
    <w:name w:val="Title"/>
    <w:basedOn w:val="1"/>
    <w:next w:val="16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20">
    <w:name w:val="Normal (Web)"/>
    <w:basedOn w:val="1"/>
    <w:semiHidden/>
    <w:unhideWhenUsed/>
    <w:qFormat/>
    <w:uiPriority w:val="99"/>
    <w:pPr>
      <w:spacing w:beforeAutospacing="1" w:afterAutospacing="1"/>
    </w:pPr>
    <w:rPr>
      <w:sz w:val="24"/>
      <w:szCs w:val="24"/>
    </w:rPr>
  </w:style>
  <w:style w:type="paragraph" w:styleId="21">
    <w:name w:val="header"/>
    <w:basedOn w:val="1"/>
    <w:link w:val="33"/>
    <w:unhideWhenUsed/>
    <w:uiPriority w:val="99"/>
    <w:pPr>
      <w:tabs>
        <w:tab w:val="center" w:pos="4252"/>
        <w:tab w:val="right" w:pos="8504"/>
      </w:tabs>
    </w:pPr>
  </w:style>
  <w:style w:type="paragraph" w:styleId="22">
    <w:name w:val="annotation subject"/>
    <w:basedOn w:val="17"/>
    <w:next w:val="17"/>
    <w:link w:val="42"/>
    <w:semiHidden/>
    <w:unhideWhenUsed/>
    <w:qFormat/>
    <w:uiPriority w:val="99"/>
    <w:rPr>
      <w:b/>
      <w:bCs/>
    </w:rPr>
  </w:style>
  <w:style w:type="paragraph" w:styleId="23">
    <w:name w:val="footer"/>
    <w:basedOn w:val="1"/>
    <w:link w:val="34"/>
    <w:unhideWhenUsed/>
    <w:qFormat/>
    <w:uiPriority w:val="99"/>
    <w:pPr>
      <w:tabs>
        <w:tab w:val="center" w:pos="4252"/>
        <w:tab w:val="right" w:pos="8504"/>
      </w:tabs>
    </w:pPr>
  </w:style>
  <w:style w:type="paragraph" w:styleId="24">
    <w:name w:val="caption"/>
    <w:basedOn w:val="1"/>
    <w:next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25">
    <w:name w:val="Balloon Text"/>
    <w:basedOn w:val="1"/>
    <w:link w:val="3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26">
    <w:name w:val="footnote text"/>
    <w:basedOn w:val="1"/>
    <w:link w:val="47"/>
    <w:semiHidden/>
    <w:unhideWhenUsed/>
    <w:uiPriority w:val="99"/>
  </w:style>
  <w:style w:type="paragraph" w:styleId="27">
    <w:name w:val="Body Text Indent"/>
    <w:basedOn w:val="1"/>
    <w:link w:val="30"/>
    <w:uiPriority w:val="0"/>
    <w:pPr>
      <w:ind w:left="426" w:hanging="426"/>
    </w:pPr>
  </w:style>
  <w:style w:type="table" w:styleId="28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9">
    <w:name w:val="Título 7 Char"/>
    <w:basedOn w:val="7"/>
    <w:link w:val="6"/>
    <w:qFormat/>
    <w:uiPriority w:val="0"/>
    <w:rPr>
      <w:rFonts w:ascii="Arial" w:hAnsi="Arial" w:eastAsia="Times New Roman" w:cs="Times New Roman"/>
      <w:b/>
      <w:sz w:val="28"/>
      <w:szCs w:val="20"/>
      <w:u w:val="single"/>
      <w:lang w:val="pt-PT"/>
    </w:rPr>
  </w:style>
  <w:style w:type="character" w:customStyle="1" w:styleId="30">
    <w:name w:val="Recuo de corpo de texto Char"/>
    <w:basedOn w:val="7"/>
    <w:link w:val="27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1">
    <w:name w:val="Recuo de corpo de texto 2 Char"/>
    <w:basedOn w:val="7"/>
    <w:link w:val="18"/>
    <w:qFormat/>
    <w:uiPriority w:val="0"/>
    <w:rPr>
      <w:rFonts w:ascii="Arial" w:hAnsi="Arial" w:eastAsia="Times New Roman" w:cs="Times New Roman"/>
      <w:b/>
      <w:sz w:val="20"/>
      <w:szCs w:val="20"/>
    </w:rPr>
  </w:style>
  <w:style w:type="character" w:customStyle="1" w:styleId="32">
    <w:name w:val="Texto de balão Char"/>
    <w:basedOn w:val="7"/>
    <w:link w:val="25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33">
    <w:name w:val="Cabeçalho Char"/>
    <w:basedOn w:val="7"/>
    <w:link w:val="21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Rodapé Char"/>
    <w:basedOn w:val="7"/>
    <w:link w:val="23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5">
    <w:name w:val="Título 1 Char"/>
    <w:basedOn w:val="7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t-BR"/>
    </w:rPr>
  </w:style>
  <w:style w:type="character" w:customStyle="1" w:styleId="36">
    <w:name w:val="Fonte parág. padrão6"/>
    <w:qFormat/>
    <w:uiPriority w:val="0"/>
  </w:style>
  <w:style w:type="character" w:customStyle="1" w:styleId="37">
    <w:name w:val="Título 2 Char"/>
    <w:basedOn w:val="7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6"/>
      <w:szCs w:val="26"/>
      <w:lang w:eastAsia="pt-BR"/>
    </w:rPr>
  </w:style>
  <w:style w:type="character" w:customStyle="1" w:styleId="38">
    <w:name w:val="Título 4 Char"/>
    <w:basedOn w:val="7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376092" w:themeColor="accent1" w:themeShade="BF"/>
      <w:sz w:val="20"/>
      <w:szCs w:val="20"/>
      <w:lang w:eastAsia="pt-BR"/>
    </w:rPr>
  </w:style>
  <w:style w:type="character" w:customStyle="1" w:styleId="39">
    <w:name w:val="Link da Internet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40">
    <w:name w:val="qtip-link"/>
    <w:basedOn w:val="7"/>
    <w:qFormat/>
    <w:uiPriority w:val="0"/>
  </w:style>
  <w:style w:type="character" w:customStyle="1" w:styleId="41">
    <w:name w:val="Texto de comentário Char"/>
    <w:basedOn w:val="7"/>
    <w:link w:val="17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2">
    <w:name w:val="Assunto do comentário Char"/>
    <w:basedOn w:val="41"/>
    <w:link w:val="22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43">
    <w:name w:val="m_7892110431564642023ttulo2char"/>
    <w:basedOn w:val="7"/>
    <w:qFormat/>
    <w:uiPriority w:val="0"/>
  </w:style>
  <w:style w:type="character" w:customStyle="1" w:styleId="44">
    <w:name w:val="WW8Num5z3"/>
    <w:qFormat/>
    <w:uiPriority w:val="0"/>
    <w:rPr>
      <w:rFonts w:ascii="Symbol" w:hAnsi="Symbol" w:cs="Symbol"/>
    </w:rPr>
  </w:style>
  <w:style w:type="character" w:customStyle="1" w:styleId="45">
    <w:name w:val="WW8Num5z4"/>
    <w:qFormat/>
    <w:uiPriority w:val="0"/>
    <w:rPr>
      <w:rFonts w:ascii="Courier New" w:hAnsi="Courier New" w:cs="Courier New"/>
    </w:rPr>
  </w:style>
  <w:style w:type="character" w:customStyle="1" w:styleId="46">
    <w:name w:val="WW8Num6z0"/>
    <w:qFormat/>
    <w:uiPriority w:val="0"/>
    <w:rPr>
      <w:rFonts w:ascii="Times New Roman" w:hAnsi="Times New Roman" w:cs="Times New Roman"/>
    </w:rPr>
  </w:style>
  <w:style w:type="character" w:customStyle="1" w:styleId="47">
    <w:name w:val="Texto de nota de rodapé Char"/>
    <w:basedOn w:val="7"/>
    <w:link w:val="26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8">
    <w:name w:val="Âncora da nota de rodapé"/>
    <w:uiPriority w:val="0"/>
    <w:rPr>
      <w:vertAlign w:val="superscript"/>
    </w:rPr>
  </w:style>
  <w:style w:type="character" w:customStyle="1" w:styleId="49">
    <w:name w:val="Footnote Characters"/>
    <w:basedOn w:val="7"/>
    <w:semiHidden/>
    <w:unhideWhenUsed/>
    <w:qFormat/>
    <w:uiPriority w:val="99"/>
    <w:rPr>
      <w:vertAlign w:val="superscript"/>
    </w:rPr>
  </w:style>
  <w:style w:type="character" w:customStyle="1" w:styleId="50">
    <w:name w:val="Caracteres de nota de rodapé"/>
    <w:qFormat/>
    <w:uiPriority w:val="0"/>
  </w:style>
  <w:style w:type="character" w:customStyle="1" w:styleId="51">
    <w:name w:val="Âncora da nota de fim"/>
    <w:uiPriority w:val="0"/>
    <w:rPr>
      <w:vertAlign w:val="superscript"/>
    </w:rPr>
  </w:style>
  <w:style w:type="character" w:customStyle="1" w:styleId="52">
    <w:name w:val="Caracteres de nota de fim"/>
    <w:qFormat/>
    <w:uiPriority w:val="0"/>
  </w:style>
  <w:style w:type="paragraph" w:customStyle="1" w:styleId="53">
    <w:name w:val="Índice"/>
    <w:basedOn w:val="1"/>
    <w:qFormat/>
    <w:uiPriority w:val="0"/>
    <w:pPr>
      <w:suppressLineNumbers/>
    </w:pPr>
    <w:rPr>
      <w:rFonts w:cs="Arial"/>
    </w:rPr>
  </w:style>
  <w:style w:type="paragraph" w:customStyle="1" w:styleId="54">
    <w:name w:val="ParaPrinc"/>
    <w:basedOn w:val="1"/>
    <w:qFormat/>
    <w:uiPriority w:val="0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55">
    <w:name w:val="Default"/>
    <w:qFormat/>
    <w:uiPriority w:val="0"/>
    <w:rPr>
      <w:rFonts w:ascii="Arial" w:hAnsi="Arial" w:eastAsia="Times New Roman" w:cs="Arial"/>
      <w:color w:val="000000"/>
      <w:sz w:val="24"/>
      <w:szCs w:val="24"/>
      <w:lang w:val="pt-BR" w:eastAsia="pt-BR" w:bidi="ar-SA"/>
    </w:rPr>
  </w:style>
  <w:style w:type="paragraph" w:customStyle="1" w:styleId="56">
    <w:name w:val="WW-Recuo de corpo de texto 2"/>
    <w:basedOn w:val="1"/>
    <w:qFormat/>
    <w:uiPriority w:val="0"/>
    <w:pPr>
      <w:suppressAutoHyphens/>
      <w:ind w:firstLine="708"/>
      <w:jc w:val="both"/>
    </w:pPr>
    <w:rPr>
      <w:b/>
    </w:rPr>
  </w:style>
  <w:style w:type="paragraph" w:customStyle="1" w:styleId="57">
    <w:name w:val="Contrato"/>
    <w:basedOn w:val="1"/>
    <w:qFormat/>
    <w:uiPriority w:val="0"/>
    <w:pPr>
      <w:spacing w:after="240"/>
      <w:jc w:val="both"/>
    </w:pPr>
    <w:rPr>
      <w:sz w:val="24"/>
    </w:rPr>
  </w:style>
  <w:style w:type="paragraph" w:customStyle="1" w:styleId="58">
    <w:name w:val="Cabeçalho e Rodapé"/>
    <w:basedOn w:val="1"/>
    <w:qFormat/>
    <w:uiPriority w:val="0"/>
  </w:style>
  <w:style w:type="paragraph" w:styleId="59">
    <w:name w:val="List Paragraph"/>
    <w:basedOn w:val="1"/>
    <w:qFormat/>
    <w:uiPriority w:val="34"/>
    <w:pPr>
      <w:ind w:left="720"/>
      <w:contextualSpacing/>
    </w:pPr>
  </w:style>
  <w:style w:type="paragraph" w:customStyle="1" w:styleId="60">
    <w:name w:val="Parágrafo da Lista1"/>
    <w:basedOn w:val="1"/>
    <w:qFormat/>
    <w:uiPriority w:val="0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61">
    <w:name w:val="_A010165"/>
    <w:qFormat/>
    <w:uiPriority w:val="0"/>
    <w:pPr>
      <w:tabs>
        <w:tab w:val="left" w:pos="937"/>
      </w:tabs>
      <w:suppressAutoHyphens/>
      <w:jc w:val="both"/>
    </w:pPr>
    <w:rPr>
      <w:rFonts w:ascii="Arial" w:hAnsi="Arial" w:eastAsia="Times New Roman" w:cs="Times New Roman"/>
      <w:color w:val="000000"/>
      <w:lang w:val="pt-BR" w:eastAsia="ar-SA" w:bidi="ar-SA"/>
    </w:rPr>
  </w:style>
  <w:style w:type="paragraph" w:customStyle="1" w:styleId="62">
    <w:name w:val="Table Paragraph"/>
    <w:basedOn w:val="1"/>
    <w:qFormat/>
    <w:uiPriority w:val="1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63">
    <w:name w:val="rtejustify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4">
    <w:name w:val="rtecenter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5">
    <w:name w:val="rteindent1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6">
    <w:name w:val="texto_justificado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7">
    <w:name w:val="Conteúdo do quadro"/>
    <w:basedOn w:val="1"/>
    <w:qFormat/>
    <w:uiPriority w:val="0"/>
  </w:style>
  <w:style w:type="table" w:customStyle="1" w:styleId="68">
    <w:name w:val="Tabela de Grade 4 - Ênfase 31"/>
    <w:basedOn w:val="8"/>
    <w:uiPriority w:val="49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69">
    <w:name w:val="Tabela de Lista 3 - Ênfase 31"/>
    <w:basedOn w:val="8"/>
    <w:uiPriority w:val="48"/>
    <w:tblPr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band1Horz">
      <w:tcPr>
        <w:tcBorders>
          <w:top w:val="single" w:color="9BBB59" w:themeColor="accent3" w:sz="4" w:space="0"/>
          <w:bottom w:val="single" w:color="9BBB59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9BBB59" w:themeColor="accent3" w:sz="4" w:space="0"/>
          <w:left w:val="nil"/>
        </w:tcBorders>
      </w:tcPr>
    </w:tblStylePr>
    <w:tblStylePr w:type="swCell">
      <w:tcPr>
        <w:tcBorders>
          <w:top w:val="double" w:color="9BBB59" w:themeColor="accent3" w:sz="4" w:space="0"/>
          <w:right w:val="nil"/>
        </w:tcBorders>
      </w:tcPr>
    </w:tblStylePr>
  </w:style>
  <w:style w:type="table" w:customStyle="1" w:styleId="70">
    <w:name w:val="Tabela de Grade 6 Colorida - Ênfase 31"/>
    <w:basedOn w:val="8"/>
    <w:qFormat/>
    <w:uiPriority w:val="51"/>
    <w:rPr>
      <w:color w:val="77933C" w:themeColor="accent3" w:themeShade="BF"/>
    </w:rPr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9BBB59" w:themeColor="accent3" w:sz="12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71">
    <w:name w:val="Tabela de Grade 4 - Ênfase 11"/>
    <w:basedOn w:val="8"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2">
    <w:name w:val="Tabela de Grade 4 - Ênfase 12"/>
    <w:basedOn w:val="8"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character" w:customStyle="1" w:styleId="73">
    <w:name w:val="Menção Pendente1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74">
    <w:name w:val="Título 3 Char"/>
    <w:basedOn w:val="7"/>
    <w:link w:val="4"/>
    <w:semiHidden/>
    <w:uiPriority w:val="9"/>
    <w:rPr>
      <w:rFonts w:asciiTheme="majorHAnsi" w:hAnsiTheme="majorHAnsi" w:eastAsiaTheme="majorEastAsia" w:cstheme="majorBidi"/>
      <w:color w:val="254061" w:themeColor="accent1" w:themeShade="8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4D733A-D005-4F7B-8526-FBAE27407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452</Words>
  <Characters>2476</Characters>
  <Lines>140</Lines>
  <Paragraphs>39</Paragraphs>
  <TotalTime>99</TotalTime>
  <ScaleCrop>false</ScaleCrop>
  <LinksUpToDate>false</LinksUpToDate>
  <CharactersWithSpaces>2898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2026-05-06T02:58:00Z</dcterms:created>
  <dc:creator>bteixeira</dc:creator>
  <cp:lastModifiedBy>Juliana Borsoi</cp:lastModifiedBy>
  <cp:lastPrinted>2026-05-04T23:25:00Z</cp:lastPrinted>
  <dcterms:modified xsi:type="dcterms:W3CDTF">2026-05-06T20:08:24Z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1046-12.1.0.25242</vt:lpwstr>
  </property>
  <property fmtid="{D5CDD505-2E9C-101B-9397-08002B2CF9AE}" pid="9" name="ICV">
    <vt:lpwstr>3A7CE6374BAD468A81F23B4D044CFC01_13</vt:lpwstr>
  </property>
  <property fmtid="{D5CDD505-2E9C-101B-9397-08002B2CF9AE}" pid="10" name="KSOTemplateDocerSaveRecord">
    <vt:lpwstr>eyJoZGlkIjoiMWI4YjJjZTUzNGNlYTQyODI4ZTEyNDRhODcyM2Y3ZDEiLCJ1c2VySWQiOiIxMjU0NDI4NTk3NjUwIn0=</vt:lpwstr>
  </property>
</Properties>
</file>