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VI –</w:t>
      </w:r>
      <w:r>
        <w:rPr>
          <w:rFonts w:hint="default" w:asciiTheme="minorHAnsi" w:hAnsiTheme="minorHAnsi" w:cstheme="minorHAnsi"/>
          <w:b/>
          <w:bCs/>
          <w:color w:val="FF0000"/>
          <w:sz w:val="22"/>
          <w:szCs w:val="22"/>
          <w:lang w:val="pt-BR"/>
        </w:rPr>
        <w:t xml:space="preserve"> C</w:t>
      </w:r>
      <w:r>
        <w:rPr>
          <w:rFonts w:asciiTheme="minorHAnsi" w:hAnsiTheme="minorHAnsi" w:cstheme="minorHAnsi"/>
          <w:b/>
          <w:bCs/>
          <w:color w:val="FF0000"/>
          <w:sz w:val="22"/>
          <w:szCs w:val="22"/>
        </w:rPr>
        <w:t>E. 90</w:t>
      </w:r>
      <w:r>
        <w:rPr>
          <w:rFonts w:hint="default" w:asciiTheme="minorHAnsi" w:hAnsiTheme="minorHAnsi" w:cstheme="minorHAnsi"/>
          <w:b/>
          <w:bCs/>
          <w:color w:val="FF0000"/>
          <w:sz w:val="22"/>
          <w:szCs w:val="22"/>
          <w:lang w:val="pt-BR"/>
        </w:rPr>
        <w:t>.002</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23069.177438/2025-52)</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23069.177438/2025-52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hint="default" w:eastAsia="Arial" w:asciiTheme="minorHAnsi" w:hAnsiTheme="minorHAnsi" w:cstheme="minorHAnsi"/>
          <w:i/>
          <w:iCs/>
          <w:sz w:val="22"/>
          <w:szCs w:val="22"/>
          <w:lang w:val="pt-BR"/>
        </w:rPr>
        <w:t>da Concorrência</w:t>
      </w:r>
      <w:r>
        <w:rPr>
          <w:rFonts w:eastAsia="Arial" w:asciiTheme="minorHAnsi" w:hAnsiTheme="minorHAnsi" w:cstheme="minorHAnsi"/>
          <w:i/>
          <w:iCs/>
          <w:sz w:val="22"/>
          <w:szCs w:val="22"/>
        </w:rPr>
        <w:t xml:space="preserve"> Eletrôni</w:t>
      </w:r>
      <w:r>
        <w:rPr>
          <w:rFonts w:hint="default" w:eastAsia="Arial" w:asciiTheme="minorHAnsi" w:hAnsiTheme="minorHAnsi" w:cstheme="minorHAnsi"/>
          <w:i/>
          <w:iCs/>
          <w:sz w:val="22"/>
          <w:szCs w:val="22"/>
          <w:lang w:val="pt-BR"/>
        </w:rPr>
        <w:t>ca</w:t>
      </w:r>
      <w:r>
        <w:rPr>
          <w:rFonts w:eastAsia="Arial" w:asciiTheme="minorHAnsi" w:hAnsiTheme="minorHAnsi" w:cstheme="minorHAnsi"/>
          <w:i/>
          <w:iCs/>
          <w:sz w:val="22"/>
          <w:szCs w:val="22"/>
        </w:rPr>
        <w:t xml:space="preserve"> n.</w:t>
      </w:r>
      <w:r>
        <w:rPr>
          <w:rFonts w:hint="default" w:eastAsia="Arial" w:asciiTheme="minorHAnsi" w:hAnsiTheme="minorHAnsi" w:cstheme="minorHAnsi"/>
          <w:i/>
          <w:iCs/>
          <w:sz w:val="22"/>
          <w:szCs w:val="22"/>
          <w:lang w:val="pt-BR"/>
        </w:rPr>
        <w:t xml:space="preserve"> 90.002</w:t>
      </w:r>
      <w:bookmarkStart w:id="6" w:name="_GoBack"/>
      <w:bookmarkEnd w:id="6"/>
      <w:r>
        <w:rPr>
          <w:rFonts w:eastAsia="Arial" w:asciiTheme="minorHAnsi" w:hAnsiTheme="minorHAnsi" w:cstheme="minorHAnsi"/>
          <w:i/>
          <w:iCs/>
          <w:sz w:val="22"/>
          <w:szCs w:val="22"/>
        </w:rPr>
        <w:t>/2026,</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Contratação de obras de engenharia para execução e instalação de Sistemas de Segurança Contra Incêndio, incluindo SPDA e certificação junto ao CBMERJ, em todo o Campus Universitário do Instituto de Artes e Comunicação Social (IACS-Casarão), pertencente a Universidade Federal Fluminense, localizado no município de Niterói</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498" w:type="dxa"/>
        <w:tblInd w:w="-5" w:type="dxa"/>
        <w:tblLayout w:type="fixed"/>
        <w:tblCellMar>
          <w:top w:w="0" w:type="dxa"/>
          <w:left w:w="108" w:type="dxa"/>
          <w:bottom w:w="0" w:type="dxa"/>
          <w:right w:w="108" w:type="dxa"/>
        </w:tblCellMar>
      </w:tblPr>
      <w:tblGrid>
        <w:gridCol w:w="707"/>
        <w:gridCol w:w="2554"/>
        <w:gridCol w:w="1277"/>
        <w:gridCol w:w="1134"/>
        <w:gridCol w:w="1558"/>
        <w:gridCol w:w="1279"/>
        <w:gridCol w:w="989"/>
      </w:tblGrid>
      <w:tr w14:paraId="1D193ECB">
        <w:tblPrEx>
          <w:tblCellMar>
            <w:top w:w="0" w:type="dxa"/>
            <w:left w:w="108" w:type="dxa"/>
            <w:bottom w:w="0" w:type="dxa"/>
            <w:right w:w="108" w:type="dxa"/>
          </w:tblCellMar>
        </w:tblPrEx>
        <w:tc>
          <w:tcPr>
            <w:tcW w:w="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A29DF27">
            <w:pPr>
              <w:widowControl w:val="0"/>
              <w:spacing w:before="120" w:after="288" w:afterLines="120" w:line="312" w:lineRule="auto"/>
              <w:jc w:val="center"/>
              <w:rPr>
                <w:rFonts w:eastAsia="Arial" w:cs="Arial"/>
                <w:b/>
                <w:bCs/>
                <w:color w:val="000000"/>
                <w:szCs w:val="20"/>
              </w:rPr>
            </w:pPr>
            <w:r>
              <w:rPr>
                <w:rFonts w:eastAsia="Arial" w:cs="Arial"/>
                <w:b/>
                <w:bCs/>
                <w:color w:val="000000" w:themeColor="text1"/>
                <w:szCs w:val="20"/>
                <w14:textFill>
                  <w14:solidFill>
                    <w14:schemeClr w14:val="tx1"/>
                  </w14:solidFill>
                </w14:textFill>
              </w:rPr>
              <w:t>ITEM</w:t>
            </w:r>
          </w:p>
        </w:tc>
        <w:tc>
          <w:tcPr>
            <w:tcW w:w="255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3628AFA">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ESPECIFICAÇÃO</w:t>
            </w:r>
          </w:p>
        </w:tc>
        <w:tc>
          <w:tcPr>
            <w:tcW w:w="127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67A47F2">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CATSER</w:t>
            </w:r>
          </w:p>
        </w:tc>
        <w:tc>
          <w:tcPr>
            <w:tcW w:w="113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C2718C8">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UNIDADE DE MEDIDA</w:t>
            </w:r>
          </w:p>
        </w:tc>
        <w:tc>
          <w:tcPr>
            <w:tcW w:w="155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2EE92E4">
            <w:pPr>
              <w:widowControl w:val="0"/>
              <w:spacing w:before="120" w:after="288" w:afterLines="120" w:line="312" w:lineRule="auto"/>
              <w:jc w:val="center"/>
              <w:rPr>
                <w:rFonts w:eastAsia="Arial" w:cs="Arial"/>
                <w:b/>
                <w:bCs/>
                <w:szCs w:val="20"/>
              </w:rPr>
            </w:pPr>
            <w:r>
              <w:rPr>
                <w:rFonts w:eastAsia="Arial" w:cs="Arial"/>
                <w:b/>
                <w:bCs/>
                <w:szCs w:val="20"/>
              </w:rPr>
              <w:t>QUANTIDADE</w:t>
            </w:r>
          </w:p>
        </w:tc>
        <w:tc>
          <w:tcPr>
            <w:tcW w:w="127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585ED52">
            <w:pPr>
              <w:widowControl w:val="0"/>
              <w:spacing w:before="120" w:after="288" w:afterLines="120" w:line="312" w:lineRule="auto"/>
              <w:jc w:val="center"/>
              <w:rPr>
                <w:rFonts w:eastAsia="Arial" w:cs="Arial"/>
                <w:b/>
                <w:bCs/>
                <w:szCs w:val="20"/>
              </w:rPr>
            </w:pPr>
            <w:r>
              <w:rPr>
                <w:rFonts w:eastAsia="Arial" w:cs="Arial"/>
                <w:b/>
                <w:bCs/>
                <w:szCs w:val="20"/>
              </w:rPr>
              <w:t>VALOR UNITÁRIO</w:t>
            </w: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DEE6157">
            <w:pPr>
              <w:widowControl w:val="0"/>
              <w:spacing w:before="120" w:after="288" w:afterLines="120" w:line="312" w:lineRule="auto"/>
              <w:jc w:val="center"/>
              <w:rPr>
                <w:rFonts w:eastAsia="Arial" w:cs="Arial"/>
                <w:b/>
                <w:bCs/>
                <w:szCs w:val="20"/>
              </w:rPr>
            </w:pPr>
            <w:r>
              <w:rPr>
                <w:rFonts w:eastAsia="Arial" w:cs="Arial"/>
                <w:b/>
                <w:bCs/>
                <w:szCs w:val="20"/>
              </w:rPr>
              <w:t>VALOR TOTAL</w:t>
            </w:r>
          </w:p>
        </w:tc>
      </w:tr>
      <w:tr w14:paraId="0DE4D7F2">
        <w:tblPrEx>
          <w:tblCellMar>
            <w:top w:w="0" w:type="dxa"/>
            <w:left w:w="108" w:type="dxa"/>
            <w:bottom w:w="0" w:type="dxa"/>
            <w:right w:w="108" w:type="dxa"/>
          </w:tblCellMar>
        </w:tblPrEx>
        <w:tc>
          <w:tcPr>
            <w:tcW w:w="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C8AB2B5">
            <w:pPr>
              <w:widowControl w:val="0"/>
              <w:spacing w:before="120" w:after="288" w:afterLines="120" w:line="312" w:lineRule="auto"/>
              <w:jc w:val="center"/>
              <w:rPr>
                <w:rFonts w:eastAsia="Arial" w:cs="Arial"/>
                <w:b/>
                <w:bCs/>
                <w:color w:val="000000"/>
                <w:szCs w:val="20"/>
              </w:rPr>
            </w:pPr>
            <w:r>
              <w:rPr>
                <w:rFonts w:eastAsia="Arial" w:cs="Arial"/>
                <w:b/>
                <w:bCs/>
                <w:color w:val="000000" w:themeColor="text1"/>
                <w:szCs w:val="20"/>
                <w14:textFill>
                  <w14:solidFill>
                    <w14:schemeClr w14:val="tx1"/>
                  </w14:solidFill>
                </w14:textFill>
              </w:rPr>
              <w:t>1</w:t>
            </w:r>
          </w:p>
        </w:tc>
        <w:tc>
          <w:tcPr>
            <w:tcW w:w="255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FF6B61A">
            <w:pPr>
              <w:widowControl w:val="0"/>
              <w:spacing w:before="120" w:after="288" w:afterLines="120" w:line="312" w:lineRule="auto"/>
              <w:rPr>
                <w:rFonts w:eastAsia="Arial" w:cs="Arial"/>
                <w:color w:val="000000"/>
                <w:szCs w:val="20"/>
              </w:rPr>
            </w:pPr>
          </w:p>
        </w:tc>
        <w:tc>
          <w:tcPr>
            <w:tcW w:w="127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6B4D019">
            <w:pPr>
              <w:widowControl w:val="0"/>
              <w:spacing w:before="120" w:after="288" w:afterLines="120" w:line="312" w:lineRule="auto"/>
              <w:rPr>
                <w:rFonts w:eastAsia="Arial" w:cs="Arial"/>
                <w:color w:val="000000"/>
                <w:szCs w:val="20"/>
              </w:rPr>
            </w:pPr>
          </w:p>
        </w:tc>
        <w:tc>
          <w:tcPr>
            <w:tcW w:w="113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1A021F3">
            <w:pPr>
              <w:widowControl w:val="0"/>
              <w:spacing w:before="120" w:after="288" w:afterLines="120" w:line="312" w:lineRule="auto"/>
              <w:rPr>
                <w:rFonts w:eastAsia="Arial" w:cs="Arial"/>
                <w:color w:val="000000"/>
                <w:szCs w:val="20"/>
              </w:rPr>
            </w:pPr>
          </w:p>
        </w:tc>
        <w:tc>
          <w:tcPr>
            <w:tcW w:w="155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743636F">
            <w:pPr>
              <w:widowControl w:val="0"/>
              <w:spacing w:before="120" w:after="288" w:afterLines="120" w:line="312" w:lineRule="auto"/>
              <w:rPr>
                <w:rFonts w:eastAsia="Arial" w:cs="Arial"/>
                <w:color w:val="000000"/>
                <w:szCs w:val="20"/>
              </w:rPr>
            </w:pPr>
          </w:p>
        </w:tc>
        <w:tc>
          <w:tcPr>
            <w:tcW w:w="127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F4A726A">
            <w:pPr>
              <w:widowControl w:val="0"/>
              <w:spacing w:before="120" w:after="288" w:afterLines="120" w:line="312" w:lineRule="auto"/>
              <w:rPr>
                <w:rFonts w:eastAsia="Arial" w:cs="Arial"/>
                <w:color w:val="000000"/>
                <w:szCs w:val="20"/>
              </w:rPr>
            </w:pP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6142539">
            <w:pPr>
              <w:widowControl w:val="0"/>
              <w:spacing w:before="120" w:after="288" w:afterLines="120" w:line="312" w:lineRule="auto"/>
              <w:rPr>
                <w:rFonts w:eastAsia="Arial" w:cs="Arial"/>
                <w:color w:val="000000"/>
                <w:szCs w:val="20"/>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Edital de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4D258946">
      <w:pPr>
        <w:pStyle w:val="101"/>
        <w:numPr>
          <w:ilvl w:val="2"/>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é o de empreitada por preço unitário.</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05ABFA05">
      <w:pPr>
        <w:pStyle w:val="498"/>
        <w:numPr>
          <w:ilvl w:val="1"/>
          <w:numId w:val="8"/>
        </w:numPr>
        <w:ind w:left="0" w:firstLine="0"/>
        <w:rPr>
          <w:rFonts w:eastAsia="Arial Unicode MS" w:asciiTheme="minorHAnsi" w:hAnsiTheme="minorHAnsi" w:cstheme="minorHAnsi"/>
          <w:i w:val="0"/>
          <w:iCs w:val="0"/>
          <w:color w:val="000000"/>
          <w:sz w:val="22"/>
          <w:szCs w:val="22"/>
        </w:rPr>
      </w:pPr>
      <w:r>
        <w:rPr>
          <w:rFonts w:eastAsia="Arial Unicode MS" w:asciiTheme="minorHAnsi" w:hAnsiTheme="minorHAnsi" w:cstheme="minorHAnsi"/>
          <w:i w:val="0"/>
          <w:iCs w:val="0"/>
          <w:color w:val="000000"/>
          <w:sz w:val="22"/>
          <w:szCs w:val="22"/>
        </w:rPr>
        <w:t>O prazo de vigência da contratação é de 6 (seis) meses contados da assinatura pelas partes, na forma do artigo 105 da Lei n° 14.133, de 2021.</w:t>
      </w:r>
    </w:p>
    <w:p w14:paraId="31A34691">
      <w:pPr>
        <w:pStyle w:val="498"/>
        <w:numPr>
          <w:ilvl w:val="1"/>
          <w:numId w:val="8"/>
        </w:numPr>
        <w:ind w:left="0" w:firstLine="0"/>
        <w:rPr>
          <w:rFonts w:eastAsia="Arial Unicode MS" w:asciiTheme="minorHAnsi" w:hAnsiTheme="minorHAnsi" w:cstheme="minorHAnsi"/>
          <w:i w:val="0"/>
          <w:iCs w:val="0"/>
          <w:color w:val="000000"/>
          <w:sz w:val="22"/>
          <w:szCs w:val="22"/>
        </w:rPr>
      </w:pPr>
      <w:r>
        <w:rPr>
          <w:rFonts w:eastAsia="Arial Unicode MS" w:asciiTheme="minorHAnsi" w:hAnsiTheme="minorHAnsi" w:cstheme="minorHAnsi"/>
          <w:i w:val="0"/>
          <w:iCs w:val="0"/>
          <w:color w:val="000000"/>
          <w:sz w:val="22"/>
          <w:szCs w:val="22"/>
        </w:rPr>
        <w:t>O prazo de vigência será automaticamente prorrogado, independentemente de termo aditivo, quando o objeto não for concluído no período firmado acima, ressalvadas as providências cabíveis no caso de culpa do CONTRATADO, previstas neste instrumento.</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9"/>
        </w:numPr>
        <w:spacing w:after="288" w:afterLines="120" w:line="312" w:lineRule="auto"/>
        <w:ind w:left="426"/>
        <w:contextualSpacing/>
        <w:rPr>
          <w:rFonts w:asciiTheme="minorHAnsi" w:hAnsiTheme="minorHAnsi" w:cstheme="minorHAnsi"/>
          <w:sz w:val="22"/>
          <w:szCs w:val="22"/>
          <w:lang w:eastAsia="en-US"/>
        </w:rPr>
      </w:pPr>
      <w:bookmarkStart w:id="0" w:name="_Hlk182220156"/>
      <w:r>
        <w:rPr>
          <w:rFonts w:asciiTheme="minorHAnsi" w:hAnsiTheme="minorHAnsi" w:cstheme="minorHAnsi"/>
          <w:sz w:val="22"/>
          <w:szCs w:val="22"/>
          <w:lang w:eastAsia="en-US"/>
        </w:rPr>
        <w:t>As regras sobre a subcontratação do objeto são aquelas estabelecidas no Termo de Referência, anexo a este Contrato</w:t>
      </w:r>
      <w:bookmarkEnd w:id="0"/>
      <w:r>
        <w:rPr>
          <w:rFonts w:asciiTheme="minorHAnsi" w:hAnsiTheme="minorHAnsi" w:cstheme="minorHAnsi"/>
          <w:sz w:val="22"/>
          <w:szCs w:val="22"/>
          <w:lang w:eastAsia="en-US"/>
        </w:rPr>
        <w:t>.</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total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0"/>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0"/>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F62845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São obrigações do CONTRATANTE:</w:t>
      </w:r>
    </w:p>
    <w:p w14:paraId="317B4077">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Exigir o cumprimento de todas as obrigações assumidas pelo CONTRATADO, de acordo com o contrato e seus anexos;</w:t>
      </w:r>
    </w:p>
    <w:p w14:paraId="6064E6AD">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Receber o objeto no prazo e condições estabelecidas no Termo de Referência;</w:t>
      </w:r>
    </w:p>
    <w:p w14:paraId="19F265B3">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0334384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Acompanhar e fiscalizar a execução do contrato e o cumprimento das obrigações pelo CONTRATADO;</w:t>
      </w:r>
    </w:p>
    <w:p w14:paraId="055EE03F">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23CD811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Efetuar o pagamento ao CONTRATADO do valor correspondente à execução do objeto, no prazo, forma e condições estabelecidos no presente Contrato e no Termo de Referência;</w:t>
      </w:r>
    </w:p>
    <w:p w14:paraId="1DDD5225">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Aplicar ao CONTRATADO as sanções previstas na lei e neste Contrato;</w:t>
      </w:r>
    </w:p>
    <w:p w14:paraId="4EA50C07">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Não praticar atos de ingerência na administração do CONTRATADO, tais como:</w:t>
      </w:r>
    </w:p>
    <w:p w14:paraId="2CCB3BAD">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indicar pessoas expressamente nominadas para executar direta ou indiretamente o objeto CONTRATADO;</w:t>
      </w:r>
    </w:p>
    <w:p w14:paraId="0BBD36D0">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fixar salário inferior ao definido em lei ou em ato normativo a ser pago pelo CONTRATADO;</w:t>
      </w:r>
    </w:p>
    <w:p w14:paraId="74EC90AB">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 xml:space="preserve"> estabelecer vínculo de subordinação com funcionário do CONTRATADO;</w:t>
      </w:r>
    </w:p>
    <w:p w14:paraId="3276D86C">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definir forma de pagamento mediante exclusivo reembolso dos salários pagos;</w:t>
      </w:r>
    </w:p>
    <w:p w14:paraId="14597B15">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demandar a funcionário do CONTRATADO a execução de tarefas fora do escopo do objeto da contratação; e</w:t>
      </w:r>
    </w:p>
    <w:p w14:paraId="47D391EC">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prever exigências que constituam intervenção indevida da Administração na gestão interna do CONTRATADO.</w:t>
      </w:r>
    </w:p>
    <w:p w14:paraId="1A91D48B">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14:paraId="25E4FED2">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Explicitamente emitir decisão sobre todas as solicitações e reclamações relacionadas à execução do presente Contrato, ressalvados os requerimentos manifestamente impertinentes, meramente protelatórios ou de nenhum interesse para a boa execução do ajuste </w:t>
      </w:r>
      <w:bookmarkStart w:id="1" w:name="_Ref128062899"/>
      <w:r>
        <w:rPr>
          <w:rFonts w:asciiTheme="minorHAnsi" w:hAnsiTheme="minorHAnsi" w:cstheme="minorHAnsi"/>
          <w:color w:val="auto"/>
          <w:sz w:val="22"/>
          <w:szCs w:val="22"/>
        </w:rPr>
        <w:t xml:space="preserve">A Administração terá o prazo de 30 (trinta), a contar da data do protocolo do requerimento para decidir, admitida a prorrogação motivada, por igual período. </w:t>
      </w:r>
      <w:bookmarkEnd w:id="1"/>
    </w:p>
    <w:p w14:paraId="5D1081F3">
      <w:pPr>
        <w:pStyle w:val="99"/>
        <w:numPr>
          <w:ilvl w:val="3"/>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5D5621F0">
      <w:pPr>
        <w:pStyle w:val="498"/>
        <w:numPr>
          <w:ilvl w:val="2"/>
          <w:numId w:val="4"/>
        </w:numPr>
        <w:spacing w:after="288" w:afterLines="120" w:line="312" w:lineRule="auto"/>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Fonts w:eastAsia="Arial Unicode MS"/>
          <w:i w:val="0"/>
          <w:iCs w:val="0"/>
          <w:color w:val="auto"/>
        </w:rPr>
        <w:t>§4º, do art. 137, da Lei nº 14.133, de 2021</w:t>
      </w:r>
      <w:r>
        <w:rPr>
          <w:rFonts w:eastAsia="Arial Unicode MS"/>
          <w:i w:val="0"/>
          <w:iCs w:val="0"/>
          <w:color w:val="auto"/>
        </w:rPr>
        <w:fldChar w:fldCharType="end"/>
      </w:r>
      <w:r>
        <w:rPr>
          <w:rFonts w:eastAsia="Arial Unicode MS" w:asciiTheme="minorHAnsi" w:hAnsiTheme="minorHAnsi" w:cstheme="minorHAnsi"/>
          <w:i w:val="0"/>
          <w:iCs w:val="0"/>
          <w:color w:val="auto"/>
          <w:sz w:val="22"/>
          <w:szCs w:val="22"/>
        </w:rPr>
        <w:t xml:space="preserve">). </w:t>
      </w:r>
    </w:p>
    <w:p w14:paraId="371FD59D">
      <w:pPr>
        <w:pStyle w:val="500"/>
        <w:numPr>
          <w:ilvl w:val="2"/>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5B52BA15">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Comunicar o CONTRATADO na hipótese de posterior alteração do projeto pelo CONTRATANTE, no caso do art. 93, §2º, da Lei nº 14.133, de 2021;</w:t>
      </w:r>
    </w:p>
    <w:p w14:paraId="0FB98D8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Fornecer por escrito as informações necessárias para o desenvolvimento dos serviços objeto do contrato;</w:t>
      </w:r>
    </w:p>
    <w:p w14:paraId="5C76211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Realizar avaliações periódicas da qualidade dos serviços, após seu recebimento;</w:t>
      </w:r>
    </w:p>
    <w:p w14:paraId="6D5308CF">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Assegurar que o ambiente de trabalho, inclusive seus equipamentos e instalações, apresentem condições adequadas ao cumprimento, pelo CONTRATADO, das normas de segurança e saúde no trabalho, quando o serviço for executado em suas dependências, ou em local por ela designado; </w:t>
      </w:r>
    </w:p>
    <w:p w14:paraId="22F21DD2">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Previamente à expedição da ordem de serviço, verificar pendências, liberar áreas e/ou adotar providências cabíveis para a regularidade do início da sua execução.</w:t>
      </w:r>
    </w:p>
    <w:p w14:paraId="1345E40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177FD87">
      <w:pPr>
        <w:pStyle w:val="101"/>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AC2A38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807A33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ou gestor do contrato ou autoridade superior e prestar todo esclarecimento ou informação por eles solicitados;</w:t>
      </w:r>
    </w:p>
    <w:p w14:paraId="280D71E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26D6E3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CE00E9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5A9C749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prova de regularidade relativa à Seguridade Social;</w:t>
      </w:r>
    </w:p>
    <w:p w14:paraId="3F31DED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773E75A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certidões que comprovem a regularidade perante a Fazenda Municipal ou Distrital do domicílio ou sede do CONTRATADO;</w:t>
      </w:r>
    </w:p>
    <w:p w14:paraId="3233A30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020292B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Negativa de Débitos Trabalhistas – CNDT.</w:t>
      </w:r>
    </w:p>
    <w:p w14:paraId="37C37FC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6208B99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03C5130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3A78A5D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durante toda a vigência do contrato, em compatibilidade com as obrigações assumidas, todas as condições exigidas para qualificação na contratação direta;</w:t>
      </w:r>
    </w:p>
    <w:p w14:paraId="417F64A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4F4526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2AF3E84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A23E2B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7DBE1D6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017C350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w:t>
      </w:r>
    </w:p>
    <w:p w14:paraId="150BBB7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w:t>
      </w:r>
    </w:p>
    <w:p w14:paraId="7E22ACB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49364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7AB3DD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14312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as normas de proteção ao trabalho, inclusive aquelas relativas à segurança e à saúde no trabalho;</w:t>
      </w:r>
    </w:p>
    <w:p w14:paraId="653787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submeter os trabalhadores a condições degradantes de trabalho, jornadas exaustivas, servidão por dívida ou trabalhos forçados;</w:t>
      </w:r>
    </w:p>
    <w:p w14:paraId="1E624D7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3C42C7B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68F395A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Receber e dar o tratamento adequado a denúncias de discriminação, violência e assédio no ambiente de trabalho;</w:t>
      </w:r>
    </w:p>
    <w:p w14:paraId="63C05A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656AC98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4CC1C91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414D103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contrato;</w:t>
      </w:r>
    </w:p>
    <w:p w14:paraId="4472D32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041C92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572A766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Fornecer equipamentos de proteção individual (EPI) e equipamentos de proteção coletiva (EPC),quando for o caso;</w:t>
      </w:r>
    </w:p>
    <w:p w14:paraId="130E261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contrato;</w:t>
      </w:r>
    </w:p>
    <w:p w14:paraId="20D808D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1AD6DFD8">
      <w:pPr>
        <w:pStyle w:val="99"/>
        <w:numPr>
          <w:ilvl w:val="1"/>
          <w:numId w:val="4"/>
        </w:numPr>
        <w:rPr>
          <w:rFonts w:asciiTheme="minorHAnsi" w:hAnsiTheme="minorHAnsi" w:cstheme="minorHAnsi"/>
          <w:sz w:val="22"/>
          <w:szCs w:val="22"/>
        </w:rPr>
      </w:pPr>
      <w:bookmarkStart w:id="3" w:name="_Ref118293030"/>
      <w:r>
        <w:rPr>
          <w:rFonts w:asciiTheme="minorHAnsi" w:hAnsiTheme="minorHAnsi" w:cstheme="minorHAnsi"/>
          <w:sz w:val="22"/>
          <w:szCs w:val="22"/>
        </w:rPr>
        <w:t>Instruir seus empregados quanto à necessidade de acatar as normas internas da Administração;</w:t>
      </w:r>
    </w:p>
    <w:p w14:paraId="4056118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40EA1F8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bookmarkEnd w:id="3"/>
    <w:p w14:paraId="763E213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488C84A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1CA06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4E75F9F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1F04577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049C7A6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021072C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4C10CA7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3B34D0B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7438BD6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3FC6CA9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4858043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artigo 11 do Decreto n° 5.975, de 2006, de: </w:t>
      </w:r>
    </w:p>
    <w:p w14:paraId="73A66C4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2949F6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AB43A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5F43013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28922E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0B15E70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Cópias autenticadas das notas fiscais de aquisição dos produtos ou subprodutos florestais; </w:t>
      </w:r>
    </w:p>
    <w:p w14:paraId="624C261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legislação correlata;</w:t>
      </w:r>
    </w:p>
    <w:p w14:paraId="1E5E55E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rPr>
        <w:t>Portaria n° 253, de 18/08/2006</w:t>
      </w:r>
      <w:r>
        <w:rPr>
          <w:rFonts w:asciiTheme="minorHAnsi" w:hAnsiTheme="minorHAnsi" w:cstheme="minorHAnsi"/>
          <w:sz w:val="22"/>
          <w:szCs w:val="22"/>
        </w:rPr>
        <w:fldChar w:fldCharType="end"/>
      </w:r>
      <w:r>
        <w:rPr>
          <w:rFonts w:asciiTheme="minorHAnsi" w:hAnsiTheme="minorHAnsi" w:cstheme="minorHAnsi"/>
          <w:sz w:val="22"/>
          <w:szCs w:val="22"/>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rPr>
        <w:t>Instrução Normativa IBAMA n° 21, de 24/12/2014</w:t>
      </w:r>
      <w:r>
        <w:rPr>
          <w:rFonts w:asciiTheme="minorHAnsi" w:hAnsiTheme="minorHAnsi" w:cstheme="minorHAnsi"/>
          <w:sz w:val="22"/>
          <w:szCs w:val="22"/>
        </w:rPr>
        <w:fldChar w:fldCharType="end"/>
      </w:r>
      <w:r>
        <w:rPr>
          <w:rFonts w:asciiTheme="minorHAnsi" w:hAnsiTheme="minorHAnsi" w:cstheme="minorHAnsi"/>
          <w:sz w:val="22"/>
          <w:szCs w:val="22"/>
        </w:rPr>
        <w:t>, quando se tratar de produtos ou subprodutos florestais de origem nativa cujo transporte e armazenamento exijam a emissão de tal licença obrigatória; e</w:t>
      </w:r>
    </w:p>
    <w:p w14:paraId="2412BAC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7D93B2F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2010, nos seguintes termos:</w:t>
      </w:r>
    </w:p>
    <w:p w14:paraId="2646802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9B050A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Nos termos dos artigos 3° e 10° da Resolução CONAMA n° 307, de 2002, o CONTRATADO deverá providenciar a destinação ambientalmente adequada dos resíduos da construção civil originários da contratação, obedecendo, no que couber, aos seguintes procedimentos:</w:t>
      </w:r>
    </w:p>
    <w:p w14:paraId="7C14199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resíduos Classe A (reutilizáveis ou recicláveis como agregados): deverão ser reutilizados ou reciclados na forma de agregados, ou encaminhados a aterros de resíduos classe A de preservação de material para usos futuros. </w:t>
      </w:r>
    </w:p>
    <w:p w14:paraId="2A26DC1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B (recicláveis para outras destinações): deverão ser reutilizados, reciclados ou encaminhados a áreas de armazenamento temporário, sendo dispostos de modo a permitir a sua utilização ou reciclagem futura.</w:t>
      </w:r>
    </w:p>
    <w:p w14:paraId="2FD76D8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769091F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D (perigosos, contaminados ou prejudiciais à saúde): deverão ser armazenados, transportados, reutilizados e destinados em conformidade com as normas técnicas específicas.</w:t>
      </w:r>
    </w:p>
    <w:p w14:paraId="233D12C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7906A9A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0FA8009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as seguintes diretrizes de caráter ambiental:</w:t>
      </w:r>
    </w:p>
    <w:p w14:paraId="3B2BFAF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2006, e legislação correlata, de acordo com o poluente e o tipo de fonte.</w:t>
      </w:r>
    </w:p>
    <w:p w14:paraId="2147F2E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1990, e legislação correlata.</w:t>
      </w:r>
    </w:p>
    <w:p w14:paraId="603F717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Nos termos do artigo 4°, § 3°, da Instrução Normativa SLTI/MP n° 1, de 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7CF00C3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20115FB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5592B3B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4" w:name="_Ref169601460"/>
      <w:bookmarkStart w:id="5"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4"/>
    <w:bookmarkEnd w:id="5"/>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5D1EBCB">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cumpridas as obrigações de ambas as partes, ainda que isso ocorra antes do prazo estipulado para tanto.</w:t>
      </w:r>
    </w:p>
    <w:p w14:paraId="714FB7FD">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as obrigações não forem cumpridas no prazo estipulado, a vigência ficará prorrogada até a conclusão do objeto, caso em que deverá a Administração providenciar a readequação do cronograma fixado para o contrato.</w:t>
      </w:r>
    </w:p>
    <w:p w14:paraId="1A525EAC">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Quando a não conclusão do contrato referida no item anterior decorrer de culpa do CONTRATADO:</w:t>
      </w:r>
    </w:p>
    <w:p w14:paraId="6506A667">
      <w:pPr>
        <w:pStyle w:val="500"/>
        <w:numPr>
          <w:ilvl w:val="2"/>
          <w:numId w:val="4"/>
        </w:numPr>
        <w:rPr>
          <w:rFonts w:eastAsia="Times New Roman" w:asciiTheme="minorHAnsi" w:hAnsiTheme="minorHAnsi" w:cstheme="minorHAnsi"/>
          <w:i w:val="0"/>
          <w:iCs w:val="0"/>
          <w:color w:val="auto"/>
          <w:sz w:val="22"/>
          <w:szCs w:val="22"/>
        </w:rPr>
      </w:pPr>
      <w:r>
        <w:rPr>
          <w:rFonts w:eastAsia="Times New Roman" w:asciiTheme="minorHAnsi" w:hAnsiTheme="minorHAnsi" w:cstheme="minorHAnsi"/>
          <w:i w:val="0"/>
          <w:iCs w:val="0"/>
          <w:color w:val="auto"/>
          <w:sz w:val="22"/>
          <w:szCs w:val="22"/>
        </w:rPr>
        <w:t>ficará ele constituído em mora, sendo-lhe aplicáveis as respectivas sanções administrativas; e</w:t>
      </w:r>
    </w:p>
    <w:p w14:paraId="4B2AA6EB">
      <w:pPr>
        <w:pStyle w:val="500"/>
        <w:numPr>
          <w:ilvl w:val="2"/>
          <w:numId w:val="4"/>
        </w:numPr>
        <w:rPr>
          <w:rFonts w:eastAsia="Times New Roman" w:asciiTheme="minorHAnsi" w:hAnsiTheme="minorHAnsi" w:cstheme="minorHAnsi"/>
          <w:i w:val="0"/>
          <w:iCs w:val="0"/>
          <w:color w:val="auto"/>
          <w:sz w:val="22"/>
          <w:szCs w:val="22"/>
        </w:rPr>
      </w:pPr>
      <w:r>
        <w:rPr>
          <w:rFonts w:eastAsia="Times New Roman" w:asciiTheme="minorHAnsi" w:hAnsiTheme="minorHAnsi" w:cstheme="minorHAnsi"/>
          <w:i w:val="0"/>
          <w:iCs w:val="0"/>
          <w:color w:val="auto"/>
          <w:sz w:val="22"/>
          <w:szCs w:val="22"/>
        </w:rPr>
        <w:t>poderá a Administração optar pela extinção do contrato e, nesse caso, adotará as medidas admitidas em lei para a continuidade da execução contratual</w:t>
      </w:r>
    </w:p>
    <w:p w14:paraId="28BAEBC7">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25F3FEB2">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Nesta hipótese, aplicam-se também os artigos 138 e 139 da mesma Lei.</w:t>
      </w:r>
    </w:p>
    <w:p w14:paraId="1C7EBE7E">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455EBAB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Se a operação implicar mudança da pessoa jurídica contratada, deverá ser formalizado termo aditivo para alteração subjetiva.</w:t>
      </w:r>
    </w:p>
    <w:p w14:paraId="5E2E019A">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termo de extinção, sempre que possível, será precedido:</w:t>
      </w:r>
    </w:p>
    <w:p w14:paraId="26006C34">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Do balanço dos eventos contratuais já cumpridos ou parcialmente cumpridos;</w:t>
      </w:r>
    </w:p>
    <w:p w14:paraId="7943D902">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Da relação dos pagamentos já efetuados e ainda devidos;</w:t>
      </w:r>
    </w:p>
    <w:p w14:paraId="3AE924ED">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Das indenizações e multas.</w:t>
      </w:r>
    </w:p>
    <w:p w14:paraId="1D3A740A">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6682523C">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CONTRATANTE poderá ainda:</w:t>
      </w:r>
    </w:p>
    <w:p w14:paraId="3099C740">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167DBAF8">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1D03313C">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contratação direta, ou atue na fiscalização ou na gestão do contrato, ou que deles seja cônjuge, companheiro ou parente em linha reta, colateral ou por afinidade, até o terceiro grau.</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MS Mincho">
    <w:altName w:val="Segoe Print"/>
    <w:panose1 w:val="00000000000000000000"/>
    <w:charset w:val="0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B8DB841">
    <w:pPr>
      <w:pStyle w:val="33"/>
      <w:rPr>
        <w:rFonts w:cs="Arial"/>
        <w:sz w:val="14"/>
        <w:szCs w:val="14"/>
      </w:rPr>
    </w:pPr>
    <w:r>
      <w:rPr>
        <w:rFonts w:cs="Arial"/>
        <w:sz w:val="14"/>
        <w:szCs w:val="14"/>
      </w:rPr>
      <w:t>Câmara Nacional de Modelos de Licitações e Contratos da Consultoria-Geral da União</w:t>
    </w:r>
  </w:p>
  <w:p w14:paraId="46E262B7">
    <w:pPr>
      <w:pStyle w:val="33"/>
      <w:rPr>
        <w:sz w:val="14"/>
      </w:rPr>
    </w:pPr>
    <w:r>
      <w:rPr>
        <w:rFonts w:cs="Arial"/>
        <w:sz w:val="14"/>
        <w:szCs w:val="14"/>
      </w:rPr>
      <w:t>Modelo de Termo de Contrato – Licitação e Contratação Direta – Obras e Serviços de Engenharia - Lei nº 14.133, de 2021</w:t>
    </w:r>
  </w:p>
  <w:p w14:paraId="75F1DCCB">
    <w:pPr>
      <w:pStyle w:val="33"/>
      <w:rPr>
        <w:rFonts w:cs="Arial"/>
        <w:sz w:val="14"/>
        <w:szCs w:val="14"/>
      </w:rPr>
    </w:pPr>
    <w:r>
      <w:rPr>
        <w:rFonts w:cs="Arial"/>
        <w:sz w:val="14"/>
        <w:szCs w:val="14"/>
      </w:rPr>
      <w:t>Aprovado pela Secretaria de Gestão e Inovação</w:t>
    </w:r>
  </w:p>
  <w:p w14:paraId="5AB0618A">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DEZ/2025</w:t>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val="0"/>
        <w:bCs/>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6"/>
  </w:num>
  <w:num w:numId="10">
    <w:abstractNumId w:val="1"/>
  </w:num>
  <w:num w:numId="11">
    <w:abstractNumId w:val="0"/>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3668"/>
    <w:rsid w:val="00022E4A"/>
    <w:rsid w:val="00025406"/>
    <w:rsid w:val="0002541E"/>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09D"/>
    <w:rsid w:val="00123A6B"/>
    <w:rsid w:val="00131CC6"/>
    <w:rsid w:val="00135BEF"/>
    <w:rsid w:val="0014109B"/>
    <w:rsid w:val="001571D0"/>
    <w:rsid w:val="00163819"/>
    <w:rsid w:val="00165CC5"/>
    <w:rsid w:val="0018615A"/>
    <w:rsid w:val="001877DC"/>
    <w:rsid w:val="00191B50"/>
    <w:rsid w:val="00194CFD"/>
    <w:rsid w:val="00195787"/>
    <w:rsid w:val="00196DDE"/>
    <w:rsid w:val="001A6554"/>
    <w:rsid w:val="001B3B74"/>
    <w:rsid w:val="001B3F02"/>
    <w:rsid w:val="001C12BA"/>
    <w:rsid w:val="001C5C08"/>
    <w:rsid w:val="001C723F"/>
    <w:rsid w:val="001E4D47"/>
    <w:rsid w:val="00201305"/>
    <w:rsid w:val="002063A6"/>
    <w:rsid w:val="00210941"/>
    <w:rsid w:val="0021344B"/>
    <w:rsid w:val="002154ED"/>
    <w:rsid w:val="0022034C"/>
    <w:rsid w:val="002205F8"/>
    <w:rsid w:val="00225216"/>
    <w:rsid w:val="00230969"/>
    <w:rsid w:val="00230E72"/>
    <w:rsid w:val="002318EE"/>
    <w:rsid w:val="00242E92"/>
    <w:rsid w:val="002444B6"/>
    <w:rsid w:val="002519B8"/>
    <w:rsid w:val="00252014"/>
    <w:rsid w:val="00252EE9"/>
    <w:rsid w:val="0025380C"/>
    <w:rsid w:val="00254F46"/>
    <w:rsid w:val="00262670"/>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60A93"/>
    <w:rsid w:val="00360FDF"/>
    <w:rsid w:val="0037707D"/>
    <w:rsid w:val="003804AE"/>
    <w:rsid w:val="00391442"/>
    <w:rsid w:val="00394D5F"/>
    <w:rsid w:val="003A2662"/>
    <w:rsid w:val="003A4456"/>
    <w:rsid w:val="003A5295"/>
    <w:rsid w:val="003B11E3"/>
    <w:rsid w:val="003B787E"/>
    <w:rsid w:val="003D2CA2"/>
    <w:rsid w:val="003D4A95"/>
    <w:rsid w:val="003D4DFE"/>
    <w:rsid w:val="003D5227"/>
    <w:rsid w:val="003D72A0"/>
    <w:rsid w:val="003E0C6C"/>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94F"/>
    <w:rsid w:val="00647DA8"/>
    <w:rsid w:val="006506AE"/>
    <w:rsid w:val="00656E9A"/>
    <w:rsid w:val="00661793"/>
    <w:rsid w:val="006620D8"/>
    <w:rsid w:val="00667772"/>
    <w:rsid w:val="006723C3"/>
    <w:rsid w:val="006757D3"/>
    <w:rsid w:val="006866BC"/>
    <w:rsid w:val="0069429E"/>
    <w:rsid w:val="00697869"/>
    <w:rsid w:val="006A50FF"/>
    <w:rsid w:val="006C27E6"/>
    <w:rsid w:val="006D2493"/>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319DD"/>
    <w:rsid w:val="00843052"/>
    <w:rsid w:val="00844966"/>
    <w:rsid w:val="008540D8"/>
    <w:rsid w:val="008566DD"/>
    <w:rsid w:val="00866D4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51AC9"/>
    <w:rsid w:val="009606E9"/>
    <w:rsid w:val="00973203"/>
    <w:rsid w:val="009928C3"/>
    <w:rsid w:val="009937E6"/>
    <w:rsid w:val="009A4E8F"/>
    <w:rsid w:val="009A60CB"/>
    <w:rsid w:val="009C1A02"/>
    <w:rsid w:val="009C4B72"/>
    <w:rsid w:val="009E113C"/>
    <w:rsid w:val="009E650D"/>
    <w:rsid w:val="009F2EB2"/>
    <w:rsid w:val="00A05241"/>
    <w:rsid w:val="00A15645"/>
    <w:rsid w:val="00A21E8F"/>
    <w:rsid w:val="00A30A28"/>
    <w:rsid w:val="00A33729"/>
    <w:rsid w:val="00A40CC7"/>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94EC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52524"/>
    <w:rsid w:val="00E56541"/>
    <w:rsid w:val="00E578A6"/>
    <w:rsid w:val="00E67DCF"/>
    <w:rsid w:val="00E726A9"/>
    <w:rsid w:val="00E750B1"/>
    <w:rsid w:val="00E7529C"/>
    <w:rsid w:val="00EA06C5"/>
    <w:rsid w:val="00EB556D"/>
    <w:rsid w:val="00EB6AF5"/>
    <w:rsid w:val="00EB7F69"/>
    <w:rsid w:val="00ED4EB4"/>
    <w:rsid w:val="00ED7983"/>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077F00F1"/>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qFormat="1"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qFormat/>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qFormat/>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14</Pages>
  <Words>471</Words>
  <Characters>2880</Characters>
  <Lines>251</Lines>
  <Paragraphs>71</Paragraphs>
  <TotalTime>5</TotalTime>
  <ScaleCrop>false</ScaleCrop>
  <LinksUpToDate>false</LinksUpToDate>
  <CharactersWithSpaces>3323</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2026-04-28T01:33:00Z</dcterms:created>
  <dc:creator>Adriano</dc:creator>
  <cp:lastModifiedBy>Juliana Borsoi</cp:lastModifiedBy>
  <cp:lastPrinted>2025-08-30T18:55:00Z</cp:lastPrinted>
  <dcterms:modified xsi:type="dcterms:W3CDTF">2026-05-13T15:48:05Z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eyJoZGlkIjoiMWI4YjJjZTUzNGNlYTQyODI4ZTEyNDRhODcyM2Y3ZDEiLCJ1c2VySWQiOiIxMjU0NDI4NTk3NjUwIn0=</vt:lpwstr>
  </property>
  <property fmtid="{D5CDD505-2E9C-101B-9397-08002B2CF9AE}" pid="3" name="KSOProductBuildVer">
    <vt:lpwstr>1046-12.1.0.26372</vt:lpwstr>
  </property>
  <property fmtid="{D5CDD505-2E9C-101B-9397-08002B2CF9AE}" pid="4" name="ICV">
    <vt:lpwstr>285224223F8C489C80AC2ABD22BD54B9_12</vt:lpwstr>
  </property>
</Properties>
</file>