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270D1E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  <w:color w:val="FF0000"/>
        </w:rPr>
      </w:pPr>
    </w:p>
    <w:p w14:paraId="2E2EFF9B">
      <w:pPr>
        <w:pStyle w:val="10"/>
        <w:autoSpaceDE w:val="0"/>
        <w:autoSpaceDN w:val="0"/>
        <w:adjustRightInd w:val="0"/>
        <w:ind w:left="1276"/>
        <w:rPr>
          <w:rFonts w:ascii="TTE431A0A0t00" w:hAnsi="TTE431A0A0t00" w:cs="TTE431A0A0t00"/>
          <w:b/>
          <w:color w:val="FF0000"/>
          <w:sz w:val="28"/>
          <w:szCs w:val="28"/>
        </w:rPr>
      </w:pPr>
      <w:r>
        <w:rPr>
          <w:rFonts w:ascii="TTE431A0A0t00" w:hAnsi="TTE431A0A0t00" w:cs="TTE431A0A0t00"/>
          <w:b/>
          <w:color w:val="FF0000"/>
          <w:sz w:val="28"/>
          <w:szCs w:val="28"/>
        </w:rPr>
        <w:t xml:space="preserve">ANEXO VI DO EDITAL DO PREGÃO ELETRÔNICO </w:t>
      </w:r>
      <w:r>
        <w:rPr>
          <w:rFonts w:hint="default" w:ascii="TTE431A0A0t00" w:hAnsi="TTE431A0A0t00" w:cs="TTE431A0A0t00"/>
          <w:b/>
          <w:color w:val="FF0000"/>
          <w:sz w:val="28"/>
          <w:szCs w:val="28"/>
          <w:lang w:val="pt-BR"/>
        </w:rPr>
        <w:t>90.009</w:t>
      </w:r>
      <w:bookmarkStart w:id="0" w:name="_GoBack"/>
      <w:bookmarkEnd w:id="0"/>
      <w:r>
        <w:rPr>
          <w:rFonts w:ascii="TTE431A0A0t00" w:hAnsi="TTE431A0A0t00" w:cs="TTE431A0A0t00"/>
          <w:b/>
          <w:color w:val="FF0000"/>
          <w:sz w:val="28"/>
          <w:szCs w:val="28"/>
        </w:rPr>
        <w:t xml:space="preserve">/2026/AD </w:t>
      </w:r>
    </w:p>
    <w:p w14:paraId="5C10B0A1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 w14:paraId="0754E9BB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TERMO DE CONCILIAÇÃO JUDICIAL FIRMADO ENTRE O MINISTÉRIO PÚBLICO DO TRABALHO E A UNIÃO</w:t>
      </w:r>
    </w:p>
    <w:p w14:paraId="5F976B38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 w14:paraId="4EF93DB3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  <w:b/>
        </w:rPr>
        <w:t xml:space="preserve">O </w:t>
      </w:r>
      <w:r>
        <w:rPr>
          <w:rFonts w:ascii="TTE431A0A0t00" w:hAnsi="TTE431A0A0t00" w:cs="TTE431A0A0t00"/>
          <w:b/>
        </w:rPr>
        <w:t>MINISTÉRIO PÚBLICO DO TRABALHO</w:t>
      </w:r>
      <w:r>
        <w:rPr>
          <w:rFonts w:ascii="TTE4E87780t00" w:hAnsi="TTE4E87780t00" w:cs="TTE4E87780t00"/>
        </w:rPr>
        <w:t xml:space="preserve">, neste ato representado pelo Procurador-Geral do Trabalho, Dr. Guilherme Mastrichi Basso, pela Vice-Procuradora-Geral do Trabalho, Dra. Guiomar Rechia Gomes, pelo Procurador-Chefe da PRT da 10ª. Região, Dr. Brasilino Santos Ramos e pelo Procurador do Trabalho Dr. Fábio Leal Cardoso, e a </w:t>
      </w:r>
      <w:r>
        <w:rPr>
          <w:rFonts w:ascii="TTE431A0A0t00" w:hAnsi="TTE431A0A0t00" w:cs="TTE431A0A0t00"/>
        </w:rPr>
        <w:t>UNIÃO</w:t>
      </w:r>
      <w:r>
        <w:rPr>
          <w:rFonts w:ascii="TTE4E87780t00" w:hAnsi="TTE4E87780t00" w:cs="TTE4E87780t00"/>
        </w:rPr>
        <w:t>, neste ato representada pelo Procurador-Geral da União, Dr. Moacir Antonio da Silva Machado, pela Sub Procuradora Regional da União - 1ª. Região, Dra. Helia Maria de Oliveira Bettero e pelo Advogado da União, Dr. Mário Luiz Guerreiro;</w:t>
      </w:r>
    </w:p>
    <w:p w14:paraId="4AC0ED9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toda relação jurídica de trabalho cuja prestação laboral não eventual seja ofertada pessoalmente pelo obreiro, em estado de subordinação e mediante contraprestação pecuniária, será regida obrigatoriamente pela Consolidação das Leis do Trabalho ou por estatuto próprio, quando se tratar de relação de trabalho de natureza estatutária, com a Administração Pública;</w:t>
      </w:r>
    </w:p>
    <w:p w14:paraId="6668AE5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legislação consolidada em seu art. 9º, comina de nulidade absoluta todos os atos praticados com o intuito de desvirtuar, impedir ou fraudar a aplicação da lei trabalhista;</w:t>
      </w:r>
    </w:p>
    <w:p w14:paraId="58F47D84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sociedades cooperativas, segundo 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16.12.1971, art. 4º., “(...) são sociedades de pessoas, com forma e natureza jurídica próprias, de natureza civil, não sujeitas à falência, constituídas para prestar serviços aos associados”.</w:t>
      </w:r>
    </w:p>
    <w:p w14:paraId="36802937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cooperativas podem prestar serviços a não associados somente em caráter excepcional e desde que tal faculdade atenda aos objetivos sociais previstos na sua norma estatutária, (art. 86, da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16.12.1971), aspecto legal que revela a patente impossibilidade jurídica das cooperativas funcionarem como agências de locação de mão de obra terceirizada;</w:t>
      </w:r>
    </w:p>
    <w:p w14:paraId="6DB9EAE9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administração pública está inexoravelmente jungida ao princípio da legalidade, e que a prática do merchandage é vedada pelo art. 3º, da CLT e repelida pela jurisprudência sumulada do C. TST (En. 331);</w:t>
      </w:r>
    </w:p>
    <w:p w14:paraId="1075D4D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os trabalhadores aliciados por cooperativas de mão de obra, que prestam serviços de natureza subordinada à UNIÃO embora laborem em situação fática idêntica a dos empregados das empresas prestadoras de serviços terceirizáveis, encontram-se à margem de qualquer proteção jurídico-laboral, sendo-lhes sonegada a incidência de normas protetivas do trabalho, especialmente àquelas destinadas a tutelar a segurança e higidez do trabalho subordinado, o que afronta o princípio da isonomia, a dignidade da pessoa humana e os valores sociais do trabalho (art. 5º, caput e 1º, III e IV da Constituição Federal);</w:t>
      </w:r>
    </w:p>
    <w:p w14:paraId="13743BF7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num processo de terceirização o tomador dos serviços (no caso a administração pública) tem responsabilidade sucessiva por eventuais débitos trabalhistas do fornecedor de mão de obra, nos termos do Enunciado 331, do TST, o que poderia gerar graves prejuízos financeiros ao erário, na hipótese de se apurar a presença dos requisitos do art. 3º., da CLT na atividade de intermediação de mão de obra patrocinada por falsas cooperativas;</w:t>
      </w:r>
    </w:p>
    <w:p w14:paraId="6D2D3B1C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o teor da Recomendação Para a Promoção das Cooperativas aprovada na 90ª. sessão, da OIT – Organização Internacional do Trabalho, em junho de 2002, dispondo que os Estados devem implementar políticas nos sentido de:</w:t>
      </w:r>
    </w:p>
    <w:p w14:paraId="7B418CD7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“8.1.b Garantir que as cooperativas não sejam criadas para, ou direcionadas a, o não cumprimento das leis do trabalho ou usadas para estabelecer relações de emprego disfarçadas, e combater pseudocooperativas que violam os direitos dos trabalhadores velando para que a lei trabalhista seja aplicada em todas as empresas.”</w:t>
      </w:r>
    </w:p>
    <w:p w14:paraId="1CC5150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RESOLVEM</w:t>
      </w:r>
    </w:p>
    <w:p w14:paraId="4FC5AB27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Celebrar CONCILIAÇÃO nos autos do Processo 01082-2002-020-10-00-0, em tramitação perante a MM. Vigésima Vara do Trabalho de Brasília-DF, mediante os seguintes termos:</w:t>
      </w:r>
    </w:p>
    <w:p w14:paraId="6D43D4AD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Primeira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abster-se-á de contratar trabalhadores, por meio de cooperativas de mão de obra, para a prestação de serviços ligados às suas atividades-fim ou meio, quando o labor, por sua própria natureza, demandar execução em estado de subordinação, quer em relação ao tomador, ou em relação ao fornecedor dos serviços, constituindo elemento essencial ao desenvolvimento e à prestação dos serviços terceirizados, sendo eles:</w:t>
      </w:r>
    </w:p>
    <w:p w14:paraId="5E42E50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a) – Serviços de limpeza;</w:t>
      </w:r>
    </w:p>
    <w:p w14:paraId="475A6629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b) – Serviços de conservação;</w:t>
      </w:r>
    </w:p>
    <w:p w14:paraId="720E1A71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c) – Serviços de segurança, de vigilância e de portaria;</w:t>
      </w:r>
    </w:p>
    <w:p w14:paraId="2219624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d) – Serviços de recepção;</w:t>
      </w:r>
    </w:p>
    <w:p w14:paraId="42DD0A8D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e) – Serviços de copeiragem;</w:t>
      </w:r>
    </w:p>
    <w:p w14:paraId="34EA9040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f) – Serviços de reprografia;</w:t>
      </w:r>
    </w:p>
    <w:p w14:paraId="25ACB69A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g) – Serviços de telefonia;</w:t>
      </w:r>
    </w:p>
    <w:p w14:paraId="6DE5F321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h) – Serviços de manutenção de prédios, de equipamentos, de veículos e de instalações;</w:t>
      </w:r>
    </w:p>
    <w:p w14:paraId="29AD3A3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i) – Serviços de secretariado e secretariado executivo;</w:t>
      </w:r>
    </w:p>
    <w:p w14:paraId="75A01CBC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j) – Serviços de auxiliar de escritório;</w:t>
      </w:r>
    </w:p>
    <w:p w14:paraId="1A7B4BB0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k) – Serviços de auxiliar administrativo;</w:t>
      </w:r>
    </w:p>
    <w:p w14:paraId="07136E4A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 xml:space="preserve">l) – Serviços de </w:t>
      </w:r>
      <w:r>
        <w:rPr>
          <w:rFonts w:ascii="TTE4E9E668t00" w:hAnsi="TTE4E9E668t00" w:cs="TTE4E9E668t00"/>
        </w:rPr>
        <w:t xml:space="preserve">office boy </w:t>
      </w:r>
      <w:r>
        <w:rPr>
          <w:rFonts w:ascii="TTE4E87780t00" w:hAnsi="TTE4E87780t00" w:cs="TTE4E87780t00"/>
        </w:rPr>
        <w:t>(contínuo);</w:t>
      </w:r>
    </w:p>
    <w:p w14:paraId="0F7ACE13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m) – Serviços de digitação;</w:t>
      </w:r>
    </w:p>
    <w:p w14:paraId="7540636D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n) – Serviços de assessoria de imprensa e de relações públicas;</w:t>
      </w:r>
    </w:p>
    <w:p w14:paraId="4233331A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o) – Serviços de motorista, no caso de os veículos serem fornecidos pelo próprio órgão licitante;</w:t>
      </w:r>
    </w:p>
    <w:p w14:paraId="413C3281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p) – Serviços de ascensorista;</w:t>
      </w:r>
    </w:p>
    <w:p w14:paraId="3D6A5255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q) – Serviços de enfermagem; e</w:t>
      </w:r>
    </w:p>
    <w:p w14:paraId="32E56E0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r) – Serviços de agentes comunitários de saúde.</w:t>
      </w:r>
    </w:p>
    <w:p w14:paraId="26BBED7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disposto nesta Cláusula não autoriza outras formas de terceirização sem previsão legal.</w:t>
      </w:r>
    </w:p>
    <w:p w14:paraId="1292F5E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– As partes podem, a qualquer momento, mediante comunicação e acordos prévios, ampliar o rol de serviços elencados no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.</w:t>
      </w:r>
    </w:p>
    <w:p w14:paraId="2AEFA34A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Segunda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Considera-se cooperativa de mão de obra, aquela associação cuja atividade precípua seja a mera intermediação individual de trabalhadores de uma ou várias profissões (inexistindo assim vínculo de solidariedade entre seus associados), que não detenham qualquer meio de produção, e cujos serviços sejam prestados a terceiros, de forma individual (e não coletiva), pelos seus associados.</w:t>
      </w:r>
    </w:p>
    <w:p w14:paraId="46580C99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Terceira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obriga-se a estabelecer regras claras nos editais de licitação, a fim de esclarecer a natureza dos serviços licitados, determinando, por conseguinte, se os mesmos podem ser prestados por empresas prestadoras de serviços (trabalhadores subordinados), cooperativas de trabalho, trabalhadores autônomos, avulsos ou eventuais;</w:t>
      </w:r>
    </w:p>
    <w:p w14:paraId="3AE824B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É lícita a contratação de genuínas sociedades cooperativas desde que os serviços licitados não estejam incluídos no rol inserido nas alíneas “a” a “r” da Cláusula Primeira e sejam prestados em caráter coletivo e com absoluta autonomia dos cooperados, seja em relação às cooperativas, seja em relação ao tomador dos serviços, devendo ser juntada, na fase de habilitação, listagem contendo o nome de todos os associados. Esclarecem as partes que somente os serviços podem ser terceirizados, restando absolutamente vedado o fornecimento (intermediação de mão de obra) de trabalhadores a órgãos públicos por cooperativas de qualquer natureza.</w:t>
      </w:r>
    </w:p>
    <w:p w14:paraId="76D495B4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Os editais de licitação que se destinem a contratar os serviços disciplinados pela Cláusula Primeira deverão fazer expressa menção ao presente termo de conciliação e sua homologação, se possível transcrevendo-os na íntegra ou fazendo parte integrante desses editais, como anexo.</w:t>
      </w:r>
    </w:p>
    <w:p w14:paraId="548020D0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Terceiro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- Para a prestação de serviços em sua forma subordinada, o </w:t>
      </w:r>
      <w:r>
        <w:rPr>
          <w:rFonts w:ascii="TTE431A0A0t00" w:hAnsi="TTE431A0A0t00" w:cs="TTE431A0A0t00"/>
        </w:rPr>
        <w:t xml:space="preserve">licitante </w:t>
      </w:r>
      <w:r>
        <w:rPr>
          <w:rFonts w:ascii="TTE4E87780t00" w:hAnsi="TTE4E87780t00" w:cs="TTE4E87780t00"/>
        </w:rPr>
        <w:t>vencedor do certame deverá comprovar a condição de empregador dos prestadores de serviços para as quais se objetiva a contratação, constituindo-se esse requisito, condição obrigatória à assinatura do respectivo contrato.</w:t>
      </w:r>
    </w:p>
    <w:p w14:paraId="5277A04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DAS SANÇÕES PELO DESCUMPRIMENTO</w:t>
      </w:r>
    </w:p>
    <w:p w14:paraId="524DBAE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Quarta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obriga-se ao pagamento de multa (astreinte) correspondente a R$1.000,00 (um mil reais) por trabalhador que esteja em desacordo com as condições estabelecidas no presente Termo de Conciliação, sendo a mesma reversível ao Fundo de Amparo ao Trabalhador (FAT).</w:t>
      </w:r>
    </w:p>
    <w:p w14:paraId="0B07552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servidor público que, em nome da Administração, firmar o contrato de prestação de serviços nas atividades relacionadas nas alíneas “a” a “r” da Cláusula Primeira, será responsável solidário por qualquer contratação irregular, respondendo pela multa prevista no caput, sem prejuízo das demais cominações legais.</w:t>
      </w:r>
    </w:p>
    <w:p w14:paraId="335BA0D3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Em caso de notícia de descumprimento dos termos firmados neste ajuste, a UNIÃO, depois de intimada, terá prazo de 20 (vinte) dias para apresentar sua justificativa perante o Ministério Público do Trabalho.</w:t>
      </w:r>
    </w:p>
    <w:p w14:paraId="5D3593B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 EXTENSÃO DO AJUSTE À ADMINISTRAÇÃO PÚBLICA INDIRETA</w:t>
      </w:r>
    </w:p>
    <w:p w14:paraId="6B6FF3B8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Quinta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se compromete a recomendar o estabelecimento das mesmas diretrizes ora pactuadas em relação às autarquias, fundações públicas, empresas públicas e sociedades de economia mista, a fim de vincular todos os órgãos integrantes da administração pública indireta ao cumprimento do presente termo de conciliação, sendo que em relação às empresas públicas e sociedades de economia mista deverá ser dado conhecimento ao Departamento de Coordenação e Controle das Empresas Estatais – DEST, do Ministério do Planejamento, Orçamento e Gestão, ou órgão equivalente, para que discipline a matéria no âmbito de sua competência.</w:t>
      </w:r>
    </w:p>
    <w:p w14:paraId="40E5D4CD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 HOMOLOGAÇÃO JUDICIAL DO AJUSTE</w:t>
      </w:r>
    </w:p>
    <w:p w14:paraId="4C219929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Sexta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As partes submetem os termos da presente conciliação à homologação do Juízo da MM. Vigésima Vara do Trabalho, para que o ajuste gere os seus efeitos jurídicos.</w:t>
      </w:r>
    </w:p>
    <w:p w14:paraId="3FFD87D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Sétima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termos da presente avença gerarão seus efeitos jurídicos a partir da data de sua homologação judicial.</w:t>
      </w:r>
    </w:p>
    <w:p w14:paraId="7C505987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único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contratos em vigor entre a UNIÃO e as Cooperativas, que contrariem o presente acordo, não serão renovados ou prorrogados.</w:t>
      </w:r>
    </w:p>
    <w:p w14:paraId="318792D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Oitava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- A presente conciliação extingue o processo com exame do mérito apenas em relação à UNIÃO, prosseguindo o feito quanto aos demais réus. Dito isto, por estarem as partes ajustadas e compromissadas, firmam a presente conciliação em cinco vias, a qual terá eficácia de título judicial, nos termos dos artigos 831, parágrafo único, e 876,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, da CLT.</w:t>
      </w:r>
    </w:p>
    <w:p w14:paraId="391A2E2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 w14:paraId="3C6A8B41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Brasília, 05 de junho de 2003.</w:t>
      </w:r>
    </w:p>
    <w:p w14:paraId="5E6D0FB5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 w14:paraId="19007D74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GUILHERME MASTRICHI BASSO GUIOMAR RECHIA GOMES</w:t>
      </w:r>
    </w:p>
    <w:p w14:paraId="42D997CB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do Trabalho Vice-Procuradora-Geral do Trabalho</w:t>
      </w:r>
    </w:p>
    <w:p w14:paraId="30A1199E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BRASILINO SANTOS RAMOS FÁBIO LEAL CARDOSO</w:t>
      </w:r>
    </w:p>
    <w:p w14:paraId="2F609831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Procurador-Chefe/PRT 10ª. Região Procurador do Trabalho</w:t>
      </w:r>
    </w:p>
    <w:p w14:paraId="27BB68D1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MOACIR ANTONIO DA SILVA MACHADO</w:t>
      </w:r>
    </w:p>
    <w:p w14:paraId="5BB0EBAC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da União</w:t>
      </w:r>
    </w:p>
    <w:p w14:paraId="2D4E05D8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HELIA MARIA DE OLIVEIRA BETTERO MÁRIO LUIZ GUERREIRO</w:t>
      </w:r>
    </w:p>
    <w:p w14:paraId="2542F993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Sub-Procuradora-Regional da União–1ª. Região Advogado da União</w:t>
      </w:r>
    </w:p>
    <w:p w14:paraId="156D4888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</w:p>
    <w:p w14:paraId="1C8451DD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Testemunhas:</w:t>
      </w:r>
    </w:p>
    <w:p w14:paraId="1B455791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GRIJALBO FERNANDES COUTINHO</w:t>
      </w:r>
    </w:p>
    <w:p w14:paraId="4E3D05B4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Magistrados</w:t>
      </w:r>
    </w:p>
    <w:p w14:paraId="1610B4CB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da Justiça do Trabalho - ANAMATRA</w:t>
      </w:r>
    </w:p>
    <w:p w14:paraId="19F48087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PAULO SÉRGIO DOMINGUES</w:t>
      </w:r>
    </w:p>
    <w:p w14:paraId="53F37809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dos Juízes Federais</w:t>
      </w:r>
    </w:p>
    <w:p w14:paraId="3E50C590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do Brasil - AJUFE</w:t>
      </w:r>
    </w:p>
    <w:p w14:paraId="3BB80C6A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REGINA BUTRUS</w:t>
      </w:r>
    </w:p>
    <w:p w14:paraId="1EC115F4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Procuradores</w:t>
      </w:r>
    </w:p>
    <w:p w14:paraId="7073E424">
      <w:pPr>
        <w:spacing w:after="120"/>
        <w:ind w:left="500" w:right="227"/>
        <w:jc w:val="center"/>
      </w:pPr>
      <w:r>
        <w:rPr>
          <w:rFonts w:ascii="TTE4E87780t00" w:hAnsi="TTE4E87780t00" w:cs="TTE4E87780t00"/>
        </w:rPr>
        <w:t>do Trabalho – ANPT</w:t>
      </w:r>
    </w:p>
    <w:sectPr>
      <w:headerReference r:id="rId3" w:type="default"/>
      <w:footerReference r:id="rId4" w:type="default"/>
      <w:type w:val="continuous"/>
      <w:pgSz w:w="11907" w:h="16840"/>
      <w:pgMar w:top="851" w:right="850" w:bottom="851" w:left="851" w:header="567" w:footer="851" w:gutter="0"/>
      <w:cols w:space="708" w:num="1"/>
      <w:docGrid w:linePitch="27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TTE431A0A0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TE4E87780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TE4E9E668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FAE8E7">
    <w:pPr>
      <w:pStyle w:val="6"/>
      <w:jc w:val="right"/>
      <w:rPr>
        <w:rFonts w:ascii="Verdana" w:hAnsi="Verdana"/>
        <w:sz w:val="18"/>
        <w:szCs w:val="18"/>
      </w:rPr>
    </w:pPr>
    <w:r>
      <w:rPr>
        <w:rFonts w:ascii="Verdana" w:hAnsi="Verdana"/>
        <w:sz w:val="18"/>
        <w:szCs w:val="18"/>
      </w:rPr>
      <w:t xml:space="preserve">Pág. </w:t>
    </w:r>
    <w:r>
      <w:rPr>
        <w:rStyle w:val="4"/>
        <w:rFonts w:ascii="Verdana" w:hAnsi="Verdana"/>
        <w:sz w:val="18"/>
        <w:szCs w:val="18"/>
      </w:rPr>
      <w:fldChar w:fldCharType="begin"/>
    </w:r>
    <w:r>
      <w:rPr>
        <w:rStyle w:val="4"/>
        <w:rFonts w:ascii="Verdana" w:hAnsi="Verdana"/>
        <w:sz w:val="18"/>
        <w:szCs w:val="18"/>
      </w:rPr>
      <w:instrText xml:space="preserve"> PAGE </w:instrText>
    </w:r>
    <w:r>
      <w:rPr>
        <w:rStyle w:val="4"/>
        <w:rFonts w:ascii="Verdana" w:hAnsi="Verdana"/>
        <w:sz w:val="18"/>
        <w:szCs w:val="18"/>
      </w:rPr>
      <w:fldChar w:fldCharType="separate"/>
    </w:r>
    <w:r>
      <w:rPr>
        <w:rStyle w:val="4"/>
        <w:rFonts w:ascii="Verdana" w:hAnsi="Verdana"/>
        <w:sz w:val="18"/>
        <w:szCs w:val="18"/>
      </w:rPr>
      <w:t>1</w:t>
    </w:r>
    <w:r>
      <w:rPr>
        <w:rStyle w:val="4"/>
        <w:rFonts w:ascii="Verdana" w:hAnsi="Verdana"/>
        <w:sz w:val="18"/>
        <w:szCs w:val="18"/>
      </w:rPr>
      <w:fldChar w:fldCharType="end"/>
    </w:r>
    <w:r>
      <w:rPr>
        <w:rStyle w:val="4"/>
        <w:rFonts w:ascii="Verdana" w:hAnsi="Verdana"/>
        <w:sz w:val="18"/>
        <w:szCs w:val="18"/>
      </w:rPr>
      <w:t>/</w:t>
    </w:r>
    <w:r>
      <w:rPr>
        <w:rStyle w:val="4"/>
        <w:rFonts w:ascii="Verdana" w:hAnsi="Verdana"/>
        <w:sz w:val="18"/>
        <w:szCs w:val="18"/>
      </w:rPr>
      <w:fldChar w:fldCharType="begin"/>
    </w:r>
    <w:r>
      <w:rPr>
        <w:rStyle w:val="4"/>
        <w:rFonts w:ascii="Verdana" w:hAnsi="Verdana"/>
        <w:sz w:val="18"/>
        <w:szCs w:val="18"/>
      </w:rPr>
      <w:instrText xml:space="preserve"> NUMPAGES </w:instrText>
    </w:r>
    <w:r>
      <w:rPr>
        <w:rStyle w:val="4"/>
        <w:rFonts w:ascii="Verdana" w:hAnsi="Verdana"/>
        <w:sz w:val="18"/>
        <w:szCs w:val="18"/>
      </w:rPr>
      <w:fldChar w:fldCharType="separate"/>
    </w:r>
    <w:r>
      <w:rPr>
        <w:rStyle w:val="4"/>
        <w:rFonts w:ascii="Verdana" w:hAnsi="Verdana"/>
        <w:sz w:val="18"/>
        <w:szCs w:val="18"/>
      </w:rPr>
      <w:t>4</w:t>
    </w:r>
    <w:r>
      <w:rPr>
        <w:rStyle w:val="4"/>
        <w:rFonts w:ascii="Verdana" w:hAnsi="Verdana"/>
        <w:sz w:val="18"/>
        <w:szCs w:val="1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6775C7">
    <w:pPr>
      <w:pStyle w:val="5"/>
      <w:jc w:val="right"/>
      <w:rPr>
        <w:rFonts w:ascii="Verdana" w:hAnsi="Verdana"/>
        <w:sz w:val="18"/>
        <w:szCs w:val="18"/>
      </w:rPr>
    </w:pPr>
    <w:r>
      <w:rPr>
        <w:rFonts w:ascii="Verdana" w:hAnsi="Verdana"/>
        <w:sz w:val="18"/>
        <w:szCs w:val="18"/>
      </w:rPr>
      <w:t xml:space="preserve">Processo n.º </w:t>
    </w:r>
    <w:r>
      <w:rPr>
        <w:rFonts w:asciiTheme="minorHAnsi" w:hAnsiTheme="minorHAnsi" w:cstheme="minorHAnsi"/>
        <w:bCs/>
        <w:sz w:val="22"/>
        <w:szCs w:val="22"/>
      </w:rPr>
      <w:t>23069.193590/2025-82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8"/>
  <w:hyphenationZone w:val="425"/>
  <w:drawingGridHorizontalSpacing w:val="100"/>
  <w:drawingGridVerticalSpacing w:val="136"/>
  <w:displayHorizontalDrawingGridEvery w:val="0"/>
  <w:displayVerticalDrawingGridEvery w:val="2"/>
  <w:noPunctuationKerning w:val="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711"/>
    <w:rsid w:val="0000760E"/>
    <w:rsid w:val="000421C0"/>
    <w:rsid w:val="0006060C"/>
    <w:rsid w:val="000812A5"/>
    <w:rsid w:val="000B7F4E"/>
    <w:rsid w:val="00106AE1"/>
    <w:rsid w:val="001218EE"/>
    <w:rsid w:val="001315D6"/>
    <w:rsid w:val="00151B2E"/>
    <w:rsid w:val="00172641"/>
    <w:rsid w:val="00173E1B"/>
    <w:rsid w:val="001807E4"/>
    <w:rsid w:val="00190E3C"/>
    <w:rsid w:val="001A1161"/>
    <w:rsid w:val="001C198F"/>
    <w:rsid w:val="001D7F90"/>
    <w:rsid w:val="001E1F01"/>
    <w:rsid w:val="00203C9A"/>
    <w:rsid w:val="002220E1"/>
    <w:rsid w:val="00234E42"/>
    <w:rsid w:val="0027193E"/>
    <w:rsid w:val="00272694"/>
    <w:rsid w:val="00274871"/>
    <w:rsid w:val="002817CB"/>
    <w:rsid w:val="0029364D"/>
    <w:rsid w:val="002B7069"/>
    <w:rsid w:val="002B7646"/>
    <w:rsid w:val="002D2AB6"/>
    <w:rsid w:val="002D43CF"/>
    <w:rsid w:val="002D6AF4"/>
    <w:rsid w:val="00321329"/>
    <w:rsid w:val="00323514"/>
    <w:rsid w:val="00391440"/>
    <w:rsid w:val="00397552"/>
    <w:rsid w:val="003B11F0"/>
    <w:rsid w:val="003E15B3"/>
    <w:rsid w:val="00462850"/>
    <w:rsid w:val="00490943"/>
    <w:rsid w:val="004C6111"/>
    <w:rsid w:val="004C6724"/>
    <w:rsid w:val="004D37D0"/>
    <w:rsid w:val="004D6AAB"/>
    <w:rsid w:val="004F0853"/>
    <w:rsid w:val="004F0990"/>
    <w:rsid w:val="00507FEB"/>
    <w:rsid w:val="005133D8"/>
    <w:rsid w:val="0051395B"/>
    <w:rsid w:val="00544124"/>
    <w:rsid w:val="00566C72"/>
    <w:rsid w:val="00583B99"/>
    <w:rsid w:val="005849FF"/>
    <w:rsid w:val="00593F25"/>
    <w:rsid w:val="005E16A2"/>
    <w:rsid w:val="005F5B01"/>
    <w:rsid w:val="00606497"/>
    <w:rsid w:val="00625964"/>
    <w:rsid w:val="00633EE8"/>
    <w:rsid w:val="006765BD"/>
    <w:rsid w:val="006767AE"/>
    <w:rsid w:val="006C344B"/>
    <w:rsid w:val="006C4805"/>
    <w:rsid w:val="006E0379"/>
    <w:rsid w:val="00705221"/>
    <w:rsid w:val="00711236"/>
    <w:rsid w:val="00777AAE"/>
    <w:rsid w:val="00787221"/>
    <w:rsid w:val="007B4E6A"/>
    <w:rsid w:val="007D6D01"/>
    <w:rsid w:val="007F4959"/>
    <w:rsid w:val="007F7476"/>
    <w:rsid w:val="00802210"/>
    <w:rsid w:val="00817305"/>
    <w:rsid w:val="0082090E"/>
    <w:rsid w:val="0083073C"/>
    <w:rsid w:val="008A7E9B"/>
    <w:rsid w:val="008A7FC6"/>
    <w:rsid w:val="008B1EB9"/>
    <w:rsid w:val="008D267C"/>
    <w:rsid w:val="008F5ED0"/>
    <w:rsid w:val="00910C62"/>
    <w:rsid w:val="00926B5F"/>
    <w:rsid w:val="009306D8"/>
    <w:rsid w:val="00931D50"/>
    <w:rsid w:val="009404B8"/>
    <w:rsid w:val="0096600C"/>
    <w:rsid w:val="0098505C"/>
    <w:rsid w:val="00985387"/>
    <w:rsid w:val="009C2015"/>
    <w:rsid w:val="009C2612"/>
    <w:rsid w:val="00A233C1"/>
    <w:rsid w:val="00A25DAE"/>
    <w:rsid w:val="00A32286"/>
    <w:rsid w:val="00A4192B"/>
    <w:rsid w:val="00AA04E4"/>
    <w:rsid w:val="00AB3077"/>
    <w:rsid w:val="00AB50AB"/>
    <w:rsid w:val="00AE7BDB"/>
    <w:rsid w:val="00AF5572"/>
    <w:rsid w:val="00B00D4C"/>
    <w:rsid w:val="00B019FB"/>
    <w:rsid w:val="00B031C6"/>
    <w:rsid w:val="00B10BBC"/>
    <w:rsid w:val="00B10DC9"/>
    <w:rsid w:val="00B32EFF"/>
    <w:rsid w:val="00B406B6"/>
    <w:rsid w:val="00B60E03"/>
    <w:rsid w:val="00B61346"/>
    <w:rsid w:val="00B61711"/>
    <w:rsid w:val="00BA08CB"/>
    <w:rsid w:val="00BD2623"/>
    <w:rsid w:val="00C5291D"/>
    <w:rsid w:val="00CE33B4"/>
    <w:rsid w:val="00CE7C3E"/>
    <w:rsid w:val="00D147C3"/>
    <w:rsid w:val="00D260DC"/>
    <w:rsid w:val="00D450F8"/>
    <w:rsid w:val="00D604FB"/>
    <w:rsid w:val="00D7104C"/>
    <w:rsid w:val="00D821AC"/>
    <w:rsid w:val="00DC0E45"/>
    <w:rsid w:val="00DC68D6"/>
    <w:rsid w:val="00DF084A"/>
    <w:rsid w:val="00E203D1"/>
    <w:rsid w:val="00E5524D"/>
    <w:rsid w:val="00E55655"/>
    <w:rsid w:val="00EB1722"/>
    <w:rsid w:val="00EE40AD"/>
    <w:rsid w:val="00F56666"/>
    <w:rsid w:val="00FA770B"/>
    <w:rsid w:val="00FB7533"/>
    <w:rsid w:val="00FC65B5"/>
    <w:rsid w:val="00FE21AB"/>
    <w:rsid w:val="65091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age number"/>
    <w:basedOn w:val="2"/>
    <w:uiPriority w:val="0"/>
  </w:style>
  <w:style w:type="paragraph" w:styleId="5">
    <w:name w:val="header"/>
    <w:basedOn w:val="1"/>
    <w:link w:val="9"/>
    <w:qFormat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uiPriority w:val="0"/>
    <w:pPr>
      <w:tabs>
        <w:tab w:val="center" w:pos="4419"/>
        <w:tab w:val="right" w:pos="8838"/>
      </w:tabs>
    </w:pPr>
  </w:style>
  <w:style w:type="paragraph" w:styleId="7">
    <w:name w:val="Balloon Text"/>
    <w:basedOn w:val="1"/>
    <w:link w:val="8"/>
    <w:qFormat/>
    <w:uiPriority w:val="0"/>
    <w:rPr>
      <w:rFonts w:ascii="Tahoma" w:hAnsi="Tahoma" w:cs="Tahoma"/>
      <w:sz w:val="16"/>
      <w:szCs w:val="16"/>
    </w:rPr>
  </w:style>
  <w:style w:type="character" w:customStyle="1" w:styleId="8">
    <w:name w:val="Texto de balão Char"/>
    <w:basedOn w:val="2"/>
    <w:link w:val="7"/>
    <w:qFormat/>
    <w:uiPriority w:val="0"/>
    <w:rPr>
      <w:rFonts w:ascii="Tahoma" w:hAnsi="Tahoma" w:cs="Tahoma"/>
      <w:sz w:val="16"/>
      <w:szCs w:val="16"/>
    </w:rPr>
  </w:style>
  <w:style w:type="character" w:customStyle="1" w:styleId="9">
    <w:name w:val="Cabeçalho Char"/>
    <w:basedOn w:val="2"/>
    <w:link w:val="5"/>
    <w:qFormat/>
    <w:uiPriority w:val="99"/>
    <w:rPr>
      <w:sz w:val="24"/>
      <w:szCs w:val="24"/>
    </w:rPr>
  </w:style>
  <w:style w:type="paragraph" w:styleId="10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Universidade Federal Fluminense</Company>
  <Pages>4</Pages>
  <Words>1652</Words>
  <Characters>8923</Characters>
  <Lines>74</Lines>
  <Paragraphs>21</Paragraphs>
  <TotalTime>0</TotalTime>
  <ScaleCrop>false</ScaleCrop>
  <LinksUpToDate>false</LinksUpToDate>
  <CharactersWithSpaces>10554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2023-04-01T05:27:00Z</dcterms:created>
  <dc:creator>CPL 3</dc:creator>
  <cp:lastModifiedBy>Juliana Borsoi</cp:lastModifiedBy>
  <cp:lastPrinted>2023-04-01T05:27:00Z</cp:lastPrinted>
  <dcterms:modified xsi:type="dcterms:W3CDTF">2026-03-10T20:02:53Z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1046-12.2.0.23196</vt:lpwstr>
  </property>
  <property fmtid="{D5CDD505-2E9C-101B-9397-08002B2CF9AE}" pid="3" name="ICV">
    <vt:lpwstr>2E0BD1E835204B30B4D4F08BDF4CF535_12</vt:lpwstr>
  </property>
</Properties>
</file>