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18"/>
          <w:szCs w:val="18"/>
          <w:rtl w:val="0"/>
        </w:rPr>
        <w:t xml:space="preserve">ANEXO VII DO EDITAL DO PREGÃO ELETRÔNICO N.º 90.011/2026/AD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</w:t>
      </w:r>
      <w:r w:rsidDel="00000000" w:rsidR="00000000" w:rsidRPr="00000000">
        <w:rPr>
          <w:color w:val="ff0000"/>
          <w:rtl w:val="0"/>
        </w:rPr>
        <w:t xml:space="preserve">90.011/2026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23069.193914/2025-82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spacing w:before="93" w:lineRule="auto"/>
        <w:ind w:right="3079"/>
        <w:jc w:val="left"/>
        <w:rPr>
          <w:b w:val="0"/>
          <w:bCs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90.011/2026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ckigxjQtrorIXJ3wQM5t4roAdQ==">CgMxLjAyCWguMzBqMHpsbDIIaC5namRneHM4AHIhMXlkcmJBVWF5MFV3d2NHV25PNkFISmpZUFZWTXFGVTJQ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