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V – PE. 90</w:t>
      </w:r>
      <w:r>
        <w:rPr>
          <w:rFonts w:hint="default" w:asciiTheme="minorHAnsi" w:hAnsiTheme="minorHAnsi" w:cstheme="minorHAnsi"/>
          <w:b/>
          <w:bCs/>
          <w:color w:val="FF0000"/>
          <w:sz w:val="22"/>
          <w:szCs w:val="22"/>
          <w:lang w:val="pt-BR"/>
        </w:rPr>
        <w:t>.012</w:t>
      </w:r>
      <w:r>
        <w:rPr>
          <w:rFonts w:asciiTheme="minorHAnsi" w:hAnsiTheme="minorHAnsi" w:cstheme="minorHAnsi"/>
          <w:b/>
          <w:bCs/>
          <w:color w:val="FF0000"/>
          <w:sz w:val="22"/>
          <w:szCs w:val="22"/>
        </w:rPr>
        <w:t>/2026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23069.152133/2026-19)</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23069.152133/2026-19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90.012/2026</w:t>
      </w:r>
      <w:bookmarkStart w:id="3" w:name="_GoBack"/>
      <w:bookmarkEnd w:id="3"/>
      <w:r>
        <w:rPr>
          <w:rFonts w:eastAsia="Arial" w:asciiTheme="minorHAnsi" w:hAnsiTheme="minorHAnsi" w:cstheme="minorHAnsi"/>
          <w:i/>
          <w:iCs/>
          <w:sz w:val="22"/>
          <w:szCs w:val="22"/>
        </w:rPr>
        <w:t>,</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eastAsia="Arial" w:asciiTheme="minorHAnsi" w:hAnsiTheme="minorHAnsi" w:cstheme="minorHAnsi"/>
          <w:b/>
          <w:bCs/>
          <w:sz w:val="22"/>
          <w:szCs w:val="22"/>
        </w:rPr>
        <w:t>Aquisição de materiais de limpeza</w:t>
      </w:r>
      <w:r>
        <w:rPr>
          <w:rFonts w:eastAsia="Arial" w:asciiTheme="minorHAnsi" w:hAnsiTheme="minorHAnsi" w:cstheme="minorHAnsi"/>
          <w:sz w:val="22"/>
          <w:szCs w:val="22"/>
        </w:rPr>
        <w:t>, nos termos da tabela abaixo, conforme condições e exigências estabelecidas no Termo de Referência e seus Anexos</w:t>
      </w:r>
      <w:r>
        <w:rPr>
          <w:rFonts w:asciiTheme="minorHAnsi" w:hAnsiTheme="minorHAnsi" w:cstheme="minorHAnsi"/>
          <w:sz w:val="22"/>
          <w:szCs w:val="22"/>
        </w:rPr>
        <w:t>.</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0" w:type="auto"/>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1613"/>
        <w:gridCol w:w="1635"/>
        <w:gridCol w:w="1614"/>
        <w:gridCol w:w="1614"/>
        <w:gridCol w:w="1614"/>
        <w:gridCol w:w="1614"/>
      </w:tblGrid>
      <w:tr w14:paraId="5627BC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1613"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1772F252">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FFFFFF" w:themeColor="background1"/>
                <w:sz w:val="22"/>
                <w:szCs w:val="22"/>
                <w14:textFill>
                  <w14:solidFill>
                    <w14:schemeClr w14:val="bg1"/>
                  </w14:solidFill>
                </w14:textFill>
              </w:rPr>
              <w:t>ITEM</w:t>
            </w:r>
          </w:p>
        </w:tc>
        <w:tc>
          <w:tcPr>
            <w:tcW w:w="1613"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FC6E731">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FFFFFF" w:themeColor="background1"/>
                <w:sz w:val="22"/>
                <w:szCs w:val="22"/>
                <w14:textFill>
                  <w14:solidFill>
                    <w14:schemeClr w14:val="bg1"/>
                  </w14:solidFill>
                </w14:textFill>
              </w:rPr>
              <w:t>ESPECIFICAÇÃO</w:t>
            </w:r>
          </w:p>
        </w:tc>
        <w:tc>
          <w:tcPr>
            <w:tcW w:w="161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CA00D80">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FFFFFF" w:themeColor="background1"/>
                <w:sz w:val="22"/>
                <w:szCs w:val="22"/>
                <w14:textFill>
                  <w14:solidFill>
                    <w14:schemeClr w14:val="bg1"/>
                  </w14:solidFill>
                </w14:textFill>
              </w:rPr>
              <w:t>UNIDADE MEDIDA</w:t>
            </w:r>
          </w:p>
        </w:tc>
        <w:tc>
          <w:tcPr>
            <w:tcW w:w="161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332EB60">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FFFFFF" w:themeColor="background1"/>
                <w:sz w:val="22"/>
                <w:szCs w:val="22"/>
                <w14:textFill>
                  <w14:solidFill>
                    <w14:schemeClr w14:val="bg1"/>
                  </w14:solidFill>
                </w14:textFill>
              </w:rPr>
              <w:t>QUANTIDADE</w:t>
            </w:r>
          </w:p>
        </w:tc>
        <w:tc>
          <w:tcPr>
            <w:tcW w:w="161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37C8FB9">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FFFFFF" w:themeColor="background1"/>
                <w:sz w:val="22"/>
                <w:szCs w:val="22"/>
                <w14:textFill>
                  <w14:solidFill>
                    <w14:schemeClr w14:val="bg1"/>
                  </w14:solidFill>
                </w14:textFill>
              </w:rPr>
              <w:t>VALOR UNITÁRIO</w:t>
            </w:r>
          </w:p>
        </w:tc>
        <w:tc>
          <w:tcPr>
            <w:tcW w:w="161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CA2A1D9">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FFFFFF" w:themeColor="background1"/>
                <w:sz w:val="22"/>
                <w:szCs w:val="22"/>
                <w14:textFill>
                  <w14:solidFill>
                    <w14:schemeClr w14:val="bg1"/>
                  </w14:solidFill>
                </w14:textFill>
              </w:rPr>
              <w:t>VALOR TOTAL</w:t>
            </w:r>
          </w:p>
        </w:tc>
      </w:tr>
      <w:tr w14:paraId="744792C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1613" w:type="dxa"/>
            <w:shd w:val="clear" w:color="auto" w:fill="DBE5F1" w:themeFill="accent1" w:themeFillTint="33"/>
          </w:tcPr>
          <w:p w14:paraId="4D6BDD79">
            <w:pPr>
              <w:pStyle w:val="99"/>
              <w:numPr>
                <w:ilvl w:val="0"/>
                <w:numId w:val="0"/>
              </w:numPr>
              <w:spacing w:after="288" w:afterLines="120" w:line="312" w:lineRule="auto"/>
              <w:rPr>
                <w:rFonts w:asciiTheme="minorHAnsi" w:hAnsiTheme="minorHAnsi" w:cstheme="minorHAnsi"/>
                <w:b/>
                <w:bCs/>
                <w:sz w:val="22"/>
                <w:szCs w:val="22"/>
              </w:rPr>
            </w:pPr>
          </w:p>
        </w:tc>
        <w:tc>
          <w:tcPr>
            <w:tcW w:w="1613" w:type="dxa"/>
            <w:shd w:val="clear" w:color="auto" w:fill="DBE5F1" w:themeFill="accent1" w:themeFillTint="33"/>
          </w:tcPr>
          <w:p w14:paraId="3E1C48D8">
            <w:pPr>
              <w:pStyle w:val="99"/>
              <w:numPr>
                <w:ilvl w:val="0"/>
                <w:numId w:val="0"/>
              </w:numPr>
              <w:spacing w:after="288" w:afterLines="120" w:line="312" w:lineRule="auto"/>
              <w:rPr>
                <w:rFonts w:asciiTheme="minorHAnsi" w:hAnsiTheme="minorHAnsi" w:cstheme="minorHAnsi"/>
                <w:sz w:val="22"/>
                <w:szCs w:val="22"/>
              </w:rPr>
            </w:pPr>
          </w:p>
        </w:tc>
        <w:tc>
          <w:tcPr>
            <w:tcW w:w="1614" w:type="dxa"/>
            <w:shd w:val="clear" w:color="auto" w:fill="DBE5F1" w:themeFill="accent1" w:themeFillTint="33"/>
          </w:tcPr>
          <w:p w14:paraId="5E2350CC">
            <w:pPr>
              <w:pStyle w:val="99"/>
              <w:numPr>
                <w:ilvl w:val="0"/>
                <w:numId w:val="0"/>
              </w:numPr>
              <w:spacing w:after="288" w:afterLines="120" w:line="312" w:lineRule="auto"/>
              <w:rPr>
                <w:rFonts w:asciiTheme="minorHAnsi" w:hAnsiTheme="minorHAnsi" w:cstheme="minorHAnsi"/>
                <w:sz w:val="22"/>
                <w:szCs w:val="22"/>
              </w:rPr>
            </w:pPr>
          </w:p>
        </w:tc>
        <w:tc>
          <w:tcPr>
            <w:tcW w:w="1614" w:type="dxa"/>
            <w:shd w:val="clear" w:color="auto" w:fill="DBE5F1" w:themeFill="accent1" w:themeFillTint="33"/>
          </w:tcPr>
          <w:p w14:paraId="0BDF8325">
            <w:pPr>
              <w:pStyle w:val="99"/>
              <w:numPr>
                <w:ilvl w:val="0"/>
                <w:numId w:val="0"/>
              </w:numPr>
              <w:spacing w:after="288" w:afterLines="120" w:line="312" w:lineRule="auto"/>
              <w:rPr>
                <w:rFonts w:asciiTheme="minorHAnsi" w:hAnsiTheme="minorHAnsi" w:cstheme="minorHAnsi"/>
                <w:sz w:val="22"/>
                <w:szCs w:val="22"/>
              </w:rPr>
            </w:pPr>
          </w:p>
        </w:tc>
        <w:tc>
          <w:tcPr>
            <w:tcW w:w="1614" w:type="dxa"/>
            <w:shd w:val="clear" w:color="auto" w:fill="DBE5F1" w:themeFill="accent1" w:themeFillTint="33"/>
          </w:tcPr>
          <w:p w14:paraId="18B6DE89">
            <w:pPr>
              <w:pStyle w:val="99"/>
              <w:numPr>
                <w:ilvl w:val="0"/>
                <w:numId w:val="0"/>
              </w:numPr>
              <w:spacing w:after="288" w:afterLines="120" w:line="312" w:lineRule="auto"/>
              <w:rPr>
                <w:rFonts w:asciiTheme="minorHAnsi" w:hAnsiTheme="minorHAnsi" w:cstheme="minorHAnsi"/>
                <w:sz w:val="22"/>
                <w:szCs w:val="22"/>
              </w:rPr>
            </w:pPr>
          </w:p>
        </w:tc>
        <w:tc>
          <w:tcPr>
            <w:tcW w:w="1614" w:type="dxa"/>
            <w:shd w:val="clear" w:color="auto" w:fill="DBE5F1" w:themeFill="accent1" w:themeFillTint="33"/>
          </w:tcPr>
          <w:p w14:paraId="3A83FB2C">
            <w:pPr>
              <w:pStyle w:val="99"/>
              <w:numPr>
                <w:ilvl w:val="0"/>
                <w:numId w:val="0"/>
              </w:numPr>
              <w:spacing w:after="288" w:afterLines="120" w:line="312" w:lineRule="auto"/>
              <w:rPr>
                <w:rFonts w:asciiTheme="minorHAnsi" w:hAnsiTheme="minorHAnsi" w:cstheme="minorHAnsi"/>
                <w:sz w:val="22"/>
                <w:szCs w:val="22"/>
              </w:rPr>
            </w:pPr>
          </w:p>
        </w:tc>
      </w:tr>
    </w:tbl>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12 (doze)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57063A1B">
      <w:pPr>
        <w:pStyle w:val="500"/>
        <w:numPr>
          <w:ilvl w:val="2"/>
          <w:numId w:val="8"/>
        </w:numPr>
        <w:ind w:left="284" w:firstLine="0"/>
      </w:pPr>
      <w:r>
        <w:t>A prorrogação de que trata este item é condicionada ao ateste, pela autoridade competente, de que as condições e os preços permanecem vantajosos para a Administração, permitida a negociação com o CONTRATADO, bem como à inexistência de registros no Cadastro Informativo de créditos não quitados do setor público federal (Cadin).</w:t>
      </w:r>
    </w:p>
    <w:p w14:paraId="24EFF3FA">
      <w:pPr>
        <w:pStyle w:val="498"/>
        <w:numPr>
          <w:ilvl w:val="1"/>
          <w:numId w:val="8"/>
        </w:numPr>
        <w:ind w:left="0" w:firstLine="0"/>
      </w:pPr>
      <w:r>
        <w:t>O CONTRATADO não tem direito subjetivo à prorrogação contratual.</w:t>
      </w:r>
    </w:p>
    <w:p w14:paraId="246F9351">
      <w:pPr>
        <w:pStyle w:val="498"/>
        <w:numPr>
          <w:ilvl w:val="1"/>
          <w:numId w:val="8"/>
        </w:numPr>
        <w:ind w:left="0" w:firstLine="0"/>
      </w:pPr>
      <w:r>
        <w:t>A prorrogação de contrato deverá ser promovida mediante celebração de termo aditivo.</w:t>
      </w:r>
    </w:p>
    <w:p w14:paraId="67734791">
      <w:pPr>
        <w:pStyle w:val="498"/>
        <w:numPr>
          <w:ilvl w:val="1"/>
          <w:numId w:val="8"/>
        </w:numPr>
        <w:ind w:left="0" w:firstLine="0"/>
      </w:pPr>
      <w:r>
        <w:t>O contrato não poderá ser prorrogado quando o CONTRATADO tiver sido penalizado nas sanções de declaração de inidoneidade ou impedimento de licitar e contratar com poder público, observadas as abrangências de aplicação.</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9"/>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9"/>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numPr>
          <w:ilvl w:val="0"/>
          <w:numId w:val="9"/>
        </w:numPr>
        <w:rPr>
          <w:rFonts w:asciiTheme="minorHAnsi" w:hAnsiTheme="minorHAnsi" w:cstheme="minorHAnsi"/>
          <w:sz w:val="22"/>
          <w:szCs w:val="22"/>
        </w:rPr>
      </w:pPr>
      <w:r>
        <w:rPr>
          <w:rFonts w:asciiTheme="minorHAnsi" w:hAnsiTheme="minorHAnsi" w:cstheme="minorHAnsi"/>
          <w:sz w:val="22"/>
          <w:szCs w:val="22"/>
        </w:rPr>
        <w:t xml:space="preserve">As regras sobre a subcontratação do objeto são aquelas estabelecidas no Termo de Referência, anexo a este Contrato </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0"/>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total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w:t>
      </w:r>
    </w:p>
    <w:p w14:paraId="5AD579C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0"/>
        </w:numPr>
        <w:ind w:left="567" w:hanging="567"/>
        <w:rPr>
          <w:rFonts w:asciiTheme="minorHAnsi" w:hAnsiTheme="minorHAnsi" w:cstheme="minorHAnsi"/>
          <w:sz w:val="22"/>
          <w:szCs w:val="22"/>
        </w:rPr>
      </w:pPr>
      <w:r>
        <w:t xml:space="preserve">O prazo para pagamento </w:t>
      </w:r>
      <w:r>
        <w:rPr>
          <w:lang w:eastAsia="en-US"/>
        </w:rPr>
        <w:t>ao CONTRATADO</w:t>
      </w:r>
      <w:r>
        <w:t xml:space="preserve"> e demais condições a ele referentes encontram-se definidos no Termo de Referência, anexo a este Contrato</w:t>
      </w:r>
      <w:r>
        <w:rPr>
          <w:rFonts w:asciiTheme="minorHAnsi" w:hAnsiTheme="minorHAnsi" w:cstheme="minorHAnsi"/>
          <w:sz w:val="22"/>
          <w:szCs w:val="22"/>
        </w:rPr>
        <w:t>.</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0"/>
        </w:numPr>
        <w:rPr>
          <w:rFonts w:asciiTheme="minorHAnsi" w:hAnsiTheme="minorHAnsi" w:cstheme="minorHAnsi"/>
          <w:b/>
          <w:bCs/>
          <w:sz w:val="22"/>
          <w:szCs w:val="22"/>
        </w:rPr>
      </w:pPr>
      <w:r>
        <w:rPr>
          <w:rFonts w:asciiTheme="minorHAnsi" w:hAnsiTheme="minorHAnsi" w:cstheme="minorHAnsi"/>
          <w:b/>
          <w:bCs/>
          <w:sz w:val="22"/>
          <w:szCs w:val="22"/>
        </w:rPr>
        <w:t xml:space="preserve">CLÁUSULA SÉTIMA - REAJUSTE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0"/>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t>As regras acerca do reajuste do valor contratual são aquelas definidas no Termo de Referência, anexo a este Contrato</w:t>
      </w:r>
      <w:r>
        <w:rPr>
          <w:rFonts w:eastAsia="Times New Roman" w:asciiTheme="minorHAnsi" w:hAnsiTheme="minorHAnsi" w:cstheme="minorHAnsi"/>
          <w:sz w:val="22"/>
          <w:szCs w:val="22"/>
        </w:rPr>
        <w:t>.</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645503B5">
      <w:pPr>
        <w:pStyle w:val="99"/>
        <w:numPr>
          <w:ilvl w:val="1"/>
          <w:numId w:val="4"/>
        </w:numPr>
        <w:rPr>
          <w:b/>
          <w:bCs/>
        </w:rPr>
      </w:pPr>
      <w:r>
        <w:t>São obrigações do CONTRATANTE:</w:t>
      </w:r>
    </w:p>
    <w:p w14:paraId="2C7C3216">
      <w:pPr>
        <w:pStyle w:val="101"/>
        <w:numPr>
          <w:ilvl w:val="2"/>
          <w:numId w:val="4"/>
        </w:numPr>
      </w:pPr>
      <w:r>
        <w:t>Exigir o cumprimento de todas as obrigações assumidas pelo CONTRATADO, de acordo com o contrato e seus anexos;</w:t>
      </w:r>
    </w:p>
    <w:p w14:paraId="339A4F15">
      <w:pPr>
        <w:pStyle w:val="101"/>
        <w:numPr>
          <w:ilvl w:val="2"/>
          <w:numId w:val="4"/>
        </w:numPr>
      </w:pPr>
      <w:r>
        <w:t>Receber o objeto no prazo e condições estabelecidas no Termo de Referência;</w:t>
      </w:r>
    </w:p>
    <w:p w14:paraId="41D8B158">
      <w:pPr>
        <w:pStyle w:val="101"/>
        <w:numPr>
          <w:ilvl w:val="2"/>
          <w:numId w:val="4"/>
        </w:numPr>
        <w:rPr>
          <w:color w:val="auto"/>
        </w:rPr>
      </w:pPr>
      <w:r>
        <w:rPr>
          <w:color w:val="auto"/>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31185935">
      <w:pPr>
        <w:pStyle w:val="101"/>
        <w:numPr>
          <w:ilvl w:val="2"/>
          <w:numId w:val="4"/>
        </w:numPr>
      </w:pPr>
      <w:r>
        <w:t>Acompanhar e fiscalizar a execução do contrato e o cumprimento das obrigações pelo CONTRATADO;</w:t>
      </w:r>
    </w:p>
    <w:p w14:paraId="0E2310BC">
      <w:pPr>
        <w:pStyle w:val="101"/>
        <w:numPr>
          <w:ilvl w:val="2"/>
          <w:numId w:val="4"/>
        </w:numPr>
      </w:pPr>
      <w:r>
        <w:t>Efetuar o pagamento ao CONTRATADO do valor correspondente ao fornecimento do objeto, no prazo, forma e condições estabelecidos no presente Contrato e no Termo de Referência.</w:t>
      </w:r>
    </w:p>
    <w:p w14:paraId="7245C4E6">
      <w:pPr>
        <w:pStyle w:val="101"/>
        <w:numPr>
          <w:ilvl w:val="2"/>
          <w:numId w:val="4"/>
        </w:numPr>
      </w:pPr>
      <w:r>
        <w:t xml:space="preserve">Aplicar ao CONTRATADO as sanções previstas na lei e neste Contrato; </w:t>
      </w:r>
    </w:p>
    <w:p w14:paraId="799FAC21">
      <w:pPr>
        <w:pStyle w:val="101"/>
        <w:numPr>
          <w:ilvl w:val="2"/>
          <w:numId w:val="4"/>
        </w:numPr>
      </w:pPr>
      <w:r>
        <w:t>Cientificar o órgão de representação judicial da Advocacia-Geral da União para adoção das medidas cabíveis quando do descumprimento de obrigações pelo CONTRATADO;</w:t>
      </w:r>
    </w:p>
    <w:p w14:paraId="7D9B6280">
      <w:pPr>
        <w:pStyle w:val="101"/>
        <w:numPr>
          <w:ilvl w:val="2"/>
          <w:numId w:val="4"/>
        </w:numPr>
      </w:pPr>
      <w: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4D1EB3B9">
      <w:pPr>
        <w:pStyle w:val="102"/>
        <w:numPr>
          <w:ilvl w:val="3"/>
          <w:numId w:val="4"/>
        </w:numPr>
      </w:pPr>
      <w:r>
        <w:t>A Administração terá o prazo de</w:t>
      </w:r>
      <w:r>
        <w:rPr>
          <w:i/>
          <w:iCs/>
          <w:color w:val="FF0000"/>
        </w:rPr>
        <w:t xml:space="preserve"> 30 dias</w:t>
      </w:r>
      <w:r>
        <w:t>, a contar da data do protocolo do requerimento para decidir, admitida a prorrogação motivada, por igual período.</w:t>
      </w:r>
    </w:p>
    <w:p w14:paraId="2DE1975A">
      <w:pPr>
        <w:pStyle w:val="101"/>
        <w:numPr>
          <w:ilvl w:val="2"/>
          <w:numId w:val="4"/>
        </w:numPr>
        <w:rPr>
          <w:color w:val="auto"/>
        </w:rPr>
      </w:pPr>
      <w:r>
        <w:t xml:space="preserve">Responder eventuais pedidos de reestabelecimento do equilíbrio econômico-financeiro feitos pelo CONTRATADO no prazo máximo de </w:t>
      </w:r>
      <w:r>
        <w:rPr>
          <w:color w:val="FF0000"/>
        </w:rPr>
        <w:t>30 dias</w:t>
      </w:r>
      <w:r>
        <w:rPr>
          <w:color w:val="auto"/>
        </w:rPr>
        <w:t>;</w:t>
      </w:r>
    </w:p>
    <w:p w14:paraId="13BE783C">
      <w:pPr>
        <w:pStyle w:val="99"/>
        <w:numPr>
          <w:ilvl w:val="1"/>
          <w:numId w:val="4"/>
        </w:numPr>
      </w:pPr>
      <w: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9B150F8">
      <w:pPr>
        <w:pStyle w:val="99"/>
        <w:numPr>
          <w:ilvl w:val="1"/>
          <w:numId w:val="4"/>
        </w:numPr>
      </w:pPr>
      <w:r>
        <w:t>O CONTRATADO deve cumprir todas as obrigações constantes deste Contrato e de seus anexos, assumindo como exclusivamente seus os riscos e as despesas decorrentes da boa e perfeita execução do objeto, observando, ainda, as obrigações a seguir dispostas:</w:t>
      </w:r>
    </w:p>
    <w:p w14:paraId="527C1EF2">
      <w:pPr>
        <w:pStyle w:val="99"/>
        <w:numPr>
          <w:ilvl w:val="1"/>
          <w:numId w:val="4"/>
        </w:numPr>
        <w:rPr>
          <w:color w:val="000000" w:themeColor="text1"/>
          <w14:textFill>
            <w14:solidFill>
              <w14:schemeClr w14:val="tx1"/>
            </w14:solidFill>
          </w14:textFill>
        </w:rPr>
      </w:pPr>
      <w:r>
        <w:rPr>
          <w:color w:val="000000" w:themeColor="text1"/>
          <w14:textFill>
            <w14:solidFill>
              <w14:schemeClr w14:val="tx1"/>
            </w14:solidFill>
          </w14:textFill>
        </w:rPr>
        <w:t xml:space="preserve">Atender </w:t>
      </w:r>
      <w:r>
        <w:t>às</w:t>
      </w:r>
      <w:r>
        <w:rPr>
          <w:color w:val="000000" w:themeColor="text1"/>
          <w14:textFill>
            <w14:solidFill>
              <w14:schemeClr w14:val="tx1"/>
            </w14:solidFill>
          </w14:textFill>
        </w:rPr>
        <w:t xml:space="preserve"> determinações regulares emitidas pelo fiscal ou gestor do contrato ou autoridade superior e </w:t>
      </w:r>
      <w:r>
        <w:t>prestar todo esclarecimento ou informação por eles solicitados</w:t>
      </w:r>
      <w:r>
        <w:rPr>
          <w:color w:val="000000" w:themeColor="text1"/>
          <w14:textFill>
            <w14:solidFill>
              <w14:schemeClr w14:val="tx1"/>
            </w14:solidFill>
          </w14:textFill>
        </w:rPr>
        <w:t>;</w:t>
      </w:r>
    </w:p>
    <w:p w14:paraId="7EBC167B">
      <w:pPr>
        <w:pStyle w:val="99"/>
        <w:numPr>
          <w:ilvl w:val="1"/>
          <w:numId w:val="4"/>
        </w:numPr>
      </w:pPr>
      <w: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10B77475">
      <w:pPr>
        <w:pStyle w:val="99"/>
        <w:numPr>
          <w:ilvl w:val="1"/>
          <w:numId w:val="4"/>
        </w:numPr>
      </w:pPr>
      <w: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68FB6513">
      <w:pPr>
        <w:pStyle w:val="99"/>
        <w:numPr>
          <w:ilvl w:val="1"/>
          <w:numId w:val="4"/>
        </w:numPr>
      </w:pPr>
      <w:r>
        <w:t>Quando não for possível a verificação da regularidade no Sistema de Cadastro de Fornecedores – SICAF, o CONTRATADO deverá entregar ao setor responsável pela fiscalização do contrato, junto com a Nota Fiscal para fins de pagamento, os seguintes documentos:</w:t>
      </w:r>
    </w:p>
    <w:p w14:paraId="0F616911">
      <w:pPr>
        <w:pStyle w:val="101"/>
        <w:numPr>
          <w:ilvl w:val="2"/>
          <w:numId w:val="4"/>
        </w:numPr>
      </w:pPr>
      <w:r>
        <w:t>prova de regularidade relativa à Seguridade Social;</w:t>
      </w:r>
    </w:p>
    <w:p w14:paraId="27085884">
      <w:pPr>
        <w:pStyle w:val="101"/>
        <w:numPr>
          <w:ilvl w:val="2"/>
          <w:numId w:val="4"/>
        </w:numPr>
      </w:pPr>
      <w:r>
        <w:t>certidão conjunta relativa aos tributos federais e à Dívida Ativa da União;</w:t>
      </w:r>
    </w:p>
    <w:p w14:paraId="0638814B">
      <w:pPr>
        <w:pStyle w:val="101"/>
        <w:numPr>
          <w:ilvl w:val="2"/>
          <w:numId w:val="4"/>
        </w:numPr>
      </w:pPr>
      <w:r>
        <w:t>certidões que comprovem a regularidade perante a Fazenda Estadual ou Distrital do domicílio ou sede do CONTRATADO;</w:t>
      </w:r>
    </w:p>
    <w:p w14:paraId="40C4DCB5">
      <w:pPr>
        <w:pStyle w:val="101"/>
        <w:numPr>
          <w:ilvl w:val="2"/>
          <w:numId w:val="4"/>
        </w:numPr>
      </w:pPr>
      <w:r>
        <w:t>Certidão de Regularidade do FGTS – CRF; e</w:t>
      </w:r>
    </w:p>
    <w:p w14:paraId="5B53EA03">
      <w:pPr>
        <w:pStyle w:val="101"/>
        <w:numPr>
          <w:ilvl w:val="2"/>
          <w:numId w:val="4"/>
        </w:numPr>
      </w:pPr>
      <w:r>
        <w:t>Certidão Negativa de Débitos Trabalhistas – CNDT.</w:t>
      </w:r>
    </w:p>
    <w:p w14:paraId="3D456243">
      <w:pPr>
        <w:pStyle w:val="99"/>
        <w:numPr>
          <w:ilvl w:val="1"/>
          <w:numId w:val="4"/>
        </w:numPr>
      </w:pPr>
      <w:r>
        <w:t>Responsabilizar-se pelo cumprimento de todas as obrigações trabalhistas, sociais, previdenciárias, tributárias, fiscais, comerciais e as demais previstas em legislação específica, cuja inadimplência não transfere a responsabilidade ao CONTRATANTE e não poderá onerar o objeto do contrato;</w:t>
      </w:r>
    </w:p>
    <w:p w14:paraId="29D770C5">
      <w:pPr>
        <w:pStyle w:val="99"/>
        <w:numPr>
          <w:ilvl w:val="1"/>
          <w:numId w:val="4"/>
        </w:numPr>
      </w:pPr>
      <w:r>
        <w:t>Comunicar ao Fiscal do contrato tempestivamente, observada a urgência da situação, qualquer ocorrência anormal ou acidente que se verifique no local da execução do objeto contratual, não ultrapassando o prazo de 24 (vinte e quatro) horas;</w:t>
      </w:r>
    </w:p>
    <w:p w14:paraId="490DF388">
      <w:pPr>
        <w:pStyle w:val="99"/>
        <w:numPr>
          <w:ilvl w:val="1"/>
          <w:numId w:val="4"/>
        </w:numPr>
      </w:pPr>
      <w:r>
        <w:t>Paralisar, por determinação do CONTRATANTE, qualquer atividade que não esteja sendo executada de acordo com a boa técnica ou que ponha em risco a segurança de pessoas ou bens de terceiros;</w:t>
      </w:r>
    </w:p>
    <w:p w14:paraId="37448A90">
      <w:pPr>
        <w:pStyle w:val="99"/>
        <w:numPr>
          <w:ilvl w:val="1"/>
          <w:numId w:val="4"/>
        </w:numPr>
      </w:pPr>
      <w:r>
        <w:t xml:space="preserve">Manter, durante toda a vigência do contrato, em compatibilidade com as obrigações assumidas, todas as condições exigidas para habilitação na licitação </w:t>
      </w:r>
      <w:bookmarkStart w:id="0" w:name="_Hlk191044414"/>
      <w:r>
        <w:t>ou para qualificação na contratação direta;</w:t>
      </w:r>
    </w:p>
    <w:bookmarkEnd w:id="0"/>
    <w:p w14:paraId="5B848E34">
      <w:pPr>
        <w:pStyle w:val="99"/>
        <w:numPr>
          <w:ilvl w:val="1"/>
          <w:numId w:val="4"/>
        </w:numPr>
        <w:rPr>
          <w:b/>
          <w:bCs/>
        </w:rPr>
      </w:pPr>
      <w:r>
        <w:t>Cumprir, durante todo o período de execução do contrato, a reserva de cargos prevista em lei para pessoa com deficiência, para reabilitado da Previdência Social ou para aprendiz, bem como as reservas de cargos previstas na legislação;</w:t>
      </w:r>
    </w:p>
    <w:p w14:paraId="07503D35">
      <w:pPr>
        <w:pStyle w:val="99"/>
        <w:numPr>
          <w:ilvl w:val="1"/>
          <w:numId w:val="4"/>
        </w:numPr>
      </w:pPr>
      <w:r>
        <w:t>Comprovar a reserva de cargos a que se refere a cláusula acima, no prazo fixado pelo fiscal do contrato, com a indicação dos empregados que preencheram as referidas vagas;</w:t>
      </w:r>
    </w:p>
    <w:p w14:paraId="2C48C557">
      <w:pPr>
        <w:pStyle w:val="99"/>
        <w:numPr>
          <w:ilvl w:val="1"/>
          <w:numId w:val="4"/>
        </w:numPr>
      </w:pPr>
      <w:r>
        <w:t>Guardar sigilo sobre todas as informações obtidas em decorrência do cumprimento do contrato;</w:t>
      </w:r>
    </w:p>
    <w:p w14:paraId="7EC75F16">
      <w:pPr>
        <w:pStyle w:val="99"/>
        <w:numPr>
          <w:ilvl w:val="1"/>
          <w:numId w:val="4"/>
        </w:numPr>
      </w:pPr>
      <w: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4197CFF2">
      <w:pPr>
        <w:pStyle w:val="99"/>
        <w:numPr>
          <w:ilvl w:val="1"/>
          <w:numId w:val="4"/>
        </w:numPr>
      </w:pPr>
      <w:r>
        <w:t xml:space="preserve">Cumprir, além dos postulados legais vigentes de âmbito federal, estadual ou municipal, as normas de segurança do CONTRATANTE; </w:t>
      </w:r>
    </w:p>
    <w:p w14:paraId="2BB4E302">
      <w:pPr>
        <w:pStyle w:val="99"/>
        <w:numPr>
          <w:ilvl w:val="1"/>
          <w:numId w:val="4"/>
        </w:numPr>
        <w:rPr>
          <w:color w:val="000000" w:themeColor="text1"/>
          <w14:textFill>
            <w14:solidFill>
              <w14:schemeClr w14:val="tx1"/>
            </w14:solidFill>
          </w14:textFill>
        </w:rPr>
      </w:pPr>
      <w:r>
        <w:t>Responsabilizar-se pelos vícios e danos decorrentes do objeto, de acordo com o Código de Defesa do Consumidor (Lei nº 8.078, de 1990);</w:t>
      </w:r>
    </w:p>
    <w:p w14:paraId="55758331">
      <w:pPr>
        <w:pStyle w:val="99"/>
        <w:numPr>
          <w:ilvl w:val="1"/>
          <w:numId w:val="4"/>
        </w:numPr>
      </w:pPr>
      <w:r>
        <w:t>Comunicar ao CONTRATANTE, no prazo máximo de 24 (vinte e quatro) horas que antecede a data da entrega, os motivos que impossibilitem o cumprimento do prazo previsto, com a devida comprovação;</w:t>
      </w:r>
    </w:p>
    <w:p w14:paraId="0266CEC3">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Não haverá exigência de garantia contratual da execução.</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1" w:name="_Ref169601460"/>
      <w:bookmarkStart w:id="2" w:name="_Ref169602136"/>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1"/>
    <w:bookmarkEnd w:id="2"/>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7AB5CD90">
      <w:pPr>
        <w:pStyle w:val="498"/>
        <w:numPr>
          <w:ilvl w:val="1"/>
          <w:numId w:val="4"/>
        </w:numPr>
      </w:pPr>
      <w:r>
        <w:t>O contrato será extinto</w:t>
      </w:r>
      <w:r>
        <w:rPr>
          <w:i w:val="0"/>
        </w:rPr>
        <w:t xml:space="preserve"> </w:t>
      </w:r>
      <w:r>
        <w:t>quando vencido o prazo nele estipulado, independentemente de terem sido cumpridas ou não as obrigações de ambas as partes contraentes.</w:t>
      </w:r>
    </w:p>
    <w:p w14:paraId="5483CE39">
      <w:pPr>
        <w:pStyle w:val="99"/>
        <w:numPr>
          <w:ilvl w:val="1"/>
          <w:numId w:val="4"/>
        </w:numPr>
      </w:pPr>
      <w:r>
        <w:t xml:space="preserve">O contrato poderá ser extinto antes de cumpridas as obrigações nele estipuladas, ou antes do prazo nele fixado, por algum dos motivos previstos no artigo 137 da Lei nº 14.133, de 2021, bem como amigavelmente, </w:t>
      </w:r>
      <w:r>
        <w:rPr>
          <w:color w:val="000000" w:themeColor="text1"/>
          <w14:textFill>
            <w14:solidFill>
              <w14:schemeClr w14:val="tx1"/>
            </w14:solidFill>
          </w14:textFill>
        </w:rPr>
        <w:t>assegurados o contraditório e a ampla defesa</w:t>
      </w:r>
      <w:r>
        <w:t>.</w:t>
      </w:r>
    </w:p>
    <w:p w14:paraId="5F8B4E8D">
      <w:pPr>
        <w:pStyle w:val="99"/>
        <w:numPr>
          <w:ilvl w:val="1"/>
          <w:numId w:val="4"/>
        </w:numPr>
      </w:pPr>
      <w:r>
        <w:t>Nesta hipótese, aplicam-se também os artigos 138 e 139 da mesma Lei.</w:t>
      </w:r>
    </w:p>
    <w:p w14:paraId="7E515BFF">
      <w:pPr>
        <w:pStyle w:val="99"/>
        <w:numPr>
          <w:ilvl w:val="1"/>
          <w:numId w:val="4"/>
        </w:numPr>
      </w:pPr>
      <w:r>
        <w:t>A alteração social ou a modificação da finalidade ou da estrutura da empresa não ensejará a extinção se não restringir sua capacidade de concluir o contrato.</w:t>
      </w:r>
    </w:p>
    <w:p w14:paraId="1243519B">
      <w:pPr>
        <w:pStyle w:val="99"/>
        <w:numPr>
          <w:ilvl w:val="1"/>
          <w:numId w:val="4"/>
        </w:numPr>
      </w:pPr>
      <w:r>
        <w:rPr>
          <w:color w:val="000000" w:themeColor="text1"/>
          <w14:textFill>
            <w14:solidFill>
              <w14:schemeClr w14:val="tx1"/>
            </w14:solidFill>
          </w14:textFill>
        </w:rPr>
        <w:t xml:space="preserve">Se a </w:t>
      </w:r>
      <w:r>
        <w:t>operação</w:t>
      </w:r>
      <w:r>
        <w:rPr>
          <w:color w:val="000000" w:themeColor="text1"/>
          <w14:textFill>
            <w14:solidFill>
              <w14:schemeClr w14:val="tx1"/>
            </w14:solidFill>
          </w14:textFill>
        </w:rPr>
        <w:t xml:space="preserve"> </w:t>
      </w:r>
      <w:r>
        <w:t>implicar mudança da pessoa jurídica contratada, deverá ser formalizado termo aditivo para alteração subjetiva.</w:t>
      </w:r>
    </w:p>
    <w:p w14:paraId="3B9E6679">
      <w:pPr>
        <w:pStyle w:val="99"/>
        <w:numPr>
          <w:ilvl w:val="1"/>
          <w:numId w:val="4"/>
        </w:numPr>
      </w:pPr>
      <w:r>
        <w:t>O termo de extinção, sempre que possível, será precedido:</w:t>
      </w:r>
    </w:p>
    <w:p w14:paraId="46CE0E84">
      <w:pPr>
        <w:pStyle w:val="101"/>
        <w:numPr>
          <w:ilvl w:val="2"/>
          <w:numId w:val="4"/>
        </w:numPr>
      </w:pPr>
      <w:r>
        <w:t>Do balanço dos eventos contratuais já cumpridos ou parcialmente cumpridos;</w:t>
      </w:r>
    </w:p>
    <w:p w14:paraId="6A0FC0A2">
      <w:pPr>
        <w:pStyle w:val="101"/>
        <w:numPr>
          <w:ilvl w:val="2"/>
          <w:numId w:val="4"/>
        </w:numPr>
      </w:pPr>
      <w:r>
        <w:t>Da relação dos pagamentos já efetuados e ainda devidos;</w:t>
      </w:r>
    </w:p>
    <w:p w14:paraId="795DE928">
      <w:pPr>
        <w:pStyle w:val="101"/>
        <w:numPr>
          <w:ilvl w:val="2"/>
          <w:numId w:val="4"/>
        </w:numPr>
      </w:pPr>
      <w:r>
        <w:t>Das indenizações e multas.</w:t>
      </w:r>
    </w:p>
    <w:p w14:paraId="22C6895C">
      <w:pPr>
        <w:pStyle w:val="99"/>
        <w:numPr>
          <w:ilvl w:val="1"/>
          <w:numId w:val="4"/>
        </w:numPr>
      </w:pPr>
      <w:r>
        <w:t>A extinção do contrato não configura óbice para o reconhecimento do desequilíbrio econômico-financeiro, hipótese em que será concedida indenização por meio de termo indenizatório.</w:t>
      </w:r>
    </w:p>
    <w:p w14:paraId="35906291">
      <w:pPr>
        <w:pStyle w:val="99"/>
        <w:numPr>
          <w:ilvl w:val="1"/>
          <w:numId w:val="4"/>
        </w:numPr>
      </w:pPr>
      <w:r>
        <w:t>O CONTRATANTE poderá ainda:</w:t>
      </w:r>
    </w:p>
    <w:p w14:paraId="7F222DD6">
      <w:pPr>
        <w:pStyle w:val="101"/>
        <w:numPr>
          <w:ilvl w:val="2"/>
          <w:numId w:val="4"/>
        </w:numPr>
      </w:pPr>
      <w:r>
        <w:t>nos casos de obrigação de pagamento de multa pelo CONTRATADO, reter a garantia prestada a ser executada, conforme legislação que rege a matéria; e</w:t>
      </w:r>
    </w:p>
    <w:p w14:paraId="5D4570CA">
      <w:pPr>
        <w:pStyle w:val="101"/>
        <w:numPr>
          <w:ilvl w:val="2"/>
          <w:numId w:val="4"/>
        </w:numPr>
      </w:pPr>
      <w:r>
        <w:t>nos casos em que houver necessidade de ressarcimento de prejuízos causados à Administração, nos termos do inciso IV do art. 139 da Lei n.º 14.133, de 2021, reter os eventuais créditos existentes em favor do CONTRATADO decorrentes do contrato.</w:t>
      </w:r>
    </w:p>
    <w:p w14:paraId="4C04CD93">
      <w:pPr>
        <w:pStyle w:val="99"/>
        <w:numPr>
          <w:ilvl w:val="1"/>
          <w:numId w:val="4"/>
        </w:numPr>
      </w:pPr>
      <w: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na contratação direta, ou atue na fiscalização ou na gestão do contrato, ou que deles seja cônjuge, companheiro ou parente em linha reta, colateral ou por afinidade, até o terceiro grau.</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2"/>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Times New Roman"/>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15C5B1DE">
    <w:pPr>
      <w:pStyle w:val="33"/>
      <w:rPr>
        <w:rFonts w:cs="Arial"/>
        <w:sz w:val="14"/>
        <w:szCs w:val="14"/>
      </w:rPr>
    </w:pPr>
    <w:r>
      <w:rPr>
        <w:rFonts w:cs="Arial"/>
        <w:sz w:val="14"/>
        <w:szCs w:val="14"/>
      </w:rPr>
      <w:t>Câmara Nacional de Modelos de Licitações e Contratos da Consultoria-Geral da União</w:t>
    </w:r>
  </w:p>
  <w:p w14:paraId="5C454606">
    <w:pPr>
      <w:pStyle w:val="33"/>
      <w:rPr>
        <w:rFonts w:cs="Arial"/>
        <w:color w:val="10253F" w:themeColor="text2" w:themeShade="80"/>
        <w:sz w:val="14"/>
        <w:szCs w:val="14"/>
      </w:rPr>
    </w:pPr>
    <w:r>
      <w:rPr>
        <w:rFonts w:cs="Arial"/>
        <w:sz w:val="14"/>
        <w:szCs w:val="14"/>
      </w:rPr>
      <w:t>Modelo de Termo de Contrato para Licitação e Contratação Direta – Compras – Lei nº 14.133, de 2021</w:t>
    </w:r>
  </w:p>
  <w:p w14:paraId="689C2CBE">
    <w:pPr>
      <w:pStyle w:val="33"/>
      <w:rPr>
        <w:rFonts w:cs="Arial"/>
        <w:sz w:val="14"/>
        <w:szCs w:val="14"/>
      </w:rPr>
    </w:pPr>
    <w:r>
      <w:rPr>
        <w:rFonts w:cs="Arial"/>
        <w:sz w:val="14"/>
        <w:szCs w:val="14"/>
      </w:rPr>
      <w:t>Aprovado pela Secretaria de Gestão e Inovação</w:t>
    </w:r>
  </w:p>
  <w:p w14:paraId="4A6D69B0">
    <w:pPr>
      <w:pStyle w:val="33"/>
      <w:rPr>
        <w:rFonts w:cs="Arial"/>
        <w:sz w:val="14"/>
        <w:szCs w:val="14"/>
      </w:rPr>
    </w:pPr>
    <w:r>
      <w:rPr>
        <w:rFonts w:cs="Arial"/>
        <w:sz w:val="14"/>
        <w:szCs w:val="14"/>
      </w:rPr>
      <w:t>Identidade visual pela Secretaria de Gestão e Inovação</w:t>
    </w:r>
  </w:p>
  <w:p w14:paraId="4312F900">
    <w:pPr>
      <w:pStyle w:val="33"/>
      <w:rPr>
        <w:sz w:val="14"/>
      </w:rPr>
    </w:pPr>
    <w:r>
      <w:rPr>
        <w:rFonts w:cs="Arial"/>
        <w:sz w:val="14"/>
        <w:szCs w:val="14"/>
      </w:rPr>
      <w:t>Atualização: DEZ/2025</w:t>
    </w:r>
    <w:r>
      <w:rPr>
        <w:rFonts w:cs="Arial"/>
        <w:sz w:val="14"/>
        <w:szCs w:val="14"/>
      </w:rPr>
      <w:tab/>
    </w:r>
    <w:r>
      <w:rPr>
        <w:rFonts w:cs="Arial"/>
        <w:sz w:val="14"/>
        <w:szCs w:val="14"/>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6"/>
  </w:num>
  <w:num w:numId="10">
    <w:abstractNumId w:val="1"/>
  </w:num>
  <w:num w:numId="11">
    <w:abstractNumId w:val="0"/>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1F7F76"/>
    <w:rsid w:val="00201305"/>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254A"/>
    <w:rsid w:val="00275798"/>
    <w:rsid w:val="0027641D"/>
    <w:rsid w:val="00280E63"/>
    <w:rsid w:val="002A29F6"/>
    <w:rsid w:val="002A48AB"/>
    <w:rsid w:val="002A5A0B"/>
    <w:rsid w:val="002A62F2"/>
    <w:rsid w:val="002B7158"/>
    <w:rsid w:val="002B7D60"/>
    <w:rsid w:val="002D200A"/>
    <w:rsid w:val="002D35D6"/>
    <w:rsid w:val="002D416E"/>
    <w:rsid w:val="002D7E78"/>
    <w:rsid w:val="002E549D"/>
    <w:rsid w:val="002E7AB5"/>
    <w:rsid w:val="002F4D24"/>
    <w:rsid w:val="002F756A"/>
    <w:rsid w:val="00304D62"/>
    <w:rsid w:val="00312FEA"/>
    <w:rsid w:val="00313761"/>
    <w:rsid w:val="00313785"/>
    <w:rsid w:val="00315638"/>
    <w:rsid w:val="00317E71"/>
    <w:rsid w:val="0032139D"/>
    <w:rsid w:val="003227EA"/>
    <w:rsid w:val="00324EDF"/>
    <w:rsid w:val="00335697"/>
    <w:rsid w:val="003369A6"/>
    <w:rsid w:val="00337554"/>
    <w:rsid w:val="00345DC9"/>
    <w:rsid w:val="00350F52"/>
    <w:rsid w:val="00351C39"/>
    <w:rsid w:val="003570DA"/>
    <w:rsid w:val="0037707D"/>
    <w:rsid w:val="003804AE"/>
    <w:rsid w:val="00391442"/>
    <w:rsid w:val="00394D5F"/>
    <w:rsid w:val="003A2662"/>
    <w:rsid w:val="003A4456"/>
    <w:rsid w:val="003A5295"/>
    <w:rsid w:val="003B11E3"/>
    <w:rsid w:val="003B787E"/>
    <w:rsid w:val="003D2CA2"/>
    <w:rsid w:val="003D4A95"/>
    <w:rsid w:val="003D5227"/>
    <w:rsid w:val="003D72A0"/>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131A"/>
    <w:rsid w:val="004720B9"/>
    <w:rsid w:val="00477A20"/>
    <w:rsid w:val="00482E6D"/>
    <w:rsid w:val="004871F1"/>
    <w:rsid w:val="0048745B"/>
    <w:rsid w:val="00487AEC"/>
    <w:rsid w:val="00490B18"/>
    <w:rsid w:val="004922A2"/>
    <w:rsid w:val="00492F98"/>
    <w:rsid w:val="00494F0A"/>
    <w:rsid w:val="00497259"/>
    <w:rsid w:val="004A1A69"/>
    <w:rsid w:val="004A40F3"/>
    <w:rsid w:val="004B19D4"/>
    <w:rsid w:val="004B5C84"/>
    <w:rsid w:val="004C1C27"/>
    <w:rsid w:val="004C6971"/>
    <w:rsid w:val="004E1CA4"/>
    <w:rsid w:val="004E712D"/>
    <w:rsid w:val="005006DB"/>
    <w:rsid w:val="00513C95"/>
    <w:rsid w:val="005147AE"/>
    <w:rsid w:val="005156AC"/>
    <w:rsid w:val="005262A8"/>
    <w:rsid w:val="00533DE7"/>
    <w:rsid w:val="00535EB6"/>
    <w:rsid w:val="00546ADF"/>
    <w:rsid w:val="00552B81"/>
    <w:rsid w:val="00553758"/>
    <w:rsid w:val="00561155"/>
    <w:rsid w:val="00567B12"/>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34391"/>
    <w:rsid w:val="00640955"/>
    <w:rsid w:val="00642767"/>
    <w:rsid w:val="00645265"/>
    <w:rsid w:val="006466E1"/>
    <w:rsid w:val="0064716A"/>
    <w:rsid w:val="00647DA8"/>
    <w:rsid w:val="006506AE"/>
    <w:rsid w:val="00656E9A"/>
    <w:rsid w:val="00660774"/>
    <w:rsid w:val="00661793"/>
    <w:rsid w:val="006620D8"/>
    <w:rsid w:val="00667772"/>
    <w:rsid w:val="006723C3"/>
    <w:rsid w:val="006757D3"/>
    <w:rsid w:val="006866BC"/>
    <w:rsid w:val="0069429E"/>
    <w:rsid w:val="00697869"/>
    <w:rsid w:val="006A50FF"/>
    <w:rsid w:val="006C27E6"/>
    <w:rsid w:val="006D0361"/>
    <w:rsid w:val="006D546C"/>
    <w:rsid w:val="006E1A15"/>
    <w:rsid w:val="006E2B79"/>
    <w:rsid w:val="006E3D66"/>
    <w:rsid w:val="006E4496"/>
    <w:rsid w:val="006E7396"/>
    <w:rsid w:val="006F29AD"/>
    <w:rsid w:val="0070435E"/>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07A7"/>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5125D"/>
    <w:rsid w:val="00973203"/>
    <w:rsid w:val="009902E2"/>
    <w:rsid w:val="009937E6"/>
    <w:rsid w:val="009A4E8F"/>
    <w:rsid w:val="009A60CB"/>
    <w:rsid w:val="009C1A02"/>
    <w:rsid w:val="009C7617"/>
    <w:rsid w:val="009E113C"/>
    <w:rsid w:val="009E650D"/>
    <w:rsid w:val="009F2EB2"/>
    <w:rsid w:val="00A03089"/>
    <w:rsid w:val="00A05241"/>
    <w:rsid w:val="00A15645"/>
    <w:rsid w:val="00A16A0A"/>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56050"/>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83A67"/>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A06C5"/>
    <w:rsid w:val="00EB556D"/>
    <w:rsid w:val="00EB6AF5"/>
    <w:rsid w:val="00EB7F69"/>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 w:val="07D15762"/>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qFormat="1" w:uiPriority="1" w:semiHidden="0" w:name="Default Paragraph Font"/>
    <w:lsdException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uiPriority="0" w:semiHidden="0" w:name="Body Text Indent 3"/>
    <w:lsdException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99" w:name="HTML Preformatted"/>
    <w:lsdException w:uiPriority="0" w:name="HTML Sample"/>
    <w:lsdException w:uiPriority="0" w:name="HTML Typewriter"/>
    <w:lsdException w:uiPriority="0" w:name="HTML Variable"/>
    <w:lsdException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99"/>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uiPriority w:val="0"/>
    <w:rPr>
      <w:rFonts w:cs="Mangal"/>
    </w:rPr>
  </w:style>
  <w:style w:type="paragraph" w:customStyle="1" w:styleId="21">
    <w:name w:val="Corpo do texto"/>
    <w:basedOn w:val="1"/>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uiPriority w:val="0"/>
    <w:pPr>
      <w:numPr>
        <w:ilvl w:val="0"/>
        <w:numId w:val="2"/>
      </w:numPr>
      <w:contextualSpacing/>
    </w:pPr>
  </w:style>
  <w:style w:type="paragraph" w:styleId="28">
    <w:name w:val="Normal (Web)"/>
    <w:basedOn w:val="1"/>
    <w:uiPriority w:val="99"/>
    <w:pPr>
      <w:spacing w:after="280"/>
    </w:pPr>
    <w:rPr>
      <w:rFonts w:ascii="Times New Roman" w:hAnsi="Times New Roman" w:cs="Times New Roman"/>
    </w:rPr>
  </w:style>
  <w:style w:type="paragraph" w:styleId="29">
    <w:name w:val="HTML Preformatted"/>
    <w:basedOn w:val="1"/>
    <w:link w:val="484"/>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uiPriority w:val="0"/>
  </w:style>
  <w:style w:type="character" w:customStyle="1" w:styleId="67">
    <w:name w:val="ListLabel 2"/>
    <w:uiPriority w:val="0"/>
    <w:rPr>
      <w:rFonts w:eastAsia="Arial Unicode MS"/>
    </w:rPr>
  </w:style>
  <w:style w:type="character" w:customStyle="1" w:styleId="68">
    <w:name w:val="ListLabel 3"/>
    <w:uiPriority w:val="0"/>
    <w:rPr>
      <w:rFonts w:cs="Arial"/>
      <w:i/>
      <w:color w:val="FF0000"/>
    </w:rPr>
  </w:style>
  <w:style w:type="character" w:customStyle="1" w:styleId="69">
    <w:name w:val="ListLabel 4"/>
    <w:uiPriority w:val="0"/>
    <w:rPr>
      <w:color w:val="0000FF"/>
    </w:rPr>
  </w:style>
  <w:style w:type="character" w:customStyle="1" w:styleId="70">
    <w:name w:val="ListLabel 5"/>
    <w:uiPriority w:val="0"/>
  </w:style>
  <w:style w:type="character" w:customStyle="1" w:styleId="71">
    <w:name w:val="ListLabel 6"/>
    <w:uiPriority w:val="0"/>
    <w:rPr>
      <w:b/>
    </w:rPr>
  </w:style>
  <w:style w:type="character" w:customStyle="1" w:styleId="72">
    <w:name w:val="ListLabel 7"/>
    <w:uiPriority w:val="0"/>
    <w:rPr>
      <w:b/>
      <w:color w:val="00000A"/>
    </w:rPr>
  </w:style>
  <w:style w:type="character" w:customStyle="1" w:styleId="73">
    <w:name w:val="ListLabel 8"/>
    <w:uiPriority w:val="0"/>
    <w:rPr>
      <w:color w:val="00000A"/>
    </w:rPr>
  </w:style>
  <w:style w:type="character" w:customStyle="1" w:styleId="74">
    <w:name w:val="ListLabel 9"/>
    <w:uiPriority w:val="0"/>
    <w:rPr>
      <w:i/>
    </w:rPr>
  </w:style>
  <w:style w:type="character" w:customStyle="1" w:styleId="75">
    <w:name w:val="ListLabel 10"/>
    <w:uiPriority w:val="0"/>
    <w:rPr>
      <w:b/>
    </w:rPr>
  </w:style>
  <w:style w:type="character" w:customStyle="1" w:styleId="76">
    <w:name w:val="ListLabel 11"/>
    <w:uiPriority w:val="0"/>
    <w:rPr>
      <w:sz w:val="18"/>
      <w:szCs w:val="18"/>
    </w:rPr>
  </w:style>
  <w:style w:type="paragraph" w:customStyle="1" w:styleId="77">
    <w:name w:val="Índice"/>
    <w:basedOn w:val="1"/>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8</Pages>
  <Words>3236</Words>
  <Characters>17475</Characters>
  <Lines>145</Lines>
  <Paragraphs>41</Paragraphs>
  <TotalTime>2</TotalTime>
  <ScaleCrop>false</ScaleCrop>
  <LinksUpToDate>false</LinksUpToDate>
  <CharactersWithSpaces>20670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2026-02-10T02:10:00Z</dcterms:created>
  <dc:creator>Adriano</dc:creator>
  <cp:lastModifiedBy>Juliana Borsoi</cp:lastModifiedBy>
  <cp:lastPrinted>2025-07-04T04:57:00Z</cp:lastPrinted>
  <dcterms:modified xsi:type="dcterms:W3CDTF">2026-03-12T14:50:00Z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5D8031D95B554D2B9476DF76B4279E70_12</vt:lpwstr>
  </property>
</Properties>
</file>