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III – PE. 90</w:t>
      </w:r>
      <w:r>
        <w:rPr>
          <w:rFonts w:hint="default" w:asciiTheme="minorHAnsi" w:hAnsiTheme="minorHAnsi" w:cstheme="minorHAnsi"/>
          <w:b/>
          <w:bCs/>
          <w:color w:val="FF0000"/>
          <w:sz w:val="22"/>
          <w:szCs w:val="22"/>
          <w:lang w:val="pt-BR"/>
        </w:rPr>
        <w:t>.008</w:t>
      </w:r>
      <w:r>
        <w:rPr>
          <w:rFonts w:asciiTheme="minorHAnsi" w:hAnsiTheme="minorHAnsi" w:cstheme="minorHAnsi"/>
          <w:b/>
          <w:bCs/>
          <w:color w:val="FF0000"/>
          <w:sz w:val="22"/>
          <w:szCs w:val="22"/>
        </w:rPr>
        <w:t>/2026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23069.156585/2025-99)</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23069.156585/2025-99</w:t>
      </w:r>
      <w:r>
        <w:rPr>
          <w:rFonts w:eastAsia="Arial" w:asciiTheme="minorHAnsi" w:hAnsiTheme="minorHAnsi" w:cstheme="minorHAnsi"/>
          <w:bCs/>
          <w:sz w:val="22"/>
          <w:szCs w:val="22"/>
        </w:rPr>
        <w:t xml:space="preserve">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do Pregão Eletrônico n. 90</w:t>
      </w:r>
      <w:r>
        <w:rPr>
          <w:rFonts w:hint="default" w:eastAsia="Arial" w:asciiTheme="minorHAnsi" w:hAnsiTheme="minorHAnsi" w:cstheme="minorHAnsi"/>
          <w:i/>
          <w:iCs/>
          <w:sz w:val="22"/>
          <w:szCs w:val="22"/>
          <w:lang w:val="pt-BR"/>
        </w:rPr>
        <w:t>.008</w:t>
      </w:r>
      <w:bookmarkStart w:id="8" w:name="_GoBack"/>
      <w:bookmarkEnd w:id="8"/>
      <w:r>
        <w:rPr>
          <w:rFonts w:eastAsia="Arial" w:asciiTheme="minorHAnsi" w:hAnsiTheme="minorHAnsi" w:cstheme="minorHAnsi"/>
          <w:i/>
          <w:iCs/>
          <w:sz w:val="22"/>
          <w:szCs w:val="22"/>
        </w:rPr>
        <w:t>/2026,</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r>
        <w:rPr>
          <w:rFonts w:ascii="Arial" w:hAnsi="Arial" w:eastAsia="Times New Roman" w:cs="Tahoma"/>
          <w:szCs w:val="24"/>
        </w:rPr>
        <w:t xml:space="preserve"> </w:t>
      </w:r>
      <w:r>
        <w:rPr>
          <w:rFonts w:eastAsia="Arial" w:asciiTheme="minorHAnsi" w:hAnsiTheme="minorHAnsi" w:cstheme="minorHAnsi"/>
          <w:sz w:val="22"/>
          <w:szCs w:val="22"/>
        </w:rPr>
        <w:t>Contratação de serviços contínuos de locação de veículos de passeio, Híbridos, sem motorista em unidades da Universidade Federal Fluminense (UFF) localizadas no município de Niterói e demais campi do interior do Estado do Rio de Janeiro, conforme relação abaixo, nas condições estabelecidas no Termo de Referência.</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12"/>
        <w:tblW w:w="9634" w:type="dxa"/>
        <w:tblInd w:w="0" w:type="dxa"/>
        <w:tblLayout w:type="autofit"/>
        <w:tblCellMar>
          <w:top w:w="0" w:type="dxa"/>
          <w:left w:w="70" w:type="dxa"/>
          <w:bottom w:w="0" w:type="dxa"/>
          <w:right w:w="70" w:type="dxa"/>
        </w:tblCellMar>
      </w:tblPr>
      <w:tblGrid>
        <w:gridCol w:w="449"/>
        <w:gridCol w:w="3374"/>
        <w:gridCol w:w="1134"/>
        <w:gridCol w:w="1417"/>
        <w:gridCol w:w="1701"/>
        <w:gridCol w:w="1559"/>
      </w:tblGrid>
      <w:tr w14:paraId="3849EF7F">
        <w:tblPrEx>
          <w:tblCellMar>
            <w:top w:w="0" w:type="dxa"/>
            <w:left w:w="70" w:type="dxa"/>
            <w:bottom w:w="0" w:type="dxa"/>
            <w:right w:w="70" w:type="dxa"/>
          </w:tblCellMar>
        </w:tblPrEx>
        <w:trPr>
          <w:trHeight w:val="1290" w:hRule="atLeast"/>
        </w:trPr>
        <w:tc>
          <w:tcPr>
            <w:tcW w:w="449" w:type="dxa"/>
            <w:tcBorders>
              <w:top w:val="single" w:color="auto" w:sz="4" w:space="0"/>
              <w:left w:val="single" w:color="auto" w:sz="4" w:space="0"/>
              <w:bottom w:val="single" w:color="auto" w:sz="4" w:space="0"/>
              <w:right w:val="single" w:color="auto" w:sz="4" w:space="0"/>
            </w:tcBorders>
            <w:shd w:val="clear" w:color="000000" w:fill="D9E1F2"/>
            <w:vAlign w:val="center"/>
          </w:tcPr>
          <w:p w14:paraId="471BB920">
            <w:pPr>
              <w:suppressAutoHyphens w:val="0"/>
              <w:jc w:val="center"/>
              <w:rPr>
                <w:rFonts w:ascii="Calibri" w:hAnsi="Calibri" w:cs="Calibri"/>
                <w:b/>
                <w:bCs/>
                <w:sz w:val="16"/>
                <w:szCs w:val="16"/>
              </w:rPr>
            </w:pPr>
            <w:r>
              <w:rPr>
                <w:rFonts w:ascii="Calibri" w:hAnsi="Calibri" w:cs="Calibri"/>
                <w:b/>
                <w:bCs/>
                <w:sz w:val="16"/>
                <w:szCs w:val="16"/>
              </w:rPr>
              <w:t>Item</w:t>
            </w:r>
          </w:p>
        </w:tc>
        <w:tc>
          <w:tcPr>
            <w:tcW w:w="3374" w:type="dxa"/>
            <w:tcBorders>
              <w:top w:val="single" w:color="auto" w:sz="4" w:space="0"/>
              <w:left w:val="nil"/>
              <w:bottom w:val="single" w:color="auto" w:sz="4" w:space="0"/>
              <w:right w:val="single" w:color="auto" w:sz="4" w:space="0"/>
            </w:tcBorders>
            <w:shd w:val="clear" w:color="000000" w:fill="D9E1F2"/>
            <w:vAlign w:val="center"/>
          </w:tcPr>
          <w:p w14:paraId="0D99CB8F">
            <w:pPr>
              <w:suppressAutoHyphens w:val="0"/>
              <w:jc w:val="center"/>
              <w:rPr>
                <w:rFonts w:ascii="Calibri" w:hAnsi="Calibri" w:cs="Calibri"/>
                <w:b/>
                <w:bCs/>
                <w:sz w:val="16"/>
                <w:szCs w:val="16"/>
              </w:rPr>
            </w:pPr>
            <w:r>
              <w:rPr>
                <w:rFonts w:ascii="Calibri" w:hAnsi="Calibri" w:cs="Calibri"/>
                <w:b/>
                <w:bCs/>
                <w:sz w:val="16"/>
                <w:szCs w:val="16"/>
              </w:rPr>
              <w:t>Descrição</w:t>
            </w:r>
          </w:p>
        </w:tc>
        <w:tc>
          <w:tcPr>
            <w:tcW w:w="1134" w:type="dxa"/>
            <w:tcBorders>
              <w:top w:val="single" w:color="auto" w:sz="4" w:space="0"/>
              <w:left w:val="nil"/>
              <w:bottom w:val="single" w:color="auto" w:sz="4" w:space="0"/>
              <w:right w:val="single" w:color="auto" w:sz="4" w:space="0"/>
            </w:tcBorders>
            <w:shd w:val="clear" w:color="000000" w:fill="D9E1F2"/>
            <w:vAlign w:val="center"/>
          </w:tcPr>
          <w:p w14:paraId="6022D2A3">
            <w:pPr>
              <w:suppressAutoHyphens w:val="0"/>
              <w:jc w:val="center"/>
              <w:rPr>
                <w:rFonts w:ascii="Calibri" w:hAnsi="Calibri" w:cs="Calibri"/>
                <w:b/>
                <w:bCs/>
                <w:sz w:val="16"/>
                <w:szCs w:val="16"/>
              </w:rPr>
            </w:pPr>
            <w:r>
              <w:rPr>
                <w:rFonts w:ascii="Calibri" w:hAnsi="Calibri" w:cs="Calibri"/>
                <w:b/>
                <w:bCs/>
                <w:sz w:val="16"/>
                <w:szCs w:val="16"/>
              </w:rPr>
              <w:t>Unidade</w:t>
            </w:r>
          </w:p>
        </w:tc>
        <w:tc>
          <w:tcPr>
            <w:tcW w:w="1417" w:type="dxa"/>
            <w:tcBorders>
              <w:top w:val="single" w:color="auto" w:sz="4" w:space="0"/>
              <w:left w:val="nil"/>
              <w:bottom w:val="single" w:color="auto" w:sz="4" w:space="0"/>
              <w:right w:val="single" w:color="auto" w:sz="4" w:space="0"/>
            </w:tcBorders>
            <w:shd w:val="clear" w:color="000000" w:fill="D9E1F2"/>
            <w:vAlign w:val="center"/>
          </w:tcPr>
          <w:p w14:paraId="32F79F11">
            <w:pPr>
              <w:suppressAutoHyphens w:val="0"/>
              <w:jc w:val="center"/>
              <w:rPr>
                <w:rFonts w:ascii="Calibri" w:hAnsi="Calibri" w:cs="Calibri"/>
                <w:b/>
                <w:bCs/>
                <w:sz w:val="16"/>
                <w:szCs w:val="16"/>
              </w:rPr>
            </w:pPr>
            <w:r>
              <w:rPr>
                <w:rFonts w:ascii="Calibri" w:hAnsi="Calibri" w:cs="Calibri"/>
                <w:b/>
                <w:bCs/>
                <w:sz w:val="16"/>
                <w:szCs w:val="16"/>
              </w:rPr>
              <w:t>Valor Unitário Veículo</w:t>
            </w:r>
          </w:p>
        </w:tc>
        <w:tc>
          <w:tcPr>
            <w:tcW w:w="1701" w:type="dxa"/>
            <w:tcBorders>
              <w:top w:val="single" w:color="auto" w:sz="4" w:space="0"/>
              <w:left w:val="nil"/>
              <w:bottom w:val="single" w:color="auto" w:sz="4" w:space="0"/>
              <w:right w:val="single" w:color="auto" w:sz="4" w:space="0"/>
            </w:tcBorders>
            <w:shd w:val="clear" w:color="000000" w:fill="D9E1F2"/>
            <w:vAlign w:val="center"/>
          </w:tcPr>
          <w:p w14:paraId="2D2E206C">
            <w:pPr>
              <w:suppressAutoHyphens w:val="0"/>
              <w:jc w:val="center"/>
              <w:rPr>
                <w:rFonts w:ascii="Calibri" w:hAnsi="Calibri" w:cs="Calibri"/>
                <w:b/>
                <w:bCs/>
                <w:sz w:val="16"/>
                <w:szCs w:val="16"/>
              </w:rPr>
            </w:pPr>
            <w:r>
              <w:rPr>
                <w:rFonts w:ascii="Calibri" w:hAnsi="Calibri" w:cs="Calibri"/>
                <w:b/>
                <w:bCs/>
                <w:sz w:val="16"/>
                <w:szCs w:val="16"/>
              </w:rPr>
              <w:t>Quantidade (Compras. gov) = 20 veículos x 48 meses</w:t>
            </w:r>
          </w:p>
        </w:tc>
        <w:tc>
          <w:tcPr>
            <w:tcW w:w="1559" w:type="dxa"/>
            <w:tcBorders>
              <w:top w:val="single" w:color="auto" w:sz="4" w:space="0"/>
              <w:left w:val="nil"/>
              <w:bottom w:val="single" w:color="auto" w:sz="4" w:space="0"/>
              <w:right w:val="single" w:color="auto" w:sz="4" w:space="0"/>
            </w:tcBorders>
            <w:shd w:val="clear" w:color="000000" w:fill="D9E1F2"/>
            <w:vAlign w:val="center"/>
          </w:tcPr>
          <w:p w14:paraId="5D9E96CA">
            <w:pPr>
              <w:suppressAutoHyphens w:val="0"/>
              <w:jc w:val="center"/>
              <w:rPr>
                <w:rFonts w:ascii="Calibri" w:hAnsi="Calibri" w:cs="Calibri"/>
                <w:b/>
                <w:bCs/>
                <w:sz w:val="16"/>
                <w:szCs w:val="16"/>
              </w:rPr>
            </w:pPr>
            <w:r>
              <w:rPr>
                <w:rFonts w:ascii="Calibri" w:hAnsi="Calibri" w:cs="Calibri"/>
                <w:b/>
                <w:bCs/>
                <w:sz w:val="16"/>
                <w:szCs w:val="16"/>
              </w:rPr>
              <w:t>Valor Total (Compras. gov)</w:t>
            </w:r>
          </w:p>
        </w:tc>
      </w:tr>
      <w:tr w14:paraId="2006EA5B">
        <w:tblPrEx>
          <w:tblCellMar>
            <w:top w:w="0" w:type="dxa"/>
            <w:left w:w="70" w:type="dxa"/>
            <w:bottom w:w="0" w:type="dxa"/>
            <w:right w:w="70" w:type="dxa"/>
          </w:tblCellMar>
        </w:tblPrEx>
        <w:trPr>
          <w:trHeight w:val="1242" w:hRule="atLeast"/>
        </w:trPr>
        <w:tc>
          <w:tcPr>
            <w:tcW w:w="449" w:type="dxa"/>
            <w:tcBorders>
              <w:top w:val="nil"/>
              <w:left w:val="single" w:color="auto" w:sz="4" w:space="0"/>
              <w:bottom w:val="single" w:color="auto" w:sz="4" w:space="0"/>
              <w:right w:val="single" w:color="auto" w:sz="4" w:space="0"/>
            </w:tcBorders>
            <w:noWrap/>
            <w:vAlign w:val="center"/>
          </w:tcPr>
          <w:p w14:paraId="0775B62E">
            <w:pPr>
              <w:suppressAutoHyphens w:val="0"/>
              <w:jc w:val="center"/>
              <w:rPr>
                <w:rFonts w:ascii="Calibri" w:hAnsi="Calibri" w:cs="Calibri"/>
                <w:sz w:val="16"/>
                <w:szCs w:val="16"/>
              </w:rPr>
            </w:pPr>
            <w:r>
              <w:rPr>
                <w:rFonts w:ascii="Calibri" w:hAnsi="Calibri" w:cs="Calibri"/>
                <w:sz w:val="16"/>
                <w:szCs w:val="16"/>
              </w:rPr>
              <w:t>1</w:t>
            </w:r>
          </w:p>
        </w:tc>
        <w:tc>
          <w:tcPr>
            <w:tcW w:w="3374" w:type="dxa"/>
            <w:tcBorders>
              <w:top w:val="nil"/>
              <w:left w:val="nil"/>
              <w:bottom w:val="single" w:color="auto" w:sz="4" w:space="0"/>
              <w:right w:val="single" w:color="auto" w:sz="4" w:space="0"/>
            </w:tcBorders>
            <w:vAlign w:val="center"/>
          </w:tcPr>
          <w:p w14:paraId="49DAAA6C">
            <w:pPr>
              <w:suppressAutoHyphens w:val="0"/>
              <w:jc w:val="center"/>
              <w:rPr>
                <w:rFonts w:ascii="Calibri" w:hAnsi="Calibri" w:cs="Calibri"/>
                <w:sz w:val="16"/>
                <w:szCs w:val="16"/>
              </w:rPr>
            </w:pPr>
            <w:r>
              <w:rPr>
                <w:rFonts w:ascii="Calibri" w:hAnsi="Calibri" w:cs="Calibri"/>
                <w:sz w:val="16"/>
                <w:szCs w:val="16"/>
              </w:rPr>
              <w:t>Locação de 20 VEÍCULOS para transporte dos servidores a serviço da UFF - 24h/dia, 7 dias da semana, por 48 (quarenta e oito) meses, automático - Cor Branca, modelo sedan híbrido, ou superior CATSER 4014</w:t>
            </w:r>
          </w:p>
        </w:tc>
        <w:tc>
          <w:tcPr>
            <w:tcW w:w="1134" w:type="dxa"/>
            <w:tcBorders>
              <w:top w:val="nil"/>
              <w:left w:val="nil"/>
              <w:bottom w:val="single" w:color="auto" w:sz="4" w:space="0"/>
              <w:right w:val="single" w:color="auto" w:sz="4" w:space="0"/>
            </w:tcBorders>
            <w:noWrap/>
            <w:vAlign w:val="center"/>
          </w:tcPr>
          <w:p w14:paraId="64C8D569">
            <w:pPr>
              <w:suppressAutoHyphens w:val="0"/>
              <w:jc w:val="center"/>
              <w:rPr>
                <w:rFonts w:ascii="Calibri" w:hAnsi="Calibri" w:cs="Calibri"/>
                <w:sz w:val="16"/>
                <w:szCs w:val="16"/>
              </w:rPr>
            </w:pPr>
            <w:r>
              <w:rPr>
                <w:rFonts w:ascii="Calibri" w:hAnsi="Calibri" w:cs="Calibri"/>
                <w:sz w:val="16"/>
                <w:szCs w:val="16"/>
              </w:rPr>
              <w:t>Unid</w:t>
            </w:r>
          </w:p>
        </w:tc>
        <w:tc>
          <w:tcPr>
            <w:tcW w:w="1417" w:type="dxa"/>
            <w:tcBorders>
              <w:top w:val="nil"/>
              <w:left w:val="nil"/>
              <w:bottom w:val="single" w:color="auto" w:sz="4" w:space="0"/>
              <w:right w:val="single" w:color="auto" w:sz="4" w:space="0"/>
            </w:tcBorders>
            <w:noWrap/>
            <w:vAlign w:val="center"/>
          </w:tcPr>
          <w:p w14:paraId="07B017BB">
            <w:pPr>
              <w:suppressAutoHyphens w:val="0"/>
              <w:jc w:val="center"/>
              <w:rPr>
                <w:rFonts w:ascii="Calibri" w:hAnsi="Calibri" w:cs="Calibri"/>
                <w:sz w:val="16"/>
                <w:szCs w:val="16"/>
              </w:rPr>
            </w:pPr>
            <w:r>
              <w:rPr>
                <w:rFonts w:ascii="Calibri" w:hAnsi="Calibri" w:cs="Calibri"/>
                <w:sz w:val="16"/>
                <w:szCs w:val="16"/>
              </w:rPr>
              <w:t>R$</w:t>
            </w:r>
          </w:p>
        </w:tc>
        <w:tc>
          <w:tcPr>
            <w:tcW w:w="1701" w:type="dxa"/>
            <w:tcBorders>
              <w:top w:val="nil"/>
              <w:left w:val="nil"/>
              <w:bottom w:val="single" w:color="auto" w:sz="4" w:space="0"/>
              <w:right w:val="single" w:color="auto" w:sz="4" w:space="0"/>
            </w:tcBorders>
            <w:noWrap/>
            <w:vAlign w:val="center"/>
          </w:tcPr>
          <w:p w14:paraId="388C46F4">
            <w:pPr>
              <w:suppressAutoHyphens w:val="0"/>
              <w:jc w:val="center"/>
              <w:rPr>
                <w:rFonts w:ascii="Calibri" w:hAnsi="Calibri" w:cs="Calibri"/>
                <w:color w:val="000000"/>
                <w:sz w:val="16"/>
                <w:szCs w:val="16"/>
              </w:rPr>
            </w:pPr>
            <w:r>
              <w:rPr>
                <w:rFonts w:ascii="Calibri" w:hAnsi="Calibri" w:cs="Calibri"/>
                <w:color w:val="000000"/>
                <w:sz w:val="16"/>
                <w:szCs w:val="16"/>
              </w:rPr>
              <w:t>960</w:t>
            </w:r>
          </w:p>
        </w:tc>
        <w:tc>
          <w:tcPr>
            <w:tcW w:w="1559" w:type="dxa"/>
            <w:tcBorders>
              <w:top w:val="nil"/>
              <w:left w:val="nil"/>
              <w:bottom w:val="single" w:color="auto" w:sz="4" w:space="0"/>
              <w:right w:val="single" w:color="auto" w:sz="4" w:space="0"/>
            </w:tcBorders>
            <w:noWrap/>
            <w:vAlign w:val="center"/>
          </w:tcPr>
          <w:p w14:paraId="788AD721">
            <w:pPr>
              <w:suppressAutoHyphens w:val="0"/>
              <w:jc w:val="center"/>
              <w:rPr>
                <w:rFonts w:ascii="Calibri" w:hAnsi="Calibri" w:cs="Calibri"/>
                <w:sz w:val="16"/>
                <w:szCs w:val="16"/>
              </w:rPr>
            </w:pPr>
          </w:p>
        </w:tc>
      </w:tr>
    </w:tbl>
    <w:p w14:paraId="2EC55432">
      <w:pPr>
        <w:pStyle w:val="99"/>
        <w:numPr>
          <w:ilvl w:val="0"/>
          <w:numId w:val="0"/>
        </w:numPr>
        <w:spacing w:after="288" w:afterLines="120" w:line="312" w:lineRule="auto"/>
        <w:ind w:left="858" w:hanging="432"/>
        <w:rPr>
          <w:rFonts w:asciiTheme="minorHAnsi" w:hAnsiTheme="minorHAnsi" w:cstheme="minorHAnsi"/>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48 (quarenta e oito)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16EE69CD">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7C02B600">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F4298D3">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Não haja registro no Cadastro Informativo de créditos não quitados do setor público federal (Cadin).</w:t>
      </w:r>
    </w:p>
    <w:p w14:paraId="2468FA35">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77"/>
      <w:bookmarkEnd w:id="0"/>
      <w:bookmarkStart w:id="1" w:name="_Hlk114497502"/>
      <w:bookmarkEnd w:id="1"/>
    </w:p>
    <w:p w14:paraId="3E17D1B0">
      <w:pPr>
        <w:pStyle w:val="99"/>
        <w:numPr>
          <w:ilvl w:val="1"/>
          <w:numId w:val="8"/>
        </w:numPr>
        <w:ind w:left="426"/>
        <w:rPr>
          <w:rFonts w:asciiTheme="minorHAnsi" w:hAnsiTheme="minorHAnsi" w:cstheme="minorHAnsi"/>
          <w:sz w:val="22"/>
          <w:szCs w:val="22"/>
        </w:rPr>
      </w:pPr>
      <w:r>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cadastramento do usuário externo,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10"/>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1"/>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O valor bruto da contratação é de XXXXXX (XXXXX) relativo ao valor limite de uso dos serviços, estimado para 48 (quarenta e oito) meses, perfazendo o valor mensal de aproximadamente XXXX (XXXX).</w:t>
      </w:r>
    </w:p>
    <w:p w14:paraId="5AD579C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de serviços executados</w:t>
      </w:r>
    </w:p>
    <w:p w14:paraId="7BB62FF6">
      <w:pPr>
        <w:pStyle w:val="99"/>
        <w:numPr>
          <w:ilvl w:val="0"/>
          <w:numId w:val="11"/>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1"/>
        </w:numPr>
        <w:ind w:left="567" w:hanging="567"/>
        <w:rPr>
          <w:rFonts w:asciiTheme="minorHAnsi" w:hAnsiTheme="minorHAnsi" w:cstheme="minorHAnsi"/>
          <w:sz w:val="22"/>
          <w:szCs w:val="22"/>
        </w:rPr>
      </w:pPr>
      <w:r>
        <w:rPr>
          <w:rFonts w:asciiTheme="minorHAnsi" w:hAnsiTheme="minorHAnsi" w:cstheme="minorHAnsi"/>
          <w:sz w:val="22"/>
          <w:szCs w:val="22"/>
        </w:rPr>
        <w:t>O prazo para pagamento ao CONTRATADO e demais condições a ele referentes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1"/>
        </w:numPr>
        <w:rPr>
          <w:rFonts w:asciiTheme="minorHAnsi" w:hAnsiTheme="minorHAnsi" w:cstheme="minorHAnsi"/>
          <w:b/>
          <w:bCs/>
          <w:sz w:val="22"/>
          <w:szCs w:val="22"/>
        </w:rPr>
      </w:pPr>
      <w:r>
        <w:rPr>
          <w:rFonts w:asciiTheme="minorHAnsi" w:hAnsiTheme="minorHAnsi" w:cstheme="minorHAnsi"/>
          <w:b/>
          <w:bCs/>
          <w:sz w:val="22"/>
          <w:szCs w:val="22"/>
        </w:rPr>
        <w:t>CLÁUSULA SÉTIMA – REAJUSTE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1"/>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7C968BA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do reajuste dos preços contratados são aquelas definidas no Termo de Referência, anexo a este Contrato.</w:t>
      </w:r>
    </w:p>
    <w:p w14:paraId="207ED06E">
      <w:pPr>
        <w:pStyle w:val="90"/>
        <w:rPr>
          <w:rFonts w:eastAsia="Times New Roman" w:asciiTheme="minorHAnsi" w:hAnsiTheme="minorHAnsi" w:cstheme="minorHAnsi"/>
          <w:sz w:val="22"/>
          <w:szCs w:val="22"/>
        </w:rPr>
      </w:pPr>
      <w: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0CA21300">
      <w:pPr>
        <w:pStyle w:val="99"/>
        <w:numPr>
          <w:ilvl w:val="1"/>
          <w:numId w:val="4"/>
        </w:numPr>
        <w:rPr>
          <w:bCs/>
        </w:rPr>
      </w:pPr>
      <w:r>
        <w:t>São obrigações do CONTRATANTE:</w:t>
      </w:r>
    </w:p>
    <w:p w14:paraId="40BF90F6">
      <w:pPr>
        <w:pStyle w:val="101"/>
        <w:numPr>
          <w:ilvl w:val="2"/>
          <w:numId w:val="4"/>
        </w:numPr>
      </w:pPr>
      <w:r>
        <w:t>Exigir o cumprimento de todas as obrigações assumidas pelo CONTRATADO, de acordo com o contrato e seus anexos;</w:t>
      </w:r>
    </w:p>
    <w:p w14:paraId="1028FC6B">
      <w:pPr>
        <w:pStyle w:val="101"/>
        <w:numPr>
          <w:ilvl w:val="2"/>
          <w:numId w:val="4"/>
        </w:numPr>
      </w:pPr>
      <w:r>
        <w:t>Receber o objeto no prazo e condições estabelecidas no Termo de Referência;</w:t>
      </w:r>
    </w:p>
    <w:p w14:paraId="0F68608D">
      <w:pPr>
        <w:pStyle w:val="101"/>
        <w:numPr>
          <w:ilvl w:val="2"/>
          <w:numId w:val="4"/>
        </w:numPr>
        <w:rPr>
          <w:color w:val="auto"/>
        </w:rPr>
      </w:pPr>
      <w:r>
        <w:rPr>
          <w:color w:val="auto"/>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324CC63C">
      <w:pPr>
        <w:pStyle w:val="101"/>
        <w:numPr>
          <w:ilvl w:val="2"/>
          <w:numId w:val="4"/>
        </w:numPr>
      </w:pPr>
      <w:r>
        <w:t>Acompanhar e fiscalizar a execução do contrato e o cumprimento das obrigações pelo CONTRATADO;</w:t>
      </w:r>
    </w:p>
    <w:p w14:paraId="465DAA70">
      <w:pPr>
        <w:pStyle w:val="101"/>
        <w:numPr>
          <w:ilvl w:val="2"/>
          <w:numId w:val="4"/>
        </w:numPr>
      </w:pPr>
      <w:r>
        <w:t>Comunicar a empresa para emissão de Nota Fiscal relativa à parcela incontroversa da execução do objeto, para efeito de liquidação e pagamento, quando houver controvérsia sobre a execução do objeto, quanto à dimensão, qualidade e quantidade, conforme o art. 143 da Lei nº 14.133, de 2021;</w:t>
      </w:r>
    </w:p>
    <w:p w14:paraId="12605ED6">
      <w:pPr>
        <w:pStyle w:val="101"/>
        <w:numPr>
          <w:ilvl w:val="2"/>
          <w:numId w:val="4"/>
        </w:numPr>
      </w:pPr>
      <w:r>
        <w:t>Efetuar o pagamento ao CONTRATADO do valor correspondente à execução do objeto, no prazo, forma e condições estabelecidos no presente Contrato e no Termo de Referência;</w:t>
      </w:r>
    </w:p>
    <w:p w14:paraId="1622EA8C">
      <w:pPr>
        <w:pStyle w:val="101"/>
        <w:numPr>
          <w:ilvl w:val="2"/>
          <w:numId w:val="4"/>
        </w:numPr>
      </w:pPr>
      <w:r>
        <w:t>Aplicar ao CONTRATADO as sanções previstas na lei e neste Contrato;</w:t>
      </w:r>
    </w:p>
    <w:p w14:paraId="548CB62E">
      <w:pPr>
        <w:pStyle w:val="101"/>
        <w:numPr>
          <w:ilvl w:val="2"/>
          <w:numId w:val="4"/>
        </w:numPr>
      </w:pPr>
      <w:r>
        <w:t>Não praticar atos de ingerência na administração do CONTRATADO, tais como:</w:t>
      </w:r>
    </w:p>
    <w:p w14:paraId="3535DAD4">
      <w:pPr>
        <w:pStyle w:val="102"/>
        <w:numPr>
          <w:ilvl w:val="3"/>
          <w:numId w:val="4"/>
        </w:numPr>
      </w:pPr>
      <w:r>
        <w:t>indicar pessoas expressamente nominadas para executar direta ou indiretamente o objeto contratado;</w:t>
      </w:r>
    </w:p>
    <w:p w14:paraId="6E18C1DE">
      <w:pPr>
        <w:pStyle w:val="102"/>
        <w:numPr>
          <w:ilvl w:val="3"/>
          <w:numId w:val="4"/>
        </w:numPr>
      </w:pPr>
      <w:r>
        <w:t>fixar salário inferior ao definido em lei ou em ato normativo a ser pago pelo CONTRATADO;</w:t>
      </w:r>
    </w:p>
    <w:p w14:paraId="46D24D18">
      <w:pPr>
        <w:pStyle w:val="102"/>
        <w:numPr>
          <w:ilvl w:val="3"/>
          <w:numId w:val="4"/>
        </w:numPr>
      </w:pPr>
      <w:r>
        <w:t xml:space="preserve"> estabelecer vínculo de subordinação com funcionário do CONTRATADO;</w:t>
      </w:r>
    </w:p>
    <w:p w14:paraId="0CE47DD8">
      <w:pPr>
        <w:pStyle w:val="102"/>
        <w:numPr>
          <w:ilvl w:val="3"/>
          <w:numId w:val="4"/>
        </w:numPr>
      </w:pPr>
      <w:r>
        <w:t>definir forma de pagamento mediante exclusivo reembolso dos salários pagos;</w:t>
      </w:r>
    </w:p>
    <w:p w14:paraId="34BC7F11">
      <w:pPr>
        <w:pStyle w:val="102"/>
        <w:numPr>
          <w:ilvl w:val="3"/>
          <w:numId w:val="4"/>
        </w:numPr>
      </w:pPr>
      <w:r>
        <w:t>demandar a funcionário do CONTRATADO a execução de tarefas fora do escopo do objeto da contratação; e</w:t>
      </w:r>
    </w:p>
    <w:p w14:paraId="3E638079">
      <w:pPr>
        <w:pStyle w:val="102"/>
        <w:numPr>
          <w:ilvl w:val="3"/>
          <w:numId w:val="4"/>
        </w:numPr>
      </w:pPr>
      <w:r>
        <w:t>prever exigências que constituam intervenção indevida da Administração na gestão interna do CONTRATADO.</w:t>
      </w:r>
    </w:p>
    <w:p w14:paraId="0A447EDF">
      <w:pPr>
        <w:pStyle w:val="101"/>
        <w:numPr>
          <w:ilvl w:val="2"/>
          <w:numId w:val="4"/>
        </w:numPr>
      </w:pPr>
      <w:r>
        <w:t>Cientificar o órgão de representação judicial da Advocacia-Geral da União para adoção das medidas cabíveis quando do descumprimento de obrigações pelo CONTRATADO;</w:t>
      </w:r>
    </w:p>
    <w:p w14:paraId="00C3ED7C">
      <w:pPr>
        <w:pStyle w:val="101"/>
        <w:numPr>
          <w:ilvl w:val="2"/>
          <w:numId w:val="4"/>
        </w:numPr>
      </w:pPr>
      <w: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777A518F">
      <w:pPr>
        <w:pStyle w:val="102"/>
        <w:numPr>
          <w:ilvl w:val="3"/>
          <w:numId w:val="4"/>
        </w:numPr>
      </w:pPr>
      <w:r>
        <w:t xml:space="preserve"> </w:t>
      </w:r>
      <w:bookmarkStart w:id="2" w:name="_Ref128062899"/>
      <w:r>
        <w:t>A Administração terá o prazo de</w:t>
      </w:r>
      <w:r>
        <w:rPr>
          <w:i/>
          <w:iCs/>
          <w:color w:val="FF0000"/>
        </w:rPr>
        <w:t xml:space="preserve"> 30 dias</w:t>
      </w:r>
      <w:r>
        <w:t>, a contar da data do protocolo do requerimento para decidir, admitida a prorrogação motivada, por igual período.</w:t>
      </w:r>
      <w:bookmarkEnd w:id="2"/>
    </w:p>
    <w:p w14:paraId="2A97DEE7">
      <w:pPr>
        <w:pStyle w:val="101"/>
        <w:numPr>
          <w:ilvl w:val="2"/>
          <w:numId w:val="4"/>
        </w:numPr>
        <w:rPr>
          <w:color w:val="auto"/>
        </w:rPr>
      </w:pPr>
      <w:r>
        <w:t xml:space="preserve">Responder eventuais pedidos de reestabelecimento do equilíbrio econômico-financeiro feitos pelo CONTRATADO no prazo máximo de </w:t>
      </w:r>
      <w:r>
        <w:rPr>
          <w:i/>
          <w:color w:val="FF0000"/>
        </w:rPr>
        <w:t>30 dias</w:t>
      </w:r>
      <w:r>
        <w:rPr>
          <w:color w:val="auto"/>
        </w:rPr>
        <w:t>;</w:t>
      </w:r>
    </w:p>
    <w:p w14:paraId="3472A3FC">
      <w:pPr>
        <w:pStyle w:val="101"/>
        <w:numPr>
          <w:ilvl w:val="2"/>
          <w:numId w:val="4"/>
        </w:numPr>
      </w:pPr>
      <w:bookmarkStart w:id="3" w:name="_Hlk114499841"/>
      <w:bookmarkEnd w:id="3"/>
      <w:r>
        <w:t>Comunicar o CONTRATADO na hipótese de posterior alteração do projeto pelo CONTRATANTE, no caso do art. 93, §2º, da Lei nº 14.133, de 2021.</w:t>
      </w:r>
    </w:p>
    <w:p w14:paraId="22F21DD2">
      <w:pPr>
        <w:pStyle w:val="99"/>
        <w:numPr>
          <w:ilvl w:val="1"/>
          <w:numId w:val="4"/>
        </w:numPr>
        <w:spacing w:after="288" w:afterLines="120" w:line="312" w:lineRule="auto"/>
        <w:rPr>
          <w:rFonts w:asciiTheme="minorHAnsi" w:hAnsiTheme="minorHAnsi" w:cstheme="minorHAnsi"/>
          <w:sz w:val="22"/>
          <w:szCs w:val="22"/>
        </w:rPr>
      </w:pPr>
      <w: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4ABCC36B">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E9E8A81">
      <w:pPr>
        <w:pStyle w:val="99"/>
        <w:numPr>
          <w:ilvl w:val="1"/>
          <w:numId w:val="4"/>
        </w:numPr>
      </w:pPr>
      <w:r>
        <w:t>O CONTRATADO deve cumprir todas as obrigações constantes deste Contrato e de seus anexos, assumindo como exclusivamente seus os riscos e as despesas decorrentes da boa e perfeita execução do objeto, observando, ainda, as obrigações a seguir dispostas:</w:t>
      </w:r>
    </w:p>
    <w:p w14:paraId="63343CD8">
      <w:pPr>
        <w:pStyle w:val="99"/>
        <w:numPr>
          <w:ilvl w:val="1"/>
          <w:numId w:val="4"/>
        </w:numPr>
        <w:rPr>
          <w:color w:val="000000" w:themeColor="text1"/>
          <w14:textFill>
            <w14:solidFill>
              <w14:schemeClr w14:val="tx1"/>
            </w14:solidFill>
          </w14:textFill>
        </w:rPr>
      </w:pPr>
      <w:r>
        <w:rPr>
          <w:color w:val="000000" w:themeColor="text1"/>
          <w14:textFill>
            <w14:solidFill>
              <w14:schemeClr w14:val="tx1"/>
            </w14:solidFill>
          </w14:textFill>
        </w:rPr>
        <w:t xml:space="preserve">Atender </w:t>
      </w:r>
      <w:r>
        <w:t>às</w:t>
      </w:r>
      <w:r>
        <w:rPr>
          <w:color w:val="000000" w:themeColor="text1"/>
          <w14:textFill>
            <w14:solidFill>
              <w14:schemeClr w14:val="tx1"/>
            </w14:solidFill>
          </w14:textFill>
        </w:rPr>
        <w:t xml:space="preserve"> determinações regulares emitidas pelo fiscal ou gestor do contrato ou autoridade superior e </w:t>
      </w:r>
      <w:r>
        <w:t>prestar todo esclarecimento ou informação por eles solicitados</w:t>
      </w:r>
      <w:r>
        <w:rPr>
          <w:color w:val="000000" w:themeColor="text1"/>
          <w14:textFill>
            <w14:solidFill>
              <w14:schemeClr w14:val="tx1"/>
            </w14:solidFill>
          </w14:textFill>
        </w:rPr>
        <w:t>;</w:t>
      </w:r>
    </w:p>
    <w:p w14:paraId="660F1D55">
      <w:pPr>
        <w:pStyle w:val="99"/>
        <w:numPr>
          <w:ilvl w:val="1"/>
          <w:numId w:val="4"/>
        </w:numPr>
      </w:pPr>
      <w: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6CE5312C">
      <w:pPr>
        <w:pStyle w:val="99"/>
        <w:numPr>
          <w:ilvl w:val="1"/>
          <w:numId w:val="4"/>
        </w:numPr>
      </w:pPr>
      <w: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2F9C6962">
      <w:pPr>
        <w:pStyle w:val="99"/>
        <w:numPr>
          <w:ilvl w:val="1"/>
          <w:numId w:val="4"/>
        </w:numPr>
      </w:pPr>
      <w: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1E83ACF2">
      <w:pPr>
        <w:pStyle w:val="101"/>
        <w:numPr>
          <w:ilvl w:val="2"/>
          <w:numId w:val="4"/>
        </w:numPr>
      </w:pPr>
      <w:r>
        <w:t>prova de regularidade relativa à Seguridade Social;</w:t>
      </w:r>
    </w:p>
    <w:p w14:paraId="3C8E794F">
      <w:pPr>
        <w:pStyle w:val="101"/>
        <w:numPr>
          <w:ilvl w:val="2"/>
          <w:numId w:val="4"/>
        </w:numPr>
      </w:pPr>
      <w:r>
        <w:t>certidão conjunta relativa aos tributos federais e à Dívida Ativa da União;</w:t>
      </w:r>
    </w:p>
    <w:p w14:paraId="40D0AAC9">
      <w:pPr>
        <w:pStyle w:val="101"/>
        <w:numPr>
          <w:ilvl w:val="2"/>
          <w:numId w:val="4"/>
        </w:numPr>
      </w:pPr>
      <w:r>
        <w:t>certidões que comprovem a regularidade perante a Fazenda Municipal ou Distrital do domicílio ou sede do CONTRATADO;</w:t>
      </w:r>
    </w:p>
    <w:p w14:paraId="2034A7C1">
      <w:pPr>
        <w:pStyle w:val="101"/>
        <w:numPr>
          <w:ilvl w:val="2"/>
          <w:numId w:val="4"/>
        </w:numPr>
      </w:pPr>
      <w:r>
        <w:t>Certidão de Regularidade do FGTS – CRF; e</w:t>
      </w:r>
    </w:p>
    <w:p w14:paraId="1F145C93">
      <w:pPr>
        <w:pStyle w:val="101"/>
        <w:numPr>
          <w:ilvl w:val="2"/>
          <w:numId w:val="4"/>
        </w:numPr>
      </w:pPr>
      <w:r>
        <w:t>Certidão Negativa de Débitos Trabalhistas – CNDT.</w:t>
      </w:r>
    </w:p>
    <w:p w14:paraId="6B30357D">
      <w:pPr>
        <w:pStyle w:val="99"/>
        <w:numPr>
          <w:ilvl w:val="1"/>
          <w:numId w:val="4"/>
        </w:numPr>
      </w:pPr>
      <w: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3380DE31">
      <w:pPr>
        <w:pStyle w:val="99"/>
        <w:numPr>
          <w:ilvl w:val="1"/>
          <w:numId w:val="4"/>
        </w:numPr>
      </w:pPr>
      <w:r>
        <w:t>Comunicar ao Fiscal do contrato tempestivamente, observada a urgência da situação, qualquer ocorrência anormal ou acidente que se verifique no local da execução do objeto contratual, não ultrapassando o prazo de 24 (vinte e quatro) horas;</w:t>
      </w:r>
    </w:p>
    <w:p w14:paraId="71D8D949">
      <w:pPr>
        <w:pStyle w:val="99"/>
        <w:numPr>
          <w:ilvl w:val="1"/>
          <w:numId w:val="4"/>
        </w:numPr>
      </w:pPr>
      <w:r>
        <w:t>Paralisar, por determinação do CONTRATANTE, qualquer atividade que não esteja sendo executada de acordo com a boa técnica ou que ponha em risco a segurança de pessoas ou bens de terceiros;</w:t>
      </w:r>
    </w:p>
    <w:p w14:paraId="2714BD68">
      <w:pPr>
        <w:pStyle w:val="99"/>
        <w:numPr>
          <w:ilvl w:val="1"/>
          <w:numId w:val="4"/>
        </w:numPr>
        <w:rPr>
          <w:highlight w:val="yellow"/>
        </w:rPr>
      </w:pPr>
      <w:r>
        <w:t>Manter, durante toda a vigência do contrato, em compatibilidade com as obrigações assumidas, todas as condições exigidas para habilitação na licitação</w:t>
      </w:r>
      <w:bookmarkStart w:id="4" w:name="_Hlk191049891"/>
      <w:r>
        <w:t>.</w:t>
      </w:r>
    </w:p>
    <w:bookmarkEnd w:id="4"/>
    <w:p w14:paraId="61B30A3B">
      <w:pPr>
        <w:pStyle w:val="99"/>
        <w:numPr>
          <w:ilvl w:val="1"/>
          <w:numId w:val="4"/>
        </w:numPr>
        <w:rPr>
          <w:b/>
          <w:bCs/>
        </w:rPr>
      </w:pPr>
      <w:r>
        <w:t>Cumprir, durante todo o período de execução do contrato, a reserva de cargos prevista em lei para pessoa com deficiência, para reabilitado da Previdência Social ou para aprendiz, bem como as reservas de cargos previstas na legislação;</w:t>
      </w:r>
    </w:p>
    <w:p w14:paraId="2C9C7644">
      <w:pPr>
        <w:pStyle w:val="99"/>
        <w:numPr>
          <w:ilvl w:val="1"/>
          <w:numId w:val="4"/>
        </w:numPr>
      </w:pPr>
      <w:r>
        <w:t>Comprovar a reserva de cargos a que se refere a cláusula acima, no prazo fixado pelo fiscal do contrato, com a indicação dos empregados que preencheram as referidas vagas;</w:t>
      </w:r>
    </w:p>
    <w:p w14:paraId="0971D9B6">
      <w:pPr>
        <w:pStyle w:val="99"/>
        <w:numPr>
          <w:ilvl w:val="1"/>
          <w:numId w:val="4"/>
        </w:numPr>
      </w:pPr>
      <w:r>
        <w:t>Guardar sigilo sobre todas as informações obtidas em decorrência do cumprimento do contrato;</w:t>
      </w:r>
    </w:p>
    <w:p w14:paraId="6FB9C7C6">
      <w:pPr>
        <w:pStyle w:val="99"/>
        <w:numPr>
          <w:ilvl w:val="1"/>
          <w:numId w:val="4"/>
        </w:numPr>
      </w:pPr>
      <w: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4531DAA9">
      <w:pPr>
        <w:pStyle w:val="99"/>
        <w:numPr>
          <w:ilvl w:val="1"/>
          <w:numId w:val="4"/>
        </w:numPr>
      </w:pPr>
      <w:r>
        <w:t>Cumprir, além dos postulados legais vigentes de âmbito federal, estadual ou municipal, as normas de segurança do CONTRATANTE;</w:t>
      </w:r>
    </w:p>
    <w:p w14:paraId="249E563F">
      <w:pPr>
        <w:pStyle w:val="99"/>
        <w:numPr>
          <w:ilvl w:val="1"/>
          <w:numId w:val="4"/>
        </w:numPr>
      </w:pPr>
      <w:r>
        <w:t>Alocar os empregados necessários ao perfeito cumprimento das cláusulas deste contrato, com habilitação e conhecimento adequados;</w:t>
      </w:r>
    </w:p>
    <w:p w14:paraId="695F61FC">
      <w:pPr>
        <w:pStyle w:val="99"/>
        <w:numPr>
          <w:ilvl w:val="1"/>
          <w:numId w:val="4"/>
        </w:numPr>
      </w:pPr>
      <w:r>
        <w:t>Prestar os serviços dentro dos parâmetros e rotinas estabelecidos;</w:t>
      </w:r>
    </w:p>
    <w:p w14:paraId="0B3EFC1B">
      <w:pPr>
        <w:pStyle w:val="99"/>
        <w:numPr>
          <w:ilvl w:val="1"/>
          <w:numId w:val="4"/>
        </w:numPr>
      </w:pPr>
      <w:r>
        <w:t>Fornecer todos os materiais, equipamentos, ferramentas e utensílios demandados, em quantidade, qualidade e tecnologia adequadas, com a observância às recomendações aceitas pela boa técnica, normas e legislação de regência;</w:t>
      </w:r>
    </w:p>
    <w:p w14:paraId="0A5A5F72">
      <w:pPr>
        <w:pStyle w:val="99"/>
        <w:numPr>
          <w:ilvl w:val="1"/>
          <w:numId w:val="4"/>
        </w:numPr>
      </w:pPr>
      <w:r>
        <w:t>Conduzir os trabalhos com estrita observância às normas da legislação pertinente, cumprindo as determinações dos Poderes Públicos, mantendo sempre limpo o local de execução do objeto e nas melhores condições de segurança, higiene e disciplina;</w:t>
      </w:r>
    </w:p>
    <w:p w14:paraId="480C3E67">
      <w:pPr>
        <w:pStyle w:val="99"/>
        <w:numPr>
          <w:ilvl w:val="1"/>
          <w:numId w:val="4"/>
        </w:numPr>
      </w:pPr>
      <w:r>
        <w:t>Submeter previamente, por escrito, ao CONTRATANTE, para análise e aprovação, quaisquer mudanças nos métodos executivos que fujam às especificações do memorial descritivo ou instrumento congênere;</w:t>
      </w:r>
    </w:p>
    <w:p w14:paraId="18C2D2C8">
      <w:pPr>
        <w:pStyle w:val="99"/>
        <w:numPr>
          <w:ilvl w:val="1"/>
          <w:numId w:val="4"/>
        </w:numPr>
      </w:pPr>
      <w:r>
        <w:t>Cumprir as normas de proteção ao trabalho, inclusive aquelas relativas à segurança e à saúde no trabalho;</w:t>
      </w:r>
    </w:p>
    <w:p w14:paraId="051D0293">
      <w:pPr>
        <w:pStyle w:val="99"/>
        <w:numPr>
          <w:ilvl w:val="1"/>
          <w:numId w:val="4"/>
        </w:numPr>
      </w:pPr>
      <w:r>
        <w:t>Não submeter os trabalhadores a condições degradantes de trabalho, jornadas exaustivas, servidão por dívida ou trabalhos forçados;</w:t>
      </w:r>
    </w:p>
    <w:p w14:paraId="44F8728E">
      <w:pPr>
        <w:pStyle w:val="99"/>
        <w:numPr>
          <w:ilvl w:val="1"/>
          <w:numId w:val="4"/>
        </w:numPr>
      </w:pPr>
      <w:r>
        <w:t>Não permitir a utilização de qualquer trabalho do menor de dezesseis anos de idade, exceto na condição de aprendiz para os maiores de quatorze anos de idade, observada a legislação pertinente;</w:t>
      </w:r>
    </w:p>
    <w:p w14:paraId="0A4F916C">
      <w:pPr>
        <w:pStyle w:val="99"/>
        <w:numPr>
          <w:ilvl w:val="1"/>
          <w:numId w:val="4"/>
        </w:numPr>
      </w:pPr>
      <w: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298A9BED">
      <w:pPr>
        <w:pStyle w:val="99"/>
        <w:numPr>
          <w:ilvl w:val="1"/>
          <w:numId w:val="4"/>
        </w:numPr>
      </w:pPr>
      <w:r>
        <w:t>Receber e dar o tratamento adequado a denúncias de discriminação, violência e assédio no ambiente de trabalho;</w:t>
      </w:r>
    </w:p>
    <w:p w14:paraId="458C95B5">
      <w:pPr>
        <w:pStyle w:val="99"/>
        <w:numPr>
          <w:ilvl w:val="1"/>
          <w:numId w:val="4"/>
        </w:numPr>
      </w:pPr>
      <w:r>
        <w:t>Manter preposto aceito pela Administração para representá-lo na execução do contrato;</w:t>
      </w:r>
    </w:p>
    <w:p w14:paraId="3D582CF3">
      <w:pPr>
        <w:pStyle w:val="101"/>
        <w:numPr>
          <w:ilvl w:val="2"/>
          <w:numId w:val="4"/>
        </w:numPr>
      </w:pPr>
      <w:r>
        <w:t>A indicação ou a manutenção do preposto da empresa poderá ser recusada pelo órgão ou entidade, desde que devidamente justificada, devendo a empresa designar outro para o exercício da atividade.</w:t>
      </w:r>
    </w:p>
    <w:p w14:paraId="7AC14B34">
      <w:pPr>
        <w:pStyle w:val="99"/>
        <w:numPr>
          <w:ilvl w:val="1"/>
          <w:numId w:val="4"/>
        </w:numPr>
      </w:pPr>
      <w: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646EFD6E">
      <w:pPr>
        <w:pStyle w:val="99"/>
        <w:numPr>
          <w:ilvl w:val="1"/>
          <w:numId w:val="4"/>
        </w:numPr>
      </w:pPr>
      <w:r>
        <w:t>Prestar todo esclarecimento ou informação solicitada pelo CONTRATANTE ou por seus prepostos, garantindo-lhes o acesso, a qualquer tempo, ao local dos trabalhos, bem como aos documentos relativos à execução do contrato;</w:t>
      </w:r>
    </w:p>
    <w:p w14:paraId="10FD4266">
      <w:pPr>
        <w:pStyle w:val="99"/>
        <w:numPr>
          <w:ilvl w:val="1"/>
          <w:numId w:val="4"/>
        </w:numPr>
      </w:pPr>
      <w:r>
        <w:t>Promover a guarda, manutenção e vigilância de materiais, ferramentas, e tudo o que for necessário à execução do objeto, durante a vigência do contrato;</w:t>
      </w:r>
    </w:p>
    <w:p w14:paraId="5EE909EF">
      <w:pPr>
        <w:pStyle w:val="99"/>
        <w:numPr>
          <w:ilvl w:val="1"/>
          <w:numId w:val="4"/>
        </w:numPr>
      </w:pPr>
      <w:r>
        <w:t>Assegurar aos seus trabalhadores ambiente de trabalho e instalações em condições adequadas ao cumprimento das normas de saúde, segurança e bem-estar no trabalho;</w:t>
      </w:r>
    </w:p>
    <w:p w14:paraId="2D2F0F96">
      <w:pPr>
        <w:pStyle w:val="99"/>
        <w:numPr>
          <w:ilvl w:val="1"/>
          <w:numId w:val="4"/>
        </w:numPr>
      </w:pPr>
      <w:r>
        <w:t>Fornecer equipamentos de proteção individual (EPI) e equipamentos de proteção coletiva (EPC),quando for o caso;</w:t>
      </w:r>
    </w:p>
    <w:p w14:paraId="0175A757">
      <w:pPr>
        <w:pStyle w:val="99"/>
        <w:numPr>
          <w:ilvl w:val="1"/>
          <w:numId w:val="4"/>
        </w:numPr>
      </w:pPr>
      <w:r>
        <w:t>Garantir o acesso do CONTRATANTE, a qualquer tempo, ao local dos trabalhos, bem como aos documentos relativos à execução do contrato;</w:t>
      </w:r>
    </w:p>
    <w:p w14:paraId="19A170C7">
      <w:pPr>
        <w:pStyle w:val="99"/>
        <w:numPr>
          <w:ilvl w:val="1"/>
          <w:numId w:val="4"/>
        </w:numPr>
      </w:pPr>
      <w:r>
        <w:t>Promover a organização técnica e administrativa dos serviços, de modo a conduzi-los eficaz e eficientemente, de acordo com os documentos e especificações que integram o Termo de Referência, no prazo determinado;</w:t>
      </w:r>
    </w:p>
    <w:p w14:paraId="6170304C">
      <w:pPr>
        <w:pStyle w:val="99"/>
        <w:numPr>
          <w:ilvl w:val="1"/>
          <w:numId w:val="4"/>
        </w:numPr>
      </w:pPr>
      <w:bookmarkStart w:id="5" w:name="_Ref118293030"/>
      <w:r>
        <w:t>Instruir seus empregados quanto à necessidade de acatar as normas internas da Administração;</w:t>
      </w:r>
    </w:p>
    <w:p w14:paraId="27F9CD2F">
      <w:pPr>
        <w:pStyle w:val="99"/>
        <w:numPr>
          <w:ilvl w:val="1"/>
          <w:numId w:val="4"/>
        </w:numPr>
      </w:pPr>
      <w:r>
        <w:t>Instruir seus empregados a respeito das atividades a serem desempenhadas, alertando-os a não executar atividades não abrangidas pelo contrato, devendo o CONTRATADO relatar ao CONTRATANTE toda e qualquer ocorrência neste sentido, a fim de evitar desvio de função;</w:t>
      </w:r>
    </w:p>
    <w:bookmarkEnd w:id="5"/>
    <w:p w14:paraId="0266CEC3">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Não será exigida a prestação de garantia na presente contratação, conforme regras constantes do Termo de Referência.</w:t>
      </w:r>
    </w:p>
    <w:p w14:paraId="1B423BAB">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4"/>
        </w:numPr>
        <w:rPr>
          <w:rFonts w:eastAsia="Times New Roman" w:asciiTheme="minorHAnsi" w:hAnsiTheme="minorHAnsi" w:cstheme="minorHAnsi"/>
          <w:sz w:val="22"/>
          <w:szCs w:val="22"/>
        </w:rPr>
      </w:pPr>
      <w:bookmarkStart w:id="6" w:name="_Ref169601460"/>
      <w:bookmarkStart w:id="7" w:name="_Ref169602136"/>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6"/>
    <w:bookmarkEnd w:id="7"/>
    <w:p w14:paraId="25D6080A">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3A8246B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852D47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Nesta hipótese, aplicam-se também os artigos 138 e 139 da mesma Lei.</w:t>
      </w:r>
    </w:p>
    <w:p w14:paraId="158EB8B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Se a operação implicar mudança da pessoa jurídica contratada, deverá ser formalizado termo aditivo para alteração subjetiva.</w:t>
      </w:r>
    </w:p>
    <w:p w14:paraId="57045ED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5DB66AF0">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Do balanço dos eventos contratuais já cumpridos ou parcialmente cumpridos;</w:t>
      </w:r>
    </w:p>
    <w:p w14:paraId="3A31726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 relação dos pagamentos já efetuados e ainda devidos;</w:t>
      </w:r>
    </w:p>
    <w:p w14:paraId="15FF6F0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Das indenizações e multas.</w:t>
      </w:r>
    </w:p>
    <w:p w14:paraId="0353389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14342932">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os valores das Notas fiscais ou Faturas correspondentes em valor proporcional ao inadimplemento, até que a situação seja regularizada.</w:t>
      </w:r>
    </w:p>
    <w:p w14:paraId="6AAEF89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ainda:</w:t>
      </w:r>
    </w:p>
    <w:p w14:paraId="19FA2FB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2E05665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203499F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1D03313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3E2E572F">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77CA06F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4"/>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rPr>
          <w:rFonts w:asciiTheme="minorHAnsi" w:hAnsiTheme="minorHAnsi" w:cstheme="minorHAnsi"/>
          <w:b w:val="0"/>
          <w:bCs w:val="0"/>
          <w:sz w:val="22"/>
          <w:szCs w:val="22"/>
        </w:rPr>
      </w:pPr>
      <w:r>
        <w:rPr>
          <w:rFonts w:asciiTheme="minorHAnsi" w:hAnsiTheme="minorHAnsi" w:cstheme="minorHAnsi"/>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3"/>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Segoe Print"/>
    <w:panose1 w:val="00000000000000000000"/>
    <w:charset w:val="02"/>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Cambria"/>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1915B40B">
    <w:pPr>
      <w:pStyle w:val="33"/>
      <w:rPr>
        <w:rFonts w:cs="Arial"/>
        <w:sz w:val="14"/>
        <w:szCs w:val="14"/>
      </w:rPr>
    </w:pPr>
    <w:r>
      <w:rPr>
        <w:rFonts w:cs="Arial"/>
        <w:sz w:val="14"/>
        <w:szCs w:val="14"/>
      </w:rPr>
      <w:t>Câmara Nacional de Modelos de Licitações e Contratos da Consultoria-Geral da União</w:t>
    </w:r>
  </w:p>
  <w:p w14:paraId="70A8C44A">
    <w:pPr>
      <w:pStyle w:val="33"/>
      <w:rPr>
        <w:sz w:val="14"/>
      </w:rPr>
    </w:pPr>
    <w:r>
      <w:rPr>
        <w:rFonts w:cs="Arial"/>
        <w:sz w:val="14"/>
        <w:szCs w:val="14"/>
      </w:rPr>
      <w:t>Modelo de Termo de Contrato - Licitação e Contratação Direta - Serviços sem regime de dedicação exclusiva de mão de obra - Lei nº 14.133, de 2021</w:t>
    </w:r>
  </w:p>
  <w:p w14:paraId="157F30DD">
    <w:pPr>
      <w:pStyle w:val="33"/>
      <w:rPr>
        <w:rFonts w:cs="Arial"/>
        <w:sz w:val="14"/>
        <w:szCs w:val="14"/>
      </w:rPr>
    </w:pPr>
    <w:r>
      <w:rPr>
        <w:rFonts w:cs="Arial"/>
        <w:sz w:val="14"/>
        <w:szCs w:val="14"/>
      </w:rPr>
      <w:t>Aprovado pela Secretaria de Gestão e Inovação</w:t>
    </w:r>
  </w:p>
  <w:p w14:paraId="4B824A01">
    <w:pPr>
      <w:pStyle w:val="33"/>
      <w:rPr>
        <w:sz w:val="14"/>
      </w:rPr>
    </w:pPr>
    <w:r>
      <w:rPr>
        <w:rFonts w:cs="Arial"/>
        <w:sz w:val="14"/>
        <w:szCs w:val="14"/>
      </w:rPr>
      <w:t>Identidade visual pela Secretaria de Gestão e Inovação</w:t>
    </w:r>
  </w:p>
  <w:p w14:paraId="4312F900">
    <w:pPr>
      <w:pStyle w:val="33"/>
      <w:tabs>
        <w:tab w:val="center" w:pos="4819"/>
        <w:tab w:val="left" w:pos="5270"/>
        <w:tab w:val="clear" w:pos="4252"/>
        <w:tab w:val="clear" w:pos="8504"/>
      </w:tabs>
      <w:rPr>
        <w:sz w:val="14"/>
      </w:rPr>
    </w:pPr>
    <w:r>
      <w:rPr>
        <w:rFonts w:cs="Arial"/>
        <w:sz w:val="14"/>
        <w:szCs w:val="14"/>
      </w:rPr>
      <w:t>Atualização: DEZ/2025</w:t>
    </w:r>
    <w:r>
      <w:rPr>
        <w:sz w:val="14"/>
      </w:rPr>
      <w:tab/>
    </w:r>
    <w:r>
      <w:rPr>
        <w:sz w:val="14"/>
      </w:rPr>
      <w:tab/>
    </w:r>
    <w:r>
      <w:rPr>
        <w:sz w:val="14"/>
      </w:rPr>
      <w:tab/>
    </w:r>
    <w:r>
      <w:rPr>
        <w:sz w:val="14"/>
      </w:rPr>
      <w:tab/>
    </w:r>
    <w:r>
      <w:rPr>
        <w:sz w:val="14"/>
      </w:rPr>
      <w:tab/>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6">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1">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5"/>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 w:numId="8">
    <w:abstractNumId w:val="2"/>
  </w:num>
  <w:num w:numId="9">
    <w:abstractNumId w:val="11"/>
  </w:num>
  <w:num w:numId="10">
    <w:abstractNumId w:val="6"/>
  </w:num>
  <w:num w:numId="11">
    <w:abstractNumId w:val="1"/>
  </w:num>
  <w:num w:numId="12">
    <w:abstractNumId w:val="0"/>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2AE0"/>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063A6"/>
    <w:rsid w:val="00210941"/>
    <w:rsid w:val="0021344B"/>
    <w:rsid w:val="002154ED"/>
    <w:rsid w:val="0022034C"/>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D200A"/>
    <w:rsid w:val="002D35D6"/>
    <w:rsid w:val="002D7E78"/>
    <w:rsid w:val="002E549D"/>
    <w:rsid w:val="002E7AB5"/>
    <w:rsid w:val="002F4D24"/>
    <w:rsid w:val="002F756A"/>
    <w:rsid w:val="00304D62"/>
    <w:rsid w:val="0031131B"/>
    <w:rsid w:val="00312FEA"/>
    <w:rsid w:val="00313761"/>
    <w:rsid w:val="00313785"/>
    <w:rsid w:val="00315638"/>
    <w:rsid w:val="00317E71"/>
    <w:rsid w:val="0032139D"/>
    <w:rsid w:val="00324EDF"/>
    <w:rsid w:val="00335697"/>
    <w:rsid w:val="00336640"/>
    <w:rsid w:val="003369A6"/>
    <w:rsid w:val="00337554"/>
    <w:rsid w:val="00345DC9"/>
    <w:rsid w:val="00350F52"/>
    <w:rsid w:val="00351C39"/>
    <w:rsid w:val="0035507A"/>
    <w:rsid w:val="003570DA"/>
    <w:rsid w:val="0037707D"/>
    <w:rsid w:val="003804AE"/>
    <w:rsid w:val="00391442"/>
    <w:rsid w:val="00394D5F"/>
    <w:rsid w:val="003A2662"/>
    <w:rsid w:val="003A4456"/>
    <w:rsid w:val="003A5295"/>
    <w:rsid w:val="003B11E3"/>
    <w:rsid w:val="003B73B2"/>
    <w:rsid w:val="003B787E"/>
    <w:rsid w:val="003D2CA2"/>
    <w:rsid w:val="003D4A95"/>
    <w:rsid w:val="003D5227"/>
    <w:rsid w:val="003D72A0"/>
    <w:rsid w:val="003E0C6C"/>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3319"/>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A6E27"/>
    <w:rsid w:val="005B345F"/>
    <w:rsid w:val="005B3CB4"/>
    <w:rsid w:val="005C41B6"/>
    <w:rsid w:val="005D7737"/>
    <w:rsid w:val="005F03BA"/>
    <w:rsid w:val="005F39EB"/>
    <w:rsid w:val="005F6D6E"/>
    <w:rsid w:val="00602349"/>
    <w:rsid w:val="00612399"/>
    <w:rsid w:val="0061397F"/>
    <w:rsid w:val="006146CF"/>
    <w:rsid w:val="006151BA"/>
    <w:rsid w:val="00617698"/>
    <w:rsid w:val="00627947"/>
    <w:rsid w:val="006314E9"/>
    <w:rsid w:val="00640955"/>
    <w:rsid w:val="00642767"/>
    <w:rsid w:val="00645265"/>
    <w:rsid w:val="006466E1"/>
    <w:rsid w:val="0064716A"/>
    <w:rsid w:val="00647DA8"/>
    <w:rsid w:val="006506AE"/>
    <w:rsid w:val="00656E9A"/>
    <w:rsid w:val="00661793"/>
    <w:rsid w:val="006620D8"/>
    <w:rsid w:val="00667772"/>
    <w:rsid w:val="006723C3"/>
    <w:rsid w:val="006757D3"/>
    <w:rsid w:val="006866BC"/>
    <w:rsid w:val="0069429E"/>
    <w:rsid w:val="00697869"/>
    <w:rsid w:val="006A50FF"/>
    <w:rsid w:val="006A5C95"/>
    <w:rsid w:val="006C27E6"/>
    <w:rsid w:val="006D546C"/>
    <w:rsid w:val="006E2B79"/>
    <w:rsid w:val="006E3D66"/>
    <w:rsid w:val="006E4496"/>
    <w:rsid w:val="006E7396"/>
    <w:rsid w:val="006F29AD"/>
    <w:rsid w:val="0070435E"/>
    <w:rsid w:val="00711ECE"/>
    <w:rsid w:val="00712E04"/>
    <w:rsid w:val="00720609"/>
    <w:rsid w:val="0072557C"/>
    <w:rsid w:val="00731187"/>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3753"/>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71C3"/>
    <w:rsid w:val="009350A3"/>
    <w:rsid w:val="00937A6A"/>
    <w:rsid w:val="00940753"/>
    <w:rsid w:val="00946A34"/>
    <w:rsid w:val="009502A0"/>
    <w:rsid w:val="00951247"/>
    <w:rsid w:val="0095125D"/>
    <w:rsid w:val="00973203"/>
    <w:rsid w:val="009937E6"/>
    <w:rsid w:val="009A4E8F"/>
    <w:rsid w:val="009A60CB"/>
    <w:rsid w:val="009C1A02"/>
    <w:rsid w:val="009C4B72"/>
    <w:rsid w:val="009E113C"/>
    <w:rsid w:val="009E650D"/>
    <w:rsid w:val="009F2EB2"/>
    <w:rsid w:val="00A05241"/>
    <w:rsid w:val="00A15645"/>
    <w:rsid w:val="00A21E8F"/>
    <w:rsid w:val="00A30A28"/>
    <w:rsid w:val="00A33729"/>
    <w:rsid w:val="00A45504"/>
    <w:rsid w:val="00A57311"/>
    <w:rsid w:val="00A72A05"/>
    <w:rsid w:val="00A738FA"/>
    <w:rsid w:val="00A74E08"/>
    <w:rsid w:val="00A850B8"/>
    <w:rsid w:val="00A85110"/>
    <w:rsid w:val="00A87093"/>
    <w:rsid w:val="00A87CC4"/>
    <w:rsid w:val="00A93E08"/>
    <w:rsid w:val="00A942C3"/>
    <w:rsid w:val="00AB336E"/>
    <w:rsid w:val="00AB700F"/>
    <w:rsid w:val="00AC3B53"/>
    <w:rsid w:val="00AD321A"/>
    <w:rsid w:val="00AE0A71"/>
    <w:rsid w:val="00AF0427"/>
    <w:rsid w:val="00AF32BC"/>
    <w:rsid w:val="00AF3581"/>
    <w:rsid w:val="00AF3FC6"/>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334C0"/>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A8D"/>
    <w:rsid w:val="00DB6F67"/>
    <w:rsid w:val="00DC0D43"/>
    <w:rsid w:val="00DC1B44"/>
    <w:rsid w:val="00DC6924"/>
    <w:rsid w:val="00DD7D5B"/>
    <w:rsid w:val="00DE596B"/>
    <w:rsid w:val="00DF5E89"/>
    <w:rsid w:val="00E03B99"/>
    <w:rsid w:val="00E1163C"/>
    <w:rsid w:val="00E23909"/>
    <w:rsid w:val="00E30FFA"/>
    <w:rsid w:val="00E31561"/>
    <w:rsid w:val="00E43629"/>
    <w:rsid w:val="00E44B0C"/>
    <w:rsid w:val="00E46BDE"/>
    <w:rsid w:val="00E4768C"/>
    <w:rsid w:val="00E52524"/>
    <w:rsid w:val="00E56541"/>
    <w:rsid w:val="00E578A6"/>
    <w:rsid w:val="00E67DCF"/>
    <w:rsid w:val="00E726A9"/>
    <w:rsid w:val="00E750B1"/>
    <w:rsid w:val="00EA06C5"/>
    <w:rsid w:val="00EB556D"/>
    <w:rsid w:val="00EB6AF5"/>
    <w:rsid w:val="00EB7F69"/>
    <w:rsid w:val="00EC10D6"/>
    <w:rsid w:val="00ED4EB4"/>
    <w:rsid w:val="00ED7983"/>
    <w:rsid w:val="00F05097"/>
    <w:rsid w:val="00F12161"/>
    <w:rsid w:val="00F12A88"/>
    <w:rsid w:val="00F12CD2"/>
    <w:rsid w:val="00F147BA"/>
    <w:rsid w:val="00F16FA0"/>
    <w:rsid w:val="00F233BA"/>
    <w:rsid w:val="00F35B8E"/>
    <w:rsid w:val="00F43482"/>
    <w:rsid w:val="00F4673F"/>
    <w:rsid w:val="00F51B33"/>
    <w:rsid w:val="00F5539E"/>
    <w:rsid w:val="00F559A1"/>
    <w:rsid w:val="00F6478A"/>
    <w:rsid w:val="00F672BD"/>
    <w:rsid w:val="00F67610"/>
    <w:rsid w:val="00F713B3"/>
    <w:rsid w:val="00F74382"/>
    <w:rsid w:val="00F7797B"/>
    <w:rsid w:val="00F840C2"/>
    <w:rsid w:val="00F9267B"/>
    <w:rsid w:val="00F93452"/>
    <w:rsid w:val="00FA11BA"/>
    <w:rsid w:val="00FA37D5"/>
    <w:rsid w:val="00FA404A"/>
    <w:rsid w:val="00FA6B1D"/>
    <w:rsid w:val="00FC1C20"/>
    <w:rsid w:val="00FC2D21"/>
    <w:rsid w:val="00FC4618"/>
    <w:rsid w:val="00FD242D"/>
    <w:rsid w:val="00FD485C"/>
    <w:rsid w:val="00FE7935"/>
    <w:rsid w:val="00FF6C7B"/>
    <w:rsid w:val="25CA3106"/>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unhideWhenUsed="0" w:uiPriority="0" w:semiHidden="0" w:name="Body Text Indent 2"/>
    <w:lsdException w:uiPriority="0" w:semiHidden="0" w:name="Body Text Indent 3"/>
    <w:lsdException w:qFormat="1" w:unhideWhenUsed="0" w:uiPriority="0" w:semiHidden="0" w:name="Block Text"/>
    <w:lsdException w:qFormat="1"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qFormat="1"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99"/>
    <w:pPr>
      <w:tabs>
        <w:tab w:val="center" w:pos="4252"/>
        <w:tab w:val="right" w:pos="8504"/>
      </w:tabs>
    </w:pPr>
  </w:style>
  <w:style w:type="paragraph" w:styleId="32">
    <w:name w:val="annotation subject"/>
    <w:basedOn w:val="24"/>
    <w:link w:val="59"/>
    <w:semiHidden/>
    <w:unhideWhenUsed/>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uiPriority w:val="9"/>
    <w:rPr>
      <w:rFonts w:ascii="Cambria" w:hAnsi="Cambria" w:eastAsia="MS Gothic" w:cs="Times New Roman"/>
      <w:color w:val="365F91"/>
      <w:sz w:val="32"/>
      <w:szCs w:val="32"/>
    </w:rPr>
  </w:style>
  <w:style w:type="character" w:customStyle="1" w:styleId="43">
    <w:name w:val="Título 2 Char"/>
    <w:link w:val="3"/>
    <w:uiPriority w:val="0"/>
    <w:rPr>
      <w:b/>
      <w:color w:val="000000"/>
      <w:sz w:val="24"/>
    </w:rPr>
  </w:style>
  <w:style w:type="character" w:customStyle="1" w:styleId="44">
    <w:name w:val="Título 3 Char"/>
    <w:basedOn w:val="11"/>
    <w:link w:val="4"/>
    <w:uiPriority w:val="9"/>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uiPriority w:val="67"/>
    <w:rPr>
      <w:color w:val="808080"/>
    </w:rPr>
  </w:style>
  <w:style w:type="character" w:customStyle="1" w:styleId="61">
    <w:name w:val="Cabeçalho Char"/>
    <w:basedOn w:val="11"/>
    <w:link w:val="31"/>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qFormat/>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uiPriority w:val="0"/>
  </w:style>
  <w:style w:type="character" w:customStyle="1" w:styleId="146">
    <w:name w:val="WW8Num13z4"/>
    <w:qFormat/>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qFormat/>
    <w:uiPriority w:val="0"/>
  </w:style>
  <w:style w:type="character" w:customStyle="1" w:styleId="150">
    <w:name w:val="WW8Num13z8"/>
    <w:uiPriority w:val="0"/>
  </w:style>
  <w:style w:type="character" w:customStyle="1" w:styleId="151">
    <w:name w:val="WW8Num14z0"/>
    <w:qFormat/>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qFormat/>
    <w:uiPriority w:val="0"/>
  </w:style>
  <w:style w:type="character" w:customStyle="1" w:styleId="157">
    <w:name w:val="WW8Num14z6"/>
    <w:qFormat/>
    <w:uiPriority w:val="0"/>
  </w:style>
  <w:style w:type="character" w:customStyle="1" w:styleId="158">
    <w:name w:val="WW8Num14z7"/>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qFormat/>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qFormat/>
    <w:uiPriority w:val="0"/>
  </w:style>
  <w:style w:type="character" w:customStyle="1" w:styleId="168">
    <w:name w:val="WW8Num15z8"/>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qFormat/>
    <w:uiPriority w:val="0"/>
  </w:style>
  <w:style w:type="character" w:customStyle="1" w:styleId="197">
    <w:name w:val="WW8Num17z2"/>
    <w:qFormat/>
    <w:uiPriority w:val="0"/>
  </w:style>
  <w:style w:type="character" w:customStyle="1" w:styleId="198">
    <w:name w:val="WW8Num17z3"/>
    <w:qFormat/>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qFormat/>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qFormat/>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qFormat/>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qFormat/>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qFormat/>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qFormat/>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uiPriority w:val="0"/>
    <w:rPr>
      <w:b/>
    </w:rPr>
  </w:style>
  <w:style w:type="character" w:customStyle="1" w:styleId="327">
    <w:name w:val="WW8Num21z3"/>
    <w:qFormat/>
    <w:uiPriority w:val="0"/>
  </w:style>
  <w:style w:type="character" w:customStyle="1" w:styleId="328">
    <w:name w:val="WW8Num21z4"/>
    <w:uiPriority w:val="0"/>
  </w:style>
  <w:style w:type="character" w:customStyle="1" w:styleId="329">
    <w:name w:val="WW8Num21z5"/>
    <w:qFormat/>
    <w:uiPriority w:val="0"/>
  </w:style>
  <w:style w:type="character" w:customStyle="1" w:styleId="330">
    <w:name w:val="WW8Num21z6"/>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qFormat/>
    <w:uiPriority w:val="0"/>
  </w:style>
  <w:style w:type="character" w:customStyle="1" w:styleId="347">
    <w:name w:val="WW8Num29z7"/>
    <w:uiPriority w:val="0"/>
  </w:style>
  <w:style w:type="character" w:customStyle="1" w:styleId="348">
    <w:name w:val="WW8Num29z8"/>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qFormat/>
    <w:uiPriority w:val="0"/>
  </w:style>
  <w:style w:type="character" w:customStyle="1" w:styleId="360">
    <w:name w:val="WW8Num31z2"/>
    <w:qFormat/>
    <w:uiPriority w:val="0"/>
  </w:style>
  <w:style w:type="character" w:customStyle="1" w:styleId="361">
    <w:name w:val="WW8Num31z3"/>
    <w:qFormat/>
    <w:uiPriority w:val="0"/>
  </w:style>
  <w:style w:type="character" w:customStyle="1" w:styleId="362">
    <w:name w:val="WW8Num31z4"/>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uiPriority w:val="0"/>
  </w:style>
  <w:style w:type="character" w:customStyle="1" w:styleId="366">
    <w:name w:val="WW8Num31z8"/>
    <w:qFormat/>
    <w:uiPriority w:val="0"/>
  </w:style>
  <w:style w:type="character" w:customStyle="1" w:styleId="367">
    <w:name w:val="WW8Num32z0"/>
    <w:uiPriority w:val="0"/>
  </w:style>
  <w:style w:type="character" w:customStyle="1" w:styleId="368">
    <w:name w:val="WW8Num32z1"/>
    <w:qFormat/>
    <w:uiPriority w:val="0"/>
  </w:style>
  <w:style w:type="character" w:customStyle="1" w:styleId="369">
    <w:name w:val="WW8Num32z2"/>
    <w:qFormat/>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uiPriority w:val="0"/>
  </w:style>
  <w:style w:type="character" w:customStyle="1" w:styleId="373">
    <w:name w:val="WW8Num32z6"/>
    <w:qFormat/>
    <w:uiPriority w:val="0"/>
  </w:style>
  <w:style w:type="character" w:customStyle="1" w:styleId="374">
    <w:name w:val="WW8Num32z7"/>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qFormat/>
    <w:uiPriority w:val="0"/>
  </w:style>
  <w:style w:type="character" w:customStyle="1" w:styleId="379">
    <w:name w:val="WW8Num33z3"/>
    <w:uiPriority w:val="0"/>
  </w:style>
  <w:style w:type="character" w:customStyle="1" w:styleId="380">
    <w:name w:val="WW8Num33z4"/>
    <w:qFormat/>
    <w:uiPriority w:val="0"/>
  </w:style>
  <w:style w:type="character" w:customStyle="1" w:styleId="381">
    <w:name w:val="WW8Num33z5"/>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uiPriority w:val="0"/>
  </w:style>
  <w:style w:type="character" w:customStyle="1" w:styleId="387">
    <w:name w:val="WW8Num34z2"/>
    <w:qFormat/>
    <w:uiPriority w:val="0"/>
  </w:style>
  <w:style w:type="character" w:customStyle="1" w:styleId="388">
    <w:name w:val="WW8Num34z3"/>
    <w:uiPriority w:val="0"/>
  </w:style>
  <w:style w:type="character" w:customStyle="1" w:styleId="389">
    <w:name w:val="WW8Num34z4"/>
    <w:qFormat/>
    <w:uiPriority w:val="0"/>
  </w:style>
  <w:style w:type="character" w:customStyle="1" w:styleId="390">
    <w:name w:val="WW8Num34z5"/>
    <w:qFormat/>
    <w:uiPriority w:val="0"/>
  </w:style>
  <w:style w:type="character" w:customStyle="1" w:styleId="391">
    <w:name w:val="WW8Num34z6"/>
    <w:qFormat/>
    <w:uiPriority w:val="0"/>
  </w:style>
  <w:style w:type="character" w:customStyle="1" w:styleId="392">
    <w:name w:val="WW8Num34z7"/>
    <w:uiPriority w:val="0"/>
  </w:style>
  <w:style w:type="character" w:customStyle="1" w:styleId="393">
    <w:name w:val="WW8Num34z8"/>
    <w:qFormat/>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qFormat/>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qFormat/>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12</Pages>
  <Words>4659</Words>
  <Characters>25162</Characters>
  <Lines>209</Lines>
  <Paragraphs>59</Paragraphs>
  <TotalTime>5</TotalTime>
  <ScaleCrop>false</ScaleCrop>
  <LinksUpToDate>false</LinksUpToDate>
  <CharactersWithSpaces>29762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2026-01-25T03:34:00Z</dcterms:created>
  <dc:creator>Adriano</dc:creator>
  <cp:lastModifiedBy>Juliana Borsoi</cp:lastModifiedBy>
  <cp:lastPrinted>2025-06-29T00:02:00Z</cp:lastPrinted>
  <dcterms:modified xsi:type="dcterms:W3CDTF">2026-02-06T13:53:34Z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CD96A9EF8B8B457D91539560694D3BF7_12</vt:lpwstr>
  </property>
</Properties>
</file>