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ANEXO III – PE. 90</w:t>
      </w:r>
      <w:r>
        <w:rPr>
          <w:rFonts w:hint="default" w:asciiTheme="minorHAnsi" w:hAnsiTheme="minorHAnsi" w:cstheme="minorHAnsi"/>
          <w:b/>
          <w:bCs/>
          <w:color w:val="FF0000"/>
          <w:sz w:val="22"/>
          <w:szCs w:val="22"/>
          <w:lang w:val="pt-BR"/>
        </w:rPr>
        <w:t>.003</w:t>
      </w:r>
      <w:r>
        <w:rPr>
          <w:rFonts w:asciiTheme="minorHAnsi" w:hAnsiTheme="minorHAnsi" w:cstheme="minorHAnsi"/>
          <w:b/>
          <w:bCs/>
          <w:color w:val="FF0000"/>
          <w:sz w:val="22"/>
          <w:szCs w:val="22"/>
        </w:rPr>
        <w:t>/2026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23069.150046/2026-27)</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23069.150046/2026-27</w:t>
      </w:r>
      <w:r>
        <w:rPr>
          <w:rFonts w:eastAsia="Arial" w:asciiTheme="minorHAnsi" w:hAnsiTheme="minorHAnsi" w:cstheme="minorHAnsi"/>
          <w:bCs/>
          <w:sz w:val="22"/>
          <w:szCs w:val="22"/>
        </w:rPr>
        <w:t xml:space="preserve">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do Pregão Eletrônico n. 90</w:t>
      </w:r>
      <w:r>
        <w:rPr>
          <w:rFonts w:hint="default" w:eastAsia="Arial" w:asciiTheme="minorHAnsi" w:hAnsiTheme="minorHAnsi" w:cstheme="minorHAnsi"/>
          <w:i/>
          <w:iCs/>
          <w:sz w:val="22"/>
          <w:szCs w:val="22"/>
          <w:lang w:val="pt-BR"/>
        </w:rPr>
        <w:t>.003</w:t>
      </w:r>
      <w:r>
        <w:rPr>
          <w:rFonts w:eastAsia="Arial" w:asciiTheme="minorHAnsi" w:hAnsiTheme="minorHAnsi" w:cstheme="minorHAnsi"/>
          <w:i/>
          <w:iCs/>
          <w:sz w:val="22"/>
          <w:szCs w:val="22"/>
        </w:rPr>
        <w:t>/2026,</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r>
        <w:rPr>
          <w:rFonts w:ascii="Arial" w:hAnsi="Arial" w:eastAsia="Times New Roman" w:cs="Tahoma"/>
          <w:szCs w:val="24"/>
        </w:rPr>
        <w:t xml:space="preserve"> </w:t>
      </w:r>
      <w:r>
        <w:rPr>
          <w:rFonts w:eastAsia="Arial" w:asciiTheme="minorHAnsi" w:hAnsiTheme="minorHAnsi" w:cstheme="minorHAnsi"/>
          <w:sz w:val="22"/>
          <w:szCs w:val="22"/>
        </w:rPr>
        <w:t>Contratação de empresa especializada na prestação de serviços contínuos de controle integrado de cupins e brocas, compreendendo o monitoramento por sistema de iscagem, tratamentos curativos em madeira, manejo fitossanitário em áreas verdes e barreiras químicas preventivas, a serem executados em todas as unidades da Universidade Federal Fluminense (UFF) localizadas no município de Niterói e demais campi do interior do Estado do Rio de Janeiro, conforme relação abaixo, nas condições estabelecidas no Termo de Referência.</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12"/>
        <w:tblW w:w="9821" w:type="dxa"/>
        <w:tblInd w:w="0" w:type="dxa"/>
        <w:tblLayout w:type="autofit"/>
        <w:tblCellMar>
          <w:top w:w="0" w:type="dxa"/>
          <w:left w:w="70" w:type="dxa"/>
          <w:bottom w:w="0" w:type="dxa"/>
          <w:right w:w="70" w:type="dxa"/>
        </w:tblCellMar>
      </w:tblPr>
      <w:tblGrid>
        <w:gridCol w:w="449"/>
        <w:gridCol w:w="2281"/>
        <w:gridCol w:w="701"/>
        <w:gridCol w:w="1540"/>
        <w:gridCol w:w="728"/>
        <w:gridCol w:w="927"/>
        <w:gridCol w:w="1134"/>
        <w:gridCol w:w="927"/>
        <w:gridCol w:w="1134"/>
      </w:tblGrid>
      <w:tr w14:paraId="3849EF7F">
        <w:tblPrEx>
          <w:tblCellMar>
            <w:top w:w="0" w:type="dxa"/>
            <w:left w:w="70" w:type="dxa"/>
            <w:bottom w:w="0" w:type="dxa"/>
            <w:right w:w="70" w:type="dxa"/>
          </w:tblCellMar>
        </w:tblPrEx>
        <w:trPr>
          <w:trHeight w:val="1290" w:hRule="atLeast"/>
        </w:trPr>
        <w:tc>
          <w:tcPr>
            <w:tcW w:w="449" w:type="dxa"/>
            <w:tcBorders>
              <w:top w:val="single" w:color="auto" w:sz="4" w:space="0"/>
              <w:left w:val="single" w:color="auto" w:sz="4" w:space="0"/>
              <w:bottom w:val="single" w:color="auto" w:sz="4" w:space="0"/>
              <w:right w:val="single" w:color="auto" w:sz="4" w:space="0"/>
            </w:tcBorders>
            <w:shd w:val="clear" w:color="000000" w:fill="D9E1F2"/>
            <w:vAlign w:val="center"/>
          </w:tcPr>
          <w:p w14:paraId="471BB920">
            <w:pPr>
              <w:suppressAutoHyphens w:val="0"/>
              <w:jc w:val="center"/>
              <w:rPr>
                <w:rFonts w:ascii="Calibri" w:hAnsi="Calibri" w:cs="Calibri"/>
                <w:b/>
                <w:bCs/>
                <w:sz w:val="16"/>
                <w:szCs w:val="16"/>
              </w:rPr>
            </w:pPr>
            <w:r>
              <w:rPr>
                <w:rFonts w:ascii="Calibri" w:hAnsi="Calibri" w:cs="Calibri"/>
                <w:b/>
                <w:bCs/>
                <w:sz w:val="16"/>
                <w:szCs w:val="16"/>
              </w:rPr>
              <w:t>Item</w:t>
            </w:r>
          </w:p>
        </w:tc>
        <w:tc>
          <w:tcPr>
            <w:tcW w:w="2281" w:type="dxa"/>
            <w:tcBorders>
              <w:top w:val="single" w:color="auto" w:sz="4" w:space="0"/>
              <w:left w:val="nil"/>
              <w:bottom w:val="single" w:color="auto" w:sz="4" w:space="0"/>
              <w:right w:val="single" w:color="auto" w:sz="4" w:space="0"/>
            </w:tcBorders>
            <w:shd w:val="clear" w:color="000000" w:fill="D9E1F2"/>
            <w:vAlign w:val="center"/>
          </w:tcPr>
          <w:p w14:paraId="0D99CB8F">
            <w:pPr>
              <w:suppressAutoHyphens w:val="0"/>
              <w:jc w:val="center"/>
              <w:rPr>
                <w:rFonts w:ascii="Calibri" w:hAnsi="Calibri" w:cs="Calibri"/>
                <w:b/>
                <w:bCs/>
                <w:sz w:val="16"/>
                <w:szCs w:val="16"/>
              </w:rPr>
            </w:pPr>
            <w:r>
              <w:rPr>
                <w:rFonts w:ascii="Calibri" w:hAnsi="Calibri" w:cs="Calibri"/>
                <w:b/>
                <w:bCs/>
                <w:sz w:val="16"/>
                <w:szCs w:val="16"/>
              </w:rPr>
              <w:t>Descrição</w:t>
            </w:r>
          </w:p>
        </w:tc>
        <w:tc>
          <w:tcPr>
            <w:tcW w:w="701" w:type="dxa"/>
            <w:tcBorders>
              <w:top w:val="single" w:color="auto" w:sz="4" w:space="0"/>
              <w:left w:val="nil"/>
              <w:bottom w:val="single" w:color="auto" w:sz="4" w:space="0"/>
              <w:right w:val="single" w:color="auto" w:sz="4" w:space="0"/>
            </w:tcBorders>
            <w:shd w:val="clear" w:color="000000" w:fill="D9E1F2"/>
            <w:vAlign w:val="center"/>
          </w:tcPr>
          <w:p w14:paraId="6022D2A3">
            <w:pPr>
              <w:suppressAutoHyphens w:val="0"/>
              <w:jc w:val="center"/>
              <w:rPr>
                <w:rFonts w:ascii="Calibri" w:hAnsi="Calibri" w:cs="Calibri"/>
                <w:b/>
                <w:bCs/>
                <w:sz w:val="16"/>
                <w:szCs w:val="16"/>
              </w:rPr>
            </w:pPr>
            <w:r>
              <w:rPr>
                <w:rFonts w:ascii="Calibri" w:hAnsi="Calibri" w:cs="Calibri"/>
                <w:b/>
                <w:bCs/>
                <w:sz w:val="16"/>
                <w:szCs w:val="16"/>
              </w:rPr>
              <w:t>Unidade</w:t>
            </w:r>
          </w:p>
        </w:tc>
        <w:tc>
          <w:tcPr>
            <w:tcW w:w="1540" w:type="dxa"/>
            <w:tcBorders>
              <w:top w:val="single" w:color="auto" w:sz="4" w:space="0"/>
              <w:left w:val="nil"/>
              <w:bottom w:val="single" w:color="auto" w:sz="4" w:space="0"/>
              <w:right w:val="single" w:color="auto" w:sz="4" w:space="0"/>
            </w:tcBorders>
            <w:shd w:val="clear" w:color="000000" w:fill="D9E1F2"/>
            <w:vAlign w:val="center"/>
          </w:tcPr>
          <w:p w14:paraId="32F79F11">
            <w:pPr>
              <w:suppressAutoHyphens w:val="0"/>
              <w:jc w:val="center"/>
              <w:rPr>
                <w:rFonts w:ascii="Calibri" w:hAnsi="Calibri" w:cs="Calibri"/>
                <w:b/>
                <w:bCs/>
                <w:sz w:val="16"/>
                <w:szCs w:val="16"/>
              </w:rPr>
            </w:pPr>
            <w:r>
              <w:rPr>
                <w:rFonts w:ascii="Calibri" w:hAnsi="Calibri" w:cs="Calibri"/>
                <w:b/>
                <w:bCs/>
                <w:sz w:val="16"/>
                <w:szCs w:val="16"/>
              </w:rPr>
              <w:t>Quantidade Estimada por mês</w:t>
            </w:r>
          </w:p>
        </w:tc>
        <w:tc>
          <w:tcPr>
            <w:tcW w:w="728" w:type="dxa"/>
            <w:tcBorders>
              <w:top w:val="single" w:color="auto" w:sz="4" w:space="0"/>
              <w:left w:val="nil"/>
              <w:bottom w:val="single" w:color="auto" w:sz="4" w:space="0"/>
              <w:right w:val="single" w:color="auto" w:sz="4" w:space="0"/>
            </w:tcBorders>
            <w:shd w:val="clear" w:color="000000" w:fill="D9E1F2"/>
            <w:vAlign w:val="center"/>
          </w:tcPr>
          <w:p w14:paraId="609E1F92">
            <w:pPr>
              <w:suppressAutoHyphens w:val="0"/>
              <w:jc w:val="center"/>
              <w:rPr>
                <w:rFonts w:ascii="Calibri" w:hAnsi="Calibri" w:cs="Calibri"/>
                <w:b/>
                <w:bCs/>
                <w:sz w:val="16"/>
                <w:szCs w:val="16"/>
              </w:rPr>
            </w:pPr>
            <w:r>
              <w:rPr>
                <w:rFonts w:ascii="Calibri" w:hAnsi="Calibri" w:cs="Calibri"/>
                <w:b/>
                <w:bCs/>
                <w:sz w:val="16"/>
                <w:szCs w:val="16"/>
              </w:rPr>
              <w:t>Valor Unitário (R$)</w:t>
            </w:r>
          </w:p>
        </w:tc>
        <w:tc>
          <w:tcPr>
            <w:tcW w:w="927" w:type="dxa"/>
            <w:tcBorders>
              <w:top w:val="single" w:color="auto" w:sz="4" w:space="0"/>
              <w:left w:val="nil"/>
              <w:bottom w:val="single" w:color="auto" w:sz="4" w:space="0"/>
              <w:right w:val="single" w:color="auto" w:sz="4" w:space="0"/>
            </w:tcBorders>
            <w:shd w:val="clear" w:color="000000" w:fill="D9E1F2"/>
            <w:vAlign w:val="center"/>
          </w:tcPr>
          <w:p w14:paraId="2D2E206C">
            <w:pPr>
              <w:suppressAutoHyphens w:val="0"/>
              <w:jc w:val="center"/>
              <w:rPr>
                <w:rFonts w:ascii="Calibri" w:hAnsi="Calibri" w:cs="Calibri"/>
                <w:b/>
                <w:bCs/>
                <w:sz w:val="16"/>
                <w:szCs w:val="16"/>
              </w:rPr>
            </w:pPr>
            <w:r>
              <w:rPr>
                <w:rFonts w:ascii="Calibri" w:hAnsi="Calibri" w:cs="Calibri"/>
                <w:b/>
                <w:bCs/>
                <w:sz w:val="16"/>
                <w:szCs w:val="16"/>
              </w:rPr>
              <w:t>Quantidade Estimada por ano</w:t>
            </w:r>
          </w:p>
        </w:tc>
        <w:tc>
          <w:tcPr>
            <w:tcW w:w="1134" w:type="dxa"/>
            <w:tcBorders>
              <w:top w:val="single" w:color="auto" w:sz="4" w:space="0"/>
              <w:left w:val="nil"/>
              <w:bottom w:val="single" w:color="auto" w:sz="4" w:space="0"/>
              <w:right w:val="single" w:color="auto" w:sz="4" w:space="0"/>
            </w:tcBorders>
            <w:shd w:val="clear" w:color="000000" w:fill="D9E1F2"/>
            <w:vAlign w:val="center"/>
          </w:tcPr>
          <w:p w14:paraId="5D9E96CA">
            <w:pPr>
              <w:suppressAutoHyphens w:val="0"/>
              <w:jc w:val="center"/>
              <w:rPr>
                <w:rFonts w:ascii="Calibri" w:hAnsi="Calibri" w:cs="Calibri"/>
                <w:b/>
                <w:bCs/>
                <w:sz w:val="16"/>
                <w:szCs w:val="16"/>
              </w:rPr>
            </w:pPr>
            <w:r>
              <w:rPr>
                <w:rFonts w:ascii="Calibri" w:hAnsi="Calibri" w:cs="Calibri"/>
                <w:b/>
                <w:bCs/>
                <w:sz w:val="16"/>
                <w:szCs w:val="16"/>
              </w:rPr>
              <w:t>Valor anual</w:t>
            </w:r>
          </w:p>
        </w:tc>
        <w:tc>
          <w:tcPr>
            <w:tcW w:w="927" w:type="dxa"/>
            <w:tcBorders>
              <w:top w:val="single" w:color="auto" w:sz="4" w:space="0"/>
              <w:left w:val="nil"/>
              <w:bottom w:val="single" w:color="auto" w:sz="4" w:space="0"/>
              <w:right w:val="single" w:color="auto" w:sz="4" w:space="0"/>
            </w:tcBorders>
            <w:shd w:val="clear" w:color="000000" w:fill="D9E1F2"/>
            <w:vAlign w:val="center"/>
          </w:tcPr>
          <w:p w14:paraId="280BAF22">
            <w:pPr>
              <w:suppressAutoHyphens w:val="0"/>
              <w:jc w:val="center"/>
              <w:rPr>
                <w:rFonts w:ascii="Calibri" w:hAnsi="Calibri" w:cs="Calibri"/>
                <w:b/>
                <w:bCs/>
                <w:sz w:val="16"/>
                <w:szCs w:val="16"/>
              </w:rPr>
            </w:pPr>
            <w:r>
              <w:rPr>
                <w:rFonts w:ascii="Calibri" w:hAnsi="Calibri" w:cs="Calibri"/>
                <w:b/>
                <w:bCs/>
                <w:sz w:val="16"/>
                <w:szCs w:val="16"/>
              </w:rPr>
              <w:t>Quantidade Estimada por 48 meses</w:t>
            </w:r>
          </w:p>
        </w:tc>
        <w:tc>
          <w:tcPr>
            <w:tcW w:w="1134" w:type="dxa"/>
            <w:tcBorders>
              <w:top w:val="single" w:color="auto" w:sz="4" w:space="0"/>
              <w:left w:val="nil"/>
              <w:bottom w:val="single" w:color="auto" w:sz="4" w:space="0"/>
              <w:right w:val="single" w:color="auto" w:sz="4" w:space="0"/>
            </w:tcBorders>
            <w:shd w:val="clear" w:color="000000" w:fill="D9E1F2"/>
            <w:vAlign w:val="center"/>
          </w:tcPr>
          <w:p w14:paraId="634A6678">
            <w:pPr>
              <w:suppressAutoHyphens w:val="0"/>
              <w:jc w:val="center"/>
              <w:rPr>
                <w:rFonts w:ascii="Calibri" w:hAnsi="Calibri" w:cs="Calibri"/>
                <w:b/>
                <w:bCs/>
                <w:sz w:val="16"/>
                <w:szCs w:val="16"/>
              </w:rPr>
            </w:pPr>
            <w:r>
              <w:rPr>
                <w:rFonts w:ascii="Calibri" w:hAnsi="Calibri" w:cs="Calibri"/>
                <w:b/>
                <w:bCs/>
                <w:sz w:val="16"/>
                <w:szCs w:val="16"/>
              </w:rPr>
              <w:t>Valor total (R$)</w:t>
            </w:r>
          </w:p>
        </w:tc>
      </w:tr>
      <w:tr w14:paraId="2006EA5B">
        <w:tblPrEx>
          <w:tblCellMar>
            <w:top w:w="0" w:type="dxa"/>
            <w:left w:w="70" w:type="dxa"/>
            <w:bottom w:w="0" w:type="dxa"/>
            <w:right w:w="70" w:type="dxa"/>
          </w:tblCellMar>
        </w:tblPrEx>
        <w:trPr>
          <w:trHeight w:val="5550" w:hRule="atLeast"/>
        </w:trPr>
        <w:tc>
          <w:tcPr>
            <w:tcW w:w="449" w:type="dxa"/>
            <w:tcBorders>
              <w:top w:val="nil"/>
              <w:left w:val="single" w:color="auto" w:sz="4" w:space="0"/>
              <w:bottom w:val="single" w:color="auto" w:sz="4" w:space="0"/>
              <w:right w:val="single" w:color="auto" w:sz="4" w:space="0"/>
            </w:tcBorders>
            <w:noWrap/>
            <w:vAlign w:val="center"/>
          </w:tcPr>
          <w:p w14:paraId="0775B62E">
            <w:pPr>
              <w:suppressAutoHyphens w:val="0"/>
              <w:jc w:val="center"/>
              <w:rPr>
                <w:rFonts w:ascii="Calibri" w:hAnsi="Calibri" w:cs="Calibri"/>
                <w:sz w:val="16"/>
                <w:szCs w:val="16"/>
              </w:rPr>
            </w:pPr>
            <w:r>
              <w:rPr>
                <w:rFonts w:ascii="Calibri" w:hAnsi="Calibri" w:cs="Calibri"/>
                <w:sz w:val="16"/>
                <w:szCs w:val="16"/>
              </w:rPr>
              <w:t>1</w:t>
            </w:r>
          </w:p>
        </w:tc>
        <w:tc>
          <w:tcPr>
            <w:tcW w:w="2281" w:type="dxa"/>
            <w:tcBorders>
              <w:top w:val="nil"/>
              <w:left w:val="nil"/>
              <w:bottom w:val="single" w:color="auto" w:sz="4" w:space="0"/>
              <w:right w:val="single" w:color="auto" w:sz="4" w:space="0"/>
            </w:tcBorders>
            <w:vAlign w:val="center"/>
          </w:tcPr>
          <w:p w14:paraId="49DAAA6C">
            <w:pPr>
              <w:suppressAutoHyphens w:val="0"/>
              <w:jc w:val="center"/>
              <w:rPr>
                <w:rFonts w:ascii="Calibri" w:hAnsi="Calibri" w:cs="Calibri"/>
                <w:sz w:val="16"/>
                <w:szCs w:val="16"/>
              </w:rPr>
            </w:pPr>
            <w:r>
              <w:rPr>
                <w:rFonts w:ascii="Calibri" w:hAnsi="Calibri" w:cs="Calibri"/>
                <w:sz w:val="16"/>
                <w:szCs w:val="16"/>
              </w:rPr>
              <w:t>Contratação de empresa especializada na prestação de serviços contínuos de controle preventivo e corretivo de pragas xilófagas, compreendendo o manejo integrado, monitoramento biológico e erradicação de colônias de cupins subterrâneos, cupins de madeira seca e brocas, para o atendimento integral de todas as unidades da Universidade Federal Fluminense (UFF) situadas no Estado do Rio de Janeiro. O serviço deverá ser executado sob demanda, mediante a aplicação de metodologias de barreira química, sistema de iscagem com inibidores de síntese de quitina, injeção pressurizada, pulverização e manejo fitossanitário em áreas verdes, incluindo o fornecimento de todos os insumos, equipamentos, mão de obra e logística de deslocamento. A contratada assume a responsabilidade técnica total pelo resultado (eliminação da colônia), estando ciente de que a apresentação de propostas com valores manifestamente inexequíveis ou o descumprimento dos prazos e padrões de eficácia técnica ensejará a imediata aplicação das sanções administrativas e multas previstas em edital, sem prejuízo da rescisão contratual por inexecução.</w:t>
            </w:r>
          </w:p>
        </w:tc>
        <w:tc>
          <w:tcPr>
            <w:tcW w:w="701" w:type="dxa"/>
            <w:tcBorders>
              <w:top w:val="nil"/>
              <w:left w:val="nil"/>
              <w:bottom w:val="single" w:color="auto" w:sz="4" w:space="0"/>
              <w:right w:val="single" w:color="auto" w:sz="4" w:space="0"/>
            </w:tcBorders>
            <w:noWrap/>
            <w:vAlign w:val="center"/>
          </w:tcPr>
          <w:p w14:paraId="64C8D569">
            <w:pPr>
              <w:suppressAutoHyphens w:val="0"/>
              <w:jc w:val="center"/>
              <w:rPr>
                <w:rFonts w:ascii="Calibri" w:hAnsi="Calibri" w:cs="Calibri"/>
                <w:sz w:val="16"/>
                <w:szCs w:val="16"/>
              </w:rPr>
            </w:pPr>
            <w:r>
              <w:rPr>
                <w:rFonts w:ascii="Calibri" w:hAnsi="Calibri" w:cs="Calibri"/>
                <w:sz w:val="16"/>
                <w:szCs w:val="16"/>
              </w:rPr>
              <w:t>m2</w:t>
            </w:r>
          </w:p>
        </w:tc>
        <w:tc>
          <w:tcPr>
            <w:tcW w:w="1540" w:type="dxa"/>
            <w:tcBorders>
              <w:top w:val="nil"/>
              <w:left w:val="nil"/>
              <w:bottom w:val="single" w:color="auto" w:sz="4" w:space="0"/>
              <w:right w:val="single" w:color="auto" w:sz="4" w:space="0"/>
            </w:tcBorders>
            <w:noWrap/>
            <w:vAlign w:val="center"/>
          </w:tcPr>
          <w:p w14:paraId="07B017BB">
            <w:pPr>
              <w:suppressAutoHyphens w:val="0"/>
              <w:jc w:val="center"/>
              <w:rPr>
                <w:rFonts w:ascii="Calibri" w:hAnsi="Calibri" w:cs="Calibri"/>
                <w:sz w:val="16"/>
                <w:szCs w:val="16"/>
              </w:rPr>
            </w:pPr>
            <w:r>
              <w:rPr>
                <w:rFonts w:ascii="Calibri" w:hAnsi="Calibri" w:cs="Calibri"/>
                <w:sz w:val="16"/>
                <w:szCs w:val="16"/>
              </w:rPr>
              <w:t xml:space="preserve">                  63.325 </w:t>
            </w:r>
          </w:p>
        </w:tc>
        <w:tc>
          <w:tcPr>
            <w:tcW w:w="728" w:type="dxa"/>
            <w:tcBorders>
              <w:top w:val="nil"/>
              <w:left w:val="nil"/>
              <w:bottom w:val="single" w:color="auto" w:sz="4" w:space="0"/>
              <w:right w:val="single" w:color="auto" w:sz="4" w:space="0"/>
            </w:tcBorders>
            <w:noWrap/>
            <w:vAlign w:val="center"/>
          </w:tcPr>
          <w:p w14:paraId="098B1AB5">
            <w:pPr>
              <w:suppressAutoHyphens w:val="0"/>
              <w:rPr>
                <w:rFonts w:ascii="Calibri" w:hAnsi="Calibri" w:cs="Calibri"/>
                <w:sz w:val="16"/>
                <w:szCs w:val="16"/>
              </w:rPr>
            </w:pPr>
          </w:p>
        </w:tc>
        <w:tc>
          <w:tcPr>
            <w:tcW w:w="927" w:type="dxa"/>
            <w:tcBorders>
              <w:top w:val="nil"/>
              <w:left w:val="nil"/>
              <w:bottom w:val="single" w:color="auto" w:sz="4" w:space="0"/>
              <w:right w:val="single" w:color="auto" w:sz="4" w:space="0"/>
            </w:tcBorders>
            <w:noWrap/>
            <w:vAlign w:val="center"/>
          </w:tcPr>
          <w:p w14:paraId="388C46F4">
            <w:pPr>
              <w:suppressAutoHyphens w:val="0"/>
              <w:jc w:val="center"/>
              <w:rPr>
                <w:rFonts w:ascii="Calibri" w:hAnsi="Calibri" w:cs="Calibri"/>
                <w:color w:val="000000"/>
                <w:sz w:val="16"/>
                <w:szCs w:val="16"/>
              </w:rPr>
            </w:pPr>
          </w:p>
        </w:tc>
        <w:tc>
          <w:tcPr>
            <w:tcW w:w="1134" w:type="dxa"/>
            <w:tcBorders>
              <w:top w:val="nil"/>
              <w:left w:val="nil"/>
              <w:bottom w:val="single" w:color="auto" w:sz="4" w:space="0"/>
              <w:right w:val="single" w:color="auto" w:sz="4" w:space="0"/>
            </w:tcBorders>
            <w:noWrap/>
            <w:vAlign w:val="center"/>
          </w:tcPr>
          <w:p w14:paraId="788AD721">
            <w:pPr>
              <w:suppressAutoHyphens w:val="0"/>
              <w:jc w:val="center"/>
              <w:rPr>
                <w:rFonts w:ascii="Calibri" w:hAnsi="Calibri" w:cs="Calibri"/>
                <w:sz w:val="16"/>
                <w:szCs w:val="16"/>
              </w:rPr>
            </w:pPr>
          </w:p>
        </w:tc>
        <w:tc>
          <w:tcPr>
            <w:tcW w:w="927" w:type="dxa"/>
            <w:tcBorders>
              <w:top w:val="nil"/>
              <w:left w:val="nil"/>
              <w:bottom w:val="single" w:color="auto" w:sz="4" w:space="0"/>
              <w:right w:val="single" w:color="auto" w:sz="4" w:space="0"/>
            </w:tcBorders>
            <w:noWrap/>
            <w:vAlign w:val="center"/>
          </w:tcPr>
          <w:p w14:paraId="016BFAB0">
            <w:pPr>
              <w:suppressAutoHyphens w:val="0"/>
              <w:jc w:val="center"/>
              <w:rPr>
                <w:rFonts w:ascii="Calibri" w:hAnsi="Calibri" w:cs="Calibri"/>
                <w:color w:val="000000"/>
                <w:sz w:val="16"/>
                <w:szCs w:val="16"/>
              </w:rPr>
            </w:pPr>
          </w:p>
        </w:tc>
        <w:tc>
          <w:tcPr>
            <w:tcW w:w="1134" w:type="dxa"/>
            <w:tcBorders>
              <w:top w:val="nil"/>
              <w:left w:val="nil"/>
              <w:bottom w:val="single" w:color="auto" w:sz="4" w:space="0"/>
              <w:right w:val="single" w:color="auto" w:sz="4" w:space="0"/>
            </w:tcBorders>
            <w:noWrap/>
            <w:vAlign w:val="center"/>
          </w:tcPr>
          <w:p w14:paraId="267CE26B">
            <w:pPr>
              <w:suppressAutoHyphens w:val="0"/>
              <w:jc w:val="center"/>
              <w:rPr>
                <w:rFonts w:ascii="Calibri" w:hAnsi="Calibri" w:cs="Calibri"/>
                <w:color w:val="000000"/>
                <w:sz w:val="16"/>
                <w:szCs w:val="16"/>
              </w:rPr>
            </w:pPr>
            <w:r>
              <w:rPr>
                <w:rFonts w:ascii="Calibri" w:hAnsi="Calibri" w:cs="Calibri"/>
                <w:color w:val="000000"/>
                <w:sz w:val="16"/>
                <w:szCs w:val="16"/>
              </w:rPr>
              <w:t xml:space="preserve"> </w:t>
            </w:r>
          </w:p>
        </w:tc>
      </w:tr>
      <w:tr w14:paraId="6EC119D4">
        <w:tblPrEx>
          <w:tblCellMar>
            <w:top w:w="0" w:type="dxa"/>
            <w:left w:w="70" w:type="dxa"/>
            <w:bottom w:w="0" w:type="dxa"/>
            <w:right w:w="70" w:type="dxa"/>
          </w:tblCellMar>
        </w:tblPrEx>
        <w:trPr>
          <w:trHeight w:val="90" w:hRule="atLeast"/>
        </w:trPr>
        <w:tc>
          <w:tcPr>
            <w:tcW w:w="449" w:type="dxa"/>
            <w:tcBorders>
              <w:top w:val="single" w:color="auto" w:sz="4" w:space="0"/>
              <w:left w:val="single" w:color="auto" w:sz="4" w:space="0"/>
              <w:bottom w:val="single" w:color="auto" w:sz="4" w:space="0"/>
              <w:right w:val="single" w:color="auto" w:sz="4" w:space="0"/>
            </w:tcBorders>
            <w:noWrap/>
            <w:vAlign w:val="center"/>
          </w:tcPr>
          <w:p w14:paraId="407004D2">
            <w:pPr>
              <w:suppressAutoHyphens w:val="0"/>
              <w:jc w:val="center"/>
              <w:rPr>
                <w:rFonts w:hint="default" w:ascii="Calibri" w:hAnsi="Calibri" w:cs="Calibri"/>
                <w:sz w:val="16"/>
                <w:szCs w:val="16"/>
                <w:lang w:val="pt-BR"/>
              </w:rPr>
            </w:pPr>
            <w:r>
              <w:rPr>
                <w:rFonts w:hint="default" w:ascii="Calibri" w:hAnsi="Calibri" w:cs="Calibri"/>
                <w:sz w:val="16"/>
                <w:szCs w:val="16"/>
                <w:lang w:val="pt-BR"/>
              </w:rPr>
              <w:t>2</w:t>
            </w:r>
          </w:p>
        </w:tc>
        <w:tc>
          <w:tcPr>
            <w:tcW w:w="2281" w:type="dxa"/>
            <w:tcBorders>
              <w:top w:val="single" w:color="auto" w:sz="4" w:space="0"/>
              <w:left w:val="nil"/>
              <w:bottom w:val="single" w:color="auto" w:sz="4" w:space="0"/>
              <w:right w:val="single" w:color="auto" w:sz="4" w:space="0"/>
            </w:tcBorders>
            <w:shd w:val="clear"/>
            <w:vAlign w:val="bottom"/>
          </w:tcPr>
          <w:p w14:paraId="49463A69">
            <w:pPr>
              <w:keepNext w:val="0"/>
              <w:keepLines w:val="0"/>
              <w:widowControl/>
              <w:suppressLineNumbers w:val="0"/>
              <w:jc w:val="left"/>
              <w:textAlignment w:val="bottom"/>
              <w:rPr>
                <w:rFonts w:ascii="Calibri" w:hAnsi="Calibri" w:cs="Calibri"/>
                <w:i w:val="0"/>
                <w:iCs w:val="0"/>
                <w:color w:val="000000"/>
                <w:u w:val="none"/>
              </w:rPr>
            </w:pPr>
            <w:r>
              <w:rPr>
                <w:rFonts w:ascii="Calibri" w:hAnsi="Calibri" w:eastAsia="Times New Roman" w:cs="Calibri"/>
                <w:sz w:val="16"/>
                <w:szCs w:val="16"/>
                <w:lang w:val="en-US" w:eastAsia="zh-CN" w:bidi="ar-SA"/>
              </w:rPr>
              <w:t>LOCACAO DE ANDAIME METALICO TIPO FACHADEIRO, PECAS COM APROXIMADAMENTE 1,20 M DE LARGURA E 2,0 M DE ALTURA, INCLUINDO DIAGONAIS EM X, BARRAS DE LIGACAO, SAPATAS E DEMAIS ITENS NECESSARIOS A MONTAGEM</w:t>
            </w:r>
          </w:p>
        </w:tc>
        <w:tc>
          <w:tcPr>
            <w:tcW w:w="701" w:type="dxa"/>
            <w:tcBorders>
              <w:top w:val="single" w:color="auto" w:sz="4" w:space="0"/>
              <w:left w:val="nil"/>
              <w:bottom w:val="single" w:color="auto" w:sz="4" w:space="0"/>
              <w:right w:val="single" w:color="auto" w:sz="4" w:space="0"/>
            </w:tcBorders>
            <w:noWrap/>
            <w:vAlign w:val="center"/>
          </w:tcPr>
          <w:p w14:paraId="12B6B4F6">
            <w:pPr>
              <w:suppressAutoHyphens w:val="0"/>
              <w:jc w:val="center"/>
              <w:rPr>
                <w:rFonts w:ascii="Calibri" w:hAnsi="Calibri" w:cs="Calibri"/>
                <w:sz w:val="16"/>
                <w:szCs w:val="16"/>
              </w:rPr>
            </w:pPr>
          </w:p>
        </w:tc>
        <w:tc>
          <w:tcPr>
            <w:tcW w:w="1540" w:type="dxa"/>
            <w:tcBorders>
              <w:top w:val="single" w:color="auto" w:sz="4" w:space="0"/>
              <w:left w:val="nil"/>
              <w:bottom w:val="single" w:color="auto" w:sz="4" w:space="0"/>
              <w:right w:val="single" w:color="auto" w:sz="4" w:space="0"/>
            </w:tcBorders>
            <w:shd w:val="clear"/>
            <w:noWrap/>
            <w:vAlign w:val="center"/>
          </w:tcPr>
          <w:p w14:paraId="13C916FB">
            <w:pPr>
              <w:suppressAutoHyphens w:val="0"/>
              <w:jc w:val="center"/>
              <w:rPr>
                <w:rFonts w:ascii="Calibri" w:hAnsi="Calibri" w:cs="Calibri"/>
                <w:i w:val="0"/>
                <w:iCs w:val="0"/>
                <w:color w:val="000000"/>
                <w:u w:val="none"/>
              </w:rPr>
            </w:pPr>
            <w:r>
              <w:rPr>
                <w:rFonts w:hint="default" w:ascii="Calibri" w:hAnsi="Calibri" w:cs="Calibri"/>
                <w:sz w:val="16"/>
                <w:szCs w:val="16"/>
                <w:lang w:val="en-US" w:eastAsia="zh-CN"/>
              </w:rPr>
              <w:t>30</w:t>
            </w:r>
            <w:bookmarkStart w:id="8" w:name="_GoBack"/>
            <w:bookmarkEnd w:id="8"/>
          </w:p>
        </w:tc>
        <w:tc>
          <w:tcPr>
            <w:tcW w:w="728" w:type="dxa"/>
            <w:tcBorders>
              <w:top w:val="single" w:color="auto" w:sz="4" w:space="0"/>
              <w:left w:val="nil"/>
              <w:bottom w:val="single" w:color="auto" w:sz="4" w:space="0"/>
              <w:right w:val="single" w:color="auto" w:sz="4" w:space="0"/>
            </w:tcBorders>
            <w:noWrap/>
            <w:vAlign w:val="center"/>
          </w:tcPr>
          <w:p w14:paraId="293F929E">
            <w:pPr>
              <w:suppressAutoHyphens w:val="0"/>
              <w:rPr>
                <w:rFonts w:ascii="Calibri" w:hAnsi="Calibri" w:cs="Calibri"/>
                <w:sz w:val="16"/>
                <w:szCs w:val="16"/>
              </w:rPr>
            </w:pPr>
          </w:p>
        </w:tc>
        <w:tc>
          <w:tcPr>
            <w:tcW w:w="927" w:type="dxa"/>
            <w:tcBorders>
              <w:top w:val="single" w:color="auto" w:sz="4" w:space="0"/>
              <w:left w:val="nil"/>
              <w:bottom w:val="single" w:color="auto" w:sz="4" w:space="0"/>
              <w:right w:val="single" w:color="auto" w:sz="4" w:space="0"/>
            </w:tcBorders>
            <w:noWrap/>
            <w:vAlign w:val="center"/>
          </w:tcPr>
          <w:p w14:paraId="15F59DE2">
            <w:pPr>
              <w:suppressAutoHyphens w:val="0"/>
              <w:jc w:val="center"/>
              <w:rPr>
                <w:rFonts w:ascii="Calibri" w:hAnsi="Calibri" w:cs="Calibri"/>
                <w:color w:val="000000"/>
                <w:sz w:val="16"/>
                <w:szCs w:val="16"/>
              </w:rPr>
            </w:pPr>
          </w:p>
        </w:tc>
        <w:tc>
          <w:tcPr>
            <w:tcW w:w="1134" w:type="dxa"/>
            <w:tcBorders>
              <w:top w:val="single" w:color="auto" w:sz="4" w:space="0"/>
              <w:left w:val="nil"/>
              <w:bottom w:val="single" w:color="auto" w:sz="4" w:space="0"/>
              <w:right w:val="single" w:color="auto" w:sz="4" w:space="0"/>
            </w:tcBorders>
            <w:noWrap/>
            <w:vAlign w:val="center"/>
          </w:tcPr>
          <w:p w14:paraId="2A7454E1">
            <w:pPr>
              <w:suppressAutoHyphens w:val="0"/>
              <w:jc w:val="center"/>
              <w:rPr>
                <w:rFonts w:ascii="Calibri" w:hAnsi="Calibri" w:cs="Calibri"/>
                <w:sz w:val="16"/>
                <w:szCs w:val="16"/>
              </w:rPr>
            </w:pPr>
          </w:p>
        </w:tc>
        <w:tc>
          <w:tcPr>
            <w:tcW w:w="927" w:type="dxa"/>
            <w:tcBorders>
              <w:top w:val="single" w:color="auto" w:sz="4" w:space="0"/>
              <w:left w:val="nil"/>
              <w:bottom w:val="single" w:color="auto" w:sz="4" w:space="0"/>
              <w:right w:val="single" w:color="auto" w:sz="4" w:space="0"/>
            </w:tcBorders>
            <w:noWrap/>
            <w:vAlign w:val="center"/>
          </w:tcPr>
          <w:p w14:paraId="54121721">
            <w:pPr>
              <w:suppressAutoHyphens w:val="0"/>
              <w:jc w:val="center"/>
              <w:rPr>
                <w:rFonts w:ascii="Calibri" w:hAnsi="Calibri" w:cs="Calibri"/>
                <w:color w:val="000000"/>
                <w:sz w:val="16"/>
                <w:szCs w:val="16"/>
              </w:rPr>
            </w:pPr>
          </w:p>
        </w:tc>
        <w:tc>
          <w:tcPr>
            <w:tcW w:w="1134" w:type="dxa"/>
            <w:tcBorders>
              <w:top w:val="single" w:color="auto" w:sz="4" w:space="0"/>
              <w:left w:val="nil"/>
              <w:bottom w:val="single" w:color="auto" w:sz="4" w:space="0"/>
              <w:right w:val="single" w:color="auto" w:sz="4" w:space="0"/>
            </w:tcBorders>
            <w:noWrap/>
            <w:vAlign w:val="center"/>
          </w:tcPr>
          <w:p w14:paraId="0E7C36BF">
            <w:pPr>
              <w:suppressAutoHyphens w:val="0"/>
              <w:jc w:val="center"/>
              <w:rPr>
                <w:rFonts w:ascii="Calibri" w:hAnsi="Calibri" w:cs="Calibri"/>
                <w:color w:val="000000"/>
                <w:sz w:val="16"/>
                <w:szCs w:val="16"/>
              </w:rPr>
            </w:pPr>
          </w:p>
        </w:tc>
      </w:tr>
    </w:tbl>
    <w:p w14:paraId="7CE3B508">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48 (quarenta e oito)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7C02B600">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F4298D3">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Não haja registro no Cadastro Informativo de créditos não quitados do setor público federal (Cadin).</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02"/>
      <w:bookmarkEnd w:id="0"/>
      <w:bookmarkStart w:id="1" w:name="_Hlk114497577"/>
      <w:bookmarkEnd w:id="1"/>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cadastramento do usuário externo,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O valor bruto da contratação é de XXXXXX (XXXXX) relativo ao valor limite de uso dos serviços, estimado para 48 (quarenta e oito) meses, perfazendo o valor mensal de aproximadamente XXXX (XXXX).</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de serviços executados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O prazo para pagamento ao CONTRATADO e demais condições a ele referentes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REAJUSTE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do reajuste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0CA21300">
      <w:pPr>
        <w:pStyle w:val="99"/>
        <w:numPr>
          <w:ilvl w:val="1"/>
          <w:numId w:val="4"/>
        </w:numPr>
        <w:rPr>
          <w:bCs/>
        </w:rPr>
      </w:pPr>
      <w:r>
        <w:t>São obrigações do CONTRATANTE:</w:t>
      </w:r>
    </w:p>
    <w:p w14:paraId="40BF90F6">
      <w:pPr>
        <w:pStyle w:val="101"/>
        <w:numPr>
          <w:ilvl w:val="2"/>
          <w:numId w:val="4"/>
        </w:numPr>
      </w:pPr>
      <w:r>
        <w:t>Exigir o cumprimento de todas as obrigações assumidas pelo CONTRATADO, de acordo com o contrato e seus anexos;</w:t>
      </w:r>
    </w:p>
    <w:p w14:paraId="1028FC6B">
      <w:pPr>
        <w:pStyle w:val="101"/>
        <w:numPr>
          <w:ilvl w:val="2"/>
          <w:numId w:val="4"/>
        </w:numPr>
      </w:pPr>
      <w:r>
        <w:t>Receber o objeto no prazo e condições estabelecidas no Termo de Referência;</w:t>
      </w:r>
    </w:p>
    <w:p w14:paraId="0F68608D">
      <w:pPr>
        <w:pStyle w:val="101"/>
        <w:numPr>
          <w:ilvl w:val="2"/>
          <w:numId w:val="4"/>
        </w:numPr>
        <w:rPr>
          <w:color w:val="auto"/>
        </w:rPr>
      </w:pPr>
      <w:r>
        <w:rPr>
          <w:color w:val="auto"/>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324CC63C">
      <w:pPr>
        <w:pStyle w:val="101"/>
        <w:numPr>
          <w:ilvl w:val="2"/>
          <w:numId w:val="4"/>
        </w:numPr>
      </w:pPr>
      <w:r>
        <w:t>Acompanhar e fiscalizar a execução do contrato e o cumprimento das obrigações pelo CONTRATADO;</w:t>
      </w:r>
    </w:p>
    <w:p w14:paraId="465DAA70">
      <w:pPr>
        <w:pStyle w:val="101"/>
        <w:numPr>
          <w:ilvl w:val="2"/>
          <w:numId w:val="4"/>
        </w:numPr>
      </w:pPr>
      <w: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12605ED6">
      <w:pPr>
        <w:pStyle w:val="101"/>
        <w:numPr>
          <w:ilvl w:val="2"/>
          <w:numId w:val="4"/>
        </w:numPr>
      </w:pPr>
      <w:r>
        <w:t>Efetuar o pagamento ao CONTRATADO do valor correspondente à execução do objeto, no prazo, forma e condições estabelecidos no presente Contrato e no Termo de Referência;</w:t>
      </w:r>
    </w:p>
    <w:p w14:paraId="1622EA8C">
      <w:pPr>
        <w:pStyle w:val="101"/>
        <w:numPr>
          <w:ilvl w:val="2"/>
          <w:numId w:val="4"/>
        </w:numPr>
      </w:pPr>
      <w:r>
        <w:t>Aplicar ao CONTRATADO as sanções previstas na lei e neste Contrato;</w:t>
      </w:r>
    </w:p>
    <w:p w14:paraId="548CB62E">
      <w:pPr>
        <w:pStyle w:val="101"/>
        <w:numPr>
          <w:ilvl w:val="2"/>
          <w:numId w:val="4"/>
        </w:numPr>
      </w:pPr>
      <w:r>
        <w:t>Não praticar atos de ingerência na administração do CONTRATADO, tais como:</w:t>
      </w:r>
    </w:p>
    <w:p w14:paraId="3535DAD4">
      <w:pPr>
        <w:pStyle w:val="102"/>
        <w:numPr>
          <w:ilvl w:val="3"/>
          <w:numId w:val="4"/>
        </w:numPr>
      </w:pPr>
      <w:r>
        <w:t>indicar pessoas expressamente nominadas para executar direta ou indiretamente o objeto contratado;</w:t>
      </w:r>
    </w:p>
    <w:p w14:paraId="6E18C1DE">
      <w:pPr>
        <w:pStyle w:val="102"/>
        <w:numPr>
          <w:ilvl w:val="3"/>
          <w:numId w:val="4"/>
        </w:numPr>
      </w:pPr>
      <w:r>
        <w:t>fixar salário inferior ao definido em lei ou em ato normativo a ser pago pelo CONTRATADO;</w:t>
      </w:r>
    </w:p>
    <w:p w14:paraId="46D24D18">
      <w:pPr>
        <w:pStyle w:val="102"/>
        <w:numPr>
          <w:ilvl w:val="3"/>
          <w:numId w:val="4"/>
        </w:numPr>
      </w:pPr>
      <w:r>
        <w:t xml:space="preserve"> estabelecer vínculo de subordinação com funcionário do CONTRATADO;</w:t>
      </w:r>
    </w:p>
    <w:p w14:paraId="0CE47DD8">
      <w:pPr>
        <w:pStyle w:val="102"/>
        <w:numPr>
          <w:ilvl w:val="3"/>
          <w:numId w:val="4"/>
        </w:numPr>
      </w:pPr>
      <w:r>
        <w:t>definir forma de pagamento mediante exclusivo reembolso dos salários pagos;</w:t>
      </w:r>
    </w:p>
    <w:p w14:paraId="34BC7F11">
      <w:pPr>
        <w:pStyle w:val="102"/>
        <w:numPr>
          <w:ilvl w:val="3"/>
          <w:numId w:val="4"/>
        </w:numPr>
      </w:pPr>
      <w:r>
        <w:t>demandar a funcionário do CONTRATADO a execução de tarefas fora do escopo do objeto da contratação; e</w:t>
      </w:r>
    </w:p>
    <w:p w14:paraId="3E638079">
      <w:pPr>
        <w:pStyle w:val="102"/>
        <w:numPr>
          <w:ilvl w:val="3"/>
          <w:numId w:val="4"/>
        </w:numPr>
      </w:pPr>
      <w:r>
        <w:t>prever exigências que constituam intervenção indevida da Administração na gestão interna do CONTRATADO.</w:t>
      </w:r>
    </w:p>
    <w:p w14:paraId="0A447EDF">
      <w:pPr>
        <w:pStyle w:val="101"/>
        <w:numPr>
          <w:ilvl w:val="2"/>
          <w:numId w:val="4"/>
        </w:numPr>
      </w:pPr>
      <w:r>
        <w:t>Cientificar o órgão de representação judicial da Advocacia-Geral da União para adoção das medidas cabíveis quando do descumprimento de obrigações pelo CONTRATADO;</w:t>
      </w:r>
    </w:p>
    <w:p w14:paraId="00C3ED7C">
      <w:pPr>
        <w:pStyle w:val="101"/>
        <w:numPr>
          <w:ilvl w:val="2"/>
          <w:numId w:val="4"/>
        </w:numPr>
      </w:pPr>
      <w: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777A518F">
      <w:pPr>
        <w:pStyle w:val="102"/>
        <w:numPr>
          <w:ilvl w:val="3"/>
          <w:numId w:val="4"/>
        </w:numPr>
      </w:pPr>
      <w:r>
        <w:t xml:space="preserve"> </w:t>
      </w:r>
      <w:bookmarkStart w:id="2" w:name="_Ref128062899"/>
      <w:r>
        <w:t>A Administração terá o prazo de</w:t>
      </w:r>
      <w:r>
        <w:rPr>
          <w:i/>
          <w:iCs/>
          <w:color w:val="FF0000"/>
        </w:rPr>
        <w:t xml:space="preserve"> 30 dias</w:t>
      </w:r>
      <w:r>
        <w:t>, a contar da data do protocolo do requerimento para decidir, admitida a prorrogação motivada, por igual período.</w:t>
      </w:r>
      <w:bookmarkEnd w:id="2"/>
    </w:p>
    <w:p w14:paraId="2A97DEE7">
      <w:pPr>
        <w:pStyle w:val="101"/>
        <w:numPr>
          <w:ilvl w:val="2"/>
          <w:numId w:val="4"/>
        </w:numPr>
        <w:rPr>
          <w:color w:val="auto"/>
        </w:rPr>
      </w:pPr>
      <w:r>
        <w:t xml:space="preserve">Responder eventuais pedidos de reestabelecimento do equilíbrio econômico-financeiro feitos pelo CONTRATADO no prazo máximo de </w:t>
      </w:r>
      <w:r>
        <w:rPr>
          <w:i/>
          <w:color w:val="FF0000"/>
        </w:rPr>
        <w:t>30 dias</w:t>
      </w:r>
      <w:r>
        <w:rPr>
          <w:color w:val="auto"/>
        </w:rPr>
        <w:t>;</w:t>
      </w:r>
    </w:p>
    <w:p w14:paraId="3472A3FC">
      <w:pPr>
        <w:pStyle w:val="101"/>
        <w:numPr>
          <w:ilvl w:val="2"/>
          <w:numId w:val="4"/>
        </w:numPr>
      </w:pPr>
      <w:bookmarkStart w:id="3" w:name="_Hlk114499841"/>
      <w:bookmarkEnd w:id="3"/>
      <w:r>
        <w:t>Comunicar o CONTRATADO na hipótese de posterior alteração do projeto pelo CONTRATANTE, no caso do art. 93, §2º, da Lei nº 14.133, de 2021.</w:t>
      </w:r>
    </w:p>
    <w:p w14:paraId="22F21DD2">
      <w:pPr>
        <w:pStyle w:val="99"/>
        <w:numPr>
          <w:ilvl w:val="1"/>
          <w:numId w:val="4"/>
        </w:numPr>
        <w:spacing w:after="288" w:afterLines="120" w:line="312" w:lineRule="auto"/>
        <w:rPr>
          <w:rFonts w:asciiTheme="minorHAnsi" w:hAnsiTheme="minorHAnsi" w:cstheme="minorHAnsi"/>
          <w:sz w:val="22"/>
          <w:szCs w:val="22"/>
        </w:rPr>
      </w:pPr>
      <w: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E9E8A81">
      <w:pPr>
        <w:pStyle w:val="99"/>
        <w:numPr>
          <w:ilvl w:val="1"/>
          <w:numId w:val="4"/>
        </w:numPr>
      </w:pPr>
      <w:r>
        <w:t>O CONTRATADO deve cumprir todas as obrigações constantes deste Contrato e de seus anexos, assumindo como exclusivamente seus os riscos e as despesas decorrentes da boa e perfeita execução do objeto, observando, ainda, as obrigações a seguir dispostas:</w:t>
      </w:r>
    </w:p>
    <w:p w14:paraId="63343CD8">
      <w:pPr>
        <w:pStyle w:val="99"/>
        <w:numPr>
          <w:ilvl w:val="1"/>
          <w:numId w:val="4"/>
        </w:numPr>
        <w:rPr>
          <w:color w:val="000000" w:themeColor="text1"/>
          <w14:textFill>
            <w14:solidFill>
              <w14:schemeClr w14:val="tx1"/>
            </w14:solidFill>
          </w14:textFill>
        </w:rPr>
      </w:pPr>
      <w:r>
        <w:rPr>
          <w:color w:val="000000" w:themeColor="text1"/>
          <w14:textFill>
            <w14:solidFill>
              <w14:schemeClr w14:val="tx1"/>
            </w14:solidFill>
          </w14:textFill>
        </w:rPr>
        <w:t xml:space="preserve">Atender </w:t>
      </w:r>
      <w:r>
        <w:t>às</w:t>
      </w:r>
      <w:r>
        <w:rPr>
          <w:color w:val="000000" w:themeColor="text1"/>
          <w14:textFill>
            <w14:solidFill>
              <w14:schemeClr w14:val="tx1"/>
            </w14:solidFill>
          </w14:textFill>
        </w:rPr>
        <w:t xml:space="preserve"> determinações regulares emitidas pelo fiscal ou gestor do contrato ou autoridade superior e </w:t>
      </w:r>
      <w:r>
        <w:t>prestar todo esclarecimento ou informação por eles solicitados</w:t>
      </w:r>
      <w:r>
        <w:rPr>
          <w:color w:val="000000" w:themeColor="text1"/>
          <w14:textFill>
            <w14:solidFill>
              <w14:schemeClr w14:val="tx1"/>
            </w14:solidFill>
          </w14:textFill>
        </w:rPr>
        <w:t>;</w:t>
      </w:r>
    </w:p>
    <w:p w14:paraId="660F1D55">
      <w:pPr>
        <w:pStyle w:val="99"/>
        <w:numPr>
          <w:ilvl w:val="1"/>
          <w:numId w:val="4"/>
        </w:numPr>
      </w:pPr>
      <w: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6CE5312C">
      <w:pPr>
        <w:pStyle w:val="99"/>
        <w:numPr>
          <w:ilvl w:val="1"/>
          <w:numId w:val="4"/>
        </w:numPr>
      </w:pPr>
      <w: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2F9C6962">
      <w:pPr>
        <w:pStyle w:val="99"/>
        <w:numPr>
          <w:ilvl w:val="1"/>
          <w:numId w:val="4"/>
        </w:numPr>
      </w:pPr>
      <w: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1E83ACF2">
      <w:pPr>
        <w:pStyle w:val="101"/>
        <w:numPr>
          <w:ilvl w:val="2"/>
          <w:numId w:val="4"/>
        </w:numPr>
      </w:pPr>
      <w:r>
        <w:t>prova de regularidade relativa à Seguridade Social;</w:t>
      </w:r>
    </w:p>
    <w:p w14:paraId="3C8E794F">
      <w:pPr>
        <w:pStyle w:val="101"/>
        <w:numPr>
          <w:ilvl w:val="2"/>
          <w:numId w:val="4"/>
        </w:numPr>
      </w:pPr>
      <w:r>
        <w:t>certidão conjunta relativa aos tributos federais e à Dívida Ativa da União;</w:t>
      </w:r>
    </w:p>
    <w:p w14:paraId="40D0AAC9">
      <w:pPr>
        <w:pStyle w:val="101"/>
        <w:numPr>
          <w:ilvl w:val="2"/>
          <w:numId w:val="4"/>
        </w:numPr>
      </w:pPr>
      <w:r>
        <w:t>certidões que comprovem a regularidade perante a Fazenda Municipal ou Distrital do domicílio ou sede do CONTRATADO;</w:t>
      </w:r>
    </w:p>
    <w:p w14:paraId="2034A7C1">
      <w:pPr>
        <w:pStyle w:val="101"/>
        <w:numPr>
          <w:ilvl w:val="2"/>
          <w:numId w:val="4"/>
        </w:numPr>
      </w:pPr>
      <w:r>
        <w:t>Certidão de Regularidade do FGTS – CRF; e</w:t>
      </w:r>
    </w:p>
    <w:p w14:paraId="1F145C93">
      <w:pPr>
        <w:pStyle w:val="101"/>
        <w:numPr>
          <w:ilvl w:val="2"/>
          <w:numId w:val="4"/>
        </w:numPr>
      </w:pPr>
      <w:r>
        <w:t>Certidão Negativa de Débitos Trabalhistas – CNDT.</w:t>
      </w:r>
    </w:p>
    <w:p w14:paraId="6B30357D">
      <w:pPr>
        <w:pStyle w:val="99"/>
        <w:numPr>
          <w:ilvl w:val="1"/>
          <w:numId w:val="4"/>
        </w:numPr>
      </w:pPr>
      <w: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3380DE31">
      <w:pPr>
        <w:pStyle w:val="99"/>
        <w:numPr>
          <w:ilvl w:val="1"/>
          <w:numId w:val="4"/>
        </w:numPr>
      </w:pPr>
      <w:r>
        <w:t>Comunicar ao Fiscal do contrato tempestivamente, observada a urgência da situação, qualquer ocorrência anormal ou acidente que se verifique no local da execução do objeto contratual, não ultrapassando o prazo de 24 (vinte e quatro) horas;</w:t>
      </w:r>
    </w:p>
    <w:p w14:paraId="71D8D949">
      <w:pPr>
        <w:pStyle w:val="99"/>
        <w:numPr>
          <w:ilvl w:val="1"/>
          <w:numId w:val="4"/>
        </w:numPr>
      </w:pPr>
      <w:r>
        <w:t>Paralisar, por determinação do CONTRATANTE, qualquer atividade que não esteja sendo executada de acordo com a boa técnica ou que ponha em risco a segurança de pessoas ou bens de terceiros;</w:t>
      </w:r>
    </w:p>
    <w:p w14:paraId="2714BD68">
      <w:pPr>
        <w:pStyle w:val="99"/>
        <w:numPr>
          <w:ilvl w:val="1"/>
          <w:numId w:val="4"/>
        </w:numPr>
        <w:rPr>
          <w:highlight w:val="yellow"/>
        </w:rPr>
      </w:pPr>
      <w:r>
        <w:t>Manter, durante toda a vigência do contrato, em compatibilidade com as obrigações assumidas, todas as condições exigidas para habilitação na licitação</w:t>
      </w:r>
      <w:bookmarkStart w:id="4" w:name="_Hlk191049891"/>
      <w:r>
        <w:t>.</w:t>
      </w:r>
    </w:p>
    <w:bookmarkEnd w:id="4"/>
    <w:p w14:paraId="61B30A3B">
      <w:pPr>
        <w:pStyle w:val="99"/>
        <w:numPr>
          <w:ilvl w:val="1"/>
          <w:numId w:val="4"/>
        </w:numPr>
        <w:rPr>
          <w:b/>
          <w:bCs/>
        </w:rPr>
      </w:pPr>
      <w:r>
        <w:t>Cumprir, durante todo o período de execução do contrato, a reserva de cargos prevista em lei para pessoa com deficiência, para reabilitado da Previdência Social ou para aprendiz, bem como as reservas de cargos previstas na legislação;</w:t>
      </w:r>
    </w:p>
    <w:p w14:paraId="2C9C7644">
      <w:pPr>
        <w:pStyle w:val="99"/>
        <w:numPr>
          <w:ilvl w:val="1"/>
          <w:numId w:val="4"/>
        </w:numPr>
      </w:pPr>
      <w:r>
        <w:t>Comprovar a reserva de cargos a que se refere a cláusula acima, no prazo fixado pelo fiscal do contrato, com a indicação dos empregados que preencheram as referidas vagas;</w:t>
      </w:r>
    </w:p>
    <w:p w14:paraId="0971D9B6">
      <w:pPr>
        <w:pStyle w:val="99"/>
        <w:numPr>
          <w:ilvl w:val="1"/>
          <w:numId w:val="4"/>
        </w:numPr>
      </w:pPr>
      <w:r>
        <w:t>Guardar sigilo sobre todas as informações obtidas em decorrência do cumprimento do contrato;</w:t>
      </w:r>
    </w:p>
    <w:p w14:paraId="6FB9C7C6">
      <w:pPr>
        <w:pStyle w:val="99"/>
        <w:numPr>
          <w:ilvl w:val="1"/>
          <w:numId w:val="4"/>
        </w:numPr>
      </w:pPr>
      <w: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531DAA9">
      <w:pPr>
        <w:pStyle w:val="99"/>
        <w:numPr>
          <w:ilvl w:val="1"/>
          <w:numId w:val="4"/>
        </w:numPr>
      </w:pPr>
      <w:r>
        <w:t>Cumprir, além dos postulados legais vigentes de âmbito federal, estadual ou municipal, as normas de segurança do CONTRATANTE;</w:t>
      </w:r>
    </w:p>
    <w:p w14:paraId="249E563F">
      <w:pPr>
        <w:pStyle w:val="99"/>
        <w:numPr>
          <w:ilvl w:val="1"/>
          <w:numId w:val="4"/>
        </w:numPr>
      </w:pPr>
      <w:r>
        <w:t>Alocar os empregados necessários ao perfeito cumprimento das cláusulas deste contrato, com habilitação e conhecimento adequados;</w:t>
      </w:r>
    </w:p>
    <w:p w14:paraId="695F61FC">
      <w:pPr>
        <w:pStyle w:val="99"/>
        <w:numPr>
          <w:ilvl w:val="1"/>
          <w:numId w:val="4"/>
        </w:numPr>
      </w:pPr>
      <w:r>
        <w:t>Prestar os serviços dentro dos parâmetros e rotinas estabelecidos;</w:t>
      </w:r>
    </w:p>
    <w:p w14:paraId="0B3EFC1B">
      <w:pPr>
        <w:pStyle w:val="99"/>
        <w:numPr>
          <w:ilvl w:val="1"/>
          <w:numId w:val="4"/>
        </w:numPr>
      </w:pPr>
      <w:r>
        <w:t>Fornecer todos os materiais, equipamentos, ferramentas e utensílios demandados, em quantidade, qualidade e tecnologia adequadas, com a observância às recomendações aceitas pela boa técnica, normas e legislação de regência;</w:t>
      </w:r>
    </w:p>
    <w:p w14:paraId="0A5A5F72">
      <w:pPr>
        <w:pStyle w:val="99"/>
        <w:numPr>
          <w:ilvl w:val="1"/>
          <w:numId w:val="4"/>
        </w:numPr>
      </w:pPr>
      <w:r>
        <w:t>Conduzir os trabalhos com estrita observância às normas da legislação pertinente, cumprindo as determinações dos Poderes Públicos, mantendo sempre limpo o local de execução do objeto e nas melhores condições de segurança, higiene e disciplina;</w:t>
      </w:r>
    </w:p>
    <w:p w14:paraId="480C3E67">
      <w:pPr>
        <w:pStyle w:val="99"/>
        <w:numPr>
          <w:ilvl w:val="1"/>
          <w:numId w:val="4"/>
        </w:numPr>
      </w:pPr>
      <w:r>
        <w:t>Submeter previamente, por escrito, ao CONTRATANTE, para análise e aprovação, quaisquer mudanças nos métodos executivos que fujam às especificações do memorial descritivo ou instrumento congênere;</w:t>
      </w:r>
    </w:p>
    <w:p w14:paraId="18C2D2C8">
      <w:pPr>
        <w:pStyle w:val="99"/>
        <w:numPr>
          <w:ilvl w:val="1"/>
          <w:numId w:val="4"/>
        </w:numPr>
      </w:pPr>
      <w:r>
        <w:t>Cumprir as normas de proteção ao trabalho, inclusive aquelas relativas à segurança e à saúde no trabalho;</w:t>
      </w:r>
    </w:p>
    <w:p w14:paraId="051D0293">
      <w:pPr>
        <w:pStyle w:val="99"/>
        <w:numPr>
          <w:ilvl w:val="1"/>
          <w:numId w:val="4"/>
        </w:numPr>
      </w:pPr>
      <w:r>
        <w:t>Não submeter os trabalhadores a condições degradantes de trabalho, jornadas exaustivas, servidão por dívida ou trabalhos forçados;</w:t>
      </w:r>
    </w:p>
    <w:p w14:paraId="44F8728E">
      <w:pPr>
        <w:pStyle w:val="99"/>
        <w:numPr>
          <w:ilvl w:val="1"/>
          <w:numId w:val="4"/>
        </w:numPr>
      </w:pPr>
      <w:r>
        <w:t>Não permitir a utilização de qualquer trabalho do menor de dezesseis anos de idade, exceto na condição de aprendiz para os maiores de quatorze anos de idade, observada a legislação pertinente;</w:t>
      </w:r>
    </w:p>
    <w:p w14:paraId="0A4F916C">
      <w:pPr>
        <w:pStyle w:val="99"/>
        <w:numPr>
          <w:ilvl w:val="1"/>
          <w:numId w:val="4"/>
        </w:numPr>
      </w:pPr>
      <w: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298A9BED">
      <w:pPr>
        <w:pStyle w:val="99"/>
        <w:numPr>
          <w:ilvl w:val="1"/>
          <w:numId w:val="4"/>
        </w:numPr>
      </w:pPr>
      <w:r>
        <w:t>Receber e dar o tratamento adequado a denúncias de discriminação, violência e assédio no ambiente de trabalho;</w:t>
      </w:r>
    </w:p>
    <w:p w14:paraId="458C95B5">
      <w:pPr>
        <w:pStyle w:val="99"/>
        <w:numPr>
          <w:ilvl w:val="1"/>
          <w:numId w:val="4"/>
        </w:numPr>
      </w:pPr>
      <w:r>
        <w:t>Manter preposto aceito pela Administração para representá-lo na execução do contrato;</w:t>
      </w:r>
    </w:p>
    <w:p w14:paraId="3D582CF3">
      <w:pPr>
        <w:pStyle w:val="101"/>
        <w:numPr>
          <w:ilvl w:val="2"/>
          <w:numId w:val="4"/>
        </w:numPr>
      </w:pPr>
      <w:r>
        <w:t>A indicação ou a manutenção do preposto da empresa poderá ser recusada pelo órgão ou entidade, desde que devidamente justificada, devendo a empresa designar outro para o exercício da atividade.</w:t>
      </w:r>
    </w:p>
    <w:p w14:paraId="7AC14B34">
      <w:pPr>
        <w:pStyle w:val="99"/>
        <w:numPr>
          <w:ilvl w:val="1"/>
          <w:numId w:val="4"/>
        </w:numPr>
      </w:pPr>
      <w: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646EFD6E">
      <w:pPr>
        <w:pStyle w:val="99"/>
        <w:numPr>
          <w:ilvl w:val="1"/>
          <w:numId w:val="4"/>
        </w:numPr>
      </w:pPr>
      <w:r>
        <w:t>Prestar todo esclarecimento ou informação solicitada pelo CONTRATANTE ou por seus prepostos, garantindo-lhes o acesso, a qualquer tempo, ao local dos trabalhos, bem como aos documentos relativos à execução do contrato;</w:t>
      </w:r>
    </w:p>
    <w:p w14:paraId="10FD4266">
      <w:pPr>
        <w:pStyle w:val="99"/>
        <w:numPr>
          <w:ilvl w:val="1"/>
          <w:numId w:val="4"/>
        </w:numPr>
      </w:pPr>
      <w:r>
        <w:t>Promover a guarda, manutenção e vigilância de materiais, ferramentas, e tudo o que for necessário à execução do objeto, durante a vigência do contrato;</w:t>
      </w:r>
    </w:p>
    <w:p w14:paraId="5EE909EF">
      <w:pPr>
        <w:pStyle w:val="99"/>
        <w:numPr>
          <w:ilvl w:val="1"/>
          <w:numId w:val="4"/>
        </w:numPr>
      </w:pPr>
      <w:r>
        <w:t>Assegurar aos seus trabalhadores ambiente de trabalho e instalações em condições adequadas ao cumprimento das normas de saúde, segurança e bem-estar no trabalho;</w:t>
      </w:r>
    </w:p>
    <w:p w14:paraId="2D2F0F96">
      <w:pPr>
        <w:pStyle w:val="99"/>
        <w:numPr>
          <w:ilvl w:val="1"/>
          <w:numId w:val="4"/>
        </w:numPr>
      </w:pPr>
      <w:r>
        <w:t>Fornecer equipamentos de proteção individual (EPI) e equipamentos de proteção coletiva (EPC),quando for o caso;</w:t>
      </w:r>
    </w:p>
    <w:p w14:paraId="0175A757">
      <w:pPr>
        <w:pStyle w:val="99"/>
        <w:numPr>
          <w:ilvl w:val="1"/>
          <w:numId w:val="4"/>
        </w:numPr>
      </w:pPr>
      <w:r>
        <w:t>Garantir o acesso do CONTRATANTE, a qualquer tempo, ao local dos trabalhos, bem como aos documentos relativos à execução do contrato;</w:t>
      </w:r>
    </w:p>
    <w:p w14:paraId="19A170C7">
      <w:pPr>
        <w:pStyle w:val="99"/>
        <w:numPr>
          <w:ilvl w:val="1"/>
          <w:numId w:val="4"/>
        </w:numPr>
      </w:pPr>
      <w:r>
        <w:t>Promover a organização técnica e administrativa dos serviços, de modo a conduzi-los eficaz e eficientemente, de acordo com os documentos e especificações que integram o Termo de Referência, no prazo determinado;</w:t>
      </w:r>
    </w:p>
    <w:p w14:paraId="6170304C">
      <w:pPr>
        <w:pStyle w:val="99"/>
        <w:numPr>
          <w:ilvl w:val="1"/>
          <w:numId w:val="4"/>
        </w:numPr>
      </w:pPr>
      <w:bookmarkStart w:id="5" w:name="_Ref118293030"/>
      <w:r>
        <w:t>Instruir seus empregados quanto à necessidade de acatar as normas internas da Administração;</w:t>
      </w:r>
    </w:p>
    <w:p w14:paraId="27F9CD2F">
      <w:pPr>
        <w:pStyle w:val="99"/>
        <w:numPr>
          <w:ilvl w:val="1"/>
          <w:numId w:val="4"/>
        </w:numPr>
      </w:pPr>
      <w:r>
        <w:t>Instruir seus empregados a respeito das atividades a serem desempenhadas, alertando-os a não executar atividades não abrangidas pelo contrato, devendo o CONTRATADO relatar ao CONTRATANTE toda e qualquer ocorrência neste sentido, a fim de evitar desvio de função;</w:t>
      </w:r>
    </w:p>
    <w:bookmarkEnd w:id="5"/>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6" w:name="_Ref169602136"/>
      <w:bookmarkStart w:id="7" w:name="_Ref169601460"/>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6"/>
    <w:bookmarkEnd w:id="7"/>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QUINTA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2"/>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3"/>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Segoe Print"/>
    <w:panose1 w:val="00000000000000000000"/>
    <w:charset w:val="02"/>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Cambria"/>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1915B40B">
    <w:pPr>
      <w:pStyle w:val="33"/>
      <w:rPr>
        <w:rFonts w:cs="Arial"/>
        <w:sz w:val="14"/>
        <w:szCs w:val="14"/>
      </w:rPr>
    </w:pPr>
    <w:r>
      <w:rPr>
        <w:rFonts w:cs="Arial"/>
        <w:sz w:val="14"/>
        <w:szCs w:val="14"/>
      </w:rPr>
      <w:t>Câmara Nacional de Modelos de Licitações e Contratos da Consultoria-Geral da União</w:t>
    </w:r>
  </w:p>
  <w:p w14:paraId="70A8C44A">
    <w:pPr>
      <w:pStyle w:val="33"/>
      <w:rPr>
        <w:sz w:val="14"/>
      </w:rPr>
    </w:pPr>
    <w:r>
      <w:rPr>
        <w:rFonts w:cs="Arial"/>
        <w:sz w:val="14"/>
        <w:szCs w:val="14"/>
      </w:rPr>
      <w:t>Modelo de Termo de Contrato - Licitação e Contratação Direta - Serviços sem regime de dedicação exclusiva de mão de obra - Lei nº 14.133, de 2021</w:t>
    </w:r>
  </w:p>
  <w:p w14:paraId="157F30DD">
    <w:pPr>
      <w:pStyle w:val="33"/>
      <w:rPr>
        <w:rFonts w:cs="Arial"/>
        <w:sz w:val="14"/>
        <w:szCs w:val="14"/>
      </w:rPr>
    </w:pPr>
    <w:r>
      <w:rPr>
        <w:rFonts w:cs="Arial"/>
        <w:sz w:val="14"/>
        <w:szCs w:val="14"/>
      </w:rPr>
      <w:t>Aprovado pela Secretaria de Gestão e Inovação</w:t>
    </w:r>
  </w:p>
  <w:p w14:paraId="4B824A01">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NOV/2025</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1"/>
  </w:num>
  <w:num w:numId="10">
    <w:abstractNumId w:val="6"/>
  </w:num>
  <w:num w:numId="11">
    <w:abstractNumId w:val="1"/>
  </w:num>
  <w:num w:numId="12">
    <w:abstractNumId w:val="0"/>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1"/>
    </o:shapelayout>
  </w:hdrShapeDefaults>
  <w:compat>
    <w:doNotExpandShiftReturn/>
    <w:doNotWrapTextWithPunct/>
    <w:doNotUseEastAsian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2AE0"/>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063A6"/>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640"/>
    <w:rsid w:val="003369A6"/>
    <w:rsid w:val="00337554"/>
    <w:rsid w:val="00345DC9"/>
    <w:rsid w:val="00350F52"/>
    <w:rsid w:val="00351C39"/>
    <w:rsid w:val="0035507A"/>
    <w:rsid w:val="003570DA"/>
    <w:rsid w:val="0037707D"/>
    <w:rsid w:val="003804AE"/>
    <w:rsid w:val="00391442"/>
    <w:rsid w:val="00394D5F"/>
    <w:rsid w:val="003A2662"/>
    <w:rsid w:val="003A4456"/>
    <w:rsid w:val="003A5295"/>
    <w:rsid w:val="003B11E3"/>
    <w:rsid w:val="003B73B2"/>
    <w:rsid w:val="003B787E"/>
    <w:rsid w:val="003D2CA2"/>
    <w:rsid w:val="003D4A95"/>
    <w:rsid w:val="003D5227"/>
    <w:rsid w:val="003D72A0"/>
    <w:rsid w:val="003E0C6C"/>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3319"/>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A6E27"/>
    <w:rsid w:val="005B345F"/>
    <w:rsid w:val="005B3CB4"/>
    <w:rsid w:val="005C41B6"/>
    <w:rsid w:val="005D7737"/>
    <w:rsid w:val="005F03BA"/>
    <w:rsid w:val="005F39EB"/>
    <w:rsid w:val="005F6D6E"/>
    <w:rsid w:val="00602349"/>
    <w:rsid w:val="00612399"/>
    <w:rsid w:val="0061397F"/>
    <w:rsid w:val="006146CF"/>
    <w:rsid w:val="006151BA"/>
    <w:rsid w:val="00617698"/>
    <w:rsid w:val="00627947"/>
    <w:rsid w:val="006314E9"/>
    <w:rsid w:val="00640955"/>
    <w:rsid w:val="00642767"/>
    <w:rsid w:val="00645265"/>
    <w:rsid w:val="006466E1"/>
    <w:rsid w:val="0064716A"/>
    <w:rsid w:val="00647DA8"/>
    <w:rsid w:val="006506AE"/>
    <w:rsid w:val="00656E9A"/>
    <w:rsid w:val="00661793"/>
    <w:rsid w:val="006620D8"/>
    <w:rsid w:val="00667772"/>
    <w:rsid w:val="006723C3"/>
    <w:rsid w:val="006757D3"/>
    <w:rsid w:val="006866BC"/>
    <w:rsid w:val="0069429E"/>
    <w:rsid w:val="00697869"/>
    <w:rsid w:val="006A50FF"/>
    <w:rsid w:val="006A5C95"/>
    <w:rsid w:val="006C27E6"/>
    <w:rsid w:val="006D546C"/>
    <w:rsid w:val="006E2B79"/>
    <w:rsid w:val="006E3D66"/>
    <w:rsid w:val="006E4496"/>
    <w:rsid w:val="006E7396"/>
    <w:rsid w:val="006F29AD"/>
    <w:rsid w:val="0070435E"/>
    <w:rsid w:val="00711ECE"/>
    <w:rsid w:val="00712E04"/>
    <w:rsid w:val="00720609"/>
    <w:rsid w:val="0072557C"/>
    <w:rsid w:val="00731187"/>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3753"/>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A4E8F"/>
    <w:rsid w:val="009A60CB"/>
    <w:rsid w:val="009C1A02"/>
    <w:rsid w:val="009C4B72"/>
    <w:rsid w:val="009E113C"/>
    <w:rsid w:val="009E650D"/>
    <w:rsid w:val="009F2EB2"/>
    <w:rsid w:val="00A05241"/>
    <w:rsid w:val="00A15645"/>
    <w:rsid w:val="00A21E8F"/>
    <w:rsid w:val="00A30A28"/>
    <w:rsid w:val="00A33729"/>
    <w:rsid w:val="00A45504"/>
    <w:rsid w:val="00A57311"/>
    <w:rsid w:val="00A72A05"/>
    <w:rsid w:val="00A738FA"/>
    <w:rsid w:val="00A74E08"/>
    <w:rsid w:val="00A850B8"/>
    <w:rsid w:val="00A85110"/>
    <w:rsid w:val="00A87093"/>
    <w:rsid w:val="00A87CC4"/>
    <w:rsid w:val="00A93E08"/>
    <w:rsid w:val="00A942C3"/>
    <w:rsid w:val="00AB336E"/>
    <w:rsid w:val="00AB700F"/>
    <w:rsid w:val="00AC3B53"/>
    <w:rsid w:val="00AD321A"/>
    <w:rsid w:val="00AE0A71"/>
    <w:rsid w:val="00AF0427"/>
    <w:rsid w:val="00AF32BC"/>
    <w:rsid w:val="00AF3581"/>
    <w:rsid w:val="00AF3FC6"/>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334C0"/>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A8D"/>
    <w:rsid w:val="00DB6F67"/>
    <w:rsid w:val="00DC0D43"/>
    <w:rsid w:val="00DC1B44"/>
    <w:rsid w:val="00DC6924"/>
    <w:rsid w:val="00DD7D5B"/>
    <w:rsid w:val="00DE596B"/>
    <w:rsid w:val="00DF5E89"/>
    <w:rsid w:val="00E03B99"/>
    <w:rsid w:val="00E1163C"/>
    <w:rsid w:val="00E23909"/>
    <w:rsid w:val="00E30FFA"/>
    <w:rsid w:val="00E31561"/>
    <w:rsid w:val="00E43629"/>
    <w:rsid w:val="00E44B0C"/>
    <w:rsid w:val="00E46BDE"/>
    <w:rsid w:val="00E4768C"/>
    <w:rsid w:val="00E52524"/>
    <w:rsid w:val="00E56541"/>
    <w:rsid w:val="00E578A6"/>
    <w:rsid w:val="00E67DCF"/>
    <w:rsid w:val="00E726A9"/>
    <w:rsid w:val="00E750B1"/>
    <w:rsid w:val="00EA06C5"/>
    <w:rsid w:val="00EB556D"/>
    <w:rsid w:val="00EB6AF5"/>
    <w:rsid w:val="00EB7F69"/>
    <w:rsid w:val="00EC10D6"/>
    <w:rsid w:val="00ED4EB4"/>
    <w:rsid w:val="00ED7983"/>
    <w:rsid w:val="00F05097"/>
    <w:rsid w:val="00F12161"/>
    <w:rsid w:val="00F12A88"/>
    <w:rsid w:val="00F12CD2"/>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21C500F9"/>
    <w:rsid w:val="24391A75"/>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qFormat="1" w:uiPriority="1" w:semiHidden="0"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qFormat/>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uiPriority w:val="0"/>
  </w:style>
  <w:style w:type="character" w:customStyle="1" w:styleId="107">
    <w:name w:val="WW8Num1z2"/>
    <w:qFormat/>
    <w:uiPriority w:val="0"/>
  </w:style>
  <w:style w:type="character" w:customStyle="1" w:styleId="108">
    <w:name w:val="WW8Num1z3"/>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uiPriority w:val="0"/>
  </w:style>
  <w:style w:type="character" w:customStyle="1" w:styleId="167">
    <w:name w:val="WW8Num15z7"/>
    <w:qFormat/>
    <w:uiPriority w:val="0"/>
  </w:style>
  <w:style w:type="character" w:customStyle="1" w:styleId="168">
    <w:name w:val="WW8Num15z8"/>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qFormat/>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qFormat/>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qFormat/>
    <w:uiPriority w:val="0"/>
  </w:style>
  <w:style w:type="character" w:customStyle="1" w:styleId="358">
    <w:name w:val="WW8Num31z0"/>
    <w:qFormat/>
    <w:uiPriority w:val="0"/>
  </w:style>
  <w:style w:type="character" w:customStyle="1" w:styleId="359">
    <w:name w:val="WW8Num31z1"/>
    <w:qFormat/>
    <w:uiPriority w:val="0"/>
  </w:style>
  <w:style w:type="character" w:customStyle="1" w:styleId="360">
    <w:name w:val="WW8Num31z2"/>
    <w:qFormat/>
    <w:uiPriority w:val="0"/>
  </w:style>
  <w:style w:type="character" w:customStyle="1" w:styleId="361">
    <w:name w:val="WW8Num31z3"/>
    <w:qFormat/>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qFormat/>
    <w:uiPriority w:val="0"/>
  </w:style>
  <w:style w:type="character" w:customStyle="1" w:styleId="367">
    <w:name w:val="WW8Num32z0"/>
    <w:qFormat/>
    <w:uiPriority w:val="0"/>
  </w:style>
  <w:style w:type="character" w:customStyle="1" w:styleId="368">
    <w:name w:val="WW8Num32z1"/>
    <w:qFormat/>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qFormat/>
    <w:uiPriority w:val="0"/>
  </w:style>
  <w:style w:type="character" w:customStyle="1" w:styleId="372">
    <w:name w:val="WW8Num32z5"/>
    <w:qFormat/>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qFormat/>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qFormat/>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qFormat/>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qFormat/>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qFormat/>
    <w:uiPriority w:val="0"/>
    <w:pPr>
      <w:jc w:val="center"/>
    </w:pPr>
    <w:rPr>
      <w:b/>
      <w:bCs/>
      <w:sz w:val="56"/>
      <w:szCs w:val="56"/>
    </w:rPr>
  </w:style>
  <w:style w:type="paragraph" w:customStyle="1" w:styleId="432">
    <w:name w:val="Título1"/>
    <w:basedOn w:val="1"/>
    <w:next w:val="22"/>
    <w:qFormat/>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qFormat/>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qFormat/>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qFormat/>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qFormat/>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qFormat/>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qFormat/>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character" w:customStyle="1" w:styleId="541">
    <w:name w:val="font01"/>
    <w:uiPriority w:val="0"/>
    <w:rPr>
      <w:rFonts w:hint="default" w:ascii="Calibri" w:hAnsi="Calibri" w:cs="Calibri"/>
      <w:color w:val="000000"/>
      <w:u w:val="none"/>
    </w:rPr>
  </w:style>
  <w:style w:type="character" w:customStyle="1" w:styleId="542">
    <w:name w:val="font11"/>
    <w:uiPriority w:val="0"/>
    <w:rPr>
      <w:rFonts w:hint="default" w:ascii="Calibri" w:hAnsi="Calibri" w:cs="Calibri"/>
      <w:color w:val="FF000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12</Pages>
  <Words>4844</Words>
  <Characters>26159</Characters>
  <Lines>217</Lines>
  <Paragraphs>61</Paragraphs>
  <TotalTime>1</TotalTime>
  <ScaleCrop>false</ScaleCrop>
  <LinksUpToDate>false</LinksUpToDate>
  <CharactersWithSpaces>30942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2026-01-17T04:57:00Z</dcterms:created>
  <dc:creator>Adriano</dc:creator>
  <cp:lastModifiedBy>Hellen Medeiros</cp:lastModifiedBy>
  <cp:lastPrinted>2025-06-29T00:02:00Z</cp:lastPrinted>
  <dcterms:modified xsi:type="dcterms:W3CDTF">2026-01-23T17:37:14Z</dcterms:modified>
  <dc:title>NOTAS EXPLICATIVAS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1046-12.2.0.23196</vt:lpwstr>
  </property>
  <property fmtid="{D5CDD505-2E9C-101B-9397-08002B2CF9AE}" pid="3" name="ICV">
    <vt:lpwstr>18D72925F0234A4DAF9F0DD6CAE2A462_12</vt:lpwstr>
  </property>
</Properties>
</file>