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76" w:lineRule="auto"/>
        <w:ind w:left="0" w:right="0" w:firstLine="0"/>
        <w:jc w:val="left"/>
        <w:rPr>
          <w:rFonts w:ascii="Arial" w:hAnsi="Arial" w:eastAsia="Arial" w:cs="Arial"/>
          <w:b w:val="0"/>
          <w:i w:val="0"/>
          <w:smallCaps w:val="0"/>
          <w:strike w:val="0"/>
          <w:color w:val="000000"/>
          <w:sz w:val="22"/>
          <w:szCs w:val="22"/>
          <w:u w:val="none"/>
          <w:shd w:val="clear" w:fill="auto"/>
          <w:vertAlign w:val="baseline"/>
        </w:rPr>
      </w:pPr>
    </w:p>
    <w:tbl>
      <w:tblPr>
        <w:tblStyle w:val="38"/>
        <w:tblW w:w="10885"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0" w:type="dxa"/>
          <w:bottom w:w="0" w:type="dxa"/>
          <w:right w:w="0" w:type="dxa"/>
        </w:tblCellMar>
      </w:tblPr>
      <w:tblGrid>
        <w:gridCol w:w="617"/>
        <w:gridCol w:w="3975"/>
        <w:gridCol w:w="1125"/>
        <w:gridCol w:w="1245"/>
        <w:gridCol w:w="1005"/>
        <w:gridCol w:w="780"/>
        <w:gridCol w:w="1305"/>
        <w:gridCol w:w="833"/>
      </w:tblGrid>
      <w:tr w14:paraId="47E2AF3E">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613" w:hRule="atLeast"/>
        </w:trPr>
        <w:tc>
          <w:tcPr>
            <w:gridSpan w:val="8"/>
            <w:tcBorders>
              <w:top w:val="single" w:color="5F5F5F" w:sz="34" w:space="0"/>
              <w:left w:val="single" w:color="5F5F5F" w:sz="34" w:space="0"/>
              <w:bottom w:val="single" w:color="000000" w:sz="4" w:space="0"/>
              <w:right w:val="single" w:color="5F5F5F" w:sz="34" w:space="0"/>
            </w:tcBorders>
            <w:tcMar>
              <w:top w:w="0" w:type="dxa"/>
              <w:left w:w="0" w:type="dxa"/>
              <w:bottom w:w="0" w:type="dxa"/>
              <w:right w:w="0" w:type="dxa"/>
            </w:tcMar>
          </w:tcPr>
          <w:p w14:paraId="0000000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5"/>
                <w:szCs w:val="5"/>
                <w:u w:val="none"/>
                <w:shd w:val="clear" w:fill="auto"/>
                <w:vertAlign w:val="baseline"/>
              </w:rPr>
            </w:pPr>
          </w:p>
          <w:p w14:paraId="0000000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001"/>
                <w:tab w:val="left" w:pos="9053"/>
              </w:tabs>
              <w:spacing w:before="0" w:after="0" w:line="240" w:lineRule="auto"/>
              <w:ind w:left="629"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684530" cy="370205"/>
                  <wp:effectExtent l="0" t="0" r="0" b="0"/>
                  <wp:docPr id="2115606147" name="image3.jpg"/>
                  <wp:cNvGraphicFramePr/>
                  <a:graphic xmlns:a="http://schemas.openxmlformats.org/drawingml/2006/main">
                    <a:graphicData uri="http://schemas.openxmlformats.org/drawingml/2006/picture">
                      <pic:pic xmlns:pic="http://schemas.openxmlformats.org/drawingml/2006/picture">
                        <pic:nvPicPr>
                          <pic:cNvPr id="2115606147" name="image3.jpg"/>
                          <pic:cNvPicPr preferRelativeResize="0"/>
                        </pic:nvPicPr>
                        <pic:blipFill>
                          <a:blip r:embed="rId4"/>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33"/>
                <w:szCs w:val="33"/>
                <w:u w:val="none"/>
                <w:shd w:val="clear" w:fill="auto"/>
                <w:vertAlign w:val="superscript"/>
                <w:rtl w:val="0"/>
              </w:rPr>
              <w:tab/>
            </w:r>
            <w:r>
              <w:rPr>
                <w:rFonts w:ascii="Times New Roman" w:hAnsi="Times New Roman" w:eastAsia="Times New Roman" w:cs="Times New Roman"/>
                <w:b w:val="0"/>
                <w:i w:val="0"/>
                <w:smallCaps w:val="0"/>
                <w:strike w:val="0"/>
                <w:color w:val="000000"/>
                <w:sz w:val="20"/>
                <w:szCs w:val="20"/>
                <w:u w:val="none"/>
                <w:shd w:val="clear" w:fill="auto"/>
                <w:vertAlign w:val="baseline"/>
              </w:rPr>
              <w:drawing>
                <wp:inline distT="0" distB="0" distL="0" distR="0">
                  <wp:extent cx="628650" cy="616585"/>
                  <wp:effectExtent l="0" t="0" r="0" b="0"/>
                  <wp:docPr id="2115606149" name="image1.png"/>
                  <wp:cNvGraphicFramePr/>
                  <a:graphic xmlns:a="http://schemas.openxmlformats.org/drawingml/2006/main">
                    <a:graphicData uri="http://schemas.openxmlformats.org/drawingml/2006/picture">
                      <pic:pic xmlns:pic="http://schemas.openxmlformats.org/drawingml/2006/picture">
                        <pic:nvPicPr>
                          <pic:cNvPr id="2115606149" name="image1.png"/>
                          <pic:cNvPicPr preferRelativeResize="0"/>
                        </pic:nvPicPr>
                        <pic:blipFill>
                          <a:blip r:embed="rId5"/>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20"/>
                <w:szCs w:val="20"/>
                <w:u w:val="none"/>
                <w:shd w:val="clear" w:fill="auto"/>
                <w:vertAlign w:val="baseline"/>
                <w:rtl w:val="0"/>
              </w:rPr>
              <w:tab/>
            </w: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927100" cy="196215"/>
                  <wp:effectExtent l="0" t="0" r="0" b="0"/>
                  <wp:docPr id="2115606148" name="image2.png"/>
                  <wp:cNvGraphicFramePr/>
                  <a:graphic xmlns:a="http://schemas.openxmlformats.org/drawingml/2006/main">
                    <a:graphicData uri="http://schemas.openxmlformats.org/drawingml/2006/picture">
                      <pic:pic xmlns:pic="http://schemas.openxmlformats.org/drawingml/2006/picture">
                        <pic:nvPicPr>
                          <pic:cNvPr id="2115606148"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0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709" w:right="3595" w:firstLine="1"/>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MINISTÉRIO DA EDUCAÇÃO UNIVERSIDADE FEDERAL FLUMINENSE PRO REITORIA DE ADMINISTRAÇÃO</w:t>
            </w:r>
          </w:p>
          <w:p w14:paraId="0000000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2"/>
                <w:szCs w:val="22"/>
                <w:u w:val="none"/>
                <w:shd w:val="clear" w:fill="auto"/>
                <w:vertAlign w:val="baseline"/>
              </w:rPr>
            </w:pPr>
          </w:p>
          <w:p w14:paraId="0000000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FF0000"/>
                <w:sz w:val="18"/>
                <w:szCs w:val="18"/>
                <w:u w:val="none"/>
                <w:shd w:val="clear" w:fill="auto"/>
                <w:vertAlign w:val="baseline"/>
              </w:rPr>
            </w:pPr>
            <w:r>
              <w:rPr>
                <w:rFonts w:ascii="Arial" w:hAnsi="Arial" w:eastAsia="Arial" w:cs="Arial"/>
                <w:b/>
                <w:i w:val="0"/>
                <w:smallCaps w:val="0"/>
                <w:strike w:val="0"/>
                <w:color w:val="FF0000"/>
                <w:sz w:val="18"/>
                <w:szCs w:val="18"/>
                <w:u w:val="none"/>
                <w:shd w:val="clear" w:fill="auto"/>
                <w:vertAlign w:val="baseline"/>
                <w:rtl w:val="0"/>
              </w:rPr>
              <w:t xml:space="preserve">ANEXO </w:t>
            </w:r>
            <w:r>
              <w:rPr>
                <w:rFonts w:hint="default" w:ascii="Arial" w:hAnsi="Arial" w:eastAsia="Arial" w:cs="Arial"/>
                <w:b/>
                <w:i w:val="0"/>
                <w:smallCaps w:val="0"/>
                <w:strike w:val="0"/>
                <w:color w:val="FF0000"/>
                <w:sz w:val="18"/>
                <w:szCs w:val="18"/>
                <w:u w:val="none"/>
                <w:shd w:val="clear" w:fill="auto"/>
                <w:vertAlign w:val="baseline"/>
                <w:rtl w:val="0"/>
                <w:lang w:val="pt-BR"/>
              </w:rPr>
              <w:t>II</w:t>
            </w:r>
            <w:r>
              <w:rPr>
                <w:rFonts w:ascii="Arial" w:hAnsi="Arial" w:eastAsia="Arial" w:cs="Arial"/>
                <w:b/>
                <w:color w:val="FF0000"/>
                <w:sz w:val="18"/>
                <w:szCs w:val="18"/>
                <w:rtl w:val="0"/>
              </w:rPr>
              <w:t xml:space="preserve">I </w:t>
            </w:r>
            <w:r>
              <w:rPr>
                <w:rFonts w:ascii="Arial" w:hAnsi="Arial" w:eastAsia="Arial" w:cs="Arial"/>
                <w:b/>
                <w:i w:val="0"/>
                <w:smallCaps w:val="0"/>
                <w:strike w:val="0"/>
                <w:color w:val="FF0000"/>
                <w:sz w:val="18"/>
                <w:szCs w:val="18"/>
                <w:u w:val="none"/>
                <w:shd w:val="clear" w:fill="auto"/>
                <w:vertAlign w:val="baseline"/>
                <w:rtl w:val="0"/>
              </w:rPr>
              <w:t xml:space="preserve">DO EDITAL DO </w:t>
            </w:r>
            <w:r>
              <w:rPr>
                <w:rFonts w:ascii="Arial" w:hAnsi="Arial" w:eastAsia="Arial" w:cs="Arial"/>
                <w:b/>
                <w:color w:val="FF0000"/>
                <w:sz w:val="18"/>
                <w:szCs w:val="18"/>
                <w:rtl w:val="0"/>
              </w:rPr>
              <w:t>PE</w:t>
            </w:r>
            <w:r>
              <w:rPr>
                <w:rFonts w:ascii="Arial" w:hAnsi="Arial" w:eastAsia="Arial" w:cs="Arial"/>
                <w:b/>
                <w:i w:val="0"/>
                <w:smallCaps w:val="0"/>
                <w:strike w:val="0"/>
                <w:color w:val="FF0000"/>
                <w:sz w:val="18"/>
                <w:szCs w:val="18"/>
                <w:u w:val="none"/>
                <w:shd w:val="clear" w:fill="auto"/>
                <w:vertAlign w:val="baseline"/>
                <w:rtl w:val="0"/>
              </w:rPr>
              <w:t xml:space="preserve"> N.º </w:t>
            </w:r>
            <w:r>
              <w:rPr>
                <w:rFonts w:hint="default" w:ascii="Arial" w:hAnsi="Arial" w:eastAsia="Arial" w:cs="Arial"/>
                <w:b/>
                <w:i w:val="0"/>
                <w:smallCaps w:val="0"/>
                <w:strike w:val="0"/>
                <w:color w:val="FF0000"/>
                <w:sz w:val="18"/>
                <w:szCs w:val="18"/>
                <w:u w:val="none"/>
                <w:shd w:val="clear" w:fill="auto"/>
                <w:vertAlign w:val="baseline"/>
                <w:rtl w:val="0"/>
                <w:lang w:val="pt-BR"/>
              </w:rPr>
              <w:t>90.076</w:t>
            </w:r>
            <w:r>
              <w:rPr>
                <w:rFonts w:ascii="Arial" w:hAnsi="Arial" w:eastAsia="Arial" w:cs="Arial"/>
                <w:b/>
                <w:i w:val="0"/>
                <w:smallCaps w:val="0"/>
                <w:strike w:val="0"/>
                <w:color w:val="FF0000"/>
                <w:sz w:val="18"/>
                <w:szCs w:val="18"/>
                <w:u w:val="none"/>
                <w:shd w:val="clear" w:fill="auto"/>
                <w:vertAlign w:val="baseline"/>
                <w:rtl w:val="0"/>
              </w:rPr>
              <w:t>/202</w:t>
            </w:r>
            <w:r>
              <w:rPr>
                <w:rFonts w:ascii="Arial" w:hAnsi="Arial" w:eastAsia="Arial" w:cs="Arial"/>
                <w:b/>
                <w:color w:val="FF0000"/>
                <w:sz w:val="18"/>
                <w:szCs w:val="18"/>
                <w:rtl w:val="0"/>
              </w:rPr>
              <w:t>5</w:t>
            </w:r>
            <w:r>
              <w:rPr>
                <w:rFonts w:ascii="Arial" w:hAnsi="Arial" w:eastAsia="Arial" w:cs="Arial"/>
                <w:b/>
                <w:i w:val="0"/>
                <w:smallCaps w:val="0"/>
                <w:strike w:val="0"/>
                <w:color w:val="FF0000"/>
                <w:sz w:val="18"/>
                <w:szCs w:val="18"/>
                <w:u w:val="none"/>
                <w:shd w:val="clear" w:fill="auto"/>
                <w:vertAlign w:val="baseline"/>
                <w:rtl w:val="0"/>
              </w:rPr>
              <w:t xml:space="preserve">/AD </w:t>
            </w:r>
          </w:p>
          <w:p w14:paraId="0000000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000000"/>
                <w:sz w:val="18"/>
                <w:szCs w:val="18"/>
                <w:u w:val="none"/>
                <w:shd w:val="clear" w:fill="auto"/>
                <w:vertAlign w:val="baseline"/>
              </w:rPr>
            </w:pPr>
            <w:r>
              <w:rPr>
                <w:rFonts w:ascii="Arial" w:hAnsi="Arial" w:eastAsia="Arial" w:cs="Arial"/>
                <w:b/>
                <w:i w:val="0"/>
                <w:smallCaps w:val="0"/>
                <w:strike w:val="0"/>
                <w:color w:val="000000"/>
                <w:sz w:val="18"/>
                <w:szCs w:val="18"/>
                <w:u w:val="none"/>
                <w:shd w:val="clear" w:fill="auto"/>
                <w:vertAlign w:val="baseline"/>
                <w:rtl w:val="0"/>
              </w:rPr>
              <w:t>MINUTA ATA DE REGISTRO DE PREÇOS</w:t>
            </w:r>
          </w:p>
          <w:p w14:paraId="0000000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1"/>
                <w:szCs w:val="21"/>
                <w:u w:val="none"/>
                <w:shd w:val="clear" w:fill="auto"/>
                <w:vertAlign w:val="baseline"/>
              </w:rPr>
            </w:pPr>
          </w:p>
          <w:p w14:paraId="0000000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2" w:lineRule="auto"/>
              <w:ind w:left="1254" w:right="0" w:firstLine="0"/>
              <w:jc w:val="left"/>
              <w:rPr>
                <w:rFonts w:ascii="Times New Roman" w:hAnsi="Times New Roman" w:eastAsia="Times New Roman" w:cs="Times New Roman"/>
                <w:b w:val="0"/>
                <w:i w:val="0"/>
                <w:smallCaps w:val="0"/>
                <w:strike w:val="0"/>
                <w:color w:val="000000"/>
                <w:sz w:val="2"/>
                <w:szCs w:val="2"/>
                <w:u w:val="none"/>
                <w:shd w:val="clear" w:fill="auto"/>
                <w:vertAlign w:val="baseline"/>
              </w:rPr>
            </w:pPr>
            <w:r>
              <w:rPr>
                <w:rFonts w:ascii="Times New Roman" w:hAnsi="Times New Roman" w:eastAsia="Times New Roman" w:cs="Times New Roman"/>
                <w:b w:val="0"/>
                <w:i w:val="0"/>
                <w:smallCaps w:val="0"/>
                <w:strike w:val="0"/>
                <w:color w:val="000000"/>
                <w:sz w:val="2"/>
                <w:szCs w:val="2"/>
                <w:u w:val="none"/>
                <w:shd w:val="clear" w:fill="auto"/>
                <w:vertAlign w:val="baseline"/>
              </w:rPr>
              <mc:AlternateContent>
                <mc:Choice Requires="wpg">
                  <w:drawing>
                    <wp:inline distT="0" distB="0" distL="0" distR="0">
                      <wp:extent cx="5323205" cy="13335"/>
                      <wp:effectExtent l="0" t="0" r="0" b="0"/>
                      <wp:docPr id="2115606144" name="Grupo 2115606144"/>
                      <wp:cNvGraphicFramePr/>
                      <a:graphic xmlns:a="http://schemas.openxmlformats.org/drawingml/2006/main">
                        <a:graphicData uri="http://schemas.microsoft.com/office/word/2010/wordprocessingGroup">
                          <wpg:wgp>
                            <wpg:cNvGrpSpPr/>
                            <wpg:grpSpPr>
                              <a:xfrm>
                                <a:off x="2684375" y="3773325"/>
                                <a:ext cx="5323205" cy="13335"/>
                                <a:chOff x="2684375" y="3773325"/>
                                <a:chExt cx="5323250" cy="13350"/>
                              </a:xfrm>
                            </wpg:grpSpPr>
                            <wpg:grpSp>
                              <wpg:cNvPr id="1" name="Grupo 1"/>
                              <wpg:cNvGrpSpPr/>
                              <wpg:grpSpPr>
                                <a:xfrm>
                                  <a:off x="2684398" y="3773333"/>
                                  <a:ext cx="5323205" cy="13335"/>
                                  <a:chOff x="2684375" y="3773100"/>
                                  <a:chExt cx="5323250" cy="13175"/>
                                </a:xfrm>
                              </wpg:grpSpPr>
                              <wps:wsp>
                                <wps:cNvPr id="3" name="Shape 3"/>
                                <wps:cNvSpPr/>
                                <wps:spPr>
                                  <a:xfrm>
                                    <a:off x="2684375" y="3773100"/>
                                    <a:ext cx="5323250" cy="13175"/>
                                  </a:xfrm>
                                  <a:prstGeom prst="rect">
                                    <a:avLst/>
                                  </a:prstGeom>
                                  <a:noFill/>
                                  <a:ln>
                                    <a:noFill/>
                                  </a:ln>
                                </wps:spPr>
                                <wps:txbx>
                                  <w:txbxContent>
                                    <w:p w14:paraId="42CFF5D8">
                                      <w:pPr>
                                        <w:spacing w:before="0" w:after="0" w:line="240" w:lineRule="auto"/>
                                        <w:ind w:left="0" w:right="0" w:firstLine="0"/>
                                        <w:jc w:val="left"/>
                                      </w:pPr>
                                    </w:p>
                                  </w:txbxContent>
                                </wps:txbx>
                                <wps:bodyPr spcFirstLastPara="1" wrap="square" lIns="91425" tIns="91425" rIns="91425" bIns="91425" anchor="ctr" anchorCtr="0">
                                  <a:noAutofit/>
                                </wps:bodyPr>
                              </wps:wsp>
                              <wpg:grpSp>
                                <wpg:cNvPr id="2" name="Grupo 2"/>
                                <wpg:cNvGrpSpPr/>
                                <wpg:grpSpPr>
                                  <a:xfrm>
                                    <a:off x="2684398" y="3773333"/>
                                    <a:ext cx="5323205" cy="7620"/>
                                    <a:chOff x="0" y="0"/>
                                    <a:chExt cx="8383" cy="12"/>
                                  </a:xfrm>
                                </wpg:grpSpPr>
                                <wps:wsp>
                                  <wps:cNvPr id="9" name="Shape 9"/>
                                  <wps:cNvSpPr/>
                                  <wps:spPr>
                                    <a:xfrm>
                                      <a:off x="0" y="0"/>
                                      <a:ext cx="8375" cy="0"/>
                                    </a:xfrm>
                                    <a:prstGeom prst="rect">
                                      <a:avLst/>
                                    </a:prstGeom>
                                    <a:noFill/>
                                    <a:ln>
                                      <a:noFill/>
                                    </a:ln>
                                  </wps:spPr>
                                  <wps:txbx>
                                    <w:txbxContent>
                                      <w:p w14:paraId="7C5A62F6">
                                        <w:pPr>
                                          <w:spacing w:before="0" w:after="0" w:line="240" w:lineRule="auto"/>
                                          <w:ind w:left="0" w:right="0" w:firstLine="0"/>
                                          <w:jc w:val="left"/>
                                        </w:pPr>
                                      </w:p>
                                    </w:txbxContent>
                                  </wps:txbx>
                                  <wps:bodyPr spcFirstLastPara="1" wrap="square" lIns="91425" tIns="91425" rIns="91425" bIns="91425" anchor="ctr" anchorCtr="0">
                                    <a:noAutofit/>
                                  </wps:bodyPr>
                                </wps:wsp>
                                <wps:wsp>
                                  <wps:cNvPr id="10" name="Shape 10"/>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wgp>
                        </a:graphicData>
                      </a:graphic>
                    </wp:inline>
                  </w:drawing>
                </mc:Choice>
                <mc:Fallback>
                  <w:pict>
                    <v:group id="_x0000_s1026" o:spid="_x0000_s1026" o:spt="203" style="height:1.05pt;width:419.15pt;" coordorigin="2684375,3773325" coordsize="5323250,13350"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">
                      <o:lock v:ext="edit" aspectratio="f"/>
                      <v:group id="_x0000_s1026" o:spid="_x0000_s1026" o:spt="203" style="position:absolute;left:2684398;top:3773333;height:13335;width:5323205;" coordorigin="2684375,3773100" coordsize="5323250,13175" o:gfxdata="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vJT3i7AAAA2gAAAA8AAAAAAAAAAQAgAAAAIgAAAGRycy9kb3ducmV2LnhtbFBL&#10;AQIUABQAAAAIAIdO4kAzLwWeOwAAADkAAAAVAAAAAAAAAAEAIAAAAAoBAABkcnMvZ3JvdXBzaGFw&#10;ZXhtbC54bWxQSwUGAAAAAAYABgBgAQAAxwMAAAAA&#10;">
                        <o:lock v:ext="edit" aspectratio="f"/>
                        <v:rect id="Shape 3" o:spid="_x0000_s1026" o:spt="1" style="position:absolute;left:2684375;top:3773100;height:13175;width:5323250;v-text-anchor:middle;" filled="f" stroked="f" coordsize="21600,21600" o:gfxdata="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k+72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42CFF5D8">
                                <w:pPr>
                                  <w:spacing w:before="0" w:after="0" w:line="240" w:lineRule="auto"/>
                                  <w:ind w:left="0" w:right="0" w:firstLine="0"/>
                                  <w:jc w:val="left"/>
                                </w:pPr>
                              </w:p>
                            </w:txbxContent>
                          </v:textbox>
                        </v:rect>
                        <v:group id="_x0000_s1026" o:spid="_x0000_s1026" o:spt="203" style="position:absolute;left:2684398;top:3773333;height:7620;width:5323205;" coordsize="8383,1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rect id="Shape 9" o:spid="_x0000_s1026" o:spt="1" style="position:absolute;left:0;top:0;height:0;width:8375;v-text-anchor:middle;" filled="f" stroked="f" coordsize="21600,21600" o:gfxdata="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MzFe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7C5A62F6">
                                  <w:pPr>
                                    <w:spacing w:before="0" w:after="0" w:line="240" w:lineRule="auto"/>
                                    <w:ind w:left="0" w:right="0" w:firstLine="0"/>
                                    <w:jc w:val="left"/>
                                  </w:pPr>
                                </w:p>
                              </w:txbxContent>
                            </v:textbox>
                          </v:rect>
                          <v:shape id="Shape 10" o:spid="_x0000_s1026" o:spt="100" style="position:absolute;left:0;top:10;height:2;width:8383;v-text-anchor:middle;" filled="f" stroked="t" coordsize="8383,120000" o:gfxdata="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5ZgQvQAA&#10;ANsAAAAPAAAAAAAAAAEAIAAAACIAAABkcnMvZG93bnJldi54bWxQSwECFAAUAAAACACHTuJAMy8F&#10;njsAAAA5AAAAEAAAAAAAAAABACAAAAAMAQAAZHJzL3NoYXBleG1sLnhtbFBLBQYAAAAABgAGAFsB&#10;AAC2AwAAAAA=&#10;" path="m0,0l2414,0m2416,0l4830,0m4832,0l7246,0m7248,0l8383,0e">
                            <v:fill on="f" focussize="0,0"/>
                            <v:stroke weight="1.03543307086614pt" color="#000000" joinstyle="round" startarrowwidth="narrow" startarrowlength="short" endarrowwidth="narrow" endarrowlength="short"/>
                            <v:imagedata o:title=""/>
                            <o:lock v:ext="edit" aspectratio="f"/>
                            <v:textbox inset="7.1988188976378pt,7.1988188976378pt,7.1988188976378pt,7.1988188976378pt"/>
                          </v:shape>
                        </v:group>
                      </v:group>
                      <w10:wrap type="none"/>
                      <w10:anchorlock/>
                    </v:group>
                  </w:pict>
                </mc:Fallback>
              </mc:AlternateContent>
            </w:r>
          </w:p>
          <w:p w14:paraId="0000000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D">
            <w:pPr>
              <w:tabs>
                <w:tab w:val="center" w:pos="4779"/>
                <w:tab w:val="right" w:pos="9198"/>
              </w:tabs>
              <w:spacing w:before="120" w:after="120" w:line="276" w:lineRule="auto"/>
              <w:ind w:left="402" w:right="491" w:firstLine="1016"/>
              <w:jc w:val="both"/>
            </w:pPr>
            <w:r>
              <w:rPr>
                <w:rtl w:val="0"/>
              </w:rPr>
              <w:t xml:space="preserve">A </w:t>
            </w:r>
            <w:r>
              <w:rPr>
                <w:b/>
                <w:rtl w:val="0"/>
              </w:rPr>
              <w:t xml:space="preserve">Pró-Reitoria de Administração da Universidade Federal Fluminense (PROAD/UFF), </w:t>
            </w:r>
            <w:r>
              <w:rPr>
                <w:rtl w:val="0"/>
              </w:rPr>
              <w:t xml:space="preserve">inscrito no CNPJ/MF sob o nº. 28.523.215/0039-89, situada na Rua Miguel de Frias, 9, 1º andar, Icaraí, Niterói/RJ, CEP 24.220-900, neste ato representada pela Pró-Reitora de Administração, </w:t>
            </w:r>
            <w:r>
              <w:rPr>
                <w:b/>
                <w:rtl w:val="0"/>
              </w:rPr>
              <w:t xml:space="preserve">Vera Lucia Lavrado Cupelo Cajazeiras, </w:t>
            </w:r>
            <w:r>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auto"/>
                <w:highlight w:val="none"/>
                <w:rtl w:val="0"/>
              </w:rPr>
              <w:t xml:space="preserve">nº </w:t>
            </w:r>
            <w:r>
              <w:rPr>
                <w:rFonts w:hint="default"/>
                <w:color w:val="FF0000"/>
                <w:highlight w:val="none"/>
                <w:rtl w:val="0"/>
                <w:lang w:val="pt-BR"/>
              </w:rPr>
              <w:t>90.076/2025</w:t>
            </w:r>
            <w:r>
              <w:rPr>
                <w:color w:val="FF0000"/>
                <w:highlight w:val="none"/>
                <w:rtl w:val="0"/>
              </w:rPr>
              <w:t>.</w:t>
            </w:r>
            <w:r>
              <w:rPr>
                <w:color w:val="0000FF"/>
                <w:highlight w:val="none"/>
                <w:rtl w:val="0"/>
              </w:rPr>
              <w:t xml:space="preserve">, </w:t>
            </w:r>
            <w:r>
              <w:rPr>
                <w:rtl w:val="0"/>
              </w:rPr>
              <w:t>processo administrativo</w:t>
            </w:r>
            <w:r>
              <w:rPr>
                <w:color w:val="0000FF"/>
                <w:rtl w:val="0"/>
              </w:rPr>
              <w:t xml:space="preserve"> </w:t>
            </w:r>
            <w:r>
              <w:rPr>
                <w:color w:val="auto"/>
                <w:highlight w:val="none"/>
                <w:rtl w:val="0"/>
              </w:rPr>
              <w:t xml:space="preserve">n.º </w:t>
            </w:r>
            <w:r>
              <w:rPr>
                <w:rFonts w:hint="default"/>
                <w:color w:val="FF0000"/>
                <w:highlight w:val="none"/>
                <w:rtl w:val="0"/>
                <w:lang w:val="pt-BR"/>
              </w:rPr>
              <w:t>23069.189912/2025-99</w:t>
            </w:r>
            <w:r>
              <w:rPr>
                <w:color w:val="0000FF"/>
                <w:highlight w:val="none"/>
                <w:rtl w:val="0"/>
              </w:rPr>
              <w:t>,</w:t>
            </w:r>
            <w:r>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0000000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318"/>
              </w:tabs>
              <w:spacing w:before="0" w:after="0" w:line="240" w:lineRule="auto"/>
              <w:ind w:left="610"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1.</w:t>
            </w:r>
            <w:r>
              <w:rPr>
                <w:rFonts w:ascii="Calibri" w:hAnsi="Calibri" w:eastAsia="Calibri" w:cs="Calibri"/>
                <w:b/>
                <w:i w:val="0"/>
                <w:smallCaps w:val="0"/>
                <w:strike w:val="0"/>
                <w:color w:val="000000"/>
                <w:sz w:val="22"/>
                <w:szCs w:val="22"/>
                <w:u w:val="none"/>
                <w:shd w:val="clear" w:fill="auto"/>
                <w:vertAlign w:val="baseline"/>
                <w:rtl w:val="0"/>
              </w:rPr>
              <w:tab/>
            </w:r>
            <w:r>
              <w:rPr>
                <w:rFonts w:ascii="Calibri" w:hAnsi="Calibri" w:eastAsia="Calibri" w:cs="Calibri"/>
                <w:b/>
                <w:i w:val="0"/>
                <w:smallCaps w:val="0"/>
                <w:strike w:val="0"/>
                <w:color w:val="000000"/>
                <w:sz w:val="22"/>
                <w:szCs w:val="22"/>
                <w:u w:val="none"/>
                <w:shd w:val="clear" w:fill="auto"/>
                <w:vertAlign w:val="baseline"/>
                <w:rtl w:val="0"/>
              </w:rPr>
              <w:t>DO OBJETO</w:t>
            </w:r>
          </w:p>
          <w:p w14:paraId="00000010">
            <w:pPr>
              <w:keepNext w:val="0"/>
              <w:keepLines w:val="0"/>
              <w:widowControl w:val="0"/>
              <w:numPr>
                <w:ilvl w:val="1"/>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314"/>
              </w:tabs>
              <w:spacing w:before="72" w:after="0" w:line="240" w:lineRule="auto"/>
              <w:ind w:left="1313" w:right="489" w:hanging="846"/>
              <w:jc w:val="both"/>
            </w:pPr>
            <w:r>
              <w:rPr>
                <w:rFonts w:ascii="Calibri" w:hAnsi="Calibri" w:eastAsia="Calibri" w:cs="Calibri"/>
                <w:b w:val="0"/>
                <w:i w:val="0"/>
                <w:smallCaps w:val="0"/>
                <w:strike w:val="0"/>
                <w:color w:val="000000"/>
                <w:sz w:val="22"/>
                <w:szCs w:val="22"/>
                <w:u w:val="none"/>
                <w:shd w:val="clear" w:fill="auto"/>
                <w:vertAlign w:val="baseline"/>
                <w:rtl w:val="0"/>
              </w:rPr>
              <w:t xml:space="preserve">A presente Ata tem por objeto o registro de preços para a eventual </w:t>
            </w:r>
            <w:r>
              <w:rPr>
                <w:rFonts w:ascii="Calibri" w:hAnsi="Calibri" w:eastAsia="Calibri" w:cs="Calibri"/>
                <w:b/>
                <w:bCs/>
                <w:i w:val="0"/>
                <w:smallCaps w:val="0"/>
                <w:strike w:val="0"/>
                <w:color w:val="000000"/>
                <w:sz w:val="22"/>
                <w:szCs w:val="22"/>
                <w:u w:val="none"/>
                <w:shd w:val="clear" w:fill="auto"/>
                <w:vertAlign w:val="baseline"/>
                <w:rtl w:val="0"/>
              </w:rPr>
              <w:t>Aquisição de Equipamentos de Rede compreendendo o fornecimento de Switches, Transceivers e Módulos</w:t>
            </w:r>
            <w:r>
              <w:rPr>
                <w:rFonts w:ascii="Calibri" w:hAnsi="Calibri" w:eastAsia="Calibri" w:cs="Calibri"/>
                <w:b w:val="0"/>
                <w:i w:val="0"/>
                <w:smallCaps w:val="0"/>
                <w:strike w:val="0"/>
                <w:color w:val="000000"/>
                <w:sz w:val="22"/>
                <w:szCs w:val="22"/>
                <w:u w:val="none"/>
                <w:shd w:val="clear" w:fill="auto"/>
                <w:vertAlign w:val="baseline"/>
                <w:rtl w:val="0"/>
              </w:rPr>
              <w:t xml:space="preserve">, especificado(s) no(s) item(ns) do Termo de Referência e Planilha de Itens, Anexos I e </w:t>
            </w:r>
            <w:r>
              <w:rPr>
                <w:b w:val="0"/>
                <w:i w:val="0"/>
                <w:smallCaps w:val="0"/>
                <w:strike w:val="0"/>
                <w:color w:val="000000"/>
                <w:sz w:val="22"/>
                <w:szCs w:val="22"/>
                <w:u w:val="none"/>
                <w:shd w:val="clear" w:fill="auto"/>
                <w:vertAlign w:val="baseline"/>
                <w:rtl w:val="0"/>
              </w:rPr>
              <w:t>II</w:t>
            </w:r>
            <w:bookmarkStart w:id="12" w:name="_GoBack"/>
            <w:bookmarkEnd w:id="12"/>
            <w:r>
              <w:rPr>
                <w:rFonts w:ascii="Calibri" w:hAnsi="Calibri" w:eastAsia="Calibri" w:cs="Calibri"/>
                <w:b w:val="0"/>
                <w:i w:val="0"/>
                <w:smallCaps w:val="0"/>
                <w:strike w:val="0"/>
                <w:color w:val="000000"/>
                <w:sz w:val="22"/>
                <w:szCs w:val="22"/>
                <w:u w:val="none"/>
                <w:shd w:val="clear" w:fill="auto"/>
                <w:vertAlign w:val="baseline"/>
                <w:rtl w:val="0"/>
              </w:rPr>
              <w:t xml:space="preserve"> do edital de Pregão nº</w:t>
            </w:r>
            <w:r>
              <w:rPr>
                <w:rFonts w:hint="default" w:cs="Calibri"/>
                <w:b w:val="0"/>
                <w:i w:val="0"/>
                <w:smallCaps w:val="0"/>
                <w:strike w:val="0"/>
                <w:color w:val="000000"/>
                <w:sz w:val="22"/>
                <w:szCs w:val="22"/>
                <w:u w:val="none"/>
                <w:shd w:val="clear" w:fill="auto"/>
                <w:vertAlign w:val="baseline"/>
                <w:rtl w:val="0"/>
                <w:lang w:val="pt-BR"/>
              </w:rPr>
              <w:t xml:space="preserve"> </w:t>
            </w:r>
            <w:r>
              <w:rPr>
                <w:rFonts w:hint="default" w:cs="Calibri"/>
                <w:b w:val="0"/>
                <w:i w:val="0"/>
                <w:smallCaps w:val="0"/>
                <w:strike w:val="0"/>
                <w:color w:val="FF0000"/>
                <w:sz w:val="22"/>
                <w:szCs w:val="22"/>
                <w:u w:val="none"/>
                <w:shd w:val="clear" w:fill="auto"/>
                <w:vertAlign w:val="baseline"/>
                <w:rtl w:val="0"/>
                <w:lang w:val="pt-BR"/>
              </w:rPr>
              <w:t>90.076/2025</w:t>
            </w:r>
            <w:r>
              <w:rPr>
                <w:rFonts w:ascii="Calibri" w:hAnsi="Calibri" w:eastAsia="Calibri" w:cs="Calibri"/>
                <w:b w:val="0"/>
                <w:i w:val="0"/>
                <w:smallCaps w:val="0"/>
                <w:strike w:val="0"/>
                <w:color w:val="000000"/>
                <w:sz w:val="22"/>
                <w:szCs w:val="22"/>
                <w:u w:val="none"/>
                <w:shd w:val="clear" w:fill="auto"/>
                <w:vertAlign w:val="baseline"/>
                <w:rtl w:val="0"/>
              </w:rPr>
              <w:t>, que é parte integrante desta Ata, assim como a proposta vencedora, independentemente de transcrição.</w:t>
            </w:r>
          </w:p>
          <w:p w14:paraId="0000001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9"/>
                <w:szCs w:val="29"/>
                <w:u w:val="none"/>
                <w:shd w:val="clear" w:fill="auto"/>
                <w:vertAlign w:val="baseline"/>
              </w:rPr>
            </w:pPr>
          </w:p>
          <w:p w14:paraId="00000012">
            <w:pPr>
              <w:keepNext w:val="0"/>
              <w:keepLines w:val="0"/>
              <w:widowControl w:val="0"/>
              <w:numPr>
                <w:ilvl w:val="2"/>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0" w:after="0" w:line="240" w:lineRule="auto"/>
              <w:ind w:left="1462" w:right="0" w:hanging="846"/>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DOS PREÇOS, ESPECIFICAÇÕES E QUANTITATIVOS</w:t>
            </w:r>
          </w:p>
          <w:p w14:paraId="00000013">
            <w:pPr>
              <w:keepNext w:val="0"/>
              <w:keepLines w:val="0"/>
              <w:widowControl w:val="0"/>
              <w:numPr>
                <w:ilvl w:val="3"/>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73" w:after="0" w:line="240" w:lineRule="auto"/>
              <w:ind w:left="1462" w:right="488" w:hanging="846"/>
              <w:jc w:val="left"/>
            </w:pPr>
            <w:r>
              <w:rPr>
                <w:rFonts w:ascii="Calibri" w:hAnsi="Calibri" w:eastAsia="Calibri" w:cs="Calibri"/>
                <w:b w:val="0"/>
                <w:i w:val="0"/>
                <w:smallCaps w:val="0"/>
                <w:strike w:val="0"/>
                <w:color w:val="000000"/>
                <w:sz w:val="22"/>
                <w:szCs w:val="22"/>
                <w:u w:val="none"/>
                <w:shd w:val="clear" w:fill="auto"/>
                <w:vertAlign w:val="baseline"/>
                <w:rtl w:val="0"/>
              </w:rPr>
              <w:t>O preço registrado, as especificações do objeto, a quantidade, fornecedor(es) e as demais condições ofertadas na(s) proposta(s) são as que seguem:</w:t>
            </w:r>
          </w:p>
          <w:p w14:paraId="0000001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3" w:after="0" w:line="240" w:lineRule="auto"/>
              <w:ind w:left="4309"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Identificação da Empresa</w:t>
            </w:r>
          </w:p>
          <w:p w14:paraId="0000001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singl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Razão Social:</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 CNPJ: </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p>
          <w:p w14:paraId="0000001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none"/>
                <w:shd w:val="clear" w:fill="auto"/>
                <w:vertAlign w:val="baseline"/>
              </w:rPr>
            </w:pPr>
          </w:p>
        </w:tc>
      </w:tr>
      <w:tr w14:paraId="325729F9">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21" w:hRule="atLeast"/>
        </w:trPr>
        <w:tc>
          <w:tcPr>
            <w:tcBorders>
              <w:top w:val="single" w:color="000000" w:sz="4" w:space="0"/>
              <w:left w:val="single" w:color="5F5F5F" w:sz="34" w:space="0"/>
              <w:bottom w:val="single" w:color="000000" w:sz="4" w:space="0"/>
              <w:right w:val="single" w:color="000000" w:sz="4" w:space="0"/>
            </w:tcBorders>
            <w:shd w:val="clear" w:color="auto" w:fill="D9E0F1"/>
            <w:tcMar>
              <w:top w:w="0" w:type="dxa"/>
              <w:left w:w="0" w:type="dxa"/>
              <w:bottom w:w="0" w:type="dxa"/>
              <w:right w:w="0" w:type="dxa"/>
            </w:tcMar>
          </w:tcPr>
          <w:p w14:paraId="0000001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1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56" w:right="5" w:firstLine="0"/>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ITEM</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02" w:right="0" w:firstLine="0"/>
              <w:jc w:val="center"/>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ESPECIFICAÇÃO</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b/>
                <w:i w:val="0"/>
                <w:smallCaps w:val="0"/>
                <w:strike w:val="0"/>
                <w:color w:val="000000"/>
                <w:sz w:val="22"/>
                <w:szCs w:val="22"/>
                <w:u w:val="none"/>
                <w:shd w:val="clear" w:fill="auto"/>
                <w:vertAlign w:val="baseline"/>
              </w:rPr>
            </w:pPr>
          </w:p>
          <w:p w14:paraId="0000002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MARCA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1" w:firstLine="22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MODELO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99"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UNIDADE</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4"/>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QUANT</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left="209" w:right="113" w:hanging="2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 xml:space="preserve">VALOR </w:t>
            </w:r>
            <w:r>
              <w:rPr>
                <w:b/>
                <w:i w:val="0"/>
                <w:smallCaps w:val="0"/>
                <w:strike w:val="0"/>
                <w:color w:val="000000"/>
                <w:sz w:val="22"/>
                <w:szCs w:val="22"/>
                <w:u w:val="none"/>
                <w:shd w:val="clear" w:fill="auto"/>
                <w:vertAlign w:val="baseline"/>
                <w:rtl w:val="0"/>
              </w:rPr>
              <w:t>UNITÁRIO</w:t>
            </w:r>
          </w:p>
        </w:tc>
        <w:tc>
          <w:tcPr>
            <w:tcBorders>
              <w:top w:val="single" w:color="000000" w:sz="4" w:space="0"/>
              <w:left w:val="single" w:color="000000" w:sz="4" w:space="0"/>
              <w:bottom w:val="single" w:color="000000" w:sz="4" w:space="0"/>
              <w:right w:val="single" w:color="5F5F5F" w:sz="34" w:space="0"/>
            </w:tcBorders>
            <w:shd w:val="clear" w:color="auto" w:fill="D9E0F1"/>
            <w:tcMar>
              <w:top w:w="0" w:type="dxa"/>
              <w:left w:w="0" w:type="dxa"/>
              <w:bottom w:w="0" w:type="dxa"/>
              <w:right w:w="0" w:type="dxa"/>
            </w:tcMar>
          </w:tcPr>
          <w:p w14:paraId="0000002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right="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VALOR TOTAL</w:t>
            </w:r>
          </w:p>
        </w:tc>
      </w:tr>
      <w:tr w14:paraId="52324A2D">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Mar>
              <w:top w:w="0" w:type="dxa"/>
              <w:left w:w="0" w:type="dxa"/>
              <w:bottom w:w="0" w:type="dxa"/>
              <w:right w:w="0" w:type="dxa"/>
            </w:tcMar>
          </w:tcPr>
          <w:p w14:paraId="0000002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D">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Mar>
              <w:top w:w="0" w:type="dxa"/>
              <w:left w:w="0" w:type="dxa"/>
              <w:bottom w:w="0" w:type="dxa"/>
              <w:right w:w="0" w:type="dxa"/>
            </w:tcMar>
          </w:tcPr>
          <w:p w14:paraId="0000003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56248F1E">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Pr>
          <w:p w14:paraId="0000003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Pr>
          <w:p w14:paraId="0000003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Pr>
          <w:p w14:paraId="0000003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79CF1C64">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94" w:hRule="atLeast"/>
        </w:trPr>
        <w:tc>
          <w:tcPr>
            <w:gridSpan w:val="8"/>
            <w:tcBorders>
              <w:top w:val="single" w:color="000000" w:sz="4" w:space="0"/>
              <w:left w:val="single" w:color="5F5F5F" w:sz="34" w:space="0"/>
              <w:bottom w:val="single" w:color="5F5F5F" w:sz="34" w:space="0"/>
              <w:right w:val="single" w:color="5F5F5F" w:sz="34" w:space="0"/>
            </w:tcBorders>
            <w:tcMar>
              <w:top w:w="0" w:type="dxa"/>
              <w:left w:w="0" w:type="dxa"/>
              <w:bottom w:w="0" w:type="dxa"/>
              <w:right w:w="0" w:type="dxa"/>
            </w:tcMar>
          </w:tcPr>
          <w:p w14:paraId="0000003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9024"/>
              </w:tabs>
              <w:spacing w:before="0" w:after="0" w:line="240" w:lineRule="auto"/>
              <w:ind w:left="1203" w:right="0" w:firstLine="0"/>
              <w:jc w:val="left"/>
              <w:rPr>
                <w:rFonts w:ascii="Verdana" w:hAnsi="Verdana" w:eastAsia="Verdana" w:cs="Verdana"/>
                <w:b w:val="0"/>
                <w:i w:val="0"/>
                <w:smallCaps w:val="0"/>
                <w:strike w:val="0"/>
                <w:color w:val="000000"/>
                <w:sz w:val="16"/>
                <w:szCs w:val="16"/>
                <w:u w:val="none"/>
                <w:shd w:val="clear" w:fill="auto"/>
                <w:vertAlign w:val="baseline"/>
              </w:rPr>
            </w:pPr>
          </w:p>
        </w:tc>
      </w:tr>
    </w:tbl>
    <w:p w14:paraId="00000047">
      <w:pPr>
        <w:rPr>
          <w:sz w:val="2"/>
          <w:szCs w:val="2"/>
        </w:rPr>
      </w:pPr>
    </w:p>
    <w:p w14:paraId="00000048">
      <w:pPr>
        <w:rPr>
          <w:rFonts w:ascii="Times New Roman" w:hAnsi="Times New Roman" w:eastAsia="Times New Roman" w:cs="Times New Roman"/>
          <w:sz w:val="20"/>
          <w:szCs w:val="20"/>
        </w:rPr>
      </w:pPr>
      <w:r>
        <mc:AlternateContent>
          <mc:Choice Requires="wps">
            <w:drawing>
              <wp:anchor distT="0" distB="0" distL="0" distR="0" simplePos="0" relativeHeight="251660288" behindDoc="1" locked="0" layoutInCell="1" allowOverlap="1">
                <wp:simplePos x="0" y="0"/>
                <wp:positionH relativeFrom="page">
                  <wp:posOffset>909955</wp:posOffset>
                </wp:positionH>
                <wp:positionV relativeFrom="page">
                  <wp:posOffset>2688590</wp:posOffset>
                </wp:positionV>
                <wp:extent cx="5676900" cy="5311775"/>
                <wp:effectExtent l="0" t="0" r="0" b="0"/>
                <wp:wrapNone/>
                <wp:docPr id="2115606146" name="Forma livre 2115606146"/>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71.65pt;margin-top:211.7pt;height:418.25pt;width:447pt;mso-position-horizontal-relative:page;mso-position-vertical-relative:page;z-index:-251656192;v-text-anchor:middle;mso-width-relative:page;mso-height-relative:page;" fillcolor="#C0C0C0" filled="t" stroked="f" coordsize="8910,8335" o:gfxdata="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2381f" focussize="0,0"/>
                <v:stroke on="f"/>
                <v:imagedata o:title=""/>
                <o:lock v:ext="edit" aspectratio="f"/>
                <v:textbox inset="7.1988188976378pt,7.1988188976378pt,7.1988188976378pt,7.1988188976378pt"/>
              </v:shape>
            </w:pict>
          </mc:Fallback>
        </mc:AlternateContent>
      </w:r>
      <w:r>
        <w:rPr>
          <w:rFonts w:ascii="Times New Roman" w:hAnsi="Times New Roman" w:eastAsia="Times New Roman" w:cs="Times New Roman"/>
          <w:sz w:val="20"/>
          <w:szCs w:val="20"/>
          <w:rtl w:val="0"/>
        </w:rPr>
        <w:tab/>
      </w:r>
      <w:r>
        <w:rPr>
          <w:rFonts w:ascii="Times New Roman" w:hAnsi="Times New Roman" w:eastAsia="Times New Roman" w:cs="Times New Roman"/>
          <w:sz w:val="33"/>
          <w:szCs w:val="33"/>
          <w:vertAlign w:val="superscript"/>
        </w:rPr>
        <w:drawing>
          <wp:inline distT="0" distB="0" distL="0" distR="0">
            <wp:extent cx="927100" cy="196215"/>
            <wp:effectExtent l="0" t="0" r="0" b="0"/>
            <wp:docPr id="2115606150" name="image2.png"/>
            <wp:cNvGraphicFramePr/>
            <a:graphic xmlns:a="http://schemas.openxmlformats.org/drawingml/2006/main">
              <a:graphicData uri="http://schemas.openxmlformats.org/drawingml/2006/picture">
                <pic:pic xmlns:pic="http://schemas.openxmlformats.org/drawingml/2006/picture">
                  <pic:nvPicPr>
                    <pic:cNvPr id="2115606150"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4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15"/>
          <w:szCs w:val="15"/>
          <w:u w:val="none"/>
          <w:shd w:val="clear" w:fill="auto"/>
          <w:vertAlign w:val="baseline"/>
        </w:rPr>
      </w:pPr>
    </w:p>
    <w:p w14:paraId="0000004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6" w:after="0" w:line="276" w:lineRule="auto"/>
        <w:ind w:left="752" w:right="737"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2.2. A listagem do cadastro de reserva referente ao presente registro de preços consta como anexo a esta Ata.</w:t>
      </w:r>
    </w:p>
    <w:p w14:paraId="0000004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4C">
      <w:pPr>
        <w:pStyle w:val="2"/>
        <w:numPr>
          <w:ilvl w:val="0"/>
          <w:numId w:val="2"/>
        </w:numPr>
        <w:tabs>
          <w:tab w:val="left" w:pos="1461"/>
          <w:tab w:val="left" w:pos="1462"/>
        </w:tabs>
        <w:spacing w:before="187"/>
        <w:ind w:left="1461" w:hanging="710"/>
      </w:pPr>
      <w:r>
        <w:rPr>
          <w:rtl w:val="0"/>
        </w:rPr>
        <w:t>ÓRGÃO(S) GERENCIADOR E PARTICIPANTE(S)</w:t>
      </w:r>
    </w:p>
    <w:p w14:paraId="0000004D"/>
    <w:p w14:paraId="0000004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O órgão gerenciador será a </w:t>
      </w:r>
      <w:r>
        <w:rPr>
          <w:rFonts w:ascii="Calibri" w:hAnsi="Calibri" w:eastAsia="Calibri" w:cs="Calibri"/>
          <w:b w:val="0"/>
          <w:i w:val="0"/>
          <w:smallCaps w:val="0"/>
          <w:strike w:val="0"/>
          <w:color w:val="FF0000"/>
          <w:sz w:val="22"/>
          <w:szCs w:val="22"/>
          <w:u w:val="none"/>
          <w:shd w:val="clear" w:fill="auto"/>
          <w:vertAlign w:val="baseline"/>
          <w:rtl w:val="0"/>
        </w:rPr>
        <w:t>Pró-Reitoria de Administração</w:t>
      </w:r>
      <w:r>
        <w:rPr>
          <w:rFonts w:ascii="Calibri" w:hAnsi="Calibri" w:eastAsia="Calibri" w:cs="Calibri"/>
          <w:b w:val="0"/>
          <w:i w:val="0"/>
          <w:smallCaps w:val="0"/>
          <w:strike w:val="0"/>
          <w:color w:val="000000"/>
          <w:sz w:val="22"/>
          <w:szCs w:val="22"/>
          <w:u w:val="none"/>
          <w:shd w:val="clear" w:fill="auto"/>
          <w:vertAlign w:val="baseline"/>
          <w:rtl w:val="0"/>
        </w:rPr>
        <w:t>.</w:t>
      </w:r>
    </w:p>
    <w:p w14:paraId="0000004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color w:val="auto"/>
          <w:shd w:val="clear" w:fill="auto"/>
        </w:rPr>
      </w:pPr>
      <w:r>
        <w:rPr>
          <w:rFonts w:ascii="Calibri" w:hAnsi="Calibri" w:eastAsia="Calibri" w:cs="Calibri"/>
          <w:b w:val="0"/>
          <w:i w:val="0"/>
          <w:smallCaps w:val="0"/>
          <w:strike w:val="0"/>
          <w:color w:val="auto"/>
          <w:sz w:val="22"/>
          <w:szCs w:val="22"/>
          <w:u w:val="none"/>
          <w:shd w:val="clear" w:fill="auto"/>
          <w:vertAlign w:val="baseline"/>
          <w:rtl w:val="0"/>
        </w:rPr>
        <w:t>Além do gerenciador, não há</w:t>
      </w:r>
      <w:r>
        <w:rPr>
          <w:b w:val="0"/>
          <w:i w:val="0"/>
          <w:smallCaps w:val="0"/>
          <w:strike w:val="0"/>
          <w:color w:val="auto"/>
          <w:sz w:val="22"/>
          <w:szCs w:val="22"/>
          <w:u w:val="none"/>
          <w:shd w:val="clear" w:fill="auto"/>
          <w:vertAlign w:val="baseline"/>
          <w:rtl w:val="0"/>
        </w:rPr>
        <w:t xml:space="preserve"> órgãos e entidades públicas participantes do registro de preços.</w:t>
      </w:r>
    </w:p>
    <w:p w14:paraId="00000063">
      <w:pPr>
        <w:tabs>
          <w:tab w:val="left" w:pos="1462"/>
        </w:tabs>
        <w:spacing w:before="73"/>
        <w:rPr>
          <w:strike/>
          <w:dstrike w:val="0"/>
        </w:rPr>
      </w:pPr>
    </w:p>
    <w:p w14:paraId="0000006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rFonts w:ascii="Calibri" w:hAnsi="Calibri" w:eastAsia="Calibri" w:cs="Calibri"/>
          <w:b w:val="0"/>
          <w:i w:val="0"/>
          <w:smallCaps w:val="0"/>
          <w:strike w:val="0"/>
          <w:color w:val="auto"/>
          <w:sz w:val="22"/>
          <w:szCs w:val="22"/>
          <w:u w:val="none"/>
          <w:shd w:val="clear" w:fill="auto"/>
          <w:vertAlign w:val="baseline"/>
        </w:rPr>
      </w:pPr>
      <w:r>
        <w:rPr>
          <w:rFonts w:ascii="Calibri" w:hAnsi="Calibri" w:eastAsia="Calibri" w:cs="Calibri"/>
          <w:b w:val="0"/>
          <w:i w:val="0"/>
          <w:smallCaps w:val="0"/>
          <w:strike w:val="0"/>
          <w:color w:val="auto"/>
          <w:sz w:val="22"/>
          <w:szCs w:val="22"/>
          <w:u w:val="none"/>
          <w:shd w:val="clear" w:fill="auto"/>
          <w:vertAlign w:val="baseline"/>
          <w:rtl w:val="0"/>
        </w:rPr>
        <w:t xml:space="preserve">A IRP nº </w:t>
      </w:r>
      <w:r>
        <w:rPr>
          <w:rFonts w:hint="default" w:cs="Calibri"/>
          <w:b/>
          <w:i w:val="0"/>
          <w:smallCaps w:val="0"/>
          <w:strike w:val="0"/>
          <w:color w:val="auto"/>
          <w:sz w:val="22"/>
          <w:szCs w:val="22"/>
          <w:u w:val="none"/>
          <w:shd w:val="clear" w:fill="auto"/>
          <w:vertAlign w:val="baseline"/>
          <w:rtl w:val="0"/>
          <w:lang w:val="pt-BR"/>
        </w:rPr>
        <w:t>34</w:t>
      </w:r>
      <w:r>
        <w:rPr>
          <w:rFonts w:ascii="Calibri" w:hAnsi="Calibri" w:eastAsia="Calibri" w:cs="Calibri"/>
          <w:b/>
          <w:i w:val="0"/>
          <w:smallCaps w:val="0"/>
          <w:strike w:val="0"/>
          <w:color w:val="auto"/>
          <w:sz w:val="22"/>
          <w:szCs w:val="22"/>
          <w:u w:val="none"/>
          <w:shd w:val="clear" w:fill="auto"/>
          <w:vertAlign w:val="baseline"/>
          <w:rtl w:val="0"/>
        </w:rPr>
        <w:t>/</w:t>
      </w:r>
      <w:r>
        <w:rPr>
          <w:rFonts w:hint="default" w:cs="Calibri"/>
          <w:b/>
          <w:i w:val="0"/>
          <w:smallCaps w:val="0"/>
          <w:strike w:val="0"/>
          <w:color w:val="auto"/>
          <w:sz w:val="22"/>
          <w:szCs w:val="22"/>
          <w:u w:val="none"/>
          <w:shd w:val="clear" w:fill="auto"/>
          <w:vertAlign w:val="baseline"/>
          <w:rtl w:val="0"/>
          <w:lang w:val="pt-BR"/>
        </w:rPr>
        <w:t xml:space="preserve">2025 </w:t>
      </w:r>
      <w:r>
        <w:rPr>
          <w:rFonts w:ascii="Calibri" w:hAnsi="Calibri" w:eastAsia="Calibri" w:cs="Calibri"/>
          <w:b w:val="0"/>
          <w:i w:val="0"/>
          <w:smallCaps w:val="0"/>
          <w:strike w:val="0"/>
          <w:color w:val="auto"/>
          <w:sz w:val="22"/>
          <w:szCs w:val="22"/>
          <w:u w:val="none"/>
          <w:shd w:val="clear" w:fill="auto"/>
          <w:vertAlign w:val="baseline"/>
          <w:rtl w:val="0"/>
        </w:rPr>
        <w:t>não foi divulgada, conforme previsão do</w:t>
      </w:r>
      <w:r>
        <w:rPr>
          <w:rFonts w:hint="default" w:cs="Calibri"/>
          <w:b w:val="0"/>
          <w:i w:val="0"/>
          <w:smallCaps w:val="0"/>
          <w:strike w:val="0"/>
          <w:color w:val="auto"/>
          <w:sz w:val="22"/>
          <w:szCs w:val="22"/>
          <w:u w:val="none"/>
          <w:shd w:val="clear" w:fill="auto"/>
          <w:vertAlign w:val="baseline"/>
          <w:rtl w:val="0"/>
          <w:lang w:val="pt-BR"/>
        </w:rPr>
        <w:t xml:space="preserve"> Despacho PROAD constante do processo.</w:t>
      </w:r>
    </w:p>
    <w:p w14:paraId="0000006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highlight w:val="yellow"/>
        </w:rPr>
      </w:pPr>
    </w:p>
    <w:p w14:paraId="0000006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highlight w:val="yellow"/>
        </w:rPr>
      </w:pPr>
    </w:p>
    <w:p w14:paraId="0000006B">
      <w:pPr>
        <w:pStyle w:val="2"/>
        <w:numPr>
          <w:ilvl w:val="0"/>
          <w:numId w:val="2"/>
        </w:numPr>
        <w:tabs>
          <w:tab w:val="left" w:pos="1461"/>
          <w:tab w:val="left" w:pos="1462"/>
        </w:tabs>
        <w:ind w:left="1461" w:hanging="710"/>
      </w:pPr>
      <w:r>
        <w:rPr>
          <w:rtl w:val="0"/>
        </w:rPr>
        <w:t>DA ADESÃO À ATA DE REGISTRO DE PREÇOS</w:t>
      </w:r>
    </w:p>
    <w:p w14:paraId="00000070">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right="0"/>
        <w:jc w:val="center"/>
        <w:rPr>
          <w:rFonts w:ascii="Calibri" w:hAnsi="Calibri" w:eastAsia="Calibri" w:cs="Calibri"/>
          <w:b w:val="0"/>
          <w:i/>
          <w:smallCaps w:val="0"/>
          <w:strike/>
          <w:dstrike w:val="0"/>
          <w:color w:val="auto"/>
          <w:sz w:val="22"/>
          <w:szCs w:val="22"/>
          <w:u w:val="none"/>
          <w:shd w:val="clear" w:fill="auto"/>
          <w:vertAlign w:val="baseline"/>
        </w:rPr>
      </w:pPr>
      <w:r>
        <w:rPr>
          <w:rFonts w:ascii="Calibri" w:hAnsi="Calibri" w:eastAsia="Calibri" w:cs="Calibri"/>
          <w:b w:val="0"/>
          <w:i/>
          <w:smallCaps w:val="0"/>
          <w:strike w:val="0"/>
          <w:color w:val="000000"/>
          <w:sz w:val="22"/>
          <w:szCs w:val="22"/>
          <w:u w:val="none"/>
          <w:shd w:val="clear" w:fill="auto"/>
          <w:vertAlign w:val="baseline"/>
          <w:rtl w:val="0"/>
        </w:rPr>
        <w:t xml:space="preserve"> </w:t>
      </w:r>
    </w:p>
    <w:p w14:paraId="0000007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p>
    <w:p w14:paraId="00000072">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val="0"/>
          <w:dstrike w:val="0"/>
          <w:color w:val="auto"/>
          <w:sz w:val="22"/>
          <w:szCs w:val="22"/>
          <w:u w:val="none"/>
          <w:shd w:val="clear" w:fill="auto"/>
          <w:vertAlign w:val="baseline"/>
        </w:rPr>
      </w:pPr>
    </w:p>
    <w:p w14:paraId="00000073">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4.2.1. apresentação de justificativa da vantagem da adesão, inclusive em situações de provável desabastecimento ou descontinuidade de serviço público;</w:t>
      </w:r>
    </w:p>
    <w:p w14:paraId="0000007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4.2.2.  demonstração de que os valores registrados estão compatíveis com os valores praticados pelo mercado na forma do art. 23 da Lei nº 14.133, de 2021; e</w:t>
      </w:r>
    </w:p>
    <w:p w14:paraId="00000075">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4.2.3.  consulta e aceitação prévias do órgão ou da entidade gerenciadora e do fornecedor</w:t>
      </w:r>
    </w:p>
    <w:p w14:paraId="00000076">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p>
    <w:p w14:paraId="0000007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A autorização do órgão ou entidade gerenciadora apenas será realizada após a aceitação da adesão pelo fornecedor.</w:t>
      </w:r>
    </w:p>
    <w:p w14:paraId="00000078">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val="0"/>
          <w:dstrike w:val="0"/>
          <w:color w:val="auto"/>
          <w:sz w:val="22"/>
          <w:szCs w:val="22"/>
          <w:u w:val="none"/>
          <w:shd w:val="clear" w:fill="auto"/>
          <w:vertAlign w:val="baseline"/>
        </w:rPr>
      </w:pPr>
    </w:p>
    <w:p w14:paraId="0000007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4.3.1. O órgão ou entidade gerenciadora poderá rejeitar adesões caso elas possam acarretar prejuízo à execução de seus próprios contratos ou à sua capacidade de gerenciamento.</w:t>
      </w:r>
    </w:p>
    <w:p w14:paraId="0000007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val="0"/>
          <w:dstrike w:val="0"/>
          <w:color w:val="auto"/>
          <w:sz w:val="22"/>
          <w:szCs w:val="22"/>
          <w:u w:val="none"/>
          <w:shd w:val="clear" w:fill="auto"/>
          <w:vertAlign w:val="baseline"/>
        </w:rPr>
      </w:pPr>
    </w:p>
    <w:p w14:paraId="0000007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Após a autorização do órgão ou da entidade gerenciadora, o órgão ou entidade não participante deverá efetivar a aquisição ou a contratação solicitada em até noventa dias, observado o prazo de vigência da ata.</w:t>
      </w:r>
    </w:p>
    <w:p w14:paraId="0000007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0000007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dstrike w:val="0"/>
          <w:color w:val="auto"/>
          <w:sz w:val="22"/>
          <w:szCs w:val="22"/>
          <w:u w:val="none"/>
          <w:shd w:val="clear" w:fill="auto"/>
          <w:vertAlign w:val="baseline"/>
        </w:rPr>
      </w:pPr>
      <w:r>
        <w:rPr>
          <w:b w:val="0"/>
          <w:i w:val="0"/>
          <w:smallCaps w:val="0"/>
          <w:strike w:val="0"/>
          <w:dstrike w:val="0"/>
          <w:color w:val="auto"/>
          <w:sz w:val="22"/>
          <w:szCs w:val="22"/>
          <w:u w:val="none"/>
          <w:shd w:val="clear" w:fill="auto"/>
          <w:vertAlign w:val="baseline"/>
          <w:rtl w:val="0"/>
        </w:rPr>
        <w:t>O órgão ou a entidade poderá aderir a item da ata de registro de preços da qual seja integrante, na qualidade de não participante, para aqueles itens para os quais não tenha quantitativo registrado, observados os requisitos do item 4.1.</w:t>
      </w:r>
    </w:p>
    <w:p w14:paraId="0000007E">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dstrike w:val="0"/>
          <w:color w:val="auto"/>
          <w:sz w:val="22"/>
          <w:szCs w:val="22"/>
          <w:u w:val="none"/>
          <w:shd w:val="clear" w:fill="auto"/>
          <w:vertAlign w:val="baseline"/>
        </w:rPr>
      </w:pPr>
    </w:p>
    <w:p w14:paraId="0000007F">
      <w:pPr>
        <w:tabs>
          <w:tab w:val="left" w:pos="1462"/>
        </w:tabs>
        <w:spacing w:before="69"/>
        <w:ind w:left="751" w:right="700" w:firstLine="0"/>
        <w:rPr>
          <w:b/>
          <w:color w:val="auto"/>
        </w:rPr>
      </w:pPr>
      <w:r>
        <w:rPr>
          <w:b/>
          <w:color w:val="auto"/>
          <w:rtl w:val="0"/>
        </w:rPr>
        <w:t>Dos limites para as adesões</w:t>
      </w:r>
    </w:p>
    <w:p w14:paraId="00000080">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0000008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0000008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p>
    <w:p w14:paraId="0000008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hanging="709"/>
        <w:jc w:val="both"/>
        <w:rPr>
          <w:rFonts w:ascii="Calibri" w:hAnsi="Calibri" w:eastAsia="Calibri" w:cs="Calibri"/>
          <w:b w:val="0"/>
          <w:i/>
          <w:smallCaps w:val="0"/>
          <w:strike w:val="0"/>
          <w:color w:val="000000"/>
          <w:sz w:val="22"/>
          <w:szCs w:val="22"/>
          <w:u w:val="none"/>
          <w:shd w:val="clear" w:fill="auto"/>
          <w:vertAlign w:val="baseline"/>
        </w:rPr>
      </w:pPr>
      <w:r>
        <w:rPr>
          <w:rFonts w:ascii="Calibri" w:hAnsi="Calibri" w:eastAsia="Calibri" w:cs="Calibri"/>
          <w:b w:val="0"/>
          <w:i w:val="0"/>
          <w:smallCaps w:val="0"/>
          <w:strike w:val="0"/>
          <w:color w:val="auto"/>
          <w:sz w:val="22"/>
          <w:szCs w:val="22"/>
          <w:u w:val="none"/>
          <w:shd w:val="clear" w:fill="auto"/>
          <w:vertAlign w:val="baseline"/>
          <w:rtl w:val="0"/>
        </w:rPr>
        <w:t>A adesão à ata de registro de preços por órgãos e entidades da A</w:t>
      </w:r>
      <w:r>
        <w:rPr>
          <w:rFonts w:ascii="Calibri" w:hAnsi="Calibri" w:eastAsia="Calibri" w:cs="Calibri"/>
          <w:b w:val="0"/>
          <w:i w:val="0"/>
          <w:smallCaps w:val="0"/>
          <w:strike w:val="0"/>
          <w:color w:val="000000"/>
          <w:sz w:val="22"/>
          <w:szCs w:val="22"/>
          <w:u w:val="none"/>
          <w:shd w:val="clear" w:fill="auto"/>
          <w:vertAlign w:val="baseline"/>
          <w:rtl w:val="0"/>
        </w:rPr>
        <w:t>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p>
    <w:p w14:paraId="0000008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firstLine="0"/>
        <w:jc w:val="both"/>
        <w:rPr>
          <w:rFonts w:ascii="Calibri" w:hAnsi="Calibri" w:eastAsia="Calibri" w:cs="Calibri"/>
          <w:b w:val="0"/>
          <w:i/>
          <w:smallCaps w:val="0"/>
          <w:strike w:val="0"/>
          <w:color w:val="000000"/>
          <w:sz w:val="22"/>
          <w:szCs w:val="22"/>
          <w:u w:val="none"/>
          <w:shd w:val="clear" w:fill="auto"/>
          <w:vertAlign w:val="baseline"/>
        </w:rPr>
      </w:pPr>
    </w:p>
    <w:p w14:paraId="00000085">
      <w:pPr>
        <w:tabs>
          <w:tab w:val="left" w:pos="1462"/>
        </w:tabs>
        <w:spacing w:before="69"/>
        <w:ind w:left="751" w:right="700" w:firstLine="0"/>
        <w:rPr>
          <w:b/>
        </w:rPr>
      </w:pPr>
      <w:r>
        <w:rPr>
          <w:b/>
          <w:rtl w:val="0"/>
        </w:rPr>
        <w:t>Vedação a acréscimo de quantitativos</w:t>
      </w:r>
    </w:p>
    <w:p w14:paraId="0000008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hanging="709"/>
        <w:jc w:val="both"/>
        <w:rPr>
          <w:rFonts w:ascii="Calibri" w:hAnsi="Calibri" w:eastAsia="Calibri" w:cs="Calibri"/>
          <w:b w:val="0"/>
          <w:i/>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É vedado efetuar acréscimos nos quantitativos fixados na ata de registro de preços</w:t>
      </w:r>
    </w:p>
    <w:p w14:paraId="00000087">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88">
      <w:pPr>
        <w:pStyle w:val="2"/>
        <w:numPr>
          <w:ilvl w:val="0"/>
          <w:numId w:val="2"/>
        </w:numPr>
        <w:tabs>
          <w:tab w:val="left" w:pos="1461"/>
          <w:tab w:val="left" w:pos="1462"/>
        </w:tabs>
        <w:ind w:left="1461" w:hanging="710"/>
      </w:pPr>
      <w:r>
        <w:rPr>
          <w:rtl w:val="0"/>
        </w:rPr>
        <w:t>VALIDADE, FORMALIZAÇÃO DA ATA DE REGISTRO DE PREÇOS E CADASTRO RESERVA</w:t>
      </w:r>
    </w:p>
    <w:p w14:paraId="0000008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000008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8B">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formalização do contrato ou do instrumento substituto deverá haver a indicação da disponibilidade dos créditos orçamentários respectivos.</w:t>
      </w:r>
    </w:p>
    <w:p w14:paraId="0000008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8D">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instrumento contratual de que trata o item 5.2. deverá ser assinado no prazo de validade da ata de registro de preços.</w:t>
      </w:r>
    </w:p>
    <w:p w14:paraId="0000008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contratos decorrentes do sistema de registro de preços poderão ser alterados, observado o art. 124 da Lei nº 14.133, de 2021.</w:t>
      </w:r>
    </w:p>
    <w:p w14:paraId="0000008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deverão ser observadas as seguintes condições para formalização da ata de registro de preços:</w:t>
      </w:r>
    </w:p>
    <w:p w14:paraId="0000009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Serão registrados na ata os preços e os quantitativos do adjudicatário, devendo ser observada a possibilidade de o licitante oferecer ou não proposta em quantitativo inferior ao máximo previsto no edital</w:t>
      </w:r>
      <w:r>
        <w:rPr>
          <w:b w:val="0"/>
          <w:i w:val="0"/>
          <w:smallCaps w:val="0"/>
          <w:strike w:val="0"/>
          <w:color w:val="000000"/>
          <w:sz w:val="22"/>
          <w:szCs w:val="22"/>
          <w:u w:val="none"/>
          <w:shd w:val="clear" w:fill="auto"/>
          <w:vertAlign w:val="baseline"/>
          <w:rtl w:val="0"/>
        </w:rPr>
        <w:t xml:space="preserve"> e</w:t>
      </w:r>
      <w:r>
        <w:rPr>
          <w:rFonts w:ascii="Calibri" w:hAnsi="Calibri" w:eastAsia="Calibri" w:cs="Calibri"/>
          <w:b w:val="0"/>
          <w:i w:val="0"/>
          <w:smallCaps w:val="0"/>
          <w:strike w:val="0"/>
          <w:color w:val="000000"/>
          <w:sz w:val="22"/>
          <w:szCs w:val="22"/>
          <w:u w:val="none"/>
          <w:shd w:val="clear" w:fill="auto"/>
          <w:vertAlign w:val="baseline"/>
          <w:rtl w:val="0"/>
        </w:rPr>
        <w:t xml:space="preserve"> se obrigar nos limites dela;</w:t>
      </w:r>
    </w:p>
    <w:p w14:paraId="0000009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incluído na ata, na forma de anexo, o registro dos licitantes ou dos fornecedores que:</w:t>
      </w:r>
    </w:p>
    <w:p w14:paraId="0000009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2127" w:right="700" w:firstLine="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5.4.2.1 Aceitarem cotar os bens, as obras ou os serviços com preços iguais aos do adjudicatário, observada a classificação da licitação; e </w:t>
      </w:r>
    </w:p>
    <w:p w14:paraId="00000093">
      <w:pPr>
        <w:keepNext w:val="0"/>
        <w:keepLines w:val="0"/>
        <w:pageBreakBefore w:val="0"/>
        <w:widowControl/>
        <w:numPr>
          <w:ilvl w:val="3"/>
          <w:numId w:val="1"/>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3567"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Mantiverem sua proposta original. </w:t>
      </w:r>
      <w:bookmarkStart w:id="0" w:name="bookmark=id.gjdgxs" w:colFirst="0" w:colLast="0"/>
      <w:bookmarkEnd w:id="0"/>
    </w:p>
    <w:p w14:paraId="00000094">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respeitada, nas contratações, a ordem de classificação dos licitantes ou dos fornecedores registrados na ata.</w:t>
      </w:r>
    </w:p>
    <w:p w14:paraId="00000095">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a que se refere o item 5.4.2</w:t>
      </w:r>
      <w:r>
        <w:rPr>
          <w:rFonts w:ascii="Calibri" w:hAnsi="Calibri" w:eastAsia="Calibri" w:cs="Calibri"/>
          <w:b/>
          <w:i w:val="0"/>
          <w:smallCaps w:val="0"/>
          <w:strike w:val="0"/>
          <w:color w:val="000000"/>
          <w:sz w:val="22"/>
          <w:szCs w:val="22"/>
          <w:u w:val="none"/>
          <w:shd w:val="clear" w:fill="auto"/>
          <w:vertAlign w:val="baseline"/>
          <w:rtl w:val="0"/>
        </w:rPr>
        <w:t xml:space="preserve"> </w:t>
      </w:r>
      <w:r>
        <w:rPr>
          <w:rFonts w:ascii="Calibri" w:hAnsi="Calibri" w:eastAsia="Calibri" w:cs="Calibri"/>
          <w:b w:val="0"/>
          <w:i w:val="0"/>
          <w:smallCaps w:val="0"/>
          <w:strike w:val="0"/>
          <w:color w:val="000000"/>
          <w:sz w:val="22"/>
          <w:szCs w:val="22"/>
          <w:u w:val="none"/>
          <w:shd w:val="clear" w:fill="auto"/>
          <w:vertAlign w:val="baseline"/>
          <w:rtl w:val="0"/>
        </w:rPr>
        <w:t>tem por objetivo a formação de cadastro de reserva para o caso de impossibilidade de atendimento pelo signatário da ata.</w:t>
      </w:r>
    </w:p>
    <w:p w14:paraId="0000009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Para fins da ordem de classificação, os licitantes ou fornecedores que aceitarem reduzir suas propostas para o preço do adjudicatário antecederão aqueles que mantiverem sua proposta original.</w:t>
      </w:r>
    </w:p>
    <w:p w14:paraId="0000009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9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o licitante vencedor não assinar a ata de registro de preços, no prazo e nas condições estabelecidos no edital; e</w:t>
      </w:r>
    </w:p>
    <w:p w14:paraId="0000009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houver o cancelamento do registro do licitante ou do registro de preços nas hipóteses previstas no item 9</w:t>
      </w:r>
      <w:r>
        <w:rPr>
          <w:rFonts w:ascii="Arial" w:hAnsi="Arial" w:eastAsia="Arial" w:cs="Arial"/>
          <w:b w:val="0"/>
          <w:i/>
          <w:smallCaps w:val="0"/>
          <w:strike w:val="0"/>
          <w:color w:val="000000"/>
          <w:sz w:val="20"/>
          <w:szCs w:val="20"/>
          <w:u w:val="none"/>
          <w:shd w:val="clear" w:fill="auto"/>
          <w:vertAlign w:val="baseline"/>
          <w:rtl w:val="0"/>
        </w:rPr>
        <w:t>.</w:t>
      </w:r>
    </w:p>
    <w:p w14:paraId="0000009A">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preço registrado com indicação dos licitantes e fornecedores será divulgado no PNCP e ficará disponibilizado durante a vigência da ata de registro de preços.</w:t>
      </w:r>
    </w:p>
    <w:p w14:paraId="0000009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9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prazo de convocação poderá ser prorrogado 1 (uma) vez, por igual período, mediante solicitação do licitante ou fornecedor convocado, desde que apresentada dentro do prazo, devidamente justificada, e que a justificativa seja aceita pela</w:t>
      </w:r>
      <w:r>
        <w:rPr>
          <w:rFonts w:ascii="Calibri" w:hAnsi="Calibri" w:eastAsia="Calibri" w:cs="Calibri"/>
          <w:b w:val="0"/>
          <w:i/>
          <w:smallCaps w:val="0"/>
          <w:strike w:val="0"/>
          <w:color w:val="000000"/>
          <w:sz w:val="22"/>
          <w:szCs w:val="22"/>
          <w:u w:val="none"/>
          <w:shd w:val="clear" w:fill="auto"/>
          <w:vertAlign w:val="baseline"/>
          <w:rtl w:val="0"/>
        </w:rPr>
        <w:t xml:space="preserve"> Administração</w:t>
      </w:r>
      <w:r>
        <w:rPr>
          <w:rFonts w:ascii="Arial" w:hAnsi="Arial" w:eastAsia="Arial" w:cs="Arial"/>
          <w:b w:val="0"/>
          <w:i/>
          <w:smallCaps w:val="0"/>
          <w:strike w:val="0"/>
          <w:color w:val="000000"/>
          <w:sz w:val="20"/>
          <w:szCs w:val="20"/>
          <w:u w:val="none"/>
          <w:shd w:val="clear" w:fill="auto"/>
          <w:vertAlign w:val="baseline"/>
          <w:rtl w:val="0"/>
        </w:rPr>
        <w:t>.</w:t>
      </w:r>
    </w:p>
    <w:p w14:paraId="0000009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ata de registro de preços será assinada por meio de assinatura digital e disponibilizada no Sistema de Registro de Preços.</w:t>
      </w:r>
    </w:p>
    <w:p w14:paraId="0000009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9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Na hipótese de nenhum dos licitantes que trata o item 5.4.2.1, aceitar a contratação nos termos do item anterior, a Administração, observados o valor estimado e sua eventual atualização nos termos </w:t>
      </w:r>
      <w:r>
        <w:rPr>
          <w:rFonts w:ascii="Calibri" w:hAnsi="Calibri" w:eastAsia="Calibri" w:cs="Calibri"/>
          <w:b w:val="0"/>
          <w:smallCaps w:val="0"/>
          <w:strike w:val="0"/>
          <w:sz w:val="22"/>
          <w:szCs w:val="22"/>
          <w:u w:val="none"/>
          <w:shd w:val="clear" w:fill="auto"/>
          <w:vertAlign w:val="baseline"/>
          <w:rtl w:val="0"/>
        </w:rPr>
        <w:t>do edital</w:t>
      </w:r>
      <w:r>
        <w:rPr>
          <w:rFonts w:ascii="Calibri" w:hAnsi="Calibri" w:eastAsia="Calibri" w:cs="Calibri"/>
          <w:b w:val="0"/>
          <w:i w:val="0"/>
          <w:smallCaps w:val="0"/>
          <w:strike w:val="0"/>
          <w:color w:val="000000"/>
          <w:sz w:val="22"/>
          <w:szCs w:val="22"/>
          <w:u w:val="none"/>
          <w:shd w:val="clear" w:fill="auto"/>
          <w:vertAlign w:val="baseline"/>
          <w:rtl w:val="0"/>
        </w:rPr>
        <w:t>, poderá:</w:t>
      </w:r>
    </w:p>
    <w:p w14:paraId="000000A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A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Adjudicar e firmar o contrato nas condições ofertadas pelos licitantes ou fornecedores remanescentes, atendida a ordem classificatória, quando frustrada a negociação de melhor condição.</w:t>
      </w:r>
    </w:p>
    <w:p w14:paraId="000000A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A3">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both"/>
        <w:rPr>
          <w:rFonts w:ascii="Calibri" w:hAnsi="Calibri" w:eastAsia="Calibri" w:cs="Calibri"/>
          <w:b w:val="0"/>
          <w:i w:val="0"/>
          <w:smallCaps w:val="0"/>
          <w:strike w:val="0"/>
          <w:color w:val="000000"/>
          <w:sz w:val="22"/>
          <w:szCs w:val="22"/>
          <w:u w:val="none"/>
          <w:shd w:val="clear" w:fill="auto"/>
          <w:vertAlign w:val="baseline"/>
        </w:rPr>
      </w:pPr>
    </w:p>
    <w:p w14:paraId="000000A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A5">
      <w:pPr>
        <w:pStyle w:val="2"/>
        <w:numPr>
          <w:ilvl w:val="0"/>
          <w:numId w:val="2"/>
        </w:numPr>
        <w:tabs>
          <w:tab w:val="left" w:pos="1461"/>
          <w:tab w:val="left" w:pos="1462"/>
        </w:tabs>
        <w:ind w:left="1461" w:hanging="710"/>
      </w:pPr>
      <w:r>
        <w:rPr>
          <w:rtl w:val="0"/>
        </w:rPr>
        <w:t>ALTERAÇÃO OU ATUALIZAÇÃO DOS PREÇOS REGISTRADOS</w:t>
      </w:r>
    </w:p>
    <w:p w14:paraId="000000A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preços registrados poderão ser alterados ou atualizados em decorrência de eventual redução dos preços praticados no mercado ou de fato que eleve o custo dos bens, das obras ou dos serviços registrados, nas seguintes situações:</w:t>
      </w:r>
    </w:p>
    <w:p w14:paraId="000000A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A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Em caso de criação, alteração ou extinção de quaisquer tributos ou encargos legais ou a superveniência de disposições legais, com comprovada repercussão sobre os preços registrados; </w:t>
      </w:r>
    </w:p>
    <w:p w14:paraId="000000A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previsão no edital ou no aviso de contratação direta de cláusula de reajustamento ou repactuação sobre os preços registrados, nos termos da Lei nº 14.133, de 2021.</w:t>
      </w:r>
    </w:p>
    <w:p w14:paraId="000000AA">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No caso do reajustamento, deverá ser respeitada a contagem da anualidade e o índice previstos para a contratação;  </w:t>
      </w:r>
    </w:p>
    <w:p w14:paraId="000000AB">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No caso da repactuação, poderá ser a pedido do interessado, conforme critérios definidos para a contratação.</w:t>
      </w:r>
    </w:p>
    <w:p w14:paraId="000000AC">
      <w:pPr>
        <w:pStyle w:val="2"/>
        <w:tabs>
          <w:tab w:val="left" w:pos="1461"/>
          <w:tab w:val="left" w:pos="1462"/>
        </w:tabs>
        <w:ind w:firstLine="0"/>
      </w:pPr>
    </w:p>
    <w:p w14:paraId="000000AD">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NEGOCIAÇÃO DE PREÇOS REGISTRADOS</w:t>
      </w:r>
    </w:p>
    <w:p w14:paraId="000000A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registrado tornar-se superior ao preço praticado no mercado por motivo superveniente, o órgão ou entidade gerenciadora convocará o fornecedor para negociar a redução do preço registrado.</w:t>
      </w:r>
    </w:p>
    <w:p w14:paraId="000000A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Caso não aceite reduzir seu preço aos valores praticados pelo mercado, o fornecedor será liberado do compromisso assumido quanto ao item registrado, sem aplicação de penalidades administrativas.</w:t>
      </w:r>
    </w:p>
    <w:p w14:paraId="000000B2">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B3">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B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B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B6">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B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B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B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B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BB"/>
    <w:p w14:paraId="000000BC">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REMANEJAMENTO DAS QUANTIDADES REGISTRADAS NA ATA DE REGISTRO DE PREÇOS</w:t>
      </w:r>
    </w:p>
    <w:p w14:paraId="000000B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0000B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remanejamento somente poderá ser feito:</w:t>
      </w:r>
    </w:p>
    <w:p w14:paraId="000000B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participante; ou</w:t>
      </w:r>
    </w:p>
    <w:p w14:paraId="000000C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não participante.</w:t>
      </w:r>
    </w:p>
    <w:p w14:paraId="000000C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gerenciadora que tiver estimado as quantidades que pretende contratar será considerado participante para efeito do remanejamento.</w:t>
      </w:r>
      <w:bookmarkStart w:id="8" w:name="bookmark=id.4d34og8" w:colFirst="0" w:colLast="0"/>
      <w:bookmarkEnd w:id="8"/>
    </w:p>
    <w:p w14:paraId="000000C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remanejamento de órgão ou entidade participante para órgão ou entidade não participante, serão observados os limites previstos no art. 32 do Decreto nº 11.462, de 2023.</w:t>
      </w:r>
    </w:p>
    <w:p w14:paraId="000000C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C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C5">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C6"/>
    <w:p w14:paraId="000000C7">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CANCELAMENTO DO REGISTRO DO LICITANTE VENCEDOR E DOS PREÇOS REGISTRADOS</w:t>
      </w:r>
      <w:bookmarkStart w:id="9" w:name="bookmark=id.2s8eyo1" w:colFirst="0" w:colLast="0"/>
      <w:bookmarkEnd w:id="9"/>
    </w:p>
    <w:p w14:paraId="000000C8">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do fornecedor será cancelado pelo gerenciador, quando o fornecedor:</w:t>
      </w:r>
      <w:bookmarkStart w:id="10" w:name="bookmark=id.17dp8vu" w:colFirst="0" w:colLast="0"/>
      <w:bookmarkEnd w:id="10"/>
    </w:p>
    <w:p w14:paraId="000000C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Descumprir as condições da ata de registro de preços, sem motivo justificado;</w:t>
      </w:r>
    </w:p>
    <w:p w14:paraId="000000C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retirar a nota de empenho, ou instrumento equivalente, no prazo estabelecido pela Administração sem justificativa razoável;</w:t>
      </w:r>
    </w:p>
    <w:p w14:paraId="000000CB">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aceitar manter seu preço registrado, na hipótese prevista no artigo 27, § 2º, do Decreto nº 11.462, de 2023; ou</w:t>
      </w:r>
    </w:p>
    <w:p w14:paraId="000000C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Sofrer sanção prevista nos incisos III ou IV do caput do art. 156 da Lei nº 14.133, de 2021.</w:t>
      </w:r>
    </w:p>
    <w:p w14:paraId="000000CD">
      <w:pPr>
        <w:keepNext w:val="0"/>
        <w:keepLines w:val="0"/>
        <w:pageBreakBefore w:val="0"/>
        <w:widowControl/>
        <w:numPr>
          <w:ilvl w:val="3"/>
          <w:numId w:val="5"/>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88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C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cancelamento de registros nas hipóteses previstas no item 9.1 será formalizado por despacho do órgão ou da entidade gerenciadora, garantidos os princípios do contraditório e da ampla defesa.</w:t>
      </w:r>
    </w:p>
    <w:p w14:paraId="000000C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o órgão ou a entidade gerenciadora poderá convocar os licitantes que compõem o cadastro de reserva, observada a ordem de classificação.</w:t>
      </w:r>
    </w:p>
    <w:p w14:paraId="000000D0">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rFonts w:ascii="Calibri" w:hAnsi="Calibri" w:eastAsia="Calibri" w:cs="Calibri"/>
          <w:b w:val="0"/>
          <w:i w:val="0"/>
          <w:smallCaps w:val="0"/>
          <w:strike w:val="0"/>
          <w:color w:val="000000"/>
          <w:sz w:val="22"/>
          <w:szCs w:val="22"/>
          <w:u w:val="none"/>
          <w:shd w:val="clear" w:fill="auto"/>
          <w:vertAlign w:val="baseline"/>
          <w:rtl w:val="0"/>
        </w:rPr>
        <w:t xml:space="preserve"> </w:t>
      </w:r>
    </w:p>
    <w:p w14:paraId="000000D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Por razão de interesse público;</w:t>
      </w:r>
    </w:p>
    <w:p w14:paraId="000000D2">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pedido do fornecedor, decorrente de caso fortuito ou força maior; ou</w:t>
      </w:r>
    </w:p>
    <w:p w14:paraId="000000D3">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14:paraId="000000D4"/>
    <w:p w14:paraId="000000D5">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DAS PENALIDADES</w:t>
      </w:r>
    </w:p>
    <w:p w14:paraId="000000D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descumprimento da Ata de Registro de Preços ensejará aplicação das penalidades estabelecidas</w:t>
      </w:r>
      <w:r>
        <w:rPr>
          <w:rFonts w:ascii="Calibri" w:hAnsi="Calibri" w:eastAsia="Calibri" w:cs="Calibri"/>
          <w:b w:val="0"/>
          <w:smallCaps w:val="0"/>
          <w:strike w:val="0"/>
          <w:sz w:val="22"/>
          <w:szCs w:val="22"/>
          <w:u w:val="none"/>
          <w:shd w:val="clear" w:fill="auto"/>
          <w:vertAlign w:val="baseline"/>
          <w:rtl w:val="0"/>
        </w:rPr>
        <w:t xml:space="preserve"> no edital</w:t>
      </w:r>
      <w:r>
        <w:rPr>
          <w:rtl w:val="0"/>
        </w:rPr>
        <w:t>.</w:t>
      </w:r>
    </w:p>
    <w:p w14:paraId="000000D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As sanções também se aplicam aos integrantes do cadastro de reserva no registro de preços que, convocados, não honrarem o compromisso assumido injustificadamente após terem assinado a ata. </w:t>
      </w:r>
    </w:p>
    <w:p w14:paraId="000000D8">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D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participante deverá comunicar ao órgão gerenciador qualquer das ocorrências previstas no item 9.1, dada a necessidade de instauração de procedimento para cancelamento do registro do fornecedor.</w:t>
      </w:r>
    </w:p>
    <w:p w14:paraId="000000DA"/>
    <w:p w14:paraId="000000DB">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CONDIÇÕES GERAIS</w:t>
      </w:r>
    </w:p>
    <w:p w14:paraId="000000D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rFonts w:ascii="Calibri" w:hAnsi="Calibri" w:eastAsia="Calibri" w:cs="Calibri"/>
          <w:b w:val="0"/>
          <w:i w:val="0"/>
          <w:smallCaps w:val="0"/>
          <w:strike w:val="0"/>
          <w:color w:val="1D41D5"/>
          <w:sz w:val="22"/>
          <w:szCs w:val="22"/>
          <w:u w:val="none"/>
          <w:shd w:val="clear" w:fill="auto"/>
          <w:vertAlign w:val="baseline"/>
          <w:rtl w:val="0"/>
        </w:rPr>
        <w:t xml:space="preserve">ANEXO </w:t>
      </w:r>
      <w:r>
        <w:rPr>
          <w:rFonts w:ascii="Calibri" w:hAnsi="Calibri" w:eastAsia="Calibri" w:cs="Calibri"/>
          <w:b w:val="0"/>
          <w:i/>
          <w:smallCaps w:val="0"/>
          <w:strike w:val="0"/>
          <w:color w:val="1D41D5"/>
          <w:sz w:val="22"/>
          <w:szCs w:val="22"/>
          <w:u w:val="none"/>
          <w:shd w:val="clear" w:fill="auto"/>
          <w:vertAlign w:val="baseline"/>
          <w:rtl w:val="0"/>
        </w:rPr>
        <w:t>AO EDITAL</w:t>
      </w:r>
      <w:r>
        <w:rPr>
          <w:rFonts w:ascii="Calibri" w:hAnsi="Calibri" w:eastAsia="Calibri" w:cs="Calibri"/>
          <w:b w:val="0"/>
          <w:i/>
          <w:smallCaps w:val="0"/>
          <w:strike w:val="0"/>
          <w:color w:val="000000"/>
          <w:sz w:val="22"/>
          <w:szCs w:val="22"/>
          <w:u w:val="none"/>
          <w:shd w:val="clear" w:fill="auto"/>
          <w:vertAlign w:val="baseline"/>
          <w:rtl w:val="0"/>
        </w:rPr>
        <w:t>.</w:t>
      </w:r>
    </w:p>
    <w:p w14:paraId="000000D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highlight w:val="white"/>
          <w:vertAlign w:val="baseline"/>
        </w:rPr>
      </w:pPr>
      <w:r>
        <w:rPr>
          <w:rFonts w:ascii="Calibri" w:hAnsi="Calibri" w:eastAsia="Calibri" w:cs="Calibri"/>
          <w:b w:val="0"/>
          <w:i w:val="0"/>
          <w:smallCaps w:val="0"/>
          <w:strike w:val="0"/>
          <w:color w:val="000000"/>
          <w:sz w:val="22"/>
          <w:szCs w:val="22"/>
          <w:highlight w:val="white"/>
          <w:u w:val="none"/>
          <w:vertAlign w:val="baseline"/>
          <w:rtl w:val="0"/>
        </w:rPr>
        <w:t>No caso de adjudicação por preço global de grupo de itens, só será admitida a contratação de parte de itens do grupo se houver prévia pesquisa de mercado e demonstração de sua vantagem para o órgão ou a entidade.</w:t>
      </w:r>
    </w:p>
    <w:p w14:paraId="000000DE">
      <w:pPr>
        <w:numPr>
          <w:ilvl w:val="1"/>
          <w:numId w:val="2"/>
        </w:numPr>
        <w:tabs>
          <w:tab w:val="left" w:pos="1462"/>
        </w:tabs>
        <w:spacing w:before="69"/>
        <w:ind w:left="1461" w:right="700" w:hanging="709"/>
        <w:jc w:val="both"/>
        <w:rPr>
          <w:color w:val="auto"/>
          <w:highlight w:val="yellow"/>
        </w:rPr>
      </w:pPr>
      <w:r>
        <w:rPr>
          <w:color w:val="auto"/>
          <w:rtl w:val="0"/>
        </w:rPr>
        <w:t>O Termo de Responsabilidade sobre a ata de registro de preços compõe anexo a esta Ata de Registro de Preços.</w:t>
      </w:r>
    </w:p>
    <w:p w14:paraId="000000E2"/>
    <w:p w14:paraId="000000E3">
      <w:pPr>
        <w:pStyle w:val="2"/>
        <w:tabs>
          <w:tab w:val="left" w:pos="1461"/>
          <w:tab w:val="left" w:pos="1462"/>
        </w:tabs>
        <w:ind w:firstLine="0"/>
      </w:pPr>
    </w:p>
    <w:p w14:paraId="000000E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5">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2976"/>
          <w:tab w:val="left" w:pos="4504"/>
        </w:tabs>
        <w:spacing w:before="0" w:after="0" w:line="240" w:lineRule="auto"/>
        <w:ind w:left="1473" w:right="0"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Niterói, RJ,</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de</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de </w:t>
      </w:r>
      <w:r>
        <w:rPr>
          <w:rFonts w:hint="default"/>
          <w:rtl w:val="0"/>
          <w:lang w:val="pt-BR"/>
        </w:rPr>
        <w:t>2026</w:t>
      </w:r>
      <w:r>
        <w:rPr>
          <w:rFonts w:ascii="Calibri" w:hAnsi="Calibri" w:eastAsia="Calibri" w:cs="Calibri"/>
          <w:b w:val="0"/>
          <w:i w:val="0"/>
          <w:smallCaps w:val="0"/>
          <w:strike w:val="0"/>
          <w:color w:val="000000"/>
          <w:sz w:val="22"/>
          <w:szCs w:val="22"/>
          <w:u w:val="none"/>
          <w:shd w:val="clear" w:fill="auto"/>
          <w:vertAlign w:val="baseline"/>
          <w:rtl w:val="0"/>
        </w:rPr>
        <w:t>.</w:t>
      </w:r>
    </w:p>
    <w:p w14:paraId="000000E6">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7">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8">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6"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BEBEBE"/>
          <w:sz w:val="22"/>
          <w:szCs w:val="22"/>
          <w:u w:val="none"/>
          <w:shd w:val="clear" w:fill="auto"/>
          <w:vertAlign w:val="baseline"/>
          <w:rtl w:val="0"/>
        </w:rPr>
        <w:t>DOCUMENTO ASSINADO ELETRONICAMENTE</w:t>
      </w:r>
    </w:p>
    <w:p w14:paraId="000000EA">
      <w:pPr>
        <w:pStyle w:val="2"/>
        <w:spacing w:before="1"/>
        <w:ind w:left="3564" w:right="3553" w:firstLine="0"/>
        <w:jc w:val="center"/>
      </w:pPr>
      <w:r>
        <w:rPr>
          <w:rtl w:val="0"/>
        </w:rPr>
        <w:t>VERA LÚCIA LAVRADO CUPELLO CAJAZEIRAS</w:t>
      </w:r>
    </w:p>
    <w:p w14:paraId="000000E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Pró-Reitora de Administração</w:t>
      </w:r>
    </w:p>
    <w:p w14:paraId="000000EC"/>
    <w:p w14:paraId="000000ED">
      <w:pPr>
        <w:rPr>
          <w:strike/>
        </w:rPr>
      </w:pPr>
    </w:p>
    <w:p w14:paraId="00000137">
      <w:pPr>
        <w:rPr>
          <w:rFonts w:ascii="Calibri" w:hAnsi="Calibri" w:eastAsia="Calibri" w:cs="Calibri"/>
          <w:b w:val="0"/>
          <w:i w:val="0"/>
          <w:smallCaps w:val="0"/>
          <w:strike w:val="0"/>
          <w:color w:val="000000"/>
          <w:sz w:val="22"/>
          <w:szCs w:val="22"/>
          <w:u w:val="none"/>
          <w:shd w:val="clear" w:fill="auto"/>
          <w:vertAlign w:val="baseline"/>
        </w:rPr>
      </w:pPr>
    </w:p>
    <w:sectPr>
      <w:pgSz w:w="11910" w:h="16840"/>
      <w:pgMar w:top="460" w:right="340" w:bottom="280" w:left="38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Ecofont_Spranq_eco_Sans">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36DC0"/>
    <w:multiLevelType w:val="multilevel"/>
    <w:tmpl w:val="88236DC0"/>
    <w:lvl w:ilvl="0" w:tentative="0">
      <w:start w:val="3"/>
      <w:numFmt w:val="decimal"/>
      <w:lvlText w:val="%1."/>
      <w:lvlJc w:val="left"/>
      <w:pPr>
        <w:ind w:left="1461" w:hanging="709"/>
      </w:pPr>
      <w:rPr>
        <w:rFonts w:ascii="Calibri" w:hAnsi="Calibri" w:eastAsia="Calibri" w:cs="Calibri"/>
        <w:b/>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pStyle w:val="33"/>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1">
    <w:nsid w:val="E1024092"/>
    <w:multiLevelType w:val="multilevel"/>
    <w:tmpl w:val="E1024092"/>
    <w:lvl w:ilvl="0" w:tentative="0">
      <w:start w:val="5"/>
      <w:numFmt w:val="decimal"/>
      <w:pStyle w:val="21"/>
      <w:lvlText w:val="%1"/>
      <w:lvlJc w:val="left"/>
      <w:pPr>
        <w:ind w:left="612" w:hanging="612"/>
      </w:pPr>
    </w:lvl>
    <w:lvl w:ilvl="1" w:tentative="0">
      <w:start w:val="4"/>
      <w:numFmt w:val="decimal"/>
      <w:pStyle w:val="23"/>
      <w:lvlText w:val="%1.%2"/>
      <w:lvlJc w:val="left"/>
      <w:pPr>
        <w:ind w:left="1561" w:hanging="612"/>
      </w:pPr>
    </w:lvl>
    <w:lvl w:ilvl="2" w:tentative="0">
      <w:start w:val="2"/>
      <w:numFmt w:val="decimal"/>
      <w:pStyle w:val="26"/>
      <w:lvlText w:val="%1.%2.%3"/>
      <w:lvlJc w:val="left"/>
      <w:pPr>
        <w:ind w:left="2618" w:hanging="720"/>
      </w:pPr>
    </w:lvl>
    <w:lvl w:ilvl="3" w:tentative="0">
      <w:start w:val="2"/>
      <w:numFmt w:val="decimal"/>
      <w:pStyle w:val="27"/>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2">
    <w:nsid w:val="173202F8"/>
    <w:multiLevelType w:val="multilevel"/>
    <w:tmpl w:val="173202F8"/>
    <w:lvl w:ilvl="0" w:tentative="0">
      <w:start w:val="1"/>
      <w:numFmt w:val="decimal"/>
      <w:lvlText w:val="%1"/>
      <w:lvlJc w:val="left"/>
      <w:pPr>
        <w:ind w:left="1313" w:hanging="844"/>
      </w:pPr>
    </w:lvl>
    <w:lvl w:ilvl="1" w:tentative="0">
      <w:start w:val="1"/>
      <w:numFmt w:val="decimal"/>
      <w:lvlText w:val="%1.%2."/>
      <w:lvlJc w:val="left"/>
      <w:pPr>
        <w:ind w:left="1313" w:hanging="844"/>
      </w:pPr>
      <w:rPr>
        <w:rFonts w:ascii="Calibri" w:hAnsi="Calibri" w:eastAsia="Calibri" w:cs="Calibri"/>
        <w:sz w:val="22"/>
        <w:szCs w:val="22"/>
      </w:rPr>
    </w:lvl>
    <w:lvl w:ilvl="2" w:tentative="0">
      <w:start w:val="2"/>
      <w:numFmt w:val="decimal"/>
      <w:lvlText w:val="%3."/>
      <w:lvlJc w:val="left"/>
      <w:pPr>
        <w:ind w:left="1462" w:hanging="846"/>
      </w:pPr>
      <w:rPr>
        <w:rFonts w:ascii="Calibri" w:hAnsi="Calibri" w:eastAsia="Calibri" w:cs="Calibri"/>
        <w:b/>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abstractNum w:abstractNumId="3">
    <w:nsid w:val="351C9EA4"/>
    <w:multiLevelType w:val="multilevel"/>
    <w:tmpl w:val="351C9EA4"/>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4">
    <w:nsid w:val="573CC918"/>
    <w:multiLevelType w:val="multilevel"/>
    <w:tmpl w:val="573CC918"/>
    <w:lvl w:ilvl="0" w:tentative="0">
      <w:start w:val="9"/>
      <w:numFmt w:val="decimal"/>
      <w:lvlText w:val="%1"/>
      <w:lvlJc w:val="left"/>
      <w:pPr>
        <w:ind w:left="612" w:hanging="612"/>
      </w:pPr>
    </w:lvl>
    <w:lvl w:ilvl="1" w:tentative="0">
      <w:start w:val="1"/>
      <w:numFmt w:val="decimal"/>
      <w:lvlText w:val="%1.%2"/>
      <w:lvlJc w:val="left"/>
      <w:pPr>
        <w:ind w:left="1332" w:hanging="612"/>
      </w:pPr>
    </w:lvl>
    <w:lvl w:ilvl="2" w:tentative="0">
      <w:start w:val="4"/>
      <w:numFmt w:val="decimal"/>
      <w:lvlText w:val="%1.%2.%3"/>
      <w:lvlJc w:val="left"/>
      <w:pPr>
        <w:ind w:left="2160" w:hanging="720"/>
      </w:pPr>
    </w:lvl>
    <w:lvl w:ilvl="3" w:tentative="0">
      <w:start w:val="1"/>
      <w:numFmt w:val="decimal"/>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0"/>
  <w:bordersDoNotSurroundFooter w:val="0"/>
  <w:documentProtection w:enforcement="0"/>
  <w:defaultTabStop w:val="720"/>
  <w:displayHorizontalDrawingGridEvery w:val="1"/>
  <w:displayVerticalDrawingGridEvery w:val="1"/>
  <w:noPunctuationKerning w:val="1"/>
  <w:compat>
    <w:doNotExpandShiftReturn/>
    <w:doNotWrapTextWithPunct/>
    <w:doNotUseEastAsianBreakRules/>
    <w:compatSetting w:name="compatibilityMode" w:uri="http://schemas.microsoft.com/office/word" w:val="15"/>
  </w:compat>
  <w:rsids>
    <w:rsidRoot w:val="00000000"/>
    <w:rsid w:val="2ED05C8F"/>
    <w:rsid w:val="459D7309"/>
    <w:rsid w:val="4DE07627"/>
    <w:rsid w:val="50A84CAF"/>
    <w:rsid w:val="623A1909"/>
    <w:rsid w:val="6ECF72F5"/>
    <w:rsid w:val="712476C7"/>
    <w:rsid w:val="7516289E"/>
    <w:rsid w:val="77142E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uiPriority w:val="0"/>
    <w:pPr>
      <w:widowControl w:val="0"/>
    </w:pPr>
    <w:rPr>
      <w:rFonts w:ascii="Calibri" w:hAnsi="Calibri" w:eastAsia="Calibri" w:cs="Calibri"/>
      <w:sz w:val="22"/>
      <w:szCs w:val="22"/>
      <w:lang w:val="zh-CN"/>
    </w:rPr>
  </w:style>
  <w:style w:type="paragraph" w:styleId="2">
    <w:name w:val="heading 1"/>
    <w:basedOn w:val="1"/>
    <w:next w:val="1"/>
    <w:qFormat/>
    <w:uiPriority w:val="0"/>
    <w:pPr>
      <w:ind w:left="1461" w:hanging="710"/>
    </w:pPr>
    <w:rPr>
      <w:b/>
    </w:rPr>
  </w:style>
  <w:style w:type="paragraph" w:styleId="3">
    <w:name w:val="heading 2"/>
    <w:basedOn w:val="1"/>
    <w:next w:val="1"/>
    <w:qFormat/>
    <w:uiPriority w:val="0"/>
    <w:pPr>
      <w:keepNext/>
      <w:keepLines/>
      <w:pageBreakBefore w:val="0"/>
      <w:spacing w:before="360" w:after="80"/>
    </w:pPr>
    <w:rPr>
      <w:b/>
      <w:sz w:val="36"/>
      <w:szCs w:val="36"/>
    </w:rPr>
  </w:style>
  <w:style w:type="paragraph" w:styleId="4">
    <w:name w:val="heading 3"/>
    <w:basedOn w:val="1"/>
    <w:next w:val="1"/>
    <w:qFormat/>
    <w:uiPriority w:val="0"/>
    <w:pPr>
      <w:keepNext/>
      <w:keepLines/>
      <w:pageBreakBefore w:val="0"/>
      <w:spacing w:before="280" w:after="80"/>
    </w:pPr>
    <w:rPr>
      <w:b/>
      <w:sz w:val="28"/>
      <w:szCs w:val="28"/>
    </w:rPr>
  </w:style>
  <w:style w:type="paragraph" w:styleId="5">
    <w:name w:val="heading 4"/>
    <w:basedOn w:val="1"/>
    <w:next w:val="1"/>
    <w:qFormat/>
    <w:uiPriority w:val="0"/>
    <w:pPr>
      <w:keepNext/>
      <w:keepLines/>
      <w:pageBreakBefore w:val="0"/>
      <w:spacing w:before="240" w:after="40"/>
    </w:pPr>
    <w:rPr>
      <w:b/>
      <w:sz w:val="24"/>
      <w:szCs w:val="24"/>
    </w:rPr>
  </w:style>
  <w:style w:type="paragraph" w:styleId="6">
    <w:name w:val="heading 5"/>
    <w:basedOn w:val="1"/>
    <w:next w:val="1"/>
    <w:qFormat/>
    <w:uiPriority w:val="0"/>
    <w:pPr>
      <w:keepNext/>
      <w:keepLines/>
      <w:pageBreakBefore w:val="0"/>
      <w:spacing w:before="220" w:after="40"/>
    </w:pPr>
    <w:rPr>
      <w:b/>
      <w:sz w:val="22"/>
      <w:szCs w:val="22"/>
    </w:rPr>
  </w:style>
  <w:style w:type="paragraph" w:styleId="7">
    <w:name w:val="heading 6"/>
    <w:basedOn w:val="1"/>
    <w:next w:val="1"/>
    <w:qFormat/>
    <w:uiPriority w:val="0"/>
    <w:pPr>
      <w:keepNext/>
      <w:keepLines/>
      <w:pageBreakBefore w:val="0"/>
      <w:spacing w:before="200" w:after="40"/>
    </w:pPr>
    <w:rPr>
      <w:b/>
      <w:sz w:val="20"/>
      <w:szCs w:val="20"/>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qFormat/>
    <w:uiPriority w:val="1"/>
    <w:pPr>
      <w:widowControl w:val="0"/>
      <w:ind w:left="752"/>
      <w:jc w:val="both"/>
    </w:pPr>
    <w:rPr>
      <w:rFonts w:ascii="Calibri" w:hAnsi="Calibri" w:eastAsia="Calibri" w:cs="Calibri"/>
      <w:sz w:val="22"/>
      <w:szCs w:val="22"/>
      <w:lang w:val="zh-CN"/>
    </w:rPr>
  </w:style>
  <w:style w:type="paragraph" w:styleId="12">
    <w:name w:val="annotation text"/>
    <w:link w:val="22"/>
    <w:unhideWhenUsed/>
    <w:qFormat/>
    <w:uiPriority w:val="0"/>
    <w:pPr>
      <w:widowControl/>
      <w:autoSpaceDE/>
      <w:autoSpaceDN/>
    </w:pPr>
    <w:rPr>
      <w:rFonts w:ascii="Ecofont_Spranq_eco_Sans" w:hAnsi="Ecofont_Spranq_eco_Sans" w:eastAsia="Times New Roman" w:cs="Tahoma"/>
      <w:sz w:val="20"/>
      <w:szCs w:val="20"/>
      <w:lang w:val="pt-BR" w:eastAsia="pt-BR"/>
    </w:rPr>
  </w:style>
  <w:style w:type="paragraph" w:styleId="13">
    <w:name w:val="Title"/>
    <w:basedOn w:val="1"/>
    <w:next w:val="1"/>
    <w:qFormat/>
    <w:uiPriority w:val="0"/>
    <w:pPr>
      <w:keepNext/>
      <w:keepLines/>
      <w:pageBreakBefore w:val="0"/>
      <w:spacing w:before="480" w:after="120"/>
    </w:pPr>
    <w:rPr>
      <w:b/>
      <w:sz w:val="72"/>
      <w:szCs w:val="72"/>
    </w:rPr>
  </w:style>
  <w:style w:type="paragraph" w:styleId="14">
    <w:name w:val="header"/>
    <w:link w:val="36"/>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5">
    <w:name w:val="footer"/>
    <w:link w:val="37"/>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6">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table" w:customStyle="1" w:styleId="17">
    <w:name w:val="TableNormal"/>
    <w:qFormat/>
    <w:uiPriority w:val="0"/>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qFormat/>
    <w:uiPriority w:val="1"/>
    <w:pPr>
      <w:widowControl w:val="0"/>
      <w:spacing w:before="70"/>
      <w:ind w:left="752"/>
      <w:jc w:val="both"/>
    </w:pPr>
    <w:rPr>
      <w:rFonts w:ascii="Calibri" w:hAnsi="Calibri" w:eastAsia="Calibri" w:cs="Calibri"/>
      <w:sz w:val="22"/>
      <w:szCs w:val="22"/>
      <w:lang w:val="zh-CN"/>
    </w:rPr>
  </w:style>
  <w:style w:type="paragraph" w:customStyle="1" w:styleId="20">
    <w:name w:val="Table Paragraph"/>
    <w:qFormat/>
    <w:uiPriority w:val="1"/>
    <w:pPr>
      <w:widowControl w:val="0"/>
    </w:pPr>
    <w:rPr>
      <w:rFonts w:ascii="Calibri" w:hAnsi="Calibri" w:eastAsia="Calibri" w:cs="Calibri"/>
      <w:sz w:val="22"/>
      <w:szCs w:val="22"/>
      <w:lang w:val="zh-CN"/>
    </w:rPr>
  </w:style>
  <w:style w:type="paragraph" w:customStyle="1" w:styleId="21">
    <w:name w:val="Nivel 01"/>
    <w:link w:val="31"/>
    <w:qFormat/>
    <w:uiPriority w:val="0"/>
    <w:pPr>
      <w:keepNext/>
      <w:keepLines/>
      <w:widowControl/>
      <w:numPr>
        <w:ilvl w:val="0"/>
        <w:numId w:val="1"/>
      </w:numPr>
      <w:tabs>
        <w:tab w:val="left" w:pos="567"/>
      </w:tabs>
      <w:autoSpaceDE/>
      <w:autoSpaceDN/>
      <w:spacing w:before="120" w:after="120" w:line="276" w:lineRule="auto"/>
      <w:ind w:left="0" w:firstLine="0"/>
      <w:jc w:val="both"/>
    </w:pPr>
    <w:rPr>
      <w:rFonts w:ascii="Arial" w:hAnsi="Arial" w:cs="Arial" w:eastAsiaTheme="majorEastAsia"/>
      <w:sz w:val="20"/>
      <w:szCs w:val="20"/>
      <w:lang w:val="pt-BR"/>
    </w:rPr>
  </w:style>
  <w:style w:type="character" w:customStyle="1" w:styleId="22">
    <w:name w:val="Texto de comentário Char"/>
    <w:basedOn w:val="8"/>
    <w:link w:val="12"/>
    <w:qFormat/>
    <w:uiPriority w:val="0"/>
    <w:rPr>
      <w:rFonts w:ascii="Ecofont_Spranq_eco_Sans" w:hAnsi="Ecofont_Spranq_eco_Sans" w:eastAsia="Times New Roman" w:cs="Tahoma"/>
      <w:sz w:val="20"/>
      <w:szCs w:val="20"/>
      <w:lang w:val="pt-BR" w:eastAsia="pt-BR"/>
    </w:rPr>
  </w:style>
  <w:style w:type="paragraph" w:customStyle="1" w:styleId="23">
    <w:name w:val="Nivel 2"/>
    <w:link w:val="32"/>
    <w:qFormat/>
    <w:uiPriority w:val="0"/>
    <w:pPr>
      <w:widowControl/>
      <w:numPr>
        <w:ilvl w:val="1"/>
        <w:numId w:val="1"/>
      </w:numPr>
      <w:adjustRightInd w:val="0"/>
      <w:spacing w:before="120" w:after="120" w:line="276" w:lineRule="auto"/>
      <w:ind w:left="0" w:firstLine="0"/>
      <w:jc w:val="both"/>
    </w:pPr>
    <w:rPr>
      <w:rFonts w:ascii="Arial" w:hAnsi="Arial" w:eastAsia="Times New Roman" w:cs="Arial"/>
      <w:sz w:val="20"/>
      <w:szCs w:val="20"/>
      <w:lang w:val="pt-BR" w:eastAsia="pt-BR"/>
    </w:rPr>
  </w:style>
  <w:style w:type="paragraph" w:customStyle="1" w:styleId="24">
    <w:name w:val="Nível 2 -Red"/>
    <w:basedOn w:val="23"/>
    <w:link w:val="25"/>
    <w:qFormat/>
    <w:uiPriority w:val="0"/>
    <w:rPr>
      <w:i/>
      <w:iCs/>
      <w:color w:val="FF0000"/>
    </w:rPr>
  </w:style>
  <w:style w:type="character" w:customStyle="1" w:styleId="25">
    <w:name w:val="Nível 2 -Red Char"/>
    <w:basedOn w:val="8"/>
    <w:link w:val="24"/>
    <w:qFormat/>
    <w:uiPriority w:val="0"/>
    <w:rPr>
      <w:rFonts w:ascii="Arial" w:hAnsi="Arial" w:eastAsia="Times New Roman" w:cs="Arial"/>
      <w:i/>
      <w:iCs/>
      <w:color w:val="FF0000"/>
      <w:sz w:val="20"/>
      <w:szCs w:val="20"/>
      <w:lang w:val="pt-BR" w:eastAsia="pt-BR"/>
    </w:rPr>
  </w:style>
  <w:style w:type="paragraph" w:customStyle="1" w:styleId="26">
    <w:name w:val="Nível 3-R"/>
    <w:link w:val="28"/>
    <w:qFormat/>
    <w:uiPriority w:val="0"/>
    <w:pPr>
      <w:widowControl/>
      <w:numPr>
        <w:ilvl w:val="2"/>
        <w:numId w:val="1"/>
      </w:numPr>
      <w:autoSpaceDE/>
      <w:autoSpaceDN/>
      <w:spacing w:before="120" w:after="120" w:line="276" w:lineRule="auto"/>
      <w:jc w:val="both"/>
    </w:pPr>
    <w:rPr>
      <w:rFonts w:ascii="Arial" w:hAnsi="Arial" w:cs="Arial" w:eastAsiaTheme="minorEastAsia"/>
      <w:i/>
      <w:iCs/>
      <w:color w:val="FF0000"/>
      <w:sz w:val="20"/>
      <w:szCs w:val="20"/>
      <w:lang w:val="pt-BR" w:eastAsia="pt-BR"/>
    </w:rPr>
  </w:style>
  <w:style w:type="paragraph" w:customStyle="1" w:styleId="27">
    <w:name w:val="Nível 4"/>
    <w:link w:val="35"/>
    <w:qFormat/>
    <w:uiPriority w:val="0"/>
    <w:pPr>
      <w:widowControl/>
      <w:numPr>
        <w:ilvl w:val="3"/>
        <w:numId w:val="1"/>
      </w:numPr>
      <w:autoSpaceDE/>
      <w:autoSpaceDN/>
      <w:spacing w:before="120" w:after="120" w:line="276" w:lineRule="auto"/>
      <w:ind w:left="567" w:firstLine="0"/>
      <w:jc w:val="both"/>
    </w:pPr>
    <w:rPr>
      <w:rFonts w:ascii="Arial" w:hAnsi="Arial" w:eastAsia="Times New Roman" w:cs="Arial"/>
      <w:sz w:val="20"/>
      <w:szCs w:val="20"/>
      <w:lang w:val="pt-BR" w:eastAsia="pt-BR"/>
    </w:rPr>
  </w:style>
  <w:style w:type="character" w:customStyle="1" w:styleId="28">
    <w:name w:val="Nível 3-R Char"/>
    <w:basedOn w:val="8"/>
    <w:link w:val="26"/>
    <w:qFormat/>
    <w:uiPriority w:val="0"/>
    <w:rPr>
      <w:rFonts w:ascii="Arial" w:hAnsi="Arial" w:cs="Arial" w:eastAsiaTheme="minorEastAsia"/>
      <w:i/>
      <w:iCs/>
      <w:color w:val="FF0000"/>
      <w:sz w:val="20"/>
      <w:szCs w:val="20"/>
      <w:lang w:val="pt-BR" w:eastAsia="pt-BR"/>
    </w:rPr>
  </w:style>
  <w:style w:type="paragraph" w:customStyle="1" w:styleId="29">
    <w:name w:val="SubTitNN"/>
    <w:link w:val="30"/>
    <w:qFormat/>
    <w:uiPriority w:val="0"/>
    <w:pPr>
      <w:widowControl/>
      <w:autoSpaceDE/>
      <w:autoSpaceDN/>
      <w:spacing w:before="240" w:after="120" w:line="276" w:lineRule="auto"/>
      <w:jc w:val="both"/>
    </w:pPr>
    <w:rPr>
      <w:rFonts w:ascii="Arial" w:hAnsi="Arial" w:eastAsia="Times New Roman" w:cs="Arial"/>
      <w:b/>
      <w:bCs/>
      <w:iCs/>
      <w:sz w:val="20"/>
      <w:szCs w:val="20"/>
      <w:lang w:val="pt-BR" w:eastAsia="pt-BR"/>
    </w:rPr>
  </w:style>
  <w:style w:type="character" w:customStyle="1" w:styleId="30">
    <w:name w:val="SubTitNN Char"/>
    <w:basedOn w:val="8"/>
    <w:link w:val="29"/>
    <w:qFormat/>
    <w:uiPriority w:val="0"/>
    <w:rPr>
      <w:rFonts w:ascii="Arial" w:hAnsi="Arial" w:eastAsia="Times New Roman" w:cs="Arial"/>
      <w:b/>
      <w:bCs/>
      <w:iCs/>
      <w:sz w:val="20"/>
      <w:szCs w:val="20"/>
      <w:lang w:val="pt-BR" w:eastAsia="pt-BR"/>
    </w:rPr>
  </w:style>
  <w:style w:type="character" w:customStyle="1" w:styleId="31">
    <w:name w:val="Nivel 01 Char"/>
    <w:basedOn w:val="8"/>
    <w:link w:val="21"/>
    <w:qFormat/>
    <w:uiPriority w:val="0"/>
    <w:rPr>
      <w:rFonts w:ascii="Arial" w:hAnsi="Arial" w:cs="Arial" w:eastAsiaTheme="majorEastAsia"/>
      <w:b/>
      <w:bCs/>
      <w:sz w:val="20"/>
      <w:szCs w:val="20"/>
      <w:lang w:val="pt-BR"/>
    </w:rPr>
  </w:style>
  <w:style w:type="character" w:customStyle="1" w:styleId="32">
    <w:name w:val="Nivel 2 Char"/>
    <w:basedOn w:val="8"/>
    <w:link w:val="23"/>
    <w:qFormat/>
    <w:locked/>
    <w:uiPriority w:val="0"/>
    <w:rPr>
      <w:rFonts w:ascii="Arial" w:hAnsi="Arial" w:eastAsia="Times New Roman" w:cs="Arial"/>
      <w:sz w:val="20"/>
      <w:szCs w:val="20"/>
      <w:lang w:val="pt-BR" w:eastAsia="pt-BR"/>
    </w:rPr>
  </w:style>
  <w:style w:type="paragraph" w:customStyle="1" w:styleId="33">
    <w:name w:val="Nível 3"/>
    <w:basedOn w:val="26"/>
    <w:link w:val="34"/>
    <w:qFormat/>
    <w:uiPriority w:val="0"/>
    <w:pPr>
      <w:numPr>
        <w:numId w:val="2"/>
      </w:numPr>
      <w:ind w:left="284" w:firstLine="0"/>
    </w:pPr>
    <w:rPr>
      <w:rFonts w:eastAsia="Times New Roman"/>
      <w:i w:val="0"/>
      <w:iCs w:val="0"/>
    </w:rPr>
  </w:style>
  <w:style w:type="character" w:customStyle="1" w:styleId="34">
    <w:name w:val="Nível 3 Char"/>
    <w:basedOn w:val="28"/>
    <w:link w:val="33"/>
    <w:qFormat/>
    <w:uiPriority w:val="0"/>
    <w:rPr>
      <w:rFonts w:ascii="Arial" w:hAnsi="Arial" w:eastAsia="Times New Roman" w:cs="Arial"/>
      <w:i w:val="0"/>
      <w:iCs w:val="0"/>
      <w:color w:val="FF0000"/>
      <w:sz w:val="20"/>
      <w:szCs w:val="20"/>
      <w:lang w:val="pt-BR" w:eastAsia="pt-BR"/>
    </w:rPr>
  </w:style>
  <w:style w:type="character" w:customStyle="1" w:styleId="35">
    <w:name w:val="Nível 4 Char"/>
    <w:basedOn w:val="34"/>
    <w:link w:val="27"/>
    <w:qFormat/>
    <w:uiPriority w:val="0"/>
    <w:rPr>
      <w:rFonts w:ascii="Arial" w:hAnsi="Arial" w:eastAsia="Times New Roman" w:cs="Arial"/>
      <w:color w:val="FF0000"/>
      <w:sz w:val="20"/>
      <w:szCs w:val="20"/>
      <w:lang w:val="pt-BR" w:eastAsia="pt-BR"/>
    </w:rPr>
  </w:style>
  <w:style w:type="character" w:customStyle="1" w:styleId="36">
    <w:name w:val="Cabeçalho Char"/>
    <w:basedOn w:val="8"/>
    <w:link w:val="14"/>
    <w:qFormat/>
    <w:uiPriority w:val="99"/>
    <w:rPr>
      <w:rFonts w:ascii="Calibri" w:hAnsi="Calibri" w:eastAsia="Calibri" w:cs="Calibri"/>
      <w:lang w:val="pt-PT"/>
    </w:rPr>
  </w:style>
  <w:style w:type="character" w:customStyle="1" w:styleId="37">
    <w:name w:val="Rodapé Char"/>
    <w:basedOn w:val="8"/>
    <w:link w:val="15"/>
    <w:qFormat/>
    <w:uiPriority w:val="99"/>
    <w:rPr>
      <w:rFonts w:ascii="Calibri" w:hAnsi="Calibri" w:eastAsia="Calibri" w:cs="Calibri"/>
      <w:lang w:val="pt-PT"/>
    </w:rPr>
  </w:style>
  <w:style w:type="table" w:customStyle="1" w:styleId="38">
    <w:name w:val="_Style 39"/>
    <w:basedOn w:val="17"/>
    <w:qFormat/>
    <w:uiPriority w:val="0"/>
    <w:tblPr>
      <w:tblCellMar>
        <w:top w:w="0" w:type="dxa"/>
        <w:left w:w="0" w:type="dxa"/>
        <w:bottom w:w="0" w:type="dxa"/>
        <w:right w:w="0" w:type="dxa"/>
      </w:tblCellMar>
    </w:tblPr>
  </w:style>
  <w:style w:type="table" w:customStyle="1" w:styleId="39">
    <w:name w:val="_Style 40"/>
    <w:basedOn w:val="17"/>
    <w:qFormat/>
    <w:uiPriority w:val="0"/>
    <w:tblPr>
      <w:tblCellMar>
        <w:top w:w="0" w:type="dxa"/>
        <w:left w:w="115" w:type="dxa"/>
        <w:bottom w:w="0" w:type="dxa"/>
        <w:right w:w="115" w:type="dxa"/>
      </w:tblCellMar>
    </w:tblPr>
  </w:style>
  <w:style w:type="table" w:customStyle="1" w:styleId="40">
    <w:name w:val="_Style 41"/>
    <w:basedOn w:val="17"/>
    <w:qFormat/>
    <w:uiPriority w:val="0"/>
    <w:tblPr>
      <w:tblCellMar>
        <w:top w:w="0" w:type="dxa"/>
        <w:left w:w="10" w:type="dxa"/>
        <w:bottom w:w="0" w:type="dxa"/>
        <w:right w:w="10" w:type="dxa"/>
      </w:tblCellMar>
    </w:tblPr>
  </w:style>
  <w:style w:type="table" w:customStyle="1" w:styleId="41">
    <w:name w:val="_Style 42"/>
    <w:basedOn w:val="17"/>
    <w:qFormat/>
    <w:uiPriority w:val="0"/>
    <w:tblPr>
      <w:tblCellMar>
        <w:top w:w="0" w:type="dxa"/>
        <w:left w:w="10" w:type="dxa"/>
        <w:bottom w:w="0" w:type="dxa"/>
        <w:right w:w="1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9fbRtkN6WQUGSC8pMEnnuivySg==">CgMxLjAyCWlkLmdqZGd4czIKaWQuMzBqMHpsbDIKaWQuMWZvYjl0ZTIKaWQuM3pueXNoNzIKaWQuMmV0OTJwMDIJaWQudHlqY3d0MgppZC4zZHk2dmttMgppZC4xdDNoNXNmMgppZC40ZDM0b2c4MgppZC4yczhleW8xMgppZC4xN2RwOHZ1MgppZC4zcmRjcmpuMg5oLmhhdGFnOTUzaXY5bzgAciExRjNYRXctYmUxT0U2QlFIRDhidllzeWdTNlNSUnBiVkc=</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7</Pages>
  <TotalTime>5</TotalTime>
  <ScaleCrop>false</ScaleCrop>
  <LinksUpToDate>false</LinksUpToDate>
  <Application>WPS Office_12.2.0.23155_F1E327BC-269C-435d-A152-05C5408002CA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Juliana Borsoi</cp:lastModifiedBy>
  <dcterms:modified xsi:type="dcterms:W3CDTF">2025-12-15T13:26:23Z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1046-12.2.0.23155</vt:lpwstr>
  </property>
  <property fmtid="{D5CDD505-2E9C-101B-9397-08002B2CF9AE}" pid="6" name="ICV">
    <vt:lpwstr>C52321B2457D45638AA29673D4D5EC1B_12</vt:lpwstr>
  </property>
</Properties>
</file>