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76" w:lineRule="auto"/>
        <w:ind w:left="0" w:right="0" w:firstLine="0"/>
        <w:jc w:val="left"/>
        <w:rPr>
          <w:rFonts w:ascii="Arial" w:hAnsi="Arial" w:eastAsia="Arial" w:cs="Arial"/>
          <w:b w:val="0"/>
          <w:i w:val="0"/>
          <w:smallCaps w:val="0"/>
          <w:strike w:val="0"/>
          <w:color w:val="000000"/>
          <w:sz w:val="22"/>
          <w:szCs w:val="22"/>
          <w:u w:val="none"/>
          <w:shd w:val="clear" w:fill="auto"/>
          <w:vertAlign w:val="baseline"/>
        </w:rPr>
      </w:pPr>
    </w:p>
    <w:tbl>
      <w:tblPr>
        <w:tblStyle w:val="38"/>
        <w:tblW w:w="10885" w:type="dxa"/>
        <w:tblInd w:w="185" w:type="dxa"/>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Layout w:type="fixed"/>
        <w:tblCellMar>
          <w:top w:w="0" w:type="dxa"/>
          <w:left w:w="0" w:type="dxa"/>
          <w:bottom w:w="0" w:type="dxa"/>
          <w:right w:w="0" w:type="dxa"/>
        </w:tblCellMar>
      </w:tblPr>
      <w:tblGrid>
        <w:gridCol w:w="617"/>
        <w:gridCol w:w="3975"/>
        <w:gridCol w:w="1125"/>
        <w:gridCol w:w="1245"/>
        <w:gridCol w:w="1005"/>
        <w:gridCol w:w="780"/>
        <w:gridCol w:w="1305"/>
        <w:gridCol w:w="833"/>
      </w:tblGrid>
      <w:tr w14:paraId="47E2AF3E">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613" w:hRule="atLeast"/>
        </w:trPr>
        <w:tc>
          <w:tcPr>
            <w:gridSpan w:val="8"/>
            <w:tcBorders>
              <w:top w:val="single" w:color="5F5F5F" w:sz="34" w:space="0"/>
              <w:left w:val="single" w:color="5F5F5F" w:sz="34" w:space="0"/>
              <w:bottom w:val="single" w:color="000000" w:sz="4" w:space="0"/>
              <w:right w:val="single" w:color="5F5F5F" w:sz="34" w:space="0"/>
            </w:tcBorders>
            <w:tcMar>
              <w:top w:w="0" w:type="dxa"/>
              <w:left w:w="0" w:type="dxa"/>
              <w:bottom w:w="0" w:type="dxa"/>
              <w:right w:w="0" w:type="dxa"/>
            </w:tcMar>
          </w:tcPr>
          <w:p w14:paraId="0000000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5"/>
                <w:szCs w:val="5"/>
                <w:u w:val="none"/>
                <w:shd w:val="clear" w:fill="auto"/>
                <w:vertAlign w:val="baseline"/>
              </w:rPr>
            </w:pPr>
          </w:p>
          <w:p w14:paraId="0000000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001"/>
                <w:tab w:val="left" w:pos="9053"/>
              </w:tabs>
              <w:spacing w:before="0" w:after="0" w:line="240" w:lineRule="auto"/>
              <w:ind w:left="629"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684530" cy="370205"/>
                  <wp:effectExtent l="0" t="0" r="0" b="0"/>
                  <wp:docPr id="2115606147" name="image3.jpg"/>
                  <wp:cNvGraphicFramePr/>
                  <a:graphic xmlns:a="http://schemas.openxmlformats.org/drawingml/2006/main">
                    <a:graphicData uri="http://schemas.openxmlformats.org/drawingml/2006/picture">
                      <pic:pic xmlns:pic="http://schemas.openxmlformats.org/drawingml/2006/picture">
                        <pic:nvPicPr>
                          <pic:cNvPr id="2115606147" name="image3.jpg"/>
                          <pic:cNvPicPr preferRelativeResize="0"/>
                        </pic:nvPicPr>
                        <pic:blipFill>
                          <a:blip r:embed="rId4"/>
                          <a:srcRect/>
                          <a:stretch>
                            <a:fillRect/>
                          </a:stretch>
                        </pic:blipFill>
                        <pic:spPr>
                          <a:xfrm>
                            <a:off x="0" y="0"/>
                            <a:ext cx="684860" cy="370331"/>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33"/>
                <w:szCs w:val="33"/>
                <w:u w:val="none"/>
                <w:shd w:val="clear" w:fill="auto"/>
                <w:vertAlign w:val="superscript"/>
                <w:rtl w:val="0"/>
              </w:rPr>
              <w:tab/>
            </w:r>
            <w:r>
              <w:rPr>
                <w:rFonts w:ascii="Times New Roman" w:hAnsi="Times New Roman" w:eastAsia="Times New Roman" w:cs="Times New Roman"/>
                <w:b w:val="0"/>
                <w:i w:val="0"/>
                <w:smallCaps w:val="0"/>
                <w:strike w:val="0"/>
                <w:color w:val="000000"/>
                <w:sz w:val="20"/>
                <w:szCs w:val="20"/>
                <w:u w:val="none"/>
                <w:shd w:val="clear" w:fill="auto"/>
                <w:vertAlign w:val="baseline"/>
              </w:rPr>
              <w:drawing>
                <wp:inline distT="0" distB="0" distL="0" distR="0">
                  <wp:extent cx="628650" cy="616585"/>
                  <wp:effectExtent l="0" t="0" r="0" b="0"/>
                  <wp:docPr id="2115606149" name="image1.png"/>
                  <wp:cNvGraphicFramePr/>
                  <a:graphic xmlns:a="http://schemas.openxmlformats.org/drawingml/2006/main">
                    <a:graphicData uri="http://schemas.openxmlformats.org/drawingml/2006/picture">
                      <pic:pic xmlns:pic="http://schemas.openxmlformats.org/drawingml/2006/picture">
                        <pic:nvPicPr>
                          <pic:cNvPr id="2115606149" name="image1.png"/>
                          <pic:cNvPicPr preferRelativeResize="0"/>
                        </pic:nvPicPr>
                        <pic:blipFill>
                          <a:blip r:embed="rId5"/>
                          <a:srcRect/>
                          <a:stretch>
                            <a:fillRect/>
                          </a:stretch>
                        </pic:blipFill>
                        <pic:spPr>
                          <a:xfrm>
                            <a:off x="0" y="0"/>
                            <a:ext cx="628762" cy="617029"/>
                          </a:xfrm>
                          <a:prstGeom prst="rect">
                            <a:avLst/>
                          </a:prstGeom>
                        </pic:spPr>
                      </pic:pic>
                    </a:graphicData>
                  </a:graphic>
                </wp:inline>
              </w:drawing>
            </w:r>
            <w:r>
              <w:rPr>
                <w:rFonts w:ascii="Times New Roman" w:hAnsi="Times New Roman" w:eastAsia="Times New Roman" w:cs="Times New Roman"/>
                <w:b w:val="0"/>
                <w:i w:val="0"/>
                <w:smallCaps w:val="0"/>
                <w:strike w:val="0"/>
                <w:color w:val="000000"/>
                <w:sz w:val="20"/>
                <w:szCs w:val="20"/>
                <w:u w:val="none"/>
                <w:shd w:val="clear" w:fill="auto"/>
                <w:vertAlign w:val="baseline"/>
                <w:rtl w:val="0"/>
              </w:rPr>
              <w:tab/>
            </w:r>
            <w:r>
              <w:rPr>
                <w:rFonts w:ascii="Times New Roman" w:hAnsi="Times New Roman" w:eastAsia="Times New Roman" w:cs="Times New Roman"/>
                <w:b w:val="0"/>
                <w:i w:val="0"/>
                <w:smallCaps w:val="0"/>
                <w:strike w:val="0"/>
                <w:color w:val="000000"/>
                <w:sz w:val="33"/>
                <w:szCs w:val="33"/>
                <w:u w:val="none"/>
                <w:shd w:val="clear" w:fill="auto"/>
                <w:vertAlign w:val="superscript"/>
              </w:rPr>
              <w:drawing>
                <wp:inline distT="0" distB="0" distL="0" distR="0">
                  <wp:extent cx="927100" cy="196215"/>
                  <wp:effectExtent l="0" t="0" r="0" b="0"/>
                  <wp:docPr id="2115606148" name="image2.png"/>
                  <wp:cNvGraphicFramePr/>
                  <a:graphic xmlns:a="http://schemas.openxmlformats.org/drawingml/2006/main">
                    <a:graphicData uri="http://schemas.openxmlformats.org/drawingml/2006/picture">
                      <pic:pic xmlns:pic="http://schemas.openxmlformats.org/drawingml/2006/picture">
                        <pic:nvPicPr>
                          <pic:cNvPr id="2115606148"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0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709" w:right="3595" w:firstLine="1"/>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MINISTÉRIO DA EDUCAÇÃO UNIVERSIDADE FEDERAL FLUMINENSE PRO REITORIA DE ADMINISTRAÇÃO</w:t>
            </w:r>
          </w:p>
          <w:p w14:paraId="0000000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2"/>
                <w:szCs w:val="22"/>
                <w:u w:val="none"/>
                <w:shd w:val="clear" w:fill="auto"/>
                <w:vertAlign w:val="baseline"/>
              </w:rPr>
            </w:pPr>
          </w:p>
          <w:p w14:paraId="0000000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FF0000"/>
                <w:sz w:val="18"/>
                <w:szCs w:val="18"/>
                <w:u w:val="none"/>
                <w:shd w:val="clear" w:fill="auto"/>
                <w:vertAlign w:val="baseline"/>
              </w:rPr>
            </w:pPr>
            <w:r>
              <w:rPr>
                <w:rFonts w:ascii="Arial" w:hAnsi="Arial" w:eastAsia="Arial" w:cs="Arial"/>
                <w:b/>
                <w:i w:val="0"/>
                <w:smallCaps w:val="0"/>
                <w:strike w:val="0"/>
                <w:color w:val="FF0000"/>
                <w:sz w:val="18"/>
                <w:szCs w:val="18"/>
                <w:u w:val="none"/>
                <w:shd w:val="clear" w:fill="auto"/>
                <w:vertAlign w:val="baseline"/>
                <w:rtl w:val="0"/>
              </w:rPr>
              <w:t xml:space="preserve">ANEXO </w:t>
            </w:r>
            <w:r>
              <w:rPr>
                <w:rFonts w:hint="default" w:ascii="Arial" w:hAnsi="Arial" w:eastAsia="Arial" w:cs="Arial"/>
                <w:b/>
                <w:i w:val="0"/>
                <w:smallCaps w:val="0"/>
                <w:strike w:val="0"/>
                <w:color w:val="FF0000"/>
                <w:sz w:val="18"/>
                <w:szCs w:val="18"/>
                <w:u w:val="none"/>
                <w:shd w:val="clear" w:fill="auto"/>
                <w:vertAlign w:val="baseline"/>
                <w:rtl w:val="0"/>
                <w:lang w:val="pt-BR"/>
              </w:rPr>
              <w:t>II</w:t>
            </w:r>
            <w:r>
              <w:rPr>
                <w:rFonts w:ascii="Arial" w:hAnsi="Arial" w:eastAsia="Arial" w:cs="Arial"/>
                <w:b/>
                <w:color w:val="FF0000"/>
                <w:sz w:val="18"/>
                <w:szCs w:val="18"/>
                <w:rtl w:val="0"/>
              </w:rPr>
              <w:t xml:space="preserve">I </w:t>
            </w:r>
            <w:r>
              <w:rPr>
                <w:rFonts w:ascii="Arial" w:hAnsi="Arial" w:eastAsia="Arial" w:cs="Arial"/>
                <w:b/>
                <w:i w:val="0"/>
                <w:smallCaps w:val="0"/>
                <w:strike w:val="0"/>
                <w:color w:val="FF0000"/>
                <w:sz w:val="18"/>
                <w:szCs w:val="18"/>
                <w:u w:val="none"/>
                <w:shd w:val="clear" w:fill="auto"/>
                <w:vertAlign w:val="baseline"/>
                <w:rtl w:val="0"/>
              </w:rPr>
              <w:t xml:space="preserve">DO EDITAL DO </w:t>
            </w:r>
            <w:r>
              <w:rPr>
                <w:rFonts w:ascii="Arial" w:hAnsi="Arial" w:eastAsia="Arial" w:cs="Arial"/>
                <w:b/>
                <w:color w:val="FF0000"/>
                <w:sz w:val="18"/>
                <w:szCs w:val="18"/>
                <w:rtl w:val="0"/>
              </w:rPr>
              <w:t>PE</w:t>
            </w:r>
            <w:r>
              <w:rPr>
                <w:rFonts w:ascii="Arial" w:hAnsi="Arial" w:eastAsia="Arial" w:cs="Arial"/>
                <w:b/>
                <w:i w:val="0"/>
                <w:smallCaps w:val="0"/>
                <w:strike w:val="0"/>
                <w:color w:val="FF0000"/>
                <w:sz w:val="18"/>
                <w:szCs w:val="18"/>
                <w:u w:val="none"/>
                <w:shd w:val="clear" w:fill="auto"/>
                <w:vertAlign w:val="baseline"/>
                <w:rtl w:val="0"/>
              </w:rPr>
              <w:t xml:space="preserve"> N.º </w:t>
            </w:r>
            <w:r>
              <w:rPr>
                <w:rFonts w:hint="default" w:ascii="Arial" w:hAnsi="Arial" w:eastAsia="Arial" w:cs="Arial"/>
                <w:b/>
                <w:i w:val="0"/>
                <w:smallCaps w:val="0"/>
                <w:strike w:val="0"/>
                <w:color w:val="FF0000"/>
                <w:sz w:val="18"/>
                <w:szCs w:val="18"/>
                <w:u w:val="none"/>
                <w:shd w:val="clear" w:fill="auto"/>
                <w:vertAlign w:val="baseline"/>
                <w:rtl w:val="0"/>
                <w:lang w:val="pt-BR"/>
              </w:rPr>
              <w:t>90.074</w:t>
            </w:r>
            <w:r>
              <w:rPr>
                <w:rFonts w:ascii="Arial" w:hAnsi="Arial" w:eastAsia="Arial" w:cs="Arial"/>
                <w:b/>
                <w:i w:val="0"/>
                <w:smallCaps w:val="0"/>
                <w:strike w:val="0"/>
                <w:color w:val="FF0000"/>
                <w:sz w:val="18"/>
                <w:szCs w:val="18"/>
                <w:u w:val="none"/>
                <w:shd w:val="clear" w:fill="auto"/>
                <w:vertAlign w:val="baseline"/>
                <w:rtl w:val="0"/>
              </w:rPr>
              <w:t>/202</w:t>
            </w:r>
            <w:r>
              <w:rPr>
                <w:rFonts w:ascii="Arial" w:hAnsi="Arial" w:eastAsia="Arial" w:cs="Arial"/>
                <w:b/>
                <w:color w:val="FF0000"/>
                <w:sz w:val="18"/>
                <w:szCs w:val="18"/>
                <w:rtl w:val="0"/>
              </w:rPr>
              <w:t>5</w:t>
            </w:r>
            <w:r>
              <w:rPr>
                <w:rFonts w:ascii="Arial" w:hAnsi="Arial" w:eastAsia="Arial" w:cs="Arial"/>
                <w:b/>
                <w:i w:val="0"/>
                <w:smallCaps w:val="0"/>
                <w:strike w:val="0"/>
                <w:color w:val="FF0000"/>
                <w:sz w:val="18"/>
                <w:szCs w:val="18"/>
                <w:u w:val="none"/>
                <w:shd w:val="clear" w:fill="auto"/>
                <w:vertAlign w:val="baseline"/>
                <w:rtl w:val="0"/>
              </w:rPr>
              <w:t xml:space="preserve">/AD </w:t>
            </w:r>
          </w:p>
          <w:p w14:paraId="0000000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5" w:after="0" w:line="482" w:lineRule="auto"/>
              <w:ind w:left="2681" w:right="2565" w:firstLine="0"/>
              <w:jc w:val="center"/>
              <w:rPr>
                <w:rFonts w:ascii="Arial" w:hAnsi="Arial" w:eastAsia="Arial" w:cs="Arial"/>
                <w:b/>
                <w:i w:val="0"/>
                <w:smallCaps w:val="0"/>
                <w:strike w:val="0"/>
                <w:color w:val="000000"/>
                <w:sz w:val="18"/>
                <w:szCs w:val="18"/>
                <w:u w:val="none"/>
                <w:shd w:val="clear" w:fill="auto"/>
                <w:vertAlign w:val="baseline"/>
              </w:rPr>
            </w:pPr>
            <w:r>
              <w:rPr>
                <w:rFonts w:ascii="Arial" w:hAnsi="Arial" w:eastAsia="Arial" w:cs="Arial"/>
                <w:b/>
                <w:i w:val="0"/>
                <w:smallCaps w:val="0"/>
                <w:strike w:val="0"/>
                <w:color w:val="000000"/>
                <w:sz w:val="18"/>
                <w:szCs w:val="18"/>
                <w:u w:val="none"/>
                <w:shd w:val="clear" w:fill="auto"/>
                <w:vertAlign w:val="baseline"/>
                <w:rtl w:val="0"/>
              </w:rPr>
              <w:t>MINUTA ATA DE REGISTRO DE PREÇOS</w:t>
            </w:r>
          </w:p>
          <w:p w14:paraId="0000000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1"/>
                <w:szCs w:val="21"/>
                <w:u w:val="none"/>
                <w:shd w:val="clear" w:fill="auto"/>
                <w:vertAlign w:val="baseline"/>
              </w:rPr>
            </w:pPr>
          </w:p>
          <w:p w14:paraId="0000000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2" w:lineRule="auto"/>
              <w:ind w:left="1254" w:right="0" w:firstLine="0"/>
              <w:jc w:val="left"/>
              <w:rPr>
                <w:rFonts w:ascii="Times New Roman" w:hAnsi="Times New Roman" w:eastAsia="Times New Roman" w:cs="Times New Roman"/>
                <w:b w:val="0"/>
                <w:i w:val="0"/>
                <w:smallCaps w:val="0"/>
                <w:strike w:val="0"/>
                <w:color w:val="000000"/>
                <w:sz w:val="2"/>
                <w:szCs w:val="2"/>
                <w:u w:val="none"/>
                <w:shd w:val="clear" w:fill="auto"/>
                <w:vertAlign w:val="baseline"/>
              </w:rPr>
            </w:pPr>
            <w:r>
              <w:rPr>
                <w:rFonts w:ascii="Times New Roman" w:hAnsi="Times New Roman" w:eastAsia="Times New Roman" w:cs="Times New Roman"/>
                <w:b w:val="0"/>
                <w:i w:val="0"/>
                <w:smallCaps w:val="0"/>
                <w:strike w:val="0"/>
                <w:color w:val="000000"/>
                <w:sz w:val="2"/>
                <w:szCs w:val="2"/>
                <w:u w:val="none"/>
                <w:shd w:val="clear" w:fill="auto"/>
                <w:vertAlign w:val="baseline"/>
              </w:rPr>
              <mc:AlternateContent>
                <mc:Choice Requires="wpg">
                  <w:drawing>
                    <wp:inline distT="0" distB="0" distL="0" distR="0">
                      <wp:extent cx="5323205" cy="13335"/>
                      <wp:effectExtent l="0" t="0" r="0" b="0"/>
                      <wp:docPr id="2115606144" name="Grupo 2115606144"/>
                      <wp:cNvGraphicFramePr/>
                      <a:graphic xmlns:a="http://schemas.openxmlformats.org/drawingml/2006/main">
                        <a:graphicData uri="http://schemas.microsoft.com/office/word/2010/wordprocessingGroup">
                          <wpg:wgp>
                            <wpg:cNvGrpSpPr/>
                            <wpg:grpSpPr>
                              <a:xfrm>
                                <a:off x="2684375" y="3773325"/>
                                <a:ext cx="5323205" cy="13335"/>
                                <a:chOff x="2684375" y="3773325"/>
                                <a:chExt cx="5323250" cy="13350"/>
                              </a:xfrm>
                            </wpg:grpSpPr>
                            <wpg:grpSp>
                              <wpg:cNvPr id="1" name="Grupo 1"/>
                              <wpg:cNvGrpSpPr/>
                              <wpg:grpSpPr>
                                <a:xfrm>
                                  <a:off x="2684398" y="3773333"/>
                                  <a:ext cx="5323205" cy="13335"/>
                                  <a:chOff x="2684375" y="3773100"/>
                                  <a:chExt cx="5323250" cy="13175"/>
                                </a:xfrm>
                              </wpg:grpSpPr>
                              <wps:wsp>
                                <wps:cNvPr id="3" name="Shape 3"/>
                                <wps:cNvSpPr/>
                                <wps:spPr>
                                  <a:xfrm>
                                    <a:off x="2684375" y="3773100"/>
                                    <a:ext cx="5323250" cy="13175"/>
                                  </a:xfrm>
                                  <a:prstGeom prst="rect">
                                    <a:avLst/>
                                  </a:prstGeom>
                                  <a:noFill/>
                                  <a:ln>
                                    <a:noFill/>
                                  </a:ln>
                                </wps:spPr>
                                <wps:txbx>
                                  <w:txbxContent>
                                    <w:p w14:paraId="42CFF5D8">
                                      <w:pPr>
                                        <w:spacing w:before="0" w:after="0" w:line="240" w:lineRule="auto"/>
                                        <w:ind w:left="0" w:right="0" w:firstLine="0"/>
                                        <w:jc w:val="left"/>
                                      </w:pPr>
                                    </w:p>
                                  </w:txbxContent>
                                </wps:txbx>
                                <wps:bodyPr spcFirstLastPara="1" wrap="square" lIns="91425" tIns="91425" rIns="91425" bIns="91425" anchor="ctr" anchorCtr="0">
                                  <a:noAutofit/>
                                </wps:bodyPr>
                              </wps:wsp>
                              <wpg:grpSp>
                                <wpg:cNvPr id="2" name="Grupo 2"/>
                                <wpg:cNvGrpSpPr/>
                                <wpg:grpSpPr>
                                  <a:xfrm>
                                    <a:off x="2684398" y="3773333"/>
                                    <a:ext cx="5323205" cy="7620"/>
                                    <a:chOff x="0" y="0"/>
                                    <a:chExt cx="8383" cy="12"/>
                                  </a:xfrm>
                                </wpg:grpSpPr>
                                <wps:wsp>
                                  <wps:cNvPr id="9" name="Shape 9"/>
                                  <wps:cNvSpPr/>
                                  <wps:spPr>
                                    <a:xfrm>
                                      <a:off x="0" y="0"/>
                                      <a:ext cx="8375" cy="0"/>
                                    </a:xfrm>
                                    <a:prstGeom prst="rect">
                                      <a:avLst/>
                                    </a:prstGeom>
                                    <a:noFill/>
                                    <a:ln>
                                      <a:noFill/>
                                    </a:ln>
                                  </wps:spPr>
                                  <wps:txbx>
                                    <w:txbxContent>
                                      <w:p w14:paraId="7C5A62F6">
                                        <w:pPr>
                                          <w:spacing w:before="0" w:after="0" w:line="240" w:lineRule="auto"/>
                                          <w:ind w:left="0" w:right="0" w:firstLine="0"/>
                                          <w:jc w:val="left"/>
                                        </w:pPr>
                                      </w:p>
                                    </w:txbxContent>
                                  </wps:txbx>
                                  <wps:bodyPr spcFirstLastPara="1" wrap="square" lIns="91425" tIns="91425" rIns="91425" bIns="91425" anchor="ctr" anchorCtr="0">
                                    <a:noAutofit/>
                                  </wps:bodyPr>
                                </wps:wsp>
                                <wps:wsp>
                                  <wps:cNvPr id="10" name="Shape 10"/>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wgp>
                        </a:graphicData>
                      </a:graphic>
                    </wp:inline>
                  </w:drawing>
                </mc:Choice>
                <mc:Fallback>
                  <w:pict>
                    <v:group id="_x0000_s1026" o:spid="_x0000_s1026" o:spt="203" style="height:1.05pt;width:419.15pt;" coordorigin="2684375,3773325" coordsize="5323250,13350" o:gfxdata="UEsDBAoAAAAAAIdO4kAAAAAAAAAAAAAAAAAEAAAAZHJzL1BLAwQUAAAACACHTuJAEBBIZ9QAAAAD&#10;AQAADwAAAGRycy9kb3ducmV2LnhtbE2PwWrDMBBE74X+g9hCbo2smBbjWg4ltDmFQJNC6W1jbWwT&#10;a2UsxU7+Pmov7WVhmGHmbbG82E6MNPjWsQY1T0AQV860XGv43L8/ZiB8QDbYOSYNV/KwLO/vCsyN&#10;m/iDxl2oRSxhn6OGJoQ+l9JXDVn0c9cTR+/oBoshyqGWZsAplttOLpLkWVpsOS402NOqoeq0O1sN&#10;6wmn11S9jZvTcXX93j9tvzaKtJ49qOQFRKBL+AvDD35EhzIyHdyZjRedhvhI+L3Ry9IsBXHQsFAg&#10;y0L+Zy9vUEsDBBQAAAAIAIdO4kC3Z8eX7AMAAMsNAAAOAAAAZHJzL2Uyb0RvYy54bWztV9lu3DYU&#10;fS/QfyD4Xs9Ims2C5aCIY6NA0BhI+gEciRoJlUiV5Cz++x6SohanTYwEbvtQP4y5XJJ3Offcq5s3&#10;l7YhJ650LUVGo6slJVzksqjFIaO/fbr/aUeJNkwUrJGCZ/SJa/rm9scfbs5dymNZyabgiuASodNz&#10;l9HKmC5dLHRe8ZbpK9lxgc1SqpYZTNVhUSh2xu1ts4iXy83iLFXRKZlzrbF65zdpf6N6yYWyLOuc&#10;38n82HJh/K2KN8zAJF3Vnaa3Ttuy5Ln5UJaaG9JkFJYa94tHMN7b38XtDUsPinVVnfcqsJeo8Mym&#10;ltUCjw5X3THDyFHVn13V1rmSWpbmKpftwhviPAIrouUz3zwoeeycLYf0fOgGpyNQz7z+zdfmv54e&#10;FamLjMZRtN4sN9FqRYlgLSL/oI6dJJN1OOvcHVKceVDdx+5R9QsHP7P2X0rV2v+wjFxw6Wa3SrZr&#10;Sp4ymmy3SRKvvcv5xZAcAuskTuIlBHJIREmS9Pt5hbh98Ya8eje9Y42I9ndgCMUWQZmF1XlQcZi8&#10;rjejuRMjq9G3+O4a2Rh8lyTf6bto2QP+b30XIVZf8h1SXo841N+Hw48V67iDt7aY6nGYBM+5beJs&#10;PndOYoCcTjXQ9wK8DRbP8DZi5bm9LO2UNg9ctsQOMqrAIC6x2em9Nt41QcS+L+R93TRYZ2kjZgvA&#10;n10B+oK2dmQu+4uDgk73sniCzbrL72u89Z5p88gU2AfYOYORMqr/ODLFKWl+EXD1dbRC9hAznajp&#10;ZD+dMJFXEkSXG0WJn7w1jvi8lj8fjSxrZ5HVyyvTq4sYe7S6rHndRIlDuHu2efVE2W7iIQt6jgF1&#10;IMeG1cAru2QHMDpSif/trLgObvJZce3d9MKsmNkXMmHneNlaN6fL/1PA5kOfAv8A30WIjq+3PrSY&#10;9wQBTvw64/nY+kMsHYMboDtHLkvzo+c3ywKB09C2FJ7dsFaFUX4RYWhZ0HZQjeugDCUgEtAKOqi9&#10;VRaQYcaeC0NyzqjPngp0hq4PhYdAN3W0XeeH3y3mrGwrT/yTdKeMLfYToII+x91GTKXiVYQeZQLc&#10;sD0e6Nx1ENzMBEeBcMQLrnbJ/OmwPR4YBEFYk6dHgXDEC27j1fzpsD0eGAR9iQ9ZOAqEI17Q+3Py&#10;tN+Gn6zzXb8zRAGL0zjPipSNTZRErgbaIlOibwbLtR16QC0OLi5aNnVhC5sNjVaH/dtGkROzPbT7&#10;69lwJmar4h3TlZdzWx4baGJF4VBScVa8EwUxTx3aS4HPC1Q6vNqixHF8jGDg5Ayrm6/L/XWB/Y9X&#10;1bEZdbW2b0z7MXp8F8f+e8R+REznTmr8Brv9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kGAABbQ29udGVudF9UeXBlc10ueG1sUEsBAhQACgAA&#10;AAAAh07iQAAAAAAAAAAAAAAAAAYAAAAAAAAAAAAQAAAAOwUAAF9yZWxzL1BLAQIUABQAAAAIAIdO&#10;4kCKFGY80QAAAJQBAAALAAAAAAAAAAEAIAAAAF8FAABfcmVscy8ucmVsc1BLAQIUAAoAAAAAAIdO&#10;4kAAAAAAAAAAAAAAAAAEAAAAAAAAAAAAEAAAAAAAAABkcnMvUEsBAhQAFAAAAAgAh07iQBAQSGfU&#10;AAAAAwEAAA8AAAAAAAAAAQAgAAAAIgAAAGRycy9kb3ducmV2LnhtbFBLAQIUABQAAAAIAIdO4kC3&#10;Z8eX7AMAAMsNAAAOAAAAAAAAAAEAIAAAACMBAABkcnMvZTJvRG9jLnhtbFBLBQYAAAAABgAGAFkB&#10;AACBBwAAAAA=&#10;">
                      <o:lock v:ext="edit" aspectratio="f"/>
                      <v:group id="_x0000_s1026" o:spid="_x0000_s1026" o:spt="203" style="position:absolute;left:2684398;top:3773333;height:13335;width:5323205;" coordorigin="2684375,3773100" coordsize="5323250,13175" o:gfxdata="UEsDBAoAAAAAAIdO4kAAAAAAAAAAAAAAAAAEAAAAZHJzL1BLAwQUAAAACACHTuJAC8lPeLsAAADa&#10;AAAADwAAAGRycy9kb3ducmV2LnhtbEVPTWvCQBC9F/wPywje6iaVFomuQcQWD6FQFcTbkB2TkOxs&#10;yG4T8+9dodDT8Hifs07vphE9da6yrCCeRyCIc6srLhScT5+vSxDOI2tsLJOCkRykm8nLGhNtB/6h&#10;/ugLEULYJaig9L5NpHR5SQbd3LbEgbvZzqAPsCuk7nAI4aaRb1H0IQ1WHBpKbGlXUl4ff42CrwGH&#10;7SLe91l9243X0/v3JYtJqdk0jlYgPN39v/jPfdBhPjxfeV65eQB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vJT3i7AAAA2gAAAA8AAAAAAAAAAQAgAAAAIgAAAGRycy9kb3ducmV2LnhtbFBL&#10;AQIUABQAAAAIAIdO4kAzLwWeOwAAADkAAAAVAAAAAAAAAAEAIAAAAAoBAABkcnMvZ3JvdXBzaGFw&#10;ZXhtbC54bWxQSwUGAAAAAAYABgBgAQAAxwMAAAAA&#10;">
                        <o:lock v:ext="edit" aspectratio="f"/>
                        <v:rect id="Shape 3" o:spid="_x0000_s1026" o:spt="1" style="position:absolute;left:2684375;top:3773100;height:13175;width:5323250;v-text-anchor:middle;" filled="f" stroked="f" coordsize="21600,21600" o:gfxdata="UEsDBAoAAAAAAIdO4kAAAAAAAAAAAAAAAAAEAAAAZHJzL1BLAwQUAAAACACHTuJA4uT7vbwAAADa&#10;AAAADwAAAGRycy9kb3ducmV2LnhtbEWP0WrCQBRE34X+w3ILvukmsYhN3QiWCtYnjf2A2+xtNjR7&#10;N2ZXjX/vFgo+DjNzhlmuBtuKC/W+cawgnSYgiCunG64VfB03kwUIH5A1to5JwY08rIqn0RJz7a58&#10;oEsZahEh7HNUYELocil9Zciin7qOOHo/rrcYouxrqXu8RrhtZZYkc2mx4bhgsKN3Q9VvebYK9i+O&#10;so/Mr8vavprh+7j7POFcqfFzmryBCDSER/i/vdUKZvB3Jd4A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k+72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42CFF5D8">
                                <w:pPr>
                                  <w:spacing w:before="0" w:after="0" w:line="240" w:lineRule="auto"/>
                                  <w:ind w:left="0" w:right="0" w:firstLine="0"/>
                                  <w:jc w:val="left"/>
                                </w:pPr>
                              </w:p>
                            </w:txbxContent>
                          </v:textbox>
                        </v:rect>
                        <v:group id="_x0000_s1026" o:spid="_x0000_s1026" o:spt="203" style="position:absolute;left:2684398;top:3773333;height:7620;width:5323205;" coordsize="8383,1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rect id="Shape 9" o:spid="_x0000_s1026" o:spt="1" style="position:absolute;left:0;top:0;height:0;width:8375;v-text-anchor:middle;" filled="f" stroked="f" coordsize="21600,21600" o:gfxdata="UEsDBAoAAAAAAIdO4kAAAAAAAAAAAAAAAAAEAAAAZHJzL1BLAwQUAAAACACHTuJAgwzMV7wAAADa&#10;AAAADwAAAGRycy9kb3ducmV2LnhtbEWPUWvCMBSF3wf+h3AF32ZqEVmrUVA2mHva2v2Au+baFJub&#10;mmRa//0yGOzxcM75DmezG20vruRD51jBYp6BIG6c7rhV8Fm/PD6BCBFZY++YFNwpwG47edhgqd2N&#10;P+haxVYkCIcSFZgYh1LK0BiyGOZuIE7eyXmLMUnfSu3xluC2l3mWraTFjtOCwYEOhppz9W0VvC8d&#10;5c952FetLcz4Vb8dL7hSajZdZGsQkcb4H/5rv2oFBfxeSTdAb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MzFe8AAAA&#10;2gAAAA8AAAAAAAAAAQAgAAAAIgAAAGRycy9kb3ducmV2LnhtbFBLAQIUABQAAAAIAIdO4kAzLwWe&#10;OwAAADkAAAAQAAAAAAAAAAEAIAAAAAsBAABkcnMvc2hhcGV4bWwueG1sUEsFBgAAAAAGAAYAWwEA&#10;ALUDAAAAAA==&#10;">
                            <v:fill on="f" focussize="0,0"/>
                            <v:stroke on="f"/>
                            <v:imagedata o:title=""/>
                            <o:lock v:ext="edit" aspectratio="f"/>
                            <v:textbox inset="7.1988188976378pt,7.1988188976378pt,7.1988188976378pt,7.1988188976378pt">
                              <w:txbxContent>
                                <w:p w14:paraId="7C5A62F6">
                                  <w:pPr>
                                    <w:spacing w:before="0" w:after="0" w:line="240" w:lineRule="auto"/>
                                    <w:ind w:left="0" w:right="0" w:firstLine="0"/>
                                    <w:jc w:val="left"/>
                                  </w:pPr>
                                </w:p>
                              </w:txbxContent>
                            </v:textbox>
                          </v:rect>
                          <v:shape id="Shape 10" o:spid="_x0000_s1026" o:spt="100" style="position:absolute;left:0;top:10;height:2;width:8383;v-text-anchor:middle;" filled="f" stroked="t" coordsize="8383,120000" o:gfxdata="UEsDBAoAAAAAAIdO4kAAAAAAAAAAAAAAAAAEAAAAZHJzL1BLAwQUAAAACACHTuJAYuWYEL0AAADb&#10;AAAADwAAAGRycy9kb3ducmV2LnhtbEWPQWvCQBCF7wX/wzKCl9JsrFRq6ioiVEpvNR48jtlpEszO&#10;huyaxH/vHAq9zfDevPfNeju6RvXUhdqzgXmSgiIuvK25NHDKP1/eQYWIbLHxTAbuFGC7mTytMbN+&#10;4B/qj7FUEsIhQwNVjG2mdSgqchgS3xKL9us7h1HWrtS2w0HCXaNf03SpHdYsDRW2tK+ouB5vzsC1&#10;/+YaF4H2z287e1hcVnk4W2Nm03n6ASrSGP/Nf9dfVvCFXn6RAf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5ZgQvQAA&#10;ANsAAAAPAAAAAAAAAAEAIAAAACIAAABkcnMvZG93bnJldi54bWxQSwECFAAUAAAACACHTuJAMy8F&#10;njsAAAA5AAAAEAAAAAAAAAABACAAAAAMAQAAZHJzL3NoYXBleG1sLnhtbFBLBQYAAAAABgAGAFsB&#10;AAC2AwAAAAA=&#10;" path="m0,0l2414,0m2416,0l4830,0m4832,0l7246,0m7248,0l8383,0e">
                            <v:fill on="f" focussize="0,0"/>
                            <v:stroke weight="1.03543307086614pt" color="#000000" joinstyle="round" startarrowwidth="narrow" startarrowlength="short" endarrowwidth="narrow" endarrowlength="short"/>
                            <v:imagedata o:title=""/>
                            <o:lock v:ext="edit" aspectratio="f"/>
                            <v:textbox inset="7.1988188976378pt,7.1988188976378pt,7.1988188976378pt,7.1988188976378pt"/>
                          </v:shape>
                        </v:group>
                      </v:group>
                      <w10:wrap type="none"/>
                      <w10:anchorlock/>
                    </v:group>
                  </w:pict>
                </mc:Fallback>
              </mc:AlternateContent>
            </w:r>
          </w:p>
          <w:p w14:paraId="0000000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0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D">
            <w:pPr>
              <w:tabs>
                <w:tab w:val="center" w:pos="4779"/>
                <w:tab w:val="right" w:pos="9198"/>
              </w:tabs>
              <w:spacing w:before="120" w:after="120" w:line="276" w:lineRule="auto"/>
              <w:ind w:left="402" w:right="491" w:firstLine="1016"/>
              <w:jc w:val="both"/>
            </w:pPr>
            <w:r>
              <w:rPr>
                <w:rtl w:val="0"/>
              </w:rPr>
              <w:t xml:space="preserve">A </w:t>
            </w:r>
            <w:r>
              <w:rPr>
                <w:b/>
                <w:rtl w:val="0"/>
              </w:rPr>
              <w:t xml:space="preserve">Pró-Reitoria de Administração da Universidade Federal Fluminense (PROAD/UFF), </w:t>
            </w:r>
            <w:r>
              <w:rPr>
                <w:rtl w:val="0"/>
              </w:rPr>
              <w:t xml:space="preserve">inscrito no CNPJ/MF sob o nº. 28.523.215/0039-89, situada na Rua Miguel de Frias, 9, 1º andar, Icaraí, Niterói/RJ, CEP 24.220-900, neste ato representada pela Pró-Reitora de Administração, </w:t>
            </w:r>
            <w:r>
              <w:rPr>
                <w:b/>
                <w:rtl w:val="0"/>
              </w:rPr>
              <w:t xml:space="preserve">Vera Lucia Lavrado Cupelo Cajazeiras, </w:t>
            </w:r>
            <w:r>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auto"/>
                <w:highlight w:val="none"/>
                <w:rtl w:val="0"/>
              </w:rPr>
              <w:t xml:space="preserve">nº </w:t>
            </w:r>
            <w:r>
              <w:rPr>
                <w:rFonts w:hint="default"/>
                <w:color w:val="FF0000"/>
                <w:highlight w:val="none"/>
                <w:rtl w:val="0"/>
                <w:lang w:val="pt-BR"/>
              </w:rPr>
              <w:t>90.074/2025</w:t>
            </w:r>
            <w:r>
              <w:rPr>
                <w:color w:val="FF0000"/>
                <w:highlight w:val="none"/>
                <w:rtl w:val="0"/>
              </w:rPr>
              <w:t>.</w:t>
            </w:r>
            <w:r>
              <w:rPr>
                <w:color w:val="0000FF"/>
                <w:highlight w:val="none"/>
                <w:rtl w:val="0"/>
              </w:rPr>
              <w:t xml:space="preserve">, </w:t>
            </w:r>
            <w:r>
              <w:rPr>
                <w:rtl w:val="0"/>
              </w:rPr>
              <w:t>processo administrativo</w:t>
            </w:r>
            <w:r>
              <w:rPr>
                <w:color w:val="0000FF"/>
                <w:rtl w:val="0"/>
              </w:rPr>
              <w:t xml:space="preserve"> </w:t>
            </w:r>
            <w:r>
              <w:rPr>
                <w:color w:val="auto"/>
                <w:highlight w:val="none"/>
                <w:rtl w:val="0"/>
              </w:rPr>
              <w:t xml:space="preserve">n.º </w:t>
            </w:r>
            <w:r>
              <w:rPr>
                <w:rFonts w:hint="default"/>
                <w:color w:val="FF0000"/>
                <w:highlight w:val="none"/>
                <w:rtl w:val="0"/>
                <w:lang w:val="pt-BR"/>
              </w:rPr>
              <w:t>23069.184254/2025-49</w:t>
            </w:r>
            <w:r>
              <w:rPr>
                <w:color w:val="0000FF"/>
                <w:highlight w:val="none"/>
                <w:rtl w:val="0"/>
              </w:rPr>
              <w:t>,</w:t>
            </w:r>
            <w:r>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0000000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6" w:after="0" w:line="240" w:lineRule="auto"/>
              <w:ind w:left="610" w:right="489" w:firstLine="0"/>
              <w:jc w:val="both"/>
              <w:rPr>
                <w:rFonts w:ascii="Calibri" w:hAnsi="Calibri" w:eastAsia="Calibri" w:cs="Calibri"/>
                <w:b w:val="0"/>
                <w:i w:val="0"/>
                <w:smallCaps w:val="0"/>
                <w:strike w:val="0"/>
                <w:color w:val="000000"/>
                <w:sz w:val="22"/>
                <w:szCs w:val="22"/>
                <w:u w:val="none"/>
                <w:shd w:val="clear" w:fill="auto"/>
                <w:vertAlign w:val="baseline"/>
              </w:rPr>
            </w:pPr>
          </w:p>
          <w:p w14:paraId="0000000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318"/>
              </w:tabs>
              <w:spacing w:before="0" w:after="0" w:line="240" w:lineRule="auto"/>
              <w:ind w:left="610"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1.</w:t>
            </w:r>
            <w:r>
              <w:rPr>
                <w:rFonts w:ascii="Calibri" w:hAnsi="Calibri" w:eastAsia="Calibri" w:cs="Calibri"/>
                <w:b/>
                <w:i w:val="0"/>
                <w:smallCaps w:val="0"/>
                <w:strike w:val="0"/>
                <w:color w:val="000000"/>
                <w:sz w:val="22"/>
                <w:szCs w:val="22"/>
                <w:u w:val="none"/>
                <w:shd w:val="clear" w:fill="auto"/>
                <w:vertAlign w:val="baseline"/>
                <w:rtl w:val="0"/>
              </w:rPr>
              <w:tab/>
            </w:r>
            <w:r>
              <w:rPr>
                <w:rFonts w:ascii="Calibri" w:hAnsi="Calibri" w:eastAsia="Calibri" w:cs="Calibri"/>
                <w:b/>
                <w:i w:val="0"/>
                <w:smallCaps w:val="0"/>
                <w:strike w:val="0"/>
                <w:color w:val="000000"/>
                <w:sz w:val="22"/>
                <w:szCs w:val="22"/>
                <w:u w:val="none"/>
                <w:shd w:val="clear" w:fill="auto"/>
                <w:vertAlign w:val="baseline"/>
                <w:rtl w:val="0"/>
              </w:rPr>
              <w:t>DO OBJETO</w:t>
            </w:r>
          </w:p>
          <w:p w14:paraId="00000010">
            <w:pPr>
              <w:keepNext w:val="0"/>
              <w:keepLines w:val="0"/>
              <w:widowControl w:val="0"/>
              <w:numPr>
                <w:ilvl w:val="1"/>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314"/>
              </w:tabs>
              <w:spacing w:before="72" w:after="0" w:line="240" w:lineRule="auto"/>
              <w:ind w:left="1313" w:right="489" w:hanging="846"/>
              <w:jc w:val="both"/>
            </w:pPr>
            <w:r>
              <w:rPr>
                <w:rFonts w:ascii="Calibri" w:hAnsi="Calibri" w:eastAsia="Calibri" w:cs="Calibri"/>
                <w:b w:val="0"/>
                <w:i w:val="0"/>
                <w:smallCaps w:val="0"/>
                <w:strike w:val="0"/>
                <w:color w:val="000000"/>
                <w:sz w:val="22"/>
                <w:szCs w:val="22"/>
                <w:u w:val="none"/>
                <w:shd w:val="clear" w:fill="auto"/>
                <w:vertAlign w:val="baseline"/>
                <w:rtl w:val="0"/>
              </w:rPr>
              <w:t xml:space="preserve">A presente Ata tem por objeto o registro de preços para a eventual </w:t>
            </w:r>
            <w:r>
              <w:rPr>
                <w:rFonts w:hint="default" w:ascii="Calibri" w:hAnsi="Calibri" w:eastAsia="Calibri" w:cs="Calibri"/>
                <w:b/>
                <w:bCs/>
                <w:i w:val="0"/>
                <w:smallCaps w:val="0"/>
                <w:strike w:val="0"/>
                <w:color w:val="000000"/>
                <w:sz w:val="22"/>
                <w:szCs w:val="22"/>
                <w:u w:val="none"/>
                <w:shd w:val="clear" w:fill="auto"/>
                <w:vertAlign w:val="baseline"/>
                <w:rtl w:val="0"/>
                <w:lang w:val="en-US" w:eastAsia="zh-CN"/>
              </w:rPr>
              <w:t xml:space="preserve">Aquisição de Bens de Tecnologia da Informação e Comunicação (TIC), especificamente: Sistema de Armazenamento (Storage) All-Flash NVMe com Mitigação de Ataque Ransomware </w:t>
            </w:r>
            <w:r>
              <w:rPr>
                <w:rFonts w:hint="default" w:ascii="Calibri" w:hAnsi="Calibri" w:eastAsia="Calibri" w:cs="Calibri"/>
                <w:b/>
                <w:bCs/>
                <w:i w:val="0"/>
                <w:smallCaps w:val="0"/>
                <w:strike w:val="0"/>
                <w:color w:val="000000"/>
                <w:sz w:val="22"/>
                <w:szCs w:val="22"/>
                <w:u w:val="none"/>
                <w:shd w:val="clear" w:fill="auto"/>
                <w:vertAlign w:val="baseline"/>
                <w:rtl w:val="0"/>
                <w:lang w:val="pt-BR" w:eastAsia="zh-CN"/>
              </w:rPr>
              <w:t xml:space="preserve">e </w:t>
            </w:r>
            <w:r>
              <w:rPr>
                <w:rFonts w:hint="default" w:ascii="Calibri" w:hAnsi="Calibri" w:eastAsia="Calibri" w:cs="Calibri"/>
                <w:b/>
                <w:bCs/>
                <w:i w:val="0"/>
                <w:smallCaps w:val="0"/>
                <w:strike w:val="0"/>
                <w:color w:val="000000"/>
                <w:sz w:val="22"/>
                <w:szCs w:val="22"/>
                <w:u w:val="none"/>
                <w:shd w:val="clear" w:fill="auto"/>
                <w:vertAlign w:val="baseline"/>
                <w:rtl w:val="0"/>
                <w:lang w:val="en-US" w:eastAsia="zh-CN"/>
              </w:rPr>
              <w:t>Módulos de Expansão para Core Switch</w:t>
            </w:r>
            <w:r>
              <w:rPr>
                <w:rFonts w:ascii="Calibri" w:hAnsi="Calibri" w:eastAsia="Calibri" w:cs="Calibri"/>
                <w:b/>
                <w:i w:val="0"/>
                <w:smallCaps w:val="0"/>
                <w:strike w:val="0"/>
                <w:color w:val="0000FF"/>
                <w:sz w:val="22"/>
                <w:szCs w:val="22"/>
                <w:u w:val="none"/>
                <w:shd w:val="clear" w:fill="auto"/>
                <w:vertAlign w:val="baseline"/>
                <w:rtl w:val="0"/>
              </w:rPr>
              <w:t xml:space="preserve">, </w:t>
            </w:r>
            <w:r>
              <w:rPr>
                <w:rFonts w:ascii="Calibri" w:hAnsi="Calibri" w:eastAsia="Calibri" w:cs="Calibri"/>
                <w:b w:val="0"/>
                <w:i w:val="0"/>
                <w:smallCaps w:val="0"/>
                <w:strike w:val="0"/>
                <w:color w:val="000000"/>
                <w:sz w:val="22"/>
                <w:szCs w:val="22"/>
                <w:u w:val="none"/>
                <w:shd w:val="clear" w:fill="auto"/>
                <w:vertAlign w:val="baseline"/>
                <w:rtl w:val="0"/>
              </w:rPr>
              <w:t xml:space="preserve">especificado(s) no(s) item(ns) do Termo de Referência e Planilha de Itens, Anexos I e </w:t>
            </w:r>
            <w:r>
              <w:rPr>
                <w:b w:val="0"/>
                <w:i w:val="0"/>
                <w:smallCaps w:val="0"/>
                <w:strike w:val="0"/>
                <w:color w:val="000000"/>
                <w:sz w:val="22"/>
                <w:szCs w:val="22"/>
                <w:u w:val="none"/>
                <w:shd w:val="clear" w:fill="auto"/>
                <w:vertAlign w:val="baseline"/>
                <w:rtl w:val="0"/>
              </w:rPr>
              <w:t>III</w:t>
            </w:r>
            <w:r>
              <w:rPr>
                <w:rFonts w:ascii="Calibri" w:hAnsi="Calibri" w:eastAsia="Calibri" w:cs="Calibri"/>
                <w:b w:val="0"/>
                <w:i w:val="0"/>
                <w:smallCaps w:val="0"/>
                <w:strike w:val="0"/>
                <w:color w:val="000000"/>
                <w:sz w:val="22"/>
                <w:szCs w:val="22"/>
                <w:u w:val="none"/>
                <w:shd w:val="clear" w:fill="auto"/>
                <w:vertAlign w:val="baseline"/>
                <w:rtl w:val="0"/>
              </w:rPr>
              <w:t xml:space="preserve"> do edital de Pregão nº</w:t>
            </w:r>
            <w:r>
              <w:rPr>
                <w:rFonts w:hint="default" w:cs="Calibri"/>
                <w:b w:val="0"/>
                <w:i w:val="0"/>
                <w:smallCaps w:val="0"/>
                <w:strike w:val="0"/>
                <w:color w:val="000000"/>
                <w:sz w:val="22"/>
                <w:szCs w:val="22"/>
                <w:u w:val="none"/>
                <w:shd w:val="clear" w:fill="auto"/>
                <w:vertAlign w:val="baseline"/>
                <w:rtl w:val="0"/>
                <w:lang w:val="pt-BR"/>
              </w:rPr>
              <w:t xml:space="preserve"> </w:t>
            </w:r>
            <w:r>
              <w:rPr>
                <w:rFonts w:hint="default" w:cs="Calibri"/>
                <w:b w:val="0"/>
                <w:i w:val="0"/>
                <w:smallCaps w:val="0"/>
                <w:strike w:val="0"/>
                <w:color w:val="FF0000"/>
                <w:sz w:val="22"/>
                <w:szCs w:val="22"/>
                <w:u w:val="none"/>
                <w:shd w:val="clear" w:fill="auto"/>
                <w:vertAlign w:val="baseline"/>
                <w:rtl w:val="0"/>
                <w:lang w:val="pt-BR"/>
              </w:rPr>
              <w:t>90.074/2025</w:t>
            </w:r>
            <w:r>
              <w:rPr>
                <w:rFonts w:ascii="Calibri" w:hAnsi="Calibri" w:eastAsia="Calibri" w:cs="Calibri"/>
                <w:b w:val="0"/>
                <w:i w:val="0"/>
                <w:smallCaps w:val="0"/>
                <w:strike w:val="0"/>
                <w:color w:val="000000"/>
                <w:sz w:val="22"/>
                <w:szCs w:val="22"/>
                <w:u w:val="none"/>
                <w:shd w:val="clear" w:fill="auto"/>
                <w:vertAlign w:val="baseline"/>
                <w:rtl w:val="0"/>
              </w:rPr>
              <w:t>, que é parte integrante desta Ata, assim como a proposta vencedora, independentemente de transcrição.</w:t>
            </w:r>
          </w:p>
          <w:p w14:paraId="0000001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3" w:after="0" w:line="240" w:lineRule="auto"/>
              <w:ind w:left="0" w:right="0" w:firstLine="0"/>
              <w:jc w:val="left"/>
              <w:rPr>
                <w:rFonts w:ascii="Times New Roman" w:hAnsi="Times New Roman" w:eastAsia="Times New Roman" w:cs="Times New Roman"/>
                <w:b w:val="0"/>
                <w:i w:val="0"/>
                <w:smallCaps w:val="0"/>
                <w:strike w:val="0"/>
                <w:color w:val="000000"/>
                <w:sz w:val="29"/>
                <w:szCs w:val="29"/>
                <w:u w:val="none"/>
                <w:shd w:val="clear" w:fill="auto"/>
                <w:vertAlign w:val="baseline"/>
              </w:rPr>
            </w:pPr>
          </w:p>
          <w:p w14:paraId="00000012">
            <w:pPr>
              <w:keepNext w:val="0"/>
              <w:keepLines w:val="0"/>
              <w:widowControl w:val="0"/>
              <w:numPr>
                <w:ilvl w:val="2"/>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0" w:after="0" w:line="240" w:lineRule="auto"/>
              <w:ind w:left="1462" w:right="0" w:hanging="846"/>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DOS PREÇOS, ESPECIFICAÇÕES E QUANTITATIVOS</w:t>
            </w:r>
          </w:p>
          <w:p w14:paraId="00000013">
            <w:pPr>
              <w:keepNext w:val="0"/>
              <w:keepLines w:val="0"/>
              <w:widowControl w:val="0"/>
              <w:numPr>
                <w:ilvl w:val="3"/>
                <w:numId w:val="3"/>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 w:val="left" w:pos="1463"/>
              </w:tabs>
              <w:spacing w:before="73" w:after="0" w:line="240" w:lineRule="auto"/>
              <w:ind w:left="1462" w:right="488" w:hanging="846"/>
              <w:jc w:val="left"/>
            </w:pPr>
            <w:r>
              <w:rPr>
                <w:rFonts w:ascii="Calibri" w:hAnsi="Calibri" w:eastAsia="Calibri" w:cs="Calibri"/>
                <w:b w:val="0"/>
                <w:i w:val="0"/>
                <w:smallCaps w:val="0"/>
                <w:strike w:val="0"/>
                <w:color w:val="000000"/>
                <w:sz w:val="22"/>
                <w:szCs w:val="22"/>
                <w:u w:val="none"/>
                <w:shd w:val="clear" w:fill="auto"/>
                <w:vertAlign w:val="baseline"/>
                <w:rtl w:val="0"/>
              </w:rPr>
              <w:t>O preço registrado, as especificações do objeto, a quantidade, fornecedor(es) e as demais condições ofertadas na(s) proposta(s) são as que seguem:</w:t>
            </w:r>
          </w:p>
          <w:p w14:paraId="0000001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73" w:after="0" w:line="240" w:lineRule="auto"/>
              <w:ind w:left="4309" w:right="0" w:firstLine="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Identificação da Empresa</w:t>
            </w:r>
          </w:p>
          <w:p w14:paraId="0000001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singl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Razão Social:</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 CNPJ: </w:t>
            </w:r>
            <w:r>
              <w:rPr>
                <w:rFonts w:ascii="Calibri" w:hAnsi="Calibri" w:eastAsia="Calibri" w:cs="Calibri"/>
                <w:b w:val="0"/>
                <w:i w:val="0"/>
                <w:smallCaps w:val="0"/>
                <w:strike w:val="0"/>
                <w:color w:val="000000"/>
                <w:sz w:val="22"/>
                <w:szCs w:val="22"/>
                <w:u w:val="single"/>
                <w:shd w:val="clear" w:fill="auto"/>
                <w:vertAlign w:val="baseline"/>
                <w:rtl w:val="0"/>
              </w:rPr>
              <w:t xml:space="preserve"> </w:t>
            </w:r>
            <w:r>
              <w:rPr>
                <w:rFonts w:ascii="Calibri" w:hAnsi="Calibri" w:eastAsia="Calibri" w:cs="Calibri"/>
                <w:b w:val="0"/>
                <w:i w:val="0"/>
                <w:smallCaps w:val="0"/>
                <w:strike w:val="0"/>
                <w:color w:val="000000"/>
                <w:sz w:val="22"/>
                <w:szCs w:val="22"/>
                <w:u w:val="single"/>
                <w:shd w:val="clear" w:fill="auto"/>
                <w:vertAlign w:val="baseline"/>
                <w:rtl w:val="0"/>
              </w:rPr>
              <w:tab/>
            </w:r>
          </w:p>
          <w:p w14:paraId="0000001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5259"/>
                <w:tab w:val="left" w:pos="8494"/>
              </w:tabs>
              <w:spacing w:before="118" w:after="0" w:line="348" w:lineRule="auto"/>
              <w:ind w:left="610" w:right="2303" w:firstLine="0"/>
              <w:jc w:val="left"/>
              <w:rPr>
                <w:rFonts w:ascii="Calibri" w:hAnsi="Calibri" w:eastAsia="Calibri" w:cs="Calibri"/>
                <w:b w:val="0"/>
                <w:i w:val="0"/>
                <w:smallCaps w:val="0"/>
                <w:strike w:val="0"/>
                <w:color w:val="000000"/>
                <w:sz w:val="22"/>
                <w:szCs w:val="22"/>
                <w:u w:val="none"/>
                <w:shd w:val="clear" w:fill="auto"/>
                <w:vertAlign w:val="baseline"/>
              </w:rPr>
            </w:pPr>
          </w:p>
        </w:tc>
      </w:tr>
      <w:tr w14:paraId="325729F9">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921" w:hRule="atLeast"/>
        </w:trPr>
        <w:tc>
          <w:tcPr>
            <w:tcBorders>
              <w:top w:val="single" w:color="000000" w:sz="4" w:space="0"/>
              <w:left w:val="single" w:color="5F5F5F" w:sz="34" w:space="0"/>
              <w:bottom w:val="single" w:color="000000" w:sz="4" w:space="0"/>
              <w:right w:val="single" w:color="000000" w:sz="4" w:space="0"/>
            </w:tcBorders>
            <w:shd w:val="clear" w:color="auto" w:fill="D9E0F1"/>
            <w:tcMar>
              <w:top w:w="0" w:type="dxa"/>
              <w:left w:w="0" w:type="dxa"/>
              <w:bottom w:w="0" w:type="dxa"/>
              <w:right w:w="0" w:type="dxa"/>
            </w:tcMar>
          </w:tcPr>
          <w:p w14:paraId="0000001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1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56" w:right="5" w:firstLine="0"/>
              <w:jc w:val="center"/>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ITEM</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02" w:right="0" w:firstLine="0"/>
              <w:jc w:val="center"/>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ESPECIFICAÇÃO</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b/>
                <w:i w:val="0"/>
                <w:smallCaps w:val="0"/>
                <w:strike w:val="0"/>
                <w:color w:val="000000"/>
                <w:sz w:val="22"/>
                <w:szCs w:val="22"/>
                <w:u w:val="none"/>
                <w:shd w:val="clear" w:fill="auto"/>
                <w:vertAlign w:val="baseline"/>
              </w:rPr>
            </w:pPr>
          </w:p>
          <w:p w14:paraId="0000002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116"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MARCA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1" w:firstLine="22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MODELO (se exigido no edital)</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99" w:right="0" w:firstLine="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UNIDADE</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right="14"/>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QUANT</w:t>
            </w:r>
          </w:p>
        </w:tc>
        <w:tc>
          <w:tcPr>
            <w:tcBorders>
              <w:top w:val="single" w:color="000000" w:sz="4" w:space="0"/>
              <w:left w:val="single" w:color="000000" w:sz="4" w:space="0"/>
              <w:bottom w:val="single" w:color="000000" w:sz="4" w:space="0"/>
              <w:right w:val="single" w:color="000000" w:sz="4" w:space="0"/>
            </w:tcBorders>
            <w:shd w:val="clear" w:color="auto" w:fill="D9E0F1"/>
            <w:tcMar>
              <w:top w:w="0" w:type="dxa"/>
              <w:left w:w="0" w:type="dxa"/>
              <w:bottom w:w="0" w:type="dxa"/>
              <w:right w:w="0" w:type="dxa"/>
            </w:tcMar>
          </w:tcPr>
          <w:p w14:paraId="0000002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81" w:after="0" w:line="240" w:lineRule="auto"/>
              <w:ind w:left="209" w:right="113" w:hanging="20"/>
              <w:jc w:val="left"/>
              <w:rPr>
                <w:rFonts w:ascii="Calibri" w:hAnsi="Calibri" w:eastAsia="Calibri" w:cs="Calibri"/>
                <w:b/>
                <w:i w:val="0"/>
                <w:smallCaps w:val="0"/>
                <w:strike w:val="0"/>
                <w:color w:val="000000"/>
                <w:sz w:val="22"/>
                <w:szCs w:val="22"/>
                <w:u w:val="none"/>
                <w:shd w:val="clear" w:fill="auto"/>
                <w:vertAlign w:val="baseline"/>
              </w:rPr>
            </w:pPr>
            <w:r>
              <w:rPr>
                <w:rFonts w:ascii="Calibri" w:hAnsi="Calibri" w:eastAsia="Calibri" w:cs="Calibri"/>
                <w:b/>
                <w:i w:val="0"/>
                <w:smallCaps w:val="0"/>
                <w:strike w:val="0"/>
                <w:color w:val="000000"/>
                <w:sz w:val="22"/>
                <w:szCs w:val="22"/>
                <w:u w:val="none"/>
                <w:shd w:val="clear" w:fill="auto"/>
                <w:vertAlign w:val="baseline"/>
                <w:rtl w:val="0"/>
              </w:rPr>
              <w:t xml:space="preserve">VALOR </w:t>
            </w:r>
            <w:r>
              <w:rPr>
                <w:b/>
                <w:i w:val="0"/>
                <w:smallCaps w:val="0"/>
                <w:strike w:val="0"/>
                <w:color w:val="000000"/>
                <w:sz w:val="22"/>
                <w:szCs w:val="22"/>
                <w:u w:val="none"/>
                <w:shd w:val="clear" w:fill="auto"/>
                <w:vertAlign w:val="baseline"/>
                <w:rtl w:val="0"/>
              </w:rPr>
              <w:t>UNITÁRIO</w:t>
            </w:r>
          </w:p>
        </w:tc>
        <w:tc>
          <w:tcPr>
            <w:tcBorders>
              <w:top w:val="single" w:color="000000" w:sz="4" w:space="0"/>
              <w:left w:val="single" w:color="000000" w:sz="4" w:space="0"/>
              <w:bottom w:val="single" w:color="000000" w:sz="4" w:space="0"/>
              <w:right w:val="single" w:color="5F5F5F" w:sz="34" w:space="0"/>
            </w:tcBorders>
            <w:shd w:val="clear" w:color="auto" w:fill="D9E0F1"/>
            <w:tcMar>
              <w:top w:w="0" w:type="dxa"/>
              <w:left w:w="0" w:type="dxa"/>
              <w:bottom w:w="0" w:type="dxa"/>
              <w:right w:w="0" w:type="dxa"/>
            </w:tcMar>
          </w:tcPr>
          <w:p w14:paraId="0000002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rFonts w:ascii="Times New Roman" w:hAnsi="Times New Roman" w:eastAsia="Times New Roman" w:cs="Times New Roman"/>
                <w:b w:val="0"/>
                <w:i w:val="0"/>
                <w:smallCaps w:val="0"/>
                <w:strike w:val="0"/>
                <w:color w:val="000000"/>
                <w:sz w:val="27"/>
                <w:szCs w:val="27"/>
                <w:u w:val="none"/>
                <w:shd w:val="clear" w:fill="auto"/>
                <w:vertAlign w:val="baseline"/>
              </w:rPr>
            </w:pPr>
          </w:p>
          <w:p w14:paraId="0000002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right="0"/>
              <w:jc w:val="left"/>
              <w:rPr>
                <w:rFonts w:ascii="Calibri" w:hAnsi="Calibri" w:eastAsia="Calibri" w:cs="Calibri"/>
                <w:b/>
                <w:i w:val="0"/>
                <w:smallCaps w:val="0"/>
                <w:strike w:val="0"/>
                <w:color w:val="000000"/>
                <w:sz w:val="22"/>
                <w:szCs w:val="22"/>
                <w:u w:val="none"/>
                <w:shd w:val="clear" w:fill="auto"/>
                <w:vertAlign w:val="baseline"/>
              </w:rPr>
            </w:pPr>
            <w:r>
              <w:rPr>
                <w:b/>
                <w:i w:val="0"/>
                <w:smallCaps w:val="0"/>
                <w:strike w:val="0"/>
                <w:color w:val="000000"/>
                <w:sz w:val="22"/>
                <w:szCs w:val="22"/>
                <w:u w:val="none"/>
                <w:shd w:val="clear" w:fill="auto"/>
                <w:vertAlign w:val="baseline"/>
                <w:rtl w:val="0"/>
              </w:rPr>
              <w:t>VALOR TOTAL</w:t>
            </w:r>
          </w:p>
        </w:tc>
      </w:tr>
      <w:tr w14:paraId="52324A2D">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Mar>
              <w:top w:w="0" w:type="dxa"/>
              <w:left w:w="0" w:type="dxa"/>
              <w:bottom w:w="0" w:type="dxa"/>
              <w:right w:w="0" w:type="dxa"/>
            </w:tcMar>
          </w:tcPr>
          <w:p w14:paraId="0000002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D">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E">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2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0">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00000031">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Mar>
              <w:top w:w="0" w:type="dxa"/>
              <w:left w:w="0" w:type="dxa"/>
              <w:bottom w:w="0" w:type="dxa"/>
              <w:right w:w="0" w:type="dxa"/>
            </w:tcMar>
          </w:tcPr>
          <w:p w14:paraId="00000032">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56248F1E">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299" w:hRule="atLeast"/>
        </w:trPr>
        <w:tc>
          <w:tcPr>
            <w:tcBorders>
              <w:top w:val="single" w:color="000000" w:sz="4" w:space="0"/>
              <w:left w:val="single" w:color="5F5F5F" w:sz="34" w:space="0"/>
              <w:bottom w:val="single" w:color="000000" w:sz="4" w:space="0"/>
              <w:right w:val="single" w:color="000000" w:sz="4" w:space="0"/>
            </w:tcBorders>
          </w:tcPr>
          <w:p w14:paraId="00000033">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13" w:after="0" w:line="266" w:lineRule="auto"/>
              <w:ind w:left="56" w:right="5"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XX</w:t>
            </w:r>
          </w:p>
        </w:tc>
        <w:tc>
          <w:tcPr>
            <w:tcBorders>
              <w:top w:val="single" w:color="000000" w:sz="4" w:space="0"/>
              <w:left w:val="single" w:color="000000" w:sz="4" w:space="0"/>
              <w:bottom w:val="single" w:color="000000" w:sz="4" w:space="0"/>
              <w:right w:val="single" w:color="000000" w:sz="4" w:space="0"/>
            </w:tcBorders>
          </w:tcPr>
          <w:p w14:paraId="00000034">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5">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6">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7">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8">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000000" w:sz="4" w:space="0"/>
            </w:tcBorders>
          </w:tcPr>
          <w:p w14:paraId="00000039">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c>
          <w:tcPr>
            <w:tcBorders>
              <w:top w:val="single" w:color="000000" w:sz="4" w:space="0"/>
              <w:left w:val="single" w:color="000000" w:sz="4" w:space="0"/>
              <w:bottom w:val="single" w:color="000000" w:sz="4" w:space="0"/>
              <w:right w:val="single" w:color="5F5F5F" w:sz="34" w:space="0"/>
            </w:tcBorders>
          </w:tcPr>
          <w:p w14:paraId="0000003A">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tc>
      </w:tr>
      <w:tr w14:paraId="79CF1C64">
        <w:tblPrEx>
          <w:tblBorders>
            <w:top w:val="single" w:color="5F5F5F" w:sz="34" w:space="0"/>
            <w:left w:val="single" w:color="5F5F5F" w:sz="34" w:space="0"/>
            <w:bottom w:val="single" w:color="5F5F5F" w:sz="34" w:space="0"/>
            <w:right w:val="single" w:color="5F5F5F" w:sz="34" w:space="0"/>
            <w:insideH w:val="single" w:color="5F5F5F" w:sz="34" w:space="0"/>
            <w:insideV w:val="single" w:color="5F5F5F" w:sz="34" w:space="0"/>
          </w:tblBorders>
          <w:tblCellMar>
            <w:top w:w="0" w:type="dxa"/>
            <w:left w:w="0" w:type="dxa"/>
            <w:bottom w:w="0" w:type="dxa"/>
            <w:right w:w="0" w:type="dxa"/>
          </w:tblCellMar>
        </w:tblPrEx>
        <w:trPr>
          <w:trHeight w:val="1294" w:hRule="atLeast"/>
        </w:trPr>
        <w:tc>
          <w:tcPr>
            <w:gridSpan w:val="8"/>
            <w:tcBorders>
              <w:top w:val="single" w:color="000000" w:sz="4" w:space="0"/>
              <w:left w:val="single" w:color="5F5F5F" w:sz="34" w:space="0"/>
              <w:bottom w:val="single" w:color="5F5F5F" w:sz="34" w:space="0"/>
              <w:right w:val="single" w:color="5F5F5F" w:sz="34" w:space="0"/>
            </w:tcBorders>
            <w:tcMar>
              <w:top w:w="0" w:type="dxa"/>
              <w:left w:w="0" w:type="dxa"/>
              <w:bottom w:w="0" w:type="dxa"/>
              <w:right w:w="0" w:type="dxa"/>
            </w:tcMar>
          </w:tcPr>
          <w:p w14:paraId="0000003B">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C">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Times New Roman" w:hAnsi="Times New Roman" w:eastAsia="Times New Roman" w:cs="Times New Roman"/>
                <w:b w:val="0"/>
                <w:i w:val="0"/>
                <w:smallCaps w:val="0"/>
                <w:strike w:val="0"/>
                <w:color w:val="000000"/>
                <w:sz w:val="20"/>
                <w:szCs w:val="20"/>
                <w:u w:val="none"/>
                <w:shd w:val="clear" w:fill="auto"/>
                <w:vertAlign w:val="baseline"/>
              </w:rPr>
            </w:pPr>
          </w:p>
          <w:p w14:paraId="0000003F">
            <w:pPr>
              <w:keepNext w:val="0"/>
              <w:keepLines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9024"/>
              </w:tabs>
              <w:spacing w:before="0" w:after="0" w:line="240" w:lineRule="auto"/>
              <w:ind w:left="1203" w:right="0" w:firstLine="0"/>
              <w:jc w:val="left"/>
              <w:rPr>
                <w:rFonts w:ascii="Verdana" w:hAnsi="Verdana" w:eastAsia="Verdana" w:cs="Verdana"/>
                <w:b w:val="0"/>
                <w:i w:val="0"/>
                <w:smallCaps w:val="0"/>
                <w:strike w:val="0"/>
                <w:color w:val="000000"/>
                <w:sz w:val="16"/>
                <w:szCs w:val="16"/>
                <w:u w:val="none"/>
                <w:shd w:val="clear" w:fill="auto"/>
                <w:vertAlign w:val="baseline"/>
              </w:rPr>
            </w:pPr>
          </w:p>
        </w:tc>
      </w:tr>
    </w:tbl>
    <w:p w14:paraId="00000047">
      <w:pPr>
        <w:rPr>
          <w:sz w:val="2"/>
          <w:szCs w:val="2"/>
        </w:rPr>
      </w:pPr>
    </w:p>
    <w:p w14:paraId="00000048">
      <w:pPr>
        <w:rPr>
          <w:rFonts w:ascii="Times New Roman" w:hAnsi="Times New Roman" w:eastAsia="Times New Roman" w:cs="Times New Roman"/>
          <w:sz w:val="20"/>
          <w:szCs w:val="20"/>
        </w:rPr>
      </w:pPr>
      <w:r>
        <mc:AlternateContent>
          <mc:Choice Requires="wps">
            <w:drawing>
              <wp:anchor distT="0" distB="0" distL="0" distR="0" simplePos="0" relativeHeight="251660288" behindDoc="1" locked="0" layoutInCell="1" allowOverlap="1">
                <wp:simplePos x="0" y="0"/>
                <wp:positionH relativeFrom="page">
                  <wp:posOffset>909955</wp:posOffset>
                </wp:positionH>
                <wp:positionV relativeFrom="page">
                  <wp:posOffset>2688590</wp:posOffset>
                </wp:positionV>
                <wp:extent cx="5676900" cy="5311775"/>
                <wp:effectExtent l="0" t="0" r="0" b="0"/>
                <wp:wrapNone/>
                <wp:docPr id="2115606146" name="Forma livre 2115606146"/>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71.65pt;margin-top:211.7pt;height:418.25pt;width:447pt;mso-position-horizontal-relative:page;mso-position-vertical-relative:page;z-index:-251656192;v-text-anchor:middle;mso-width-relative:page;mso-height-relative:page;" fillcolor="#C0C0C0" filled="t" stroked="f" coordsize="8910,8335" o:gfxdata="UEsDBAoAAAAAAIdO4kAAAAAAAAAAAAAAAAAEAAAAZHJzL1BLAwQUAAAACACHTuJAcOT1+NsAAAAN&#10;AQAADwAAAGRycy9kb3ducmV2LnhtbE2PQU+DQBCF7yb+h82YeDF2t0BVkKUHE0xMvEg5eJzCCER2&#10;F9mlrf/e6cne5s28vPlevj2ZURxo9oOzGtYrBYJs49rBdhrqXXn/BMIHtC2OzpKGX/KwLa6vcsxa&#10;d7QfdKhCJzjE+gw19CFMmZS+6cmgX7mJLN++3GwwsJw72c545HAzykipB2lwsPyhx4leemq+q8Vo&#10;oM90dze+bX5QLnVV1q8N1uW71rc3a/UMItAp/JvhjM/oUDDT3i229WJkncQxWzUkUZyAODtU/Mir&#10;PU/RJk1BFrm8bFH8AVBLAwQUAAAACACHTuJAmUW+V9UHAAAFIQAADgAAAGRycy9lMm9Eb2MueG1s&#10;rVrbbtw4En1fYP9B0PvG4p004gSDBBksEOwEmNkPkNXqdGO6Wz2SfMnf7yFZbHtmbJYf1gEstV0u&#10;Vp26HZJ5//HxeGjux3nZT6ebVrzr2mY8DdNmf/p+0/73ty//8m2zrP1p0x+m03jT/hiX9uOHf/7j&#10;/cP5epTTbjpsxrmBktNy/XC+aXfrer6+ulqG3Xjsl3fTeTzhl9tpPvYrPs7frzZz/wDtx8OV7Dp7&#10;9TDNm/M8DeOy4Kef8y9b0ji/ReG03e6H8fM03B3H05q1zuOhX+HSstufl/ZDsna7HYf1l+12Gdfm&#10;cNPC0zV9xyJ4v43frz6876+/z/15tx/IhP4tJvzFp2O/P2HRi6rP/do3d/P+b6qO+2Gelmm7vhum&#10;41V2JCECL0T3F2x+3fXnMfkCqJfzBfTl/6d2+M/9t7nZb25aKYSxnRXats2pPyLyX2IMm8P+fh6b&#10;Z78FZA/n5Rp/+ev520yfFrxG/x+38zE+4VnzCKVGuM6ZtvmBVBNKWeUz5OPj2gwQMNY4bxCNARJG&#10;BumkiRJXT6qGu2X9eZyS2v7+67LmmG3KW78rb8PjqbzOiHyM+SHFfG0bxHxOMb/NBpz7Nf5dtDW+&#10;Ng83rQ8ChuzwohRMhonzXaySX36PmRIlj9P9+NuU/mZN7nnnkm82hGL2k8zh9FxWKA3t0UttEghw&#10;sUiU5zlpFV0gSdcxklLl9U3wgWArusqTdFoVsqXOqrqklypJOiF0XTLYrNMp7xhJwBN9dxrI5vAW&#10;+8qT7AyEktMds7rrMkpOOkZSe/S0uLqwqeJfRd7GuEPQcsBLn9e2RtQjRGIu1MWEoUCm1KsCBCeS&#10;jV6YOpQayZOc8boeHRtywJHEjJU26AykQY7UrJRCyizpUNxVSUnJ7oyXdUmhSadC5Gs6hVVZ0ioh&#10;6pIaAhEk45EjNZ3SApycREy6yReaQkny4TAtI5b5eytRirC12hVLXm0l3uSy1wGQ1KwW1pF/QtaT&#10;QMmSLtbWy+klS3n/tEdjT0h3l3R8zT8lqWCVQUeu+Yf45gpTlomfVoIw85dWXawuz9yCtLAZM+2N&#10;ra/uDUk6X88zGedD9F4bTIyaRxIzOEtqz9SYcrlutb7MzOJJeWaPpEBppdUtmkdtdeUEjQl0pLqk&#10;D2X0YL7XdKJycoy0s4zvXhNKHiDUdCpwleyRZ7qG7kT23XS+rlNDNOlET69nnbYq90G0wbpHL2V9&#10;ic3rvcAEokzKXiL7Wq2YYDNmyoC51TAzgdBV2tX9M0GQTsXUCtpmjoNSTCcy3uQ4oLgZOz1FTElZ&#10;JzXGWVpdgIlUfXfFI8FQKhDS3OdVp+t90BiqaRlcfXXgnWtFdqHeJ7SROQelZPqEKeNdCaZfG/Sx&#10;lNdKIgGqKBnqZ0rBjKqk7S4ZUu8TxmrCU9v6rDKWSJUykskQ11EuGS6XXMkly+Un6G5GyTG9xxQm&#10;oBxXR9aRnZ6hvaZ0FBXQhKrIG597jwq28ITSUcozd31Tckl3isFTl4kXdx7V1RWxII3tDCNJPRLj&#10;lFldwpE0nQQXTeyRSTIwOgUxeS24DtbRJkbHIVn1vaOc13H41CR1iDvaOO051qV9mY3sdPIyxx3R&#10;rCOvHUZ3XF0FkL+qndZR//QMnsphf5l04pSiqlPZjlbnkNcazTCh1DFMR+NggvBkdhPoMcQLJGOn&#10;tmV1yWyIgSchrzid2JNlO0FcqyhpX7ibYnJeBwzBhJJmtuOmoymj8VVdPVGhrJPx3QhiF5rlDHG4&#10;kM56dRjMIZJkUDKqxAjsve4ReDXpZPsnHW9oxc1NQzmPxZlOa7EVT75LwFWrOONovmuJMqlLUp9H&#10;p2V0ejra0R3Dr8HWyuxgdvomSNpXxfSr2hmwnYu+K284SQCeJGMzqevEFjtLcrP4BaZcpuDr/Np1&#10;aHdRP0hWydVX+TUOopIsTh/qOWglzYeAXKy5Z7tywsbsnNAgc4cU3OmE6UJmGjKOs9riBl/ZH4t2&#10;UZNEg8yey8Awt5fw5KOQj1sRhSf1rwXBF/ruQahqNjsfj6+h8+kQpRhSnpkcXQQd0wWcAsmLGoVE&#10;mVXXVipPPsExcgdEs86OObVwgri7B0OrLi6IZjtmnoDm5pxyzDDDniUXYTwUrS4dCUlEyDDn2jhf&#10;zEmKXXFVI44ZiREymzWcLBDZYBiujUc5qeIZMoqkz/BgU8fYWLg9M5pcR+1ZMUsjMgQPc/KNM5qc&#10;klrXZ4hzdI7gZH2Avb0a3lxfCnviNwHuQhas00prSAxXiPW4WKpCyZBfi8pOFmqmYpA7Ob85FJE7&#10;OW3ZYsVZTVpaxABVawv0L8OIm7m6JA6CsqS8zLTS8sqTWp+j837ZXU6ai0R5FkmM9BREjvU7R5xO&#10;BM3ZSedAIhpc9R13hxklw5xdu9hQop1CMxwEO3aS5Lo5TiCz79zI8eU4QAjmYuCFgVfwLlwFN1Px&#10;NjLdf15uKPHD53egy3TYb77sD4d4jbDM328/Hebmvsdl56cu/ks3lf3hvOvzT3FJgJ6WkSbxpP9P&#10;eg6nqO00Rb0lKJCKF735aje+3U6bH7gtXs7Dl/28rF/7Zf3Wz7gvR8t8wB36Tbv8cdfPY9sc/n3C&#10;JXUAZwLZWJ9/mJ9/uH3+oT8NuwnXtMM6t03+8GlNV/XZtJ/u1mm7j7e/yaxsDH3A7XjyiW7y4/X7&#10;889J6ul/L3z4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kKAABbQ29udGVudF9UeXBlc10ueG1sUEsBAhQACgAAAAAAh07iQAAAAAAAAAAAAAAA&#10;AAYAAAAAAAAAAAAQAAAAKwkAAF9yZWxzL1BLAQIUABQAAAAIAIdO4kCKFGY80QAAAJQBAAALAAAA&#10;AAAAAAEAIAAAAE8JAABfcmVscy8ucmVsc1BLAQIUAAoAAAAAAIdO4kAAAAAAAAAAAAAAAAAEAAAA&#10;AAAAAAAAEAAAAAAAAABkcnMvUEsBAhQAFAAAAAgAh07iQHDk9fjbAAAADQEAAA8AAAAAAAAAAQAg&#10;AAAAIgAAAGRycy9kb3ducmV2LnhtbFBLAQIUABQAAAAIAIdO4kCZRb5X1QcAAAUhAAAOAAAAAAAA&#10;AAEAIAAAACoBAABkcnMvZTJvRG9jLnhtbFBLBQYAAAAABgAGAFkBAABxCwAAAAA=&#10;" path="m2877,6995l1340,5458,1090,5708,1237,5989,1639,6763,1823,7114,1969,7387,1995,7435,1940,7404,1700,7274,1488,7160,635,6708,280,6518,0,6798,1537,8335,1716,8155,408,6847,693,6998,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4,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0,4815,4351,4873,4386,4929,4414,5007,4444,5086,4463,5165,4470,5245,4466,5324,4451,5391,4431,5457,4401,5523,4364,5589,4318,5655,4265,5721,4203,5784,4135,5839,4067,5884,3998,5920,3929,5947,3859,5964,3789,5974,3706,5975,3625xm7096,2776l5740,1421,6205,957,6023,775,4911,1888,5092,2069,5555,1607,6910,2962,7096,2776xm8910,962l8715,872,7846,478,7846,764,7370,1239,7333,1164,7296,1088,7185,861,7148,786,7111,710,7074,635,7034,558,6992,482,6948,408,6903,336,6856,266,6911,297,6972,331,7039,366,7112,404,7190,443,7775,728,7846,764,7846,478,7379,266,6799,0,6599,200,6633,271,6737,486,6854,728,6918,861,7354,1775,7492,2061,7596,2276,7793,2078,7759,2010,7724,1941,7552,1596,7517,1527,7482,1459,7702,1239,8069,872,8698,1174,8910,962xe">
                <v:fill on="t" opacity="32381f" focussize="0,0"/>
                <v:stroke on="f"/>
                <v:imagedata o:title=""/>
                <o:lock v:ext="edit" aspectratio="f"/>
                <v:textbox inset="7.1988188976378pt,7.1988188976378pt,7.1988188976378pt,7.1988188976378pt"/>
              </v:shape>
            </w:pict>
          </mc:Fallback>
        </mc:AlternateContent>
      </w:r>
      <w:r>
        <w:rPr>
          <w:rFonts w:ascii="Times New Roman" w:hAnsi="Times New Roman" w:eastAsia="Times New Roman" w:cs="Times New Roman"/>
          <w:sz w:val="20"/>
          <w:szCs w:val="20"/>
          <w:rtl w:val="0"/>
        </w:rPr>
        <w:tab/>
      </w:r>
      <w:r>
        <w:rPr>
          <w:rFonts w:ascii="Times New Roman" w:hAnsi="Times New Roman" w:eastAsia="Times New Roman" w:cs="Times New Roman"/>
          <w:sz w:val="33"/>
          <w:szCs w:val="33"/>
          <w:vertAlign w:val="superscript"/>
        </w:rPr>
        <w:drawing>
          <wp:inline distT="0" distB="0" distL="0" distR="0">
            <wp:extent cx="927100" cy="196215"/>
            <wp:effectExtent l="0" t="0" r="0" b="0"/>
            <wp:docPr id="2115606150" name="image2.png"/>
            <wp:cNvGraphicFramePr/>
            <a:graphic xmlns:a="http://schemas.openxmlformats.org/drawingml/2006/main">
              <a:graphicData uri="http://schemas.openxmlformats.org/drawingml/2006/picture">
                <pic:pic xmlns:pic="http://schemas.openxmlformats.org/drawingml/2006/picture">
                  <pic:nvPicPr>
                    <pic:cNvPr id="2115606150" name="image2.png"/>
                    <pic:cNvPicPr preferRelativeResize="0"/>
                  </pic:nvPicPr>
                  <pic:blipFill>
                    <a:blip r:embed="rId6"/>
                    <a:srcRect/>
                    <a:stretch>
                      <a:fillRect/>
                    </a:stretch>
                  </pic:blipFill>
                  <pic:spPr>
                    <a:xfrm>
                      <a:off x="0" y="0"/>
                      <a:ext cx="927176" cy="196596"/>
                    </a:xfrm>
                    <a:prstGeom prst="rect">
                      <a:avLst/>
                    </a:prstGeom>
                  </pic:spPr>
                </pic:pic>
              </a:graphicData>
            </a:graphic>
          </wp:inline>
        </w:drawing>
      </w:r>
    </w:p>
    <w:p w14:paraId="0000004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Times New Roman" w:hAnsi="Times New Roman" w:eastAsia="Times New Roman" w:cs="Times New Roman"/>
          <w:b w:val="0"/>
          <w:i w:val="0"/>
          <w:smallCaps w:val="0"/>
          <w:strike w:val="0"/>
          <w:color w:val="000000"/>
          <w:sz w:val="15"/>
          <w:szCs w:val="15"/>
          <w:u w:val="none"/>
          <w:shd w:val="clear" w:fill="auto"/>
          <w:vertAlign w:val="baseline"/>
        </w:rPr>
      </w:pPr>
    </w:p>
    <w:p w14:paraId="0000004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6" w:after="0" w:line="276" w:lineRule="auto"/>
        <w:ind w:left="752" w:right="737"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2.2. A listagem do cadastro de reserva referente ao presente registro de preços consta como anexo a esta Ata.</w:t>
      </w:r>
    </w:p>
    <w:p w14:paraId="0000004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4C">
      <w:pPr>
        <w:pStyle w:val="2"/>
        <w:numPr>
          <w:ilvl w:val="0"/>
          <w:numId w:val="2"/>
        </w:numPr>
        <w:tabs>
          <w:tab w:val="left" w:pos="1461"/>
          <w:tab w:val="left" w:pos="1462"/>
        </w:tabs>
        <w:spacing w:before="187"/>
        <w:ind w:left="1461" w:hanging="710"/>
      </w:pPr>
      <w:r>
        <w:rPr>
          <w:rtl w:val="0"/>
        </w:rPr>
        <w:t>ÓRGÃO(S) GERENCIADOR E PARTICIPANTE(S)</w:t>
      </w:r>
    </w:p>
    <w:p w14:paraId="0000004D"/>
    <w:p w14:paraId="0000004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O órgão gerenciador será a </w:t>
      </w:r>
      <w:r>
        <w:rPr>
          <w:rFonts w:ascii="Calibri" w:hAnsi="Calibri" w:eastAsia="Calibri" w:cs="Calibri"/>
          <w:b w:val="0"/>
          <w:i w:val="0"/>
          <w:smallCaps w:val="0"/>
          <w:strike w:val="0"/>
          <w:color w:val="FF0000"/>
          <w:sz w:val="22"/>
          <w:szCs w:val="22"/>
          <w:u w:val="none"/>
          <w:shd w:val="clear" w:fill="auto"/>
          <w:vertAlign w:val="baseline"/>
          <w:rtl w:val="0"/>
        </w:rPr>
        <w:t>Pró-Reitoria de Administração</w:t>
      </w:r>
      <w:r>
        <w:rPr>
          <w:rFonts w:ascii="Calibri" w:hAnsi="Calibri" w:eastAsia="Calibri" w:cs="Calibri"/>
          <w:b w:val="0"/>
          <w:i w:val="0"/>
          <w:smallCaps w:val="0"/>
          <w:strike w:val="0"/>
          <w:color w:val="000000"/>
          <w:sz w:val="22"/>
          <w:szCs w:val="22"/>
          <w:u w:val="none"/>
          <w:shd w:val="clear" w:fill="auto"/>
          <w:vertAlign w:val="baseline"/>
          <w:rtl w:val="0"/>
        </w:rPr>
        <w:t>.</w:t>
      </w:r>
    </w:p>
    <w:p w14:paraId="0000004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color w:val="auto"/>
          <w:shd w:val="clear" w:fill="auto"/>
        </w:rPr>
      </w:pPr>
      <w:r>
        <w:rPr>
          <w:rFonts w:ascii="Calibri" w:hAnsi="Calibri" w:eastAsia="Calibri" w:cs="Calibri"/>
          <w:b w:val="0"/>
          <w:i w:val="0"/>
          <w:smallCaps w:val="0"/>
          <w:strike w:val="0"/>
          <w:color w:val="auto"/>
          <w:sz w:val="22"/>
          <w:szCs w:val="22"/>
          <w:u w:val="none"/>
          <w:shd w:val="clear" w:fill="auto"/>
          <w:vertAlign w:val="baseline"/>
          <w:rtl w:val="0"/>
        </w:rPr>
        <w:t>Além do gerenciador, não há</w:t>
      </w:r>
      <w:r>
        <w:rPr>
          <w:b w:val="0"/>
          <w:i w:val="0"/>
          <w:smallCaps w:val="0"/>
          <w:strike w:val="0"/>
          <w:color w:val="auto"/>
          <w:sz w:val="22"/>
          <w:szCs w:val="22"/>
          <w:u w:val="none"/>
          <w:shd w:val="clear" w:fill="auto"/>
          <w:vertAlign w:val="baseline"/>
          <w:rtl w:val="0"/>
        </w:rPr>
        <w:t xml:space="preserve"> órgãos e entidades públicas participantes do registro de preços.</w:t>
      </w:r>
    </w:p>
    <w:p w14:paraId="00000050">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right="0"/>
        <w:jc w:val="center"/>
        <w:rPr>
          <w:b/>
          <w:strike/>
          <w:dstrike w:val="0"/>
          <w:color w:val="auto"/>
          <w:sz w:val="28"/>
          <w:szCs w:val="28"/>
          <w:shd w:val="clear" w:fill="auto"/>
        </w:rPr>
      </w:pPr>
      <w:r>
        <w:rPr>
          <w:b/>
          <w:i w:val="0"/>
          <w:strike/>
          <w:dstrike w:val="0"/>
          <w:color w:val="auto"/>
          <w:sz w:val="28"/>
          <w:szCs w:val="28"/>
          <w:u w:val="none"/>
          <w:shd w:val="clear" w:fill="auto"/>
          <w:vertAlign w:val="baseline"/>
          <w:rtl w:val="0"/>
        </w:rPr>
        <w:t>OU</w:t>
      </w:r>
    </w:p>
    <w:p w14:paraId="0000005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strike/>
          <w:dstrike w:val="0"/>
          <w:color w:val="auto"/>
          <w:shd w:val="clear" w:fill="auto"/>
        </w:rPr>
      </w:pPr>
      <w:r>
        <w:rPr>
          <w:b w:val="0"/>
          <w:i w:val="0"/>
          <w:smallCaps w:val="0"/>
          <w:strike/>
          <w:dstrike w:val="0"/>
          <w:color w:val="auto"/>
          <w:sz w:val="22"/>
          <w:szCs w:val="22"/>
          <w:u w:val="none"/>
          <w:shd w:val="clear" w:fill="auto"/>
          <w:vertAlign w:val="baseline"/>
          <w:rtl w:val="0"/>
        </w:rPr>
        <w:t>Além do gerenciador s</w:t>
      </w:r>
      <w:r>
        <w:rPr>
          <w:rFonts w:ascii="Calibri" w:hAnsi="Calibri" w:eastAsia="Calibri" w:cs="Calibri"/>
          <w:b w:val="0"/>
          <w:i w:val="0"/>
          <w:smallCaps w:val="0"/>
          <w:strike/>
          <w:dstrike w:val="0"/>
          <w:color w:val="auto"/>
          <w:sz w:val="22"/>
          <w:szCs w:val="22"/>
          <w:u w:val="none"/>
          <w:shd w:val="clear" w:fill="auto"/>
          <w:vertAlign w:val="baseline"/>
          <w:rtl w:val="0"/>
        </w:rPr>
        <w:t>ão órgãos e entidades públicas participantes do registro de preços:</w:t>
      </w:r>
    </w:p>
    <w:p w14:paraId="00000052">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firstLine="0"/>
        <w:jc w:val="both"/>
        <w:rPr>
          <w:rFonts w:ascii="Calibri" w:hAnsi="Calibri" w:eastAsia="Calibri" w:cs="Calibri"/>
          <w:b w:val="0"/>
          <w:i w:val="0"/>
          <w:smallCaps w:val="0"/>
          <w:strike/>
          <w:dstrike w:val="0"/>
          <w:color w:val="000000"/>
          <w:sz w:val="22"/>
          <w:szCs w:val="22"/>
          <w:u w:val="none"/>
          <w:shd w:val="clear" w:fill="auto"/>
          <w:vertAlign w:val="baseline"/>
        </w:rPr>
      </w:pPr>
    </w:p>
    <w:tbl>
      <w:tblPr>
        <w:tblStyle w:val="39"/>
        <w:tblW w:w="8978" w:type="dxa"/>
        <w:tblInd w:w="10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2244"/>
        <w:gridCol w:w="2244"/>
        <w:gridCol w:w="2245"/>
        <w:gridCol w:w="2245"/>
      </w:tblGrid>
      <w:tr w14:paraId="620C2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3">
            <w:pPr>
              <w:spacing w:line="360" w:lineRule="auto"/>
              <w:ind w:right="-30"/>
              <w:jc w:val="center"/>
              <w:rPr>
                <w:rFonts w:ascii="Arial" w:hAnsi="Arial" w:eastAsia="Arial" w:cs="Arial"/>
                <w:i/>
                <w:strike/>
                <w:dstrike w:val="0"/>
                <w:color w:val="FF0000"/>
                <w:sz w:val="20"/>
                <w:szCs w:val="20"/>
              </w:rPr>
            </w:pPr>
            <w:r>
              <w:rPr>
                <w:rFonts w:ascii="Arial" w:hAnsi="Arial" w:eastAsia="Arial" w:cs="Arial"/>
                <w:i/>
                <w:strike/>
                <w:dstrike w:val="0"/>
                <w:color w:val="FF0000"/>
                <w:sz w:val="20"/>
                <w:szCs w:val="20"/>
                <w:rtl w:val="0"/>
              </w:rPr>
              <w:t xml:space="preserve">Item nº </w:t>
            </w: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4">
            <w:pPr>
              <w:spacing w:line="360" w:lineRule="auto"/>
              <w:ind w:right="-30"/>
              <w:jc w:val="center"/>
              <w:rPr>
                <w:rFonts w:ascii="Arial" w:hAnsi="Arial" w:eastAsia="Arial" w:cs="Arial"/>
                <w:i/>
                <w:strike/>
                <w:dstrike w:val="0"/>
                <w:color w:val="FF0000"/>
                <w:sz w:val="20"/>
                <w:szCs w:val="20"/>
              </w:rPr>
            </w:pPr>
            <w:r>
              <w:rPr>
                <w:rFonts w:ascii="Arial" w:hAnsi="Arial" w:eastAsia="Arial" w:cs="Arial"/>
                <w:i/>
                <w:strike/>
                <w:dstrike w:val="0"/>
                <w:color w:val="FF0000"/>
                <w:sz w:val="20"/>
                <w:szCs w:val="20"/>
                <w:rtl w:val="0"/>
              </w:rPr>
              <w:t>Órgãos Participantes</w:t>
            </w: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5">
            <w:pPr>
              <w:spacing w:line="360" w:lineRule="auto"/>
              <w:ind w:right="-30"/>
              <w:jc w:val="center"/>
              <w:rPr>
                <w:rFonts w:ascii="Arial" w:hAnsi="Arial" w:eastAsia="Arial" w:cs="Arial"/>
                <w:i/>
                <w:strike/>
                <w:dstrike w:val="0"/>
                <w:color w:val="FF0000"/>
                <w:sz w:val="20"/>
                <w:szCs w:val="20"/>
              </w:rPr>
            </w:pPr>
            <w:r>
              <w:rPr>
                <w:rFonts w:ascii="Arial" w:hAnsi="Arial" w:eastAsia="Arial" w:cs="Arial"/>
                <w:i/>
                <w:strike/>
                <w:dstrike w:val="0"/>
                <w:color w:val="FF0000"/>
                <w:sz w:val="20"/>
                <w:szCs w:val="20"/>
                <w:rtl w:val="0"/>
              </w:rPr>
              <w:t>Unidade</w:t>
            </w: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6">
            <w:pPr>
              <w:spacing w:line="360" w:lineRule="auto"/>
              <w:ind w:right="-30"/>
              <w:jc w:val="center"/>
              <w:rPr>
                <w:rFonts w:ascii="Arial" w:hAnsi="Arial" w:eastAsia="Arial" w:cs="Arial"/>
                <w:i/>
                <w:strike/>
                <w:dstrike w:val="0"/>
                <w:color w:val="FF0000"/>
                <w:sz w:val="20"/>
                <w:szCs w:val="20"/>
              </w:rPr>
            </w:pPr>
            <w:r>
              <w:rPr>
                <w:rFonts w:ascii="Arial" w:hAnsi="Arial" w:eastAsia="Arial" w:cs="Arial"/>
                <w:i/>
                <w:strike/>
                <w:dstrike w:val="0"/>
                <w:color w:val="FF0000"/>
                <w:sz w:val="20"/>
                <w:szCs w:val="20"/>
                <w:rtl w:val="0"/>
              </w:rPr>
              <w:t>Quantidade</w:t>
            </w:r>
          </w:p>
        </w:tc>
      </w:tr>
      <w:tr w14:paraId="7C3B1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1761" w:hRule="atLeast"/>
        </w:trPr>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7">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8">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9">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A">
            <w:pPr>
              <w:spacing w:line="360" w:lineRule="auto"/>
              <w:ind w:right="-30"/>
              <w:jc w:val="center"/>
              <w:rPr>
                <w:rFonts w:ascii="Arial" w:hAnsi="Arial" w:eastAsia="Arial" w:cs="Arial"/>
                <w:i/>
                <w:strike/>
                <w:dstrike w:val="0"/>
                <w:color w:val="FF0000"/>
                <w:sz w:val="20"/>
                <w:szCs w:val="20"/>
              </w:rPr>
            </w:pPr>
          </w:p>
        </w:tc>
      </w:tr>
      <w:tr w14:paraId="5D0B7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B">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C">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D">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E">
            <w:pPr>
              <w:spacing w:line="360" w:lineRule="auto"/>
              <w:ind w:right="-30"/>
              <w:jc w:val="center"/>
              <w:rPr>
                <w:rFonts w:ascii="Arial" w:hAnsi="Arial" w:eastAsia="Arial" w:cs="Arial"/>
                <w:i/>
                <w:strike/>
                <w:dstrike w:val="0"/>
                <w:color w:val="FF0000"/>
                <w:sz w:val="20"/>
                <w:szCs w:val="20"/>
              </w:rPr>
            </w:pPr>
          </w:p>
        </w:tc>
      </w:tr>
      <w:tr w14:paraId="3DE5E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5F">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60">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61">
            <w:pPr>
              <w:spacing w:line="360" w:lineRule="auto"/>
              <w:ind w:right="-30"/>
              <w:jc w:val="center"/>
              <w:rPr>
                <w:rFonts w:ascii="Arial" w:hAnsi="Arial" w:eastAsia="Arial" w:cs="Arial"/>
                <w:i/>
                <w:strike/>
                <w:dstrike w:val="0"/>
                <w:color w:val="FF0000"/>
                <w:sz w:val="20"/>
                <w:szCs w:val="20"/>
              </w:rPr>
            </w:pPr>
          </w:p>
        </w:tc>
        <w:tc>
          <w:tcPr>
            <w:tcBorders>
              <w:top w:val="single" w:color="000000" w:sz="4" w:space="0"/>
              <w:left w:val="single" w:color="000000" w:sz="4" w:space="0"/>
              <w:bottom w:val="single" w:color="000000" w:sz="4" w:space="0"/>
              <w:right w:val="single" w:color="000000" w:sz="4" w:space="0"/>
            </w:tcBorders>
            <w:tcMar>
              <w:top w:w="0" w:type="dxa"/>
              <w:left w:w="115" w:type="dxa"/>
              <w:bottom w:w="0" w:type="dxa"/>
              <w:right w:w="115" w:type="dxa"/>
            </w:tcMar>
          </w:tcPr>
          <w:p w14:paraId="00000062">
            <w:pPr>
              <w:spacing w:line="360" w:lineRule="auto"/>
              <w:ind w:right="-30"/>
              <w:jc w:val="center"/>
              <w:rPr>
                <w:rFonts w:ascii="Arial" w:hAnsi="Arial" w:eastAsia="Arial" w:cs="Arial"/>
                <w:i/>
                <w:strike/>
                <w:dstrike w:val="0"/>
                <w:color w:val="FF0000"/>
                <w:sz w:val="20"/>
                <w:szCs w:val="20"/>
              </w:rPr>
            </w:pPr>
          </w:p>
        </w:tc>
      </w:tr>
    </w:tbl>
    <w:p w14:paraId="00000063">
      <w:pPr>
        <w:tabs>
          <w:tab w:val="left" w:pos="1462"/>
        </w:tabs>
        <w:spacing w:before="73"/>
        <w:rPr>
          <w:strike/>
          <w:dstrike w:val="0"/>
        </w:rPr>
      </w:pPr>
    </w:p>
    <w:p w14:paraId="0000006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left="1461" w:right="0" w:hanging="710"/>
        <w:jc w:val="both"/>
        <w:rPr>
          <w:rFonts w:ascii="Calibri" w:hAnsi="Calibri" w:eastAsia="Calibri" w:cs="Calibri"/>
          <w:b w:val="0"/>
          <w:i w:val="0"/>
          <w:smallCaps w:val="0"/>
          <w:strike w:val="0"/>
          <w:color w:val="FF0000"/>
          <w:sz w:val="22"/>
          <w:szCs w:val="22"/>
          <w:u w:val="none"/>
          <w:shd w:val="clear" w:fill="auto"/>
          <w:vertAlign w:val="baseline"/>
        </w:rPr>
      </w:pPr>
      <w:r>
        <w:rPr>
          <w:rFonts w:ascii="Calibri" w:hAnsi="Calibri" w:eastAsia="Calibri" w:cs="Calibri"/>
          <w:b w:val="0"/>
          <w:i w:val="0"/>
          <w:smallCaps w:val="0"/>
          <w:strike w:val="0"/>
          <w:color w:val="FF0000"/>
          <w:sz w:val="22"/>
          <w:szCs w:val="22"/>
          <w:u w:val="none"/>
          <w:shd w:val="clear" w:fill="auto"/>
          <w:vertAlign w:val="baseline"/>
          <w:rtl w:val="0"/>
        </w:rPr>
        <w:t xml:space="preserve">A IRP nº </w:t>
      </w:r>
      <w:r>
        <w:rPr>
          <w:rFonts w:hint="default" w:cs="Calibri"/>
          <w:b/>
          <w:i w:val="0"/>
          <w:smallCaps w:val="0"/>
          <w:strike w:val="0"/>
          <w:color w:val="FF0000"/>
          <w:sz w:val="22"/>
          <w:szCs w:val="22"/>
          <w:u w:val="none"/>
          <w:shd w:val="clear" w:fill="auto"/>
          <w:vertAlign w:val="baseline"/>
          <w:rtl w:val="0"/>
          <w:lang w:val="pt-BR"/>
        </w:rPr>
        <w:t>33</w:t>
      </w:r>
      <w:r>
        <w:rPr>
          <w:rFonts w:ascii="Calibri" w:hAnsi="Calibri" w:eastAsia="Calibri" w:cs="Calibri"/>
          <w:b/>
          <w:i w:val="0"/>
          <w:smallCaps w:val="0"/>
          <w:strike w:val="0"/>
          <w:color w:val="FF0000"/>
          <w:sz w:val="22"/>
          <w:szCs w:val="22"/>
          <w:u w:val="none"/>
          <w:shd w:val="clear" w:fill="auto"/>
          <w:vertAlign w:val="baseline"/>
          <w:rtl w:val="0"/>
        </w:rPr>
        <w:t>/</w:t>
      </w:r>
      <w:r>
        <w:rPr>
          <w:rFonts w:hint="default" w:cs="Calibri"/>
          <w:b/>
          <w:i w:val="0"/>
          <w:smallCaps w:val="0"/>
          <w:strike w:val="0"/>
          <w:color w:val="FF0000"/>
          <w:sz w:val="22"/>
          <w:szCs w:val="22"/>
          <w:u w:val="none"/>
          <w:shd w:val="clear" w:fill="auto"/>
          <w:vertAlign w:val="baseline"/>
          <w:rtl w:val="0"/>
          <w:lang w:val="pt-BR"/>
        </w:rPr>
        <w:t xml:space="preserve">2025 </w:t>
      </w:r>
      <w:r>
        <w:rPr>
          <w:rFonts w:ascii="Calibri" w:hAnsi="Calibri" w:eastAsia="Calibri" w:cs="Calibri"/>
          <w:b w:val="0"/>
          <w:i w:val="0"/>
          <w:smallCaps w:val="0"/>
          <w:strike w:val="0"/>
          <w:color w:val="FF0000"/>
          <w:sz w:val="22"/>
          <w:szCs w:val="22"/>
          <w:u w:val="none"/>
          <w:shd w:val="clear" w:fill="auto"/>
          <w:vertAlign w:val="baseline"/>
          <w:rtl w:val="0"/>
        </w:rPr>
        <w:t>não foi divulgada, conforme previsão do</w:t>
      </w:r>
      <w:r>
        <w:rPr>
          <w:rFonts w:hint="default" w:cs="Calibri"/>
          <w:b w:val="0"/>
          <w:i w:val="0"/>
          <w:smallCaps w:val="0"/>
          <w:strike w:val="0"/>
          <w:color w:val="FF0000"/>
          <w:sz w:val="22"/>
          <w:szCs w:val="22"/>
          <w:u w:val="none"/>
          <w:shd w:val="clear" w:fill="auto"/>
          <w:vertAlign w:val="baseline"/>
          <w:rtl w:val="0"/>
          <w:lang w:val="pt-BR"/>
        </w:rPr>
        <w:t xml:space="preserve"> Despacho PROAD constante do processo.</w:t>
      </w:r>
      <w:bookmarkStart w:id="13" w:name="_GoBack"/>
      <w:bookmarkEnd w:id="13"/>
    </w:p>
    <w:p w14:paraId="00000065">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right="0"/>
        <w:jc w:val="center"/>
        <w:rPr>
          <w:rFonts w:ascii="Calibri" w:hAnsi="Calibri" w:eastAsia="Calibri" w:cs="Calibri"/>
          <w:b w:val="0"/>
          <w:i w:val="0"/>
          <w:strike/>
          <w:dstrike w:val="0"/>
          <w:color w:val="0000FF"/>
          <w:sz w:val="32"/>
          <w:szCs w:val="32"/>
          <w:u w:val="none"/>
          <w:shd w:val="clear" w:fill="auto"/>
          <w:vertAlign w:val="baseline"/>
        </w:rPr>
      </w:pPr>
      <w:r>
        <w:rPr>
          <w:b w:val="0"/>
          <w:i w:val="0"/>
          <w:strike/>
          <w:dstrike w:val="0"/>
          <w:color w:val="0000FF"/>
          <w:sz w:val="32"/>
          <w:szCs w:val="32"/>
          <w:u w:val="none"/>
          <w:shd w:val="clear" w:fill="auto"/>
          <w:vertAlign w:val="baseline"/>
          <w:rtl w:val="0"/>
        </w:rPr>
        <w:t>OU</w:t>
      </w:r>
    </w:p>
    <w:p w14:paraId="00000066">
      <w:pPr>
        <w:numPr>
          <w:ilvl w:val="1"/>
          <w:numId w:val="2"/>
        </w:numPr>
        <w:tabs>
          <w:tab w:val="left" w:pos="1462"/>
        </w:tabs>
        <w:spacing w:before="80"/>
        <w:ind w:left="1461" w:hanging="709"/>
        <w:jc w:val="both"/>
        <w:rPr>
          <w:strike/>
          <w:dstrike w:val="0"/>
          <w:highlight w:val="yellow"/>
        </w:rPr>
      </w:pPr>
      <w:r>
        <w:rPr>
          <w:strike/>
          <w:dstrike w:val="0"/>
          <w:color w:val="FF0000"/>
          <w:sz w:val="14"/>
          <w:szCs w:val="14"/>
          <w:shd w:val="clear" w:fill="auto"/>
          <w:rtl w:val="0"/>
        </w:rPr>
        <w:t xml:space="preserve"> </w:t>
      </w:r>
      <w:r>
        <w:rPr>
          <w:strike/>
          <w:dstrike w:val="0"/>
          <w:color w:val="FF0000"/>
          <w:shd w:val="clear" w:fill="auto"/>
          <w:rtl w:val="0"/>
        </w:rPr>
        <w:t xml:space="preserve">A IRP nº </w:t>
      </w:r>
      <w:r>
        <w:rPr>
          <w:b/>
          <w:strike/>
          <w:dstrike w:val="0"/>
          <w:color w:val="FF0000"/>
          <w:shd w:val="clear" w:fill="auto"/>
          <w:rtl w:val="0"/>
        </w:rPr>
        <w:t xml:space="preserve">xx/2023 </w:t>
      </w:r>
      <w:r>
        <w:rPr>
          <w:strike/>
          <w:dstrike w:val="0"/>
          <w:color w:val="FF0000"/>
          <w:shd w:val="clear" w:fill="auto"/>
          <w:rtl w:val="0"/>
        </w:rPr>
        <w:t xml:space="preserve"> foi divulgada, conforme art. 9º do Decreto nº 11.462/2023.</w:t>
      </w:r>
    </w:p>
    <w:p w14:paraId="00000067">
      <w:pPr>
        <w:tabs>
          <w:tab w:val="left" w:pos="1462"/>
        </w:tabs>
        <w:spacing w:before="80"/>
        <w:jc w:val="both"/>
        <w:rPr>
          <w:color w:val="FF0000"/>
          <w:shd w:val="clear" w:fill="auto"/>
        </w:rPr>
      </w:pPr>
    </w:p>
    <w:p w14:paraId="00000068">
      <w:pPr>
        <w:tabs>
          <w:tab w:val="left" w:pos="1462"/>
        </w:tabs>
        <w:spacing w:before="80"/>
        <w:ind w:firstLine="1761"/>
        <w:jc w:val="both"/>
        <w:rPr>
          <w:b/>
          <w:color w:val="404040"/>
          <w:highlight w:val="yellow"/>
        </w:rPr>
      </w:pPr>
      <w:r>
        <w:rPr>
          <w:b/>
          <w:color w:val="404040"/>
          <w:shd w:val="clear" w:fill="auto"/>
          <w:rtl w:val="0"/>
        </w:rPr>
        <w:t>Inclusão dos subitens acima para indicar se houve divulgação ou não da IRP.</w:t>
      </w:r>
      <w:r>
        <mc:AlternateContent>
          <mc:Choice Requires="wps">
            <w:drawing>
              <wp:anchor distT="0" distB="0" distL="0" distR="0" simplePos="0" relativeHeight="251660288" behindDoc="1" locked="0" layoutInCell="1" allowOverlap="1">
                <wp:simplePos x="0" y="0"/>
                <wp:positionH relativeFrom="column">
                  <wp:posOffset>1155700</wp:posOffset>
                </wp:positionH>
                <wp:positionV relativeFrom="paragraph">
                  <wp:posOffset>165100</wp:posOffset>
                </wp:positionV>
                <wp:extent cx="5676900" cy="5311775"/>
                <wp:effectExtent l="0" t="0" r="0" b="0"/>
                <wp:wrapNone/>
                <wp:docPr id="2115606145" name="Forma livre 2115606145"/>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spcFirstLastPara="1" wrap="square" lIns="91425" tIns="91425" rIns="91425" bIns="91425" anchor="ctr" anchorCtr="0">
                        <a:noAutofit/>
                      </wps:bodyPr>
                    </wps:wsp>
                  </a:graphicData>
                </a:graphic>
              </wp:anchor>
            </w:drawing>
          </mc:Choice>
          <mc:Fallback>
            <w:pict>
              <v:shape id="_x0000_s1026" o:spid="_x0000_s1026" o:spt="100" style="position:absolute;left:0pt;margin-left:91pt;margin-top:13pt;height:418.25pt;width:447pt;z-index:-251656192;v-text-anchor:middle;mso-width-relative:page;mso-height-relative:page;" fillcolor="#C0C0C0" filled="t" stroked="f" coordsize="8910,8335" o:gfxdata="UEsDBAoAAAAAAIdO4kAAAAAAAAAAAAAAAAAEAAAAZHJzL1BLAwQUAAAACACHTuJATuVwlNgAAAAL&#10;AQAADwAAAGRycy9kb3ducmV2LnhtbE2PQU+EMBCF7yb+h2ZMvBi3XZJFRMoeTDAx8SLLweMsHYFI&#10;W6Rld/33Dic9zbzMy5vvFfuLHcWJ5jB4p2G7USDItd4MrtPQHKr7DESI6AyO3pGGHwqwL6+vCsyN&#10;P7t3OtWxExziQo4a+hinXMrQ9mQxbPxEjm+ffrYYWc6dNDOeOdyOMlEqlRYHxx96nOi5p/arXqwG&#10;+ng83I2vu2+US1NXzUuLTfWm9e3NVj2BiHSJf2ZY8RkdSmY6+sWZIEbWWcJdooYk5bka1MO6HTVk&#10;abIDWRbyf4fyF1BLAwQUAAAACACHTuJARkgVk9cHAAAFIQAADgAAAGRycy9lMm9Eb2MueG1srVrb&#10;btxGEn1fYP9hwPe12PduwbIR2HCwgLExkOwHUByOZxDOcEJSF//9nr6NlESq0sPKgMiRStVVp26n&#10;u/3+4+Nx3NwP83KYTjeNeNc2m+HUT9vD6ftN89/fvvzLN5tl7U7bbpxOw03zY1iajx/++Y/3D+fr&#10;QU77adwO8wZKTsv1w/mm2a/r+frqaun3w7Fb3k3n4YRf7qb52K34OH+/2s7dA7QfxyvZtvbqYZq3&#10;53nqh2XBTz/nXzZF4/wWhdNud+iHz1N/dxxOa9Y6D2O3wqVlfzgvzYdk7W439Osvu90yrJvxpoGn&#10;a/qORfB+G79ffXjfXX+fu/P+0BcTureY8Befjt3hhEUvqj53a7e5mw9/U3U89PO0TLv1XT8dr7Ij&#10;CRF4Idq/YPPrvjsPyRdAvZwvoC//P7X9f+6/zZvD9qaRQhjbWqFNszl1R0T+S4zhZjzcz8Pm2W8B&#10;2cN5ucZf/nr+NpdPC16j/4+7+Rif8GzzCKVGuNZB4w+kmlDKKp8hHx7XTQ8BY43zBtHoIWFkkE6a&#10;KHH1pKq/W9afhymp7e6/LmuO2ba+dfv61j+e6uuMyMeYjynma7NBzOcU89tswLlb499FW+Pr5uGm&#10;8UHAkD1elILJMHG+i1Xyy+8xU6LkcboffpvS36zJPe9c8s2GUM1+khlPz2WF0tAevdQmgQAXq0R9&#10;npNW0YYi6VpGUqq8vgk+FNiqrvosOq0K2VJnFS3ppUqSTghNSwabdTrlHSMJeKLvTgPZHN5qX30W&#10;O0NByemWWd21GSUnHSOpPXpaXF3YVPGvIm9j3CFoOeClz2tbI+gIFTEXaDFhSiBT6pEAwYlkoxeG&#10;hlIjeZIzXtPRsSEHHEnMJVHQGUiDHKGslELKLOlQ3KSkLMnujJe0pNBFp0LkKZ3CqixplRC0pIZA&#10;BMl45AilU1qEMCcRk27yhaZQk7wfp2XAMn9vJUoVbK121ZJXW4k3uex1ACSU1cK64p+QdBIoWdPF&#10;WrqcXrKU9097NPaEdHtJx9f8U7IUrDLoyJR/iG+uMGWZ+GklCmb+0qqr1fWZW5AWNmOmvbH06t4U&#10;SefpPJNxPkTvtcHEoDySmMFZUnumxpTLdav1ZWZWT+ozeyQFSiutbtE8qNWVE2VMoCPRkj7U0YP5&#10;TulE5eQYaWcZ330kHxElDxAonQpcpUgyXUO3IvtuWk/r1BBNOtHT6azTVuU+iDZIe/RS1tfYvN4L&#10;TCiUSdlLZF+rFRNsxkwZTftnQkFXaUf7Z4IoOhVTK2ibOQ5KMZ3IeJPjgOJm7PQlYkpKeh4ZZ8vq&#10;AkyEyhfjqkeCoVQgpLnPqxZwkTpNqWkZHL068M61IttA9wltZM5BKZk+Yep4V4Lp1wZ9LOW1kqxH&#10;pZ8pBTNI3217yRC6TxirC57a0rPK2EKqlJFMhri25JLhcsnVXLJcfoLuZpQc03tMZQLKcXVkXbHT&#10;M7TX1I6iApoQibzxufeoYCtPqB2lPnPXNzWXdKsYPHWdeHHnQa6uCgvS2M4wkqVHYpwyq0s4krq+&#10;4KKJPXKRDIxOUZi8FlwHa8smRschSfrelpzXcfhQkjrEHW2cYxzr0r7ORnY6eZnjjmjSyGuH0R1X&#10;VwHkj7TTutI/PYOncthfJp04pSB1KtuW1TnktUYzTCi1DNPROJgoeDK7CfSYwgskY6e2dXXJbIiB&#10;Z0Ge201o7MmynSCuJEraV+6mmJzXAUMwoaSZ7bhpy5TR+CJXT1Qo62R8N6KwC81yhjhcik66Ogzm&#10;UJFkUDKqxgjsnfYIvLroxGigch5dsbBmxc1NU3IeizOd1mIrnnyXgItc3ZX5riXKhJYsfR6dltHp&#10;y9GObhl+DbZWZwdzHmGCLPuqmH6knQHbuei78oaTBOBJMjYTWie22FmSm8UvMOU6BV/n165Fu4v6&#10;QbJqrr7Kr3EQlWRx+kDnoJVlPgTkIuWebesJG7NzQoPMHVJwpxOmDZlpyDjOqMUNvrI/Fu2CkkSD&#10;zJ7LwDC3l/Dko5CPWxGFJ/WvBcFX+u5BqCibnccmKEb26RClGlKfmRxdBB3TBZwCyYsahUSZkWsr&#10;lTuL4Bi5A6JZZ8ucWjhRuLsHQyMXF4VmO2aegObmnHLMgMSeJRdhPBQll46EJCJkmHNtnC/mJMWu&#10;mNRoQ3FGtzTkOFkoZINhuDYe5aSKZ8gokj7Dg00dY2Pl9sxocm1pz4pZGpEp8DAn3zijySmpNT1D&#10;nCvnCEg40pm3V8Ob60thT/wmwB0OnaMgTSutKWK4QiRdsbZUoWTIr0Vlp4U1UzHInZzfHIrInbyR&#10;8Vy/xFlNWlrEAJG1BfqXYcTNHC2Jg6AsKS8zrba8+iytz5XzftleTpqrRH1WSYz0FESO9TtXOJ0I&#10;mrOznAOJaDDpO+4OM0pG0vzLxYYS7cTlJZPo9eSA7eY4gcy+cyPH1+MAIZiLgRcGXsW7chXcTMXb&#10;yHT/ebmhxA+f34Eu03jYfjmMY7xGWObvt5/GeXPf4bLzUxv/pZvKbjzvu/xTXBKgp2Wki3jS/yc9&#10;4ylqO01Rbw0KpOJFb77ajW+30/YHbouXc//lMC/r125Zv3Uz7svRMh9wh37TLH/cdfPQbMZ/n3BJ&#10;HcCZQDbW5x/m5x9un3/oTv1+wjVtv87NJn/4tKar+mzaT3frtDvE299kVjamfMDtePKp3OTH6/fn&#10;n5PU0/9e+P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SAoAAFtDb250ZW50X1R5cGVzXS54bWxQSwECFAAKAAAAAACHTuJAAAAAAAAAAAAAAAAA&#10;BgAAAAAAAAAAABAAAAAqCQAAX3JlbHMvUEsBAhQAFAAAAAgAh07iQIoUZjzRAAAAlAEAAAsAAAAA&#10;AAAAAQAgAAAATgkAAF9yZWxzLy5yZWxzUEsBAhQACgAAAAAAh07iQAAAAAAAAAAAAAAAAAQAAAAA&#10;AAAAAAAQAAAAAAAAAGRycy9QSwECFAAUAAAACACHTuJATuVwlNgAAAALAQAADwAAAAAAAAABACAA&#10;AAAiAAAAZHJzL2Rvd25yZXYueG1sUEsBAhQAFAAAAAgAh07iQEZIFZPXBwAABSEAAA4AAAAAAAAA&#10;AQAgAAAAJwEAAGRycy9lMm9Eb2MueG1sUEsFBgAAAAAGAAYAWQEAAHALAAAAAA==&#10;" path="m2877,6995l1340,5458,1090,5708,1237,5989,1639,6763,1823,7114,1969,7387,1995,7435,1940,7404,1700,7274,1488,7160,635,6708,280,6518,0,6798,1537,8335,1716,8155,408,6847,693,6999,1694,7523,2122,7750,2290,7582,2142,7300,1632,6311,1411,5888,2698,7174,2877,6995xm3394,6478l1857,4942,1671,5127,3208,6664,3394,6478xm4825,5047l3288,3510,3110,3688,4317,4895,4161,4856,3851,4781,2995,4577,2606,4483,2373,4425,2182,4616,3719,6153,3897,5975,2690,4767,2845,4806,3156,4882,4012,5086,4401,5180,4634,5237,4825,5047xm5975,3625l5965,3546,5945,3470,5915,3395,5886,3342,5852,3286,5812,3229,5766,3169,5715,3108,5658,3045,5595,2979,4707,2091,4521,2277,5408,3164,5485,3245,5551,3321,5605,3393,5648,3462,5680,3526,5702,3586,5712,3642,5711,3706,5698,3770,5672,3835,5634,3901,5584,3968,5521,4036,5461,4090,5398,4134,5334,4166,5268,4186,5201,4196,5135,4195,5069,4182,5005,4156,4950,4127,4890,4086,4824,4034,4753,3971,4676,3896,3789,3010,3603,3195,4491,4083,4560,4150,4626,4210,4691,4263,4754,4311,4815,4351,4873,4386,4929,4414,5007,4444,5086,4463,5165,4470,5245,4466,5324,4451,5391,4431,5457,4402,5523,4364,5589,4318,5655,4265,5721,4203,5784,4135,5839,4067,5884,3998,5920,3929,5947,3859,5964,3789,5974,3706,5975,3625xm7096,2776l5740,1421,6205,957,6023,775,4911,1888,5092,2069,5555,1607,6910,2962,7096,2776xm8910,962l8715,872,7846,478,7846,764,7370,1239,7333,1164,7296,1088,7185,861,7148,786,7111,710,7074,635,7034,558,6992,482,6948,409,6903,336,6856,266,6911,297,6972,331,7039,366,7112,404,7190,443,7775,729,7846,764,7846,478,7379,266,6799,0,6599,200,6633,271,6737,486,6854,729,6918,862,7354,1775,7492,2061,7596,2276,7793,2078,7759,2010,7724,1941,7552,1596,7517,1528,7482,1459,7702,1239,8069,872,8698,1174,8910,962xe">
                <v:fill on="t" opacity="32381f" focussize="0,0"/>
                <v:stroke on="f"/>
                <v:imagedata o:title=""/>
                <o:lock v:ext="edit" aspectratio="f"/>
                <v:textbox inset="7.1988188976378pt,7.1988188976378pt,7.1988188976378pt,7.1988188976378pt"/>
              </v:shape>
            </w:pict>
          </mc:Fallback>
        </mc:AlternateContent>
      </w:r>
    </w:p>
    <w:p w14:paraId="0000006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highlight w:val="yellow"/>
        </w:rPr>
      </w:pPr>
    </w:p>
    <w:p w14:paraId="0000006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5" w:after="0" w:line="240" w:lineRule="auto"/>
        <w:ind w:left="0" w:right="0" w:firstLine="0"/>
        <w:jc w:val="left"/>
        <w:rPr>
          <w:highlight w:val="yellow"/>
        </w:rPr>
      </w:pPr>
    </w:p>
    <w:p w14:paraId="0000006B">
      <w:pPr>
        <w:pStyle w:val="2"/>
        <w:numPr>
          <w:ilvl w:val="0"/>
          <w:numId w:val="2"/>
        </w:numPr>
        <w:tabs>
          <w:tab w:val="left" w:pos="1461"/>
          <w:tab w:val="left" w:pos="1462"/>
        </w:tabs>
        <w:ind w:left="1461" w:hanging="710"/>
      </w:pPr>
      <w:r>
        <w:rPr>
          <w:rtl w:val="0"/>
        </w:rPr>
        <w:t>DA ADESÃO À ATA DE REGISTRO DE PREÇOS</w:t>
      </w:r>
    </w:p>
    <w:p w14:paraId="0000006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shd w:val="clear" w:fill="auto"/>
        </w:rPr>
      </w:pPr>
      <w:r>
        <w:rPr>
          <w:rFonts w:ascii="Calibri" w:hAnsi="Calibri" w:eastAsia="Calibri" w:cs="Calibri"/>
          <w:b w:val="0"/>
          <w:i/>
          <w:smallCaps w:val="0"/>
          <w:strike w:val="0"/>
          <w:color w:val="000000"/>
          <w:sz w:val="22"/>
          <w:szCs w:val="22"/>
          <w:u w:val="none"/>
          <w:shd w:val="clear" w:fill="auto"/>
          <w:vertAlign w:val="baseline"/>
          <w:rtl w:val="0"/>
        </w:rPr>
        <w:t xml:space="preserve"> </w:t>
      </w:r>
      <w:r>
        <w:rPr>
          <w:b w:val="0"/>
          <w:i w:val="0"/>
          <w:smallCaps w:val="0"/>
          <w:strike w:val="0"/>
          <w:color w:val="auto"/>
          <w:sz w:val="22"/>
          <w:szCs w:val="22"/>
          <w:u w:val="none"/>
          <w:shd w:val="clear" w:fill="auto"/>
          <w:vertAlign w:val="baseline"/>
          <w:rtl w:val="0"/>
        </w:rPr>
        <w:t>Não será admitida a adesão à ata de registro de preços decorrente desta licitação, conforme justificativa apresentada</w:t>
      </w:r>
      <w:r>
        <w:rPr>
          <w:i/>
          <w:color w:val="auto"/>
          <w:shd w:val="clear" w:fill="auto"/>
          <w:rtl w:val="0"/>
        </w:rPr>
        <w:t xml:space="preserve"> </w:t>
      </w:r>
      <w:r>
        <w:rPr>
          <w:i w:val="0"/>
          <w:color w:val="4F6228"/>
          <w:shd w:val="clear" w:fill="auto"/>
          <w:rtl w:val="0"/>
        </w:rPr>
        <w:t>no despacho de autorização de abertura de procedimento licitatório pela autoridade competente no processo 23069.</w:t>
      </w:r>
      <w:r>
        <w:rPr>
          <w:rFonts w:hint="default"/>
          <w:i w:val="0"/>
          <w:color w:val="4F6228"/>
          <w:shd w:val="clear" w:fill="auto"/>
          <w:rtl w:val="0"/>
          <w:lang w:val="pt-BR"/>
        </w:rPr>
        <w:t>184254/2025-49</w:t>
      </w:r>
    </w:p>
    <w:p w14:paraId="0000006D">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center"/>
        <w:rPr>
          <w:b/>
          <w:color w:val="404040"/>
          <w:shd w:val="clear" w:fill="auto"/>
        </w:rPr>
      </w:pPr>
      <w:r>
        <w:rPr>
          <w:b/>
          <w:color w:val="404040"/>
          <w:shd w:val="clear" w:fill="auto"/>
          <w:rtl w:val="0"/>
        </w:rPr>
        <w:t>Alteração da redação para indicar onde estará a justificada a permissão de adesão.</w:t>
      </w:r>
    </w:p>
    <w:p w14:paraId="0000006E">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center"/>
        <w:rPr>
          <w:b/>
          <w:color w:val="404040"/>
          <w:shd w:val="clear" w:fill="auto"/>
        </w:rPr>
      </w:pPr>
    </w:p>
    <w:p w14:paraId="0000006F">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right="0"/>
        <w:jc w:val="center"/>
        <w:rPr>
          <w:b w:val="0"/>
          <w:i w:val="0"/>
          <w:strike/>
          <w:dstrike w:val="0"/>
          <w:color w:val="auto"/>
          <w:sz w:val="32"/>
          <w:szCs w:val="32"/>
          <w:u w:val="none"/>
          <w:shd w:val="clear" w:fill="auto"/>
          <w:vertAlign w:val="baseline"/>
        </w:rPr>
      </w:pPr>
      <w:r>
        <w:rPr>
          <w:b w:val="0"/>
          <w:i w:val="0"/>
          <w:strike/>
          <w:dstrike w:val="0"/>
          <w:color w:val="auto"/>
          <w:sz w:val="32"/>
          <w:szCs w:val="32"/>
          <w:u w:val="none"/>
          <w:shd w:val="clear" w:fill="auto"/>
          <w:vertAlign w:val="baseline"/>
          <w:rtl w:val="0"/>
        </w:rPr>
        <w:t>Ou</w:t>
      </w:r>
    </w:p>
    <w:p w14:paraId="00000070">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3" w:after="0" w:line="240" w:lineRule="auto"/>
        <w:ind w:right="0"/>
        <w:jc w:val="center"/>
        <w:rPr>
          <w:rFonts w:ascii="Calibri" w:hAnsi="Calibri" w:eastAsia="Calibri" w:cs="Calibri"/>
          <w:b w:val="0"/>
          <w:i/>
          <w:smallCaps w:val="0"/>
          <w:strike/>
          <w:dstrike w:val="0"/>
          <w:color w:val="auto"/>
          <w:sz w:val="22"/>
          <w:szCs w:val="22"/>
          <w:u w:val="none"/>
          <w:shd w:val="clear" w:fill="auto"/>
          <w:vertAlign w:val="baseline"/>
        </w:rPr>
      </w:pPr>
    </w:p>
    <w:p w14:paraId="0000007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Durante a vigência da ata, os órgãos e as entidades da Administração Pública federal, estadual, distrital e municipal que não participaram do procedimento de IRP poderão aderir à ata de registro de preços na condição de não participantes, observados os seguintes requisitos:</w:t>
      </w:r>
    </w:p>
    <w:p w14:paraId="00000072">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dstrike w:val="0"/>
          <w:color w:val="auto"/>
          <w:sz w:val="22"/>
          <w:szCs w:val="22"/>
          <w:u w:val="none"/>
          <w:shd w:val="clear" w:fill="auto"/>
          <w:vertAlign w:val="baseline"/>
        </w:rPr>
      </w:pPr>
    </w:p>
    <w:p w14:paraId="00000073">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4.2.1. apresentação de justificativa da vantagem da adesão, inclusive em situações de provável desabastecimento ou descontinuidade de serviço público;</w:t>
      </w:r>
    </w:p>
    <w:p w14:paraId="0000007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4.2.2.  demonstração de que os valores registrados estão compatíveis com os valores praticados pelo mercado na forma do art. 23 da Lei nº 14.133, de 2021; e</w:t>
      </w:r>
    </w:p>
    <w:p w14:paraId="00000075">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4.2.3.  consulta e aceitação prévias do órgão ou da entidade gerenciadora e do fornecedor</w:t>
      </w:r>
    </w:p>
    <w:p w14:paraId="00000076">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p>
    <w:p w14:paraId="0000007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A autorização do órgão ou entidade gerenciadora apenas será realizada após a aceitação da adesão pelo fornecedor.</w:t>
      </w:r>
    </w:p>
    <w:p w14:paraId="00000078">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dstrike w:val="0"/>
          <w:color w:val="auto"/>
          <w:sz w:val="22"/>
          <w:szCs w:val="22"/>
          <w:u w:val="none"/>
          <w:shd w:val="clear" w:fill="auto"/>
          <w:vertAlign w:val="baseline"/>
        </w:rPr>
      </w:pPr>
    </w:p>
    <w:p w14:paraId="0000007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4.3.1. O órgão ou entidade gerenciadora poderá rejeitar adesões caso elas possam acarretar prejuízo à execução de seus próprios contratos ou à sua capacidade de gerenciamento.</w:t>
      </w:r>
    </w:p>
    <w:p w14:paraId="0000007A">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40" w:right="700" w:firstLine="0"/>
        <w:jc w:val="both"/>
        <w:rPr>
          <w:b w:val="0"/>
          <w:i w:val="0"/>
          <w:smallCaps w:val="0"/>
          <w:strike/>
          <w:dstrike w:val="0"/>
          <w:color w:val="auto"/>
          <w:sz w:val="22"/>
          <w:szCs w:val="22"/>
          <w:u w:val="none"/>
          <w:shd w:val="clear" w:fill="auto"/>
          <w:vertAlign w:val="baseline"/>
        </w:rPr>
      </w:pPr>
    </w:p>
    <w:p w14:paraId="0000007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Após a autorização do órgão ou da entidade gerenciadora, o órgão ou entidade não participante deverá efetivar a aquisição ou a contratação solicitada em até noventa dias, observado o prazo de vigência da ata.</w:t>
      </w:r>
    </w:p>
    <w:p w14:paraId="0000007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 xml:space="preserve"> 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0000007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dstrike w:val="0"/>
          <w:color w:val="auto"/>
          <w:sz w:val="22"/>
          <w:szCs w:val="22"/>
          <w:u w:val="none"/>
          <w:shd w:val="clear" w:fill="auto"/>
          <w:vertAlign w:val="baseline"/>
        </w:rPr>
      </w:pPr>
      <w:r>
        <w:rPr>
          <w:b w:val="0"/>
          <w:i w:val="0"/>
          <w:smallCaps w:val="0"/>
          <w:strike/>
          <w:dstrike w:val="0"/>
          <w:color w:val="auto"/>
          <w:sz w:val="22"/>
          <w:szCs w:val="22"/>
          <w:u w:val="none"/>
          <w:shd w:val="clear" w:fill="auto"/>
          <w:vertAlign w:val="baseline"/>
          <w:rtl w:val="0"/>
        </w:rPr>
        <w:t>O órgão ou a entidade poderá aderir a item da ata de registro de preços da qual seja integrante, na qualidade de não participante, para aqueles itens para os quais não tenha quantitativo registrado, observados os requisitos do item 4.1.</w:t>
      </w:r>
    </w:p>
    <w:p w14:paraId="0000007E">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751" w:right="700" w:firstLine="0"/>
        <w:jc w:val="both"/>
        <w:rPr>
          <w:b w:val="0"/>
          <w:i w:val="0"/>
          <w:smallCaps w:val="0"/>
          <w:strike/>
          <w:dstrike w:val="0"/>
          <w:color w:val="auto"/>
          <w:sz w:val="22"/>
          <w:szCs w:val="22"/>
          <w:u w:val="none"/>
          <w:shd w:val="clear" w:fill="auto"/>
          <w:vertAlign w:val="baseline"/>
        </w:rPr>
      </w:pPr>
    </w:p>
    <w:p w14:paraId="0000007F">
      <w:pPr>
        <w:tabs>
          <w:tab w:val="left" w:pos="1462"/>
        </w:tabs>
        <w:spacing w:before="69"/>
        <w:ind w:left="751" w:right="700" w:firstLine="0"/>
        <w:rPr>
          <w:b/>
          <w:color w:val="auto"/>
        </w:rPr>
      </w:pPr>
      <w:r>
        <w:rPr>
          <w:b/>
          <w:color w:val="auto"/>
          <w:rtl w:val="0"/>
        </w:rPr>
        <w:t>Dos limites para as adesões</w:t>
      </w:r>
    </w:p>
    <w:p w14:paraId="00000080">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0000008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0000008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b w:val="0"/>
          <w:i w:val="0"/>
          <w:smallCaps w:val="0"/>
          <w:strike w:val="0"/>
          <w:color w:val="auto"/>
          <w:sz w:val="22"/>
          <w:szCs w:val="22"/>
          <w:u w:val="none"/>
          <w:shd w:val="clear" w:fill="auto"/>
          <w:vertAlign w:val="baseline"/>
        </w:rPr>
      </w:pPr>
      <w:r>
        <w:rPr>
          <w:b w:val="0"/>
          <w:i w:val="0"/>
          <w:smallCaps w:val="0"/>
          <w:strike w:val="0"/>
          <w:color w:val="auto"/>
          <w:sz w:val="22"/>
          <w:szCs w:val="22"/>
          <w:u w:val="none"/>
          <w:shd w:val="clear" w:fill="auto"/>
          <w:vertAlign w:val="baseline"/>
          <w:rtl w:val="0"/>
        </w:rPr>
        <w:t>Para aquisição emergencial de medicamentos e material de consumo médico-hospitalar por órgãos e entidades da Administração Pública federal, estadual, distrital e municipal, a adesão à ata de registro de preços gerenciada pelo Ministério da Saúde não estará sujeita ao limite previsto no item 4.7.</w:t>
      </w:r>
    </w:p>
    <w:p w14:paraId="0000008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hanging="709"/>
        <w:jc w:val="both"/>
        <w:rPr>
          <w:rFonts w:ascii="Calibri" w:hAnsi="Calibri" w:eastAsia="Calibri" w:cs="Calibri"/>
          <w:b w:val="0"/>
          <w:i/>
          <w:smallCaps w:val="0"/>
          <w:strike w:val="0"/>
          <w:color w:val="000000"/>
          <w:sz w:val="22"/>
          <w:szCs w:val="22"/>
          <w:u w:val="none"/>
          <w:shd w:val="clear" w:fill="auto"/>
          <w:vertAlign w:val="baseline"/>
        </w:rPr>
      </w:pPr>
      <w:r>
        <w:rPr>
          <w:rFonts w:ascii="Calibri" w:hAnsi="Calibri" w:eastAsia="Calibri" w:cs="Calibri"/>
          <w:b w:val="0"/>
          <w:i w:val="0"/>
          <w:smallCaps w:val="0"/>
          <w:strike w:val="0"/>
          <w:color w:val="auto"/>
          <w:sz w:val="22"/>
          <w:szCs w:val="22"/>
          <w:u w:val="none"/>
          <w:shd w:val="clear" w:fill="auto"/>
          <w:vertAlign w:val="baseline"/>
          <w:rtl w:val="0"/>
        </w:rPr>
        <w:t>A adesão à ata de registro de preços por órgãos e entidades da A</w:t>
      </w:r>
      <w:r>
        <w:rPr>
          <w:rFonts w:ascii="Calibri" w:hAnsi="Calibri" w:eastAsia="Calibri" w:cs="Calibri"/>
          <w:b w:val="0"/>
          <w:i w:val="0"/>
          <w:smallCaps w:val="0"/>
          <w:strike w:val="0"/>
          <w:color w:val="000000"/>
          <w:sz w:val="22"/>
          <w:szCs w:val="22"/>
          <w:u w:val="none"/>
          <w:shd w:val="clear" w:fill="auto"/>
          <w:vertAlign w:val="baseline"/>
          <w:rtl w:val="0"/>
        </w:rPr>
        <w:t>dministração Pública estadual, distrital e municipal poderá ser exigida para fins de transferências voluntárias, não ficando sujeita ao limite de que trata o item 4.7, desde que seja destinada à execução descentralizada de programa ou projeto federal e comprovada a compatibilidade dos preços registrados com os valores praticados no mercado na forma do art. 23 da Lei nº 14.133, de 2021.</w:t>
      </w:r>
    </w:p>
    <w:p w14:paraId="0000008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firstLine="0"/>
        <w:jc w:val="both"/>
        <w:rPr>
          <w:rFonts w:ascii="Calibri" w:hAnsi="Calibri" w:eastAsia="Calibri" w:cs="Calibri"/>
          <w:b w:val="0"/>
          <w:i/>
          <w:smallCaps w:val="0"/>
          <w:strike w:val="0"/>
          <w:color w:val="000000"/>
          <w:sz w:val="22"/>
          <w:szCs w:val="22"/>
          <w:u w:val="none"/>
          <w:shd w:val="clear" w:fill="auto"/>
          <w:vertAlign w:val="baseline"/>
        </w:rPr>
      </w:pPr>
    </w:p>
    <w:p w14:paraId="00000085">
      <w:pPr>
        <w:tabs>
          <w:tab w:val="left" w:pos="1462"/>
        </w:tabs>
        <w:spacing w:before="69"/>
        <w:ind w:left="751" w:right="700" w:firstLine="0"/>
        <w:rPr>
          <w:b/>
        </w:rPr>
      </w:pPr>
      <w:r>
        <w:rPr>
          <w:b/>
          <w:rtl w:val="0"/>
        </w:rPr>
        <w:t>Vedação a acréscimo de quantitativos</w:t>
      </w:r>
    </w:p>
    <w:p w14:paraId="0000008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70" w:after="0" w:line="240" w:lineRule="auto"/>
        <w:ind w:left="1461" w:right="700" w:hanging="709"/>
        <w:jc w:val="both"/>
        <w:rPr>
          <w:rFonts w:ascii="Calibri" w:hAnsi="Calibri" w:eastAsia="Calibri" w:cs="Calibri"/>
          <w:b w:val="0"/>
          <w:i/>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É vedado efetuar acréscimos nos quantitativos fixados na ata de registro de preços</w:t>
      </w:r>
    </w:p>
    <w:p w14:paraId="00000087">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88">
      <w:pPr>
        <w:pStyle w:val="2"/>
        <w:numPr>
          <w:ilvl w:val="0"/>
          <w:numId w:val="2"/>
        </w:numPr>
        <w:tabs>
          <w:tab w:val="left" w:pos="1461"/>
          <w:tab w:val="left" w:pos="1462"/>
        </w:tabs>
        <w:ind w:left="1461" w:hanging="710"/>
      </w:pPr>
      <w:r>
        <w:rPr>
          <w:rtl w:val="0"/>
        </w:rPr>
        <w:t>VALIDADE, FORMALIZAÇÃO DA ATA DE REGISTRO DE PREÇOS E CADASTRO RESERVA</w:t>
      </w:r>
    </w:p>
    <w:p w14:paraId="0000008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000008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8B">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formalização do contrato ou do instrumento substituto deverá haver a indicação da disponibilidade dos créditos orçamentários respectivos.</w:t>
      </w:r>
    </w:p>
    <w:p w14:paraId="0000008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8D">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instrumento contratual de que trata o item 5.2. deverá ser assinado no prazo de validade da ata de registro de preços.</w:t>
      </w:r>
    </w:p>
    <w:p w14:paraId="0000008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contratos decorrentes do sistema de registro de preços poderão ser alterados, observado o art. 124 da Lei nº 14.133, de 2021.</w:t>
      </w:r>
    </w:p>
    <w:p w14:paraId="0000008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deverão ser observadas as seguintes condições para formalização da ata de registro de preços:</w:t>
      </w:r>
    </w:p>
    <w:p w14:paraId="0000009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Serão registrados na ata os preços e os quantitativos do adjudicatário, devendo ser observada a possibilidade de o licitante oferecer ou não proposta em quantitativo inferior ao máximo previsto no edital</w:t>
      </w:r>
      <w:r>
        <w:rPr>
          <w:b w:val="0"/>
          <w:i w:val="0"/>
          <w:smallCaps w:val="0"/>
          <w:strike w:val="0"/>
          <w:color w:val="000000"/>
          <w:sz w:val="22"/>
          <w:szCs w:val="22"/>
          <w:u w:val="none"/>
          <w:shd w:val="clear" w:fill="auto"/>
          <w:vertAlign w:val="baseline"/>
          <w:rtl w:val="0"/>
        </w:rPr>
        <w:t xml:space="preserve"> e</w:t>
      </w:r>
      <w:r>
        <w:rPr>
          <w:rFonts w:ascii="Calibri" w:hAnsi="Calibri" w:eastAsia="Calibri" w:cs="Calibri"/>
          <w:b w:val="0"/>
          <w:i w:val="0"/>
          <w:smallCaps w:val="0"/>
          <w:strike w:val="0"/>
          <w:color w:val="000000"/>
          <w:sz w:val="22"/>
          <w:szCs w:val="22"/>
          <w:u w:val="none"/>
          <w:shd w:val="clear" w:fill="auto"/>
          <w:vertAlign w:val="baseline"/>
          <w:rtl w:val="0"/>
        </w:rPr>
        <w:t xml:space="preserve"> se obrigar nos limites dela;</w:t>
      </w:r>
    </w:p>
    <w:p w14:paraId="0000009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incluído na ata, na forma de anexo, o registro dos licitantes ou dos fornecedores que:</w:t>
      </w:r>
    </w:p>
    <w:p w14:paraId="00000092">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2127" w:right="700" w:firstLine="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5.4.2.1 Aceitarem cotar os bens, as obras ou os serviços com preços iguais aos do adjudicatário, observada a classificação da licitação; e </w:t>
      </w:r>
    </w:p>
    <w:p w14:paraId="00000093">
      <w:pPr>
        <w:keepNext w:val="0"/>
        <w:keepLines w:val="0"/>
        <w:pageBreakBefore w:val="0"/>
        <w:widowControl/>
        <w:numPr>
          <w:ilvl w:val="3"/>
          <w:numId w:val="1"/>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76" w:lineRule="auto"/>
        <w:ind w:left="3567"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Mantiverem sua proposta original. </w:t>
      </w:r>
      <w:bookmarkStart w:id="0" w:name="bookmark=id.gjdgxs" w:colFirst="0" w:colLast="0"/>
      <w:bookmarkEnd w:id="0"/>
    </w:p>
    <w:p w14:paraId="00000094">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Será respeitada, nas contratações, a ordem de classificação dos licitantes ou dos fornecedores registrados na ata.</w:t>
      </w:r>
    </w:p>
    <w:p w14:paraId="00000095">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a que se refere o item 5.4.2</w:t>
      </w:r>
      <w:r>
        <w:rPr>
          <w:rFonts w:ascii="Calibri" w:hAnsi="Calibri" w:eastAsia="Calibri" w:cs="Calibri"/>
          <w:b/>
          <w:i w:val="0"/>
          <w:smallCaps w:val="0"/>
          <w:strike w:val="0"/>
          <w:color w:val="000000"/>
          <w:sz w:val="22"/>
          <w:szCs w:val="22"/>
          <w:u w:val="none"/>
          <w:shd w:val="clear" w:fill="auto"/>
          <w:vertAlign w:val="baseline"/>
          <w:rtl w:val="0"/>
        </w:rPr>
        <w:t xml:space="preserve"> </w:t>
      </w:r>
      <w:r>
        <w:rPr>
          <w:rFonts w:ascii="Calibri" w:hAnsi="Calibri" w:eastAsia="Calibri" w:cs="Calibri"/>
          <w:b w:val="0"/>
          <w:i w:val="0"/>
          <w:smallCaps w:val="0"/>
          <w:strike w:val="0"/>
          <w:color w:val="000000"/>
          <w:sz w:val="22"/>
          <w:szCs w:val="22"/>
          <w:u w:val="none"/>
          <w:shd w:val="clear" w:fill="auto"/>
          <w:vertAlign w:val="baseline"/>
          <w:rtl w:val="0"/>
        </w:rPr>
        <w:t>tem por objetivo a formação de cadastro de reserva para o caso de impossibilidade de atendimento pelo signatário da ata.</w:t>
      </w:r>
    </w:p>
    <w:p w14:paraId="0000009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Para fins da ordem de classificação, os licitantes ou fornecedores que aceitarem reduzir suas propostas para o preço do adjudicatário antecederão aqueles que mantiverem sua proposta original.</w:t>
      </w:r>
    </w:p>
    <w:p w14:paraId="00000097">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9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o licitante vencedor não assinar a ata de registro de preços, no prazo e nas condições estabelecidos no edital; e</w:t>
      </w:r>
    </w:p>
    <w:p w14:paraId="0000009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Quando houver o cancelamento do registro do licitante ou do registro de preços nas hipóteses previstas no item 9</w:t>
      </w:r>
      <w:r>
        <w:rPr>
          <w:rFonts w:ascii="Arial" w:hAnsi="Arial" w:eastAsia="Arial" w:cs="Arial"/>
          <w:b w:val="0"/>
          <w:i/>
          <w:smallCaps w:val="0"/>
          <w:strike w:val="0"/>
          <w:color w:val="000000"/>
          <w:sz w:val="20"/>
          <w:szCs w:val="20"/>
          <w:u w:val="none"/>
          <w:shd w:val="clear" w:fill="auto"/>
          <w:vertAlign w:val="baseline"/>
          <w:rtl w:val="0"/>
        </w:rPr>
        <w:t>.</w:t>
      </w:r>
    </w:p>
    <w:p w14:paraId="0000009A">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preço registrado com indicação dos licitantes e fornecedores será divulgado no PNCP e ficará disponibilizado durante a vigência da ata de registro de preços.</w:t>
      </w:r>
    </w:p>
    <w:p w14:paraId="0000009B">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9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Arial" w:hAnsi="Arial" w:eastAsia="Arial" w:cs="Arial"/>
          <w:b w:val="0"/>
          <w:i/>
          <w:smallCaps w:val="0"/>
          <w:strike w:val="0"/>
          <w:color w:val="000000"/>
          <w:sz w:val="20"/>
          <w:szCs w:val="20"/>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O prazo de convocação poderá ser prorrogado 1 (uma) vez, por igual período, mediante solicitação do licitante ou fornecedor convocado, desde que apresentada dentro do prazo, devidamente justificada, e que a justificativa seja aceita pela</w:t>
      </w:r>
      <w:r>
        <w:rPr>
          <w:rFonts w:ascii="Calibri" w:hAnsi="Calibri" w:eastAsia="Calibri" w:cs="Calibri"/>
          <w:b w:val="0"/>
          <w:i/>
          <w:smallCaps w:val="0"/>
          <w:strike w:val="0"/>
          <w:color w:val="000000"/>
          <w:sz w:val="22"/>
          <w:szCs w:val="22"/>
          <w:u w:val="none"/>
          <w:shd w:val="clear" w:fill="auto"/>
          <w:vertAlign w:val="baseline"/>
          <w:rtl w:val="0"/>
        </w:rPr>
        <w:t xml:space="preserve"> Administração</w:t>
      </w:r>
      <w:r>
        <w:rPr>
          <w:rFonts w:ascii="Arial" w:hAnsi="Arial" w:eastAsia="Arial" w:cs="Arial"/>
          <w:b w:val="0"/>
          <w:i/>
          <w:smallCaps w:val="0"/>
          <w:strike w:val="0"/>
          <w:color w:val="000000"/>
          <w:sz w:val="20"/>
          <w:szCs w:val="20"/>
          <w:u w:val="none"/>
          <w:shd w:val="clear" w:fill="auto"/>
          <w:vertAlign w:val="baseline"/>
          <w:rtl w:val="0"/>
        </w:rPr>
        <w:t>.</w:t>
      </w:r>
    </w:p>
    <w:p w14:paraId="0000009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ata de registro de preços será assinada por meio de assinatura digital e disponibilizada no Sistema de Registro de Preços.</w:t>
      </w:r>
    </w:p>
    <w:p w14:paraId="0000009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9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Na hipótese de nenhum dos licitantes que trata o item 5.4.2.1, aceitar a contratação nos termos do item anterior, a Administração, observados o valor estimado e sua eventual atualização nos termos </w:t>
      </w:r>
      <w:r>
        <w:rPr>
          <w:rFonts w:ascii="Calibri" w:hAnsi="Calibri" w:eastAsia="Calibri" w:cs="Calibri"/>
          <w:b w:val="0"/>
          <w:smallCaps w:val="0"/>
          <w:strike w:val="0"/>
          <w:sz w:val="22"/>
          <w:szCs w:val="22"/>
          <w:u w:val="none"/>
          <w:shd w:val="clear" w:fill="auto"/>
          <w:vertAlign w:val="baseline"/>
          <w:rtl w:val="0"/>
        </w:rPr>
        <w:t>do edital</w:t>
      </w:r>
      <w:r>
        <w:rPr>
          <w:rFonts w:ascii="Calibri" w:hAnsi="Calibri" w:eastAsia="Calibri" w:cs="Calibri"/>
          <w:b w:val="0"/>
          <w:i w:val="0"/>
          <w:smallCaps w:val="0"/>
          <w:strike w:val="0"/>
          <w:color w:val="000000"/>
          <w:sz w:val="22"/>
          <w:szCs w:val="22"/>
          <w:u w:val="none"/>
          <w:shd w:val="clear" w:fill="auto"/>
          <w:vertAlign w:val="baseline"/>
          <w:rtl w:val="0"/>
        </w:rPr>
        <w:t>, poderá:</w:t>
      </w:r>
    </w:p>
    <w:p w14:paraId="000000A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A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Adjudicar e firmar o contrato nas condições ofertadas pelos licitantes ou fornecedores remanescentes, atendida a ordem classificatória, quando frustrada a negociação de melhor condição.</w:t>
      </w:r>
    </w:p>
    <w:p w14:paraId="000000A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A3">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both"/>
        <w:rPr>
          <w:rFonts w:ascii="Calibri" w:hAnsi="Calibri" w:eastAsia="Calibri" w:cs="Calibri"/>
          <w:b w:val="0"/>
          <w:i w:val="0"/>
          <w:smallCaps w:val="0"/>
          <w:strike w:val="0"/>
          <w:color w:val="000000"/>
          <w:sz w:val="22"/>
          <w:szCs w:val="22"/>
          <w:u w:val="none"/>
          <w:shd w:val="clear" w:fill="auto"/>
          <w:vertAlign w:val="baseline"/>
        </w:rPr>
      </w:pPr>
    </w:p>
    <w:p w14:paraId="000000A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A5">
      <w:pPr>
        <w:pStyle w:val="2"/>
        <w:numPr>
          <w:ilvl w:val="0"/>
          <w:numId w:val="2"/>
        </w:numPr>
        <w:tabs>
          <w:tab w:val="left" w:pos="1461"/>
          <w:tab w:val="left" w:pos="1462"/>
        </w:tabs>
        <w:ind w:left="1461" w:hanging="710"/>
      </w:pPr>
      <w:r>
        <w:rPr>
          <w:rtl w:val="0"/>
        </w:rPr>
        <w:t>ALTERAÇÃO OU ATUALIZAÇÃO DOS PREÇOS REGISTRADOS</w:t>
      </w:r>
    </w:p>
    <w:p w14:paraId="000000A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Os preços registrados poderão ser alterados ou atualizados em decorrência de eventual redução dos preços praticados no mercado ou de fato que eleve o custo dos bens, das obras ou dos serviços registrados, nas seguintes situações:</w:t>
      </w:r>
    </w:p>
    <w:p w14:paraId="000000A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A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Em caso de criação, alteração ou extinção de quaisquer tributos ou encargos legais ou a superveniência de disposições legais, com comprovada repercussão sobre os preços registrados; </w:t>
      </w:r>
    </w:p>
    <w:p w14:paraId="000000A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previsão no edital ou no aviso de contratação direta de cláusula de reajustamento ou repactuação sobre os preços registrados, nos termos da Lei nº 14.133, de 2021.</w:t>
      </w:r>
    </w:p>
    <w:p w14:paraId="000000AA">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No caso do reajustamento, deverá ser respeitada a contagem da anualidade e o índice previstos para a contratação;  </w:t>
      </w:r>
    </w:p>
    <w:p w14:paraId="000000AB">
      <w:pPr>
        <w:keepNext w:val="0"/>
        <w:keepLines w:val="0"/>
        <w:pageBreakBefore w:val="0"/>
        <w:widowControl/>
        <w:numPr>
          <w:ilvl w:val="3"/>
          <w:numId w:val="4"/>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351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No caso da repactuação, poderá ser a pedido do interessado, conforme critérios definidos para a contratação.</w:t>
      </w:r>
    </w:p>
    <w:p w14:paraId="000000AC">
      <w:pPr>
        <w:pStyle w:val="2"/>
        <w:tabs>
          <w:tab w:val="left" w:pos="1461"/>
          <w:tab w:val="left" w:pos="1462"/>
        </w:tabs>
        <w:ind w:firstLine="0"/>
      </w:pPr>
    </w:p>
    <w:p w14:paraId="000000AD">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NEGOCIAÇÃO DE PREÇOS REGISTRADOS</w:t>
      </w:r>
    </w:p>
    <w:p w14:paraId="000000A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registrado tornar-se superior ao preço praticado no mercado por motivo superveniente, o órgão ou entidade gerenciadora convocará o fornecedor para negociar a redução do preço registrado.</w:t>
      </w:r>
    </w:p>
    <w:p w14:paraId="000000A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Caso não aceite reduzir seu preço aos valores praticados pelo mercado, o fornecedor será liberado do compromisso assumido quanto ao item registrado, sem aplicação de penalidades administrativas.</w:t>
      </w:r>
    </w:p>
    <w:p w14:paraId="000000B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color w:val="000000"/>
          <w:sz w:val="22"/>
          <w:szCs w:val="22"/>
          <w:u w:val="none"/>
          <w:shd w:val="clear" w:fill="auto"/>
          <w:vertAlign w:val="baseline"/>
        </w:rPr>
      </w:pPr>
      <w:r>
        <w:rPr>
          <w:rFonts w:ascii="Calibri" w:hAnsi="Calibri" w:eastAsia="Calibri" w:cs="Calibri"/>
          <w:b w:val="0"/>
          <w:i w:val="0"/>
          <w:smallCaps w:val="0"/>
          <w:strike/>
          <w:color w:val="000000"/>
          <w:sz w:val="22"/>
          <w:szCs w:val="22"/>
          <w:u w:val="none"/>
          <w:shd w:val="clear" w:fill="auto"/>
          <w:vertAlign w:val="baseline"/>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000000B1">
      <w:pPr>
        <w:tabs>
          <w:tab w:val="left" w:pos="1462"/>
        </w:tabs>
        <w:spacing w:before="80"/>
        <w:ind w:firstLine="1761"/>
        <w:jc w:val="both"/>
        <w:rPr>
          <w:b/>
          <w:color w:val="404040"/>
          <w:shd w:val="clear" w:fill="auto"/>
        </w:rPr>
      </w:pPr>
      <w:r>
        <w:rPr>
          <w:b/>
          <w:color w:val="404040"/>
          <w:shd w:val="clear" w:fill="auto"/>
          <w:rtl w:val="0"/>
        </w:rPr>
        <w:t>Excluído o subitem considerando que o sistema ainda não possui a opção automatizada de cadastro de reservas.</w:t>
      </w:r>
    </w:p>
    <w:p w14:paraId="000000B2">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B3">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B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B5">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B6">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B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B8">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B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B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BB"/>
    <w:p w14:paraId="000000BC">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REMANEJAMENTO DAS QUANTIDADES REGISTRADAS NA ATA DE REGISTRO DE PREÇOS</w:t>
      </w:r>
    </w:p>
    <w:p w14:paraId="000000B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0000B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remanejamento somente poderá ser feito:</w:t>
      </w:r>
    </w:p>
    <w:p w14:paraId="000000BF">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participante; ou</w:t>
      </w:r>
    </w:p>
    <w:p w14:paraId="000000C0">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 órgão ou entidade participante para órgão ou entidade não participante.</w:t>
      </w:r>
    </w:p>
    <w:p w14:paraId="000000C1">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gerenciadora que tiver estimado as quantidades que pretende contratar será considerado participante para efeito do remanejamento.</w:t>
      </w:r>
      <w:bookmarkStart w:id="8" w:name="bookmark=id.4d34og8" w:colFirst="0" w:colLast="0"/>
      <w:bookmarkEnd w:id="8"/>
    </w:p>
    <w:p w14:paraId="000000C2">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remanejamento de órgão ou entidade participante para órgão ou entidade não participante, serão observados os limites previstos no art. 32 do Decreto nº 11.462, de 2023.</w:t>
      </w:r>
    </w:p>
    <w:p w14:paraId="000000C3">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000000C4">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00000C5">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000000C6"/>
    <w:p w14:paraId="000000C7">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CANCELAMENTO DO REGISTRO DO LICITANTE VENCEDOR E DOS PREÇOS REGISTRADOS</w:t>
      </w:r>
      <w:bookmarkStart w:id="9" w:name="bookmark=id.2s8eyo1" w:colFirst="0" w:colLast="0"/>
      <w:bookmarkEnd w:id="9"/>
    </w:p>
    <w:p w14:paraId="000000C8">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registro do fornecedor será cancelado pelo gerenciador, quando o fornecedor:</w:t>
      </w:r>
      <w:bookmarkStart w:id="10" w:name="bookmark=id.17dp8vu" w:colFirst="0" w:colLast="0"/>
      <w:bookmarkEnd w:id="10"/>
    </w:p>
    <w:p w14:paraId="000000C9">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Descumprir as condições da ata de registro de preços, sem motivo justificado;</w:t>
      </w:r>
    </w:p>
    <w:p w14:paraId="000000CA">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retirar a nota de empenho, ou instrumento equivalente, no prazo estabelecido pela Administração sem justificativa razoável;</w:t>
      </w:r>
    </w:p>
    <w:p w14:paraId="000000CB">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Não aceitar manter seu preço registrado, na hipótese prevista no artigo 27, § 2º, do Decreto nº 11.462, de 2023; ou</w:t>
      </w:r>
    </w:p>
    <w:p w14:paraId="000000CC">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 Sofrer sanção prevista nos incisos III ou IV do caput do art. 156 da Lei nº 14.133, de 2021.</w:t>
      </w:r>
    </w:p>
    <w:p w14:paraId="000000CD">
      <w:pPr>
        <w:keepNext w:val="0"/>
        <w:keepLines w:val="0"/>
        <w:pageBreakBefore w:val="0"/>
        <w:widowControl/>
        <w:numPr>
          <w:ilvl w:val="3"/>
          <w:numId w:val="5"/>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880" w:right="700" w:hanging="72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CE">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 O cancelamento de registros nas hipóteses previstas no item 9.1 será formalizado por despacho do órgão ou da entidade gerenciadora, garantidos os princípios do contraditório e da ampla defesa.</w:t>
      </w:r>
    </w:p>
    <w:p w14:paraId="000000CF">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Na hipótese de cancelamento do registro do fornecedor, o órgão ou a entidade gerenciadora poderá convocar os licitantes que compõem o cadastro de reserva, observada a ordem de classificação.</w:t>
      </w:r>
    </w:p>
    <w:p w14:paraId="000000D0">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rFonts w:ascii="Calibri" w:hAnsi="Calibri" w:eastAsia="Calibri" w:cs="Calibri"/>
          <w:b w:val="0"/>
          <w:i w:val="0"/>
          <w:smallCaps w:val="0"/>
          <w:strike w:val="0"/>
          <w:color w:val="000000"/>
          <w:sz w:val="22"/>
          <w:szCs w:val="22"/>
          <w:u w:val="none"/>
          <w:shd w:val="clear" w:fill="auto"/>
          <w:vertAlign w:val="baseline"/>
          <w:rtl w:val="0"/>
        </w:rPr>
        <w:t xml:space="preserve"> </w:t>
      </w:r>
    </w:p>
    <w:p w14:paraId="000000D1">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Por razão de interesse público;</w:t>
      </w:r>
    </w:p>
    <w:p w14:paraId="000000D2">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A pedido do fornecedor, decorrente de caso fortuito ou força maior; ou</w:t>
      </w:r>
    </w:p>
    <w:p w14:paraId="000000D3">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14:paraId="000000D4"/>
    <w:p w14:paraId="000000D5">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DAS PENALIDADES</w:t>
      </w:r>
    </w:p>
    <w:p w14:paraId="000000D6">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descumprimento da Ata de Registro de Preços ensejará aplicação das penalidades estabelecidas</w:t>
      </w:r>
      <w:r>
        <w:rPr>
          <w:rFonts w:ascii="Calibri" w:hAnsi="Calibri" w:eastAsia="Calibri" w:cs="Calibri"/>
          <w:b w:val="0"/>
          <w:smallCaps w:val="0"/>
          <w:strike w:val="0"/>
          <w:sz w:val="22"/>
          <w:szCs w:val="22"/>
          <w:u w:val="none"/>
          <w:shd w:val="clear" w:fill="auto"/>
          <w:vertAlign w:val="baseline"/>
          <w:rtl w:val="0"/>
        </w:rPr>
        <w:t xml:space="preserve"> no edital</w:t>
      </w:r>
      <w:r>
        <w:rPr>
          <w:rtl w:val="0"/>
        </w:rPr>
        <w:t>.</w:t>
      </w:r>
    </w:p>
    <w:p w14:paraId="000000D7">
      <w:pPr>
        <w:keepNext w:val="0"/>
        <w:keepLines w:val="0"/>
        <w:pageBreakBefore w:val="0"/>
        <w:widowControl/>
        <w:numPr>
          <w:ilvl w:val="2"/>
          <w:numId w:val="2"/>
        </w:numPr>
        <w:pBdr>
          <w:top w:val="none" w:color="000000" w:sz="0" w:space="0"/>
          <w:left w:val="none" w:color="000000" w:sz="0" w:space="0"/>
          <w:bottom w:val="none" w:color="000000" w:sz="0" w:space="0"/>
          <w:right w:val="none" w:color="000000" w:sz="0" w:space="0"/>
          <w:between w:val="none" w:color="000000" w:sz="0" w:space="0"/>
        </w:pBdr>
        <w:shd w:val="clear" w:fill="auto"/>
        <w:spacing w:before="120" w:after="120" w:line="240" w:lineRule="auto"/>
        <w:ind w:left="2127" w:right="700" w:hanging="709"/>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 xml:space="preserve">As sanções também se aplicam aos integrantes do cadastro de reserva no registro de preços que, convocados, não honrarem o compromisso assumido injustificadamente após terem assinado a ata. </w:t>
      </w:r>
    </w:p>
    <w:p w14:paraId="000000D8">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000000D9">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O órgão ou entidade participante deverá comunicar ao órgão gerenciador qualquer das ocorrências previstas no item 9.1, dada a necessidade de instauração de procedimento para cancelamento do registro do fornecedor.</w:t>
      </w:r>
    </w:p>
    <w:p w14:paraId="000000DA"/>
    <w:p w14:paraId="000000DB">
      <w:pPr>
        <w:keepNext/>
        <w:keepLines/>
        <w:pageBreakBefore w:val="0"/>
        <w:widowControl/>
        <w:numPr>
          <w:ilvl w:val="0"/>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567"/>
        </w:tabs>
        <w:spacing w:before="120" w:after="120" w:line="276" w:lineRule="auto"/>
        <w:ind w:left="1461" w:right="0" w:hanging="709"/>
        <w:jc w:val="both"/>
      </w:pPr>
      <w:r>
        <w:rPr>
          <w:rFonts w:ascii="Arial" w:hAnsi="Arial" w:eastAsia="Arial" w:cs="Arial"/>
          <w:b/>
          <w:i w:val="0"/>
          <w:smallCaps w:val="0"/>
          <w:strike w:val="0"/>
          <w:color w:val="000000"/>
          <w:sz w:val="20"/>
          <w:szCs w:val="20"/>
          <w:u w:val="none"/>
          <w:shd w:val="clear" w:fill="auto"/>
          <w:vertAlign w:val="baseline"/>
          <w:rtl w:val="0"/>
        </w:rPr>
        <w:t>CONDIÇÕES GERAIS</w:t>
      </w:r>
    </w:p>
    <w:p w14:paraId="000000DC">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pPr>
      <w:r>
        <w:rPr>
          <w:rFonts w:ascii="Calibri" w:hAnsi="Calibri" w:eastAsia="Calibri" w:cs="Calibri"/>
          <w:b w:val="0"/>
          <w:i w:val="0"/>
          <w:smallCaps w:val="0"/>
          <w:strike w:val="0"/>
          <w:color w:val="000000"/>
          <w:sz w:val="22"/>
          <w:szCs w:val="22"/>
          <w:u w:val="none"/>
          <w:shd w:val="clear" w:fill="auto"/>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Pr>
          <w:rFonts w:ascii="Calibri" w:hAnsi="Calibri" w:eastAsia="Calibri" w:cs="Calibri"/>
          <w:b w:val="0"/>
          <w:i w:val="0"/>
          <w:smallCaps w:val="0"/>
          <w:strike w:val="0"/>
          <w:color w:val="1D41D5"/>
          <w:sz w:val="22"/>
          <w:szCs w:val="22"/>
          <w:u w:val="none"/>
          <w:shd w:val="clear" w:fill="auto"/>
          <w:vertAlign w:val="baseline"/>
          <w:rtl w:val="0"/>
        </w:rPr>
        <w:t xml:space="preserve">ANEXO </w:t>
      </w:r>
      <w:r>
        <w:rPr>
          <w:rFonts w:ascii="Calibri" w:hAnsi="Calibri" w:eastAsia="Calibri" w:cs="Calibri"/>
          <w:b w:val="0"/>
          <w:i/>
          <w:smallCaps w:val="0"/>
          <w:strike w:val="0"/>
          <w:color w:val="1D41D5"/>
          <w:sz w:val="22"/>
          <w:szCs w:val="22"/>
          <w:u w:val="none"/>
          <w:shd w:val="clear" w:fill="auto"/>
          <w:vertAlign w:val="baseline"/>
          <w:rtl w:val="0"/>
        </w:rPr>
        <w:t>AO EDITAL</w:t>
      </w:r>
      <w:r>
        <w:rPr>
          <w:rFonts w:ascii="Calibri" w:hAnsi="Calibri" w:eastAsia="Calibri" w:cs="Calibri"/>
          <w:b w:val="0"/>
          <w:i/>
          <w:smallCaps w:val="0"/>
          <w:strike w:val="0"/>
          <w:color w:val="000000"/>
          <w:sz w:val="22"/>
          <w:szCs w:val="22"/>
          <w:u w:val="none"/>
          <w:shd w:val="clear" w:fill="auto"/>
          <w:vertAlign w:val="baseline"/>
          <w:rtl w:val="0"/>
        </w:rPr>
        <w:t>.</w:t>
      </w:r>
    </w:p>
    <w:p w14:paraId="000000DD">
      <w:pPr>
        <w:keepNext w:val="0"/>
        <w:keepLines w:val="0"/>
        <w:pageBreakBefore w:val="0"/>
        <w:widowControl w:val="0"/>
        <w:numPr>
          <w:ilvl w:val="1"/>
          <w:numId w:val="2"/>
        </w:numPr>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hanging="710"/>
        <w:jc w:val="both"/>
        <w:rPr>
          <w:rFonts w:ascii="Calibri" w:hAnsi="Calibri" w:eastAsia="Calibri" w:cs="Calibri"/>
          <w:b w:val="0"/>
          <w:i w:val="0"/>
          <w:smallCaps w:val="0"/>
          <w:strike w:val="0"/>
          <w:color w:val="000000"/>
          <w:sz w:val="22"/>
          <w:szCs w:val="22"/>
          <w:highlight w:val="white"/>
          <w:vertAlign w:val="baseline"/>
        </w:rPr>
      </w:pPr>
      <w:r>
        <w:rPr>
          <w:rFonts w:ascii="Calibri" w:hAnsi="Calibri" w:eastAsia="Calibri" w:cs="Calibri"/>
          <w:b w:val="0"/>
          <w:i w:val="0"/>
          <w:smallCaps w:val="0"/>
          <w:strike w:val="0"/>
          <w:color w:val="000000"/>
          <w:sz w:val="22"/>
          <w:szCs w:val="22"/>
          <w:highlight w:val="white"/>
          <w:u w:val="none"/>
          <w:vertAlign w:val="baseline"/>
          <w:rtl w:val="0"/>
        </w:rPr>
        <w:t>No caso de adjudicação por preço global de grupo de itens, só será admitida a contratação de parte de itens do grupo se houver prévia pesquisa de mercado e demonstração de sua vantagem para o órgão ou a entidade.</w:t>
      </w:r>
    </w:p>
    <w:p w14:paraId="000000DE">
      <w:pPr>
        <w:numPr>
          <w:ilvl w:val="1"/>
          <w:numId w:val="2"/>
        </w:numPr>
        <w:tabs>
          <w:tab w:val="left" w:pos="1462"/>
        </w:tabs>
        <w:spacing w:before="69"/>
        <w:ind w:left="1461" w:right="700" w:hanging="709"/>
        <w:jc w:val="both"/>
        <w:rPr>
          <w:color w:val="FF0000"/>
          <w:highlight w:val="yellow"/>
        </w:rPr>
      </w:pPr>
      <w:r>
        <w:rPr>
          <w:color w:val="FF0000"/>
          <w:rtl w:val="0"/>
        </w:rPr>
        <w:t>O Termo de Responsabilidade sobre a ata de registro de preços compõe anexo a esta Ata de Registro de Preços.</w:t>
      </w:r>
    </w:p>
    <w:p w14:paraId="000000DF">
      <w:pPr>
        <w:widowControl w:val="0"/>
        <w:spacing w:before="120" w:after="120" w:line="276" w:lineRule="auto"/>
        <w:jc w:val="both"/>
        <w:rPr>
          <w:rFonts w:ascii="Arial" w:hAnsi="Arial" w:eastAsia="Arial" w:cs="Arial"/>
          <w:i/>
          <w:color w:val="FF0000"/>
          <w:sz w:val="20"/>
          <w:szCs w:val="20"/>
        </w:rPr>
      </w:pPr>
      <w:r>
        <w:rPr>
          <w:rFonts w:ascii="Arial" w:hAnsi="Arial" w:eastAsia="Arial" w:cs="Arial"/>
          <w:strike/>
          <w:sz w:val="20"/>
          <w:szCs w:val="20"/>
          <w:rtl w:val="0"/>
        </w:rPr>
        <w:t xml:space="preserve">Para firmeza e validade do pactuado, a presente Ata foi lavrada em </w:t>
      </w:r>
      <w:r>
        <w:rPr>
          <w:rFonts w:ascii="Arial" w:hAnsi="Arial" w:eastAsia="Arial" w:cs="Arial"/>
          <w:strike/>
          <w:color w:val="FF0000"/>
          <w:sz w:val="20"/>
          <w:szCs w:val="20"/>
          <w:rtl w:val="0"/>
        </w:rPr>
        <w:t xml:space="preserve">.... </w:t>
      </w:r>
      <w:r>
        <w:rPr>
          <w:rFonts w:ascii="Arial" w:hAnsi="Arial" w:eastAsia="Arial" w:cs="Arial"/>
          <w:strike/>
          <w:sz w:val="20"/>
          <w:szCs w:val="20"/>
          <w:rtl w:val="0"/>
        </w:rPr>
        <w:t>(</w:t>
      </w:r>
      <w:r>
        <w:rPr>
          <w:rFonts w:ascii="Arial" w:hAnsi="Arial" w:eastAsia="Arial" w:cs="Arial"/>
          <w:strike/>
          <w:color w:val="FF0000"/>
          <w:sz w:val="20"/>
          <w:szCs w:val="20"/>
          <w:rtl w:val="0"/>
        </w:rPr>
        <w:t>....</w:t>
      </w:r>
      <w:r>
        <w:rPr>
          <w:rFonts w:ascii="Arial" w:hAnsi="Arial" w:eastAsia="Arial" w:cs="Arial"/>
          <w:strike/>
          <w:sz w:val="20"/>
          <w:szCs w:val="20"/>
          <w:rtl w:val="0"/>
        </w:rPr>
        <w:t xml:space="preserve">) vias de igual teor, que, depois de lida e achada em ordem, vai assinada pelas partes </w:t>
      </w:r>
      <w:r>
        <w:rPr>
          <w:rFonts w:ascii="Arial" w:hAnsi="Arial" w:eastAsia="Arial" w:cs="Arial"/>
          <w:i/>
          <w:strike/>
          <w:color w:val="FF0000"/>
          <w:sz w:val="20"/>
          <w:szCs w:val="20"/>
          <w:rtl w:val="0"/>
        </w:rPr>
        <w:t>e encaminhada cópia aos demais órgãos participantes (se houver).</w:t>
      </w:r>
      <w:r>
        <w:rPr>
          <w:rFonts w:ascii="Arial" w:hAnsi="Arial" w:eastAsia="Arial" w:cs="Arial"/>
          <w:i/>
          <w:color w:val="FF0000"/>
          <w:sz w:val="20"/>
          <w:szCs w:val="20"/>
          <w:rtl w:val="0"/>
        </w:rPr>
        <w:t xml:space="preserve"> </w:t>
      </w:r>
    </w:p>
    <w:p w14:paraId="000000E0">
      <w:pPr>
        <w:widowControl w:val="0"/>
        <w:tabs>
          <w:tab w:val="left" w:pos="1462"/>
        </w:tabs>
        <w:spacing w:before="69"/>
        <w:ind w:right="700"/>
        <w:jc w:val="both"/>
        <w:rPr>
          <w:color w:val="FF0000"/>
          <w:highlight w:val="yellow"/>
        </w:rPr>
      </w:pPr>
    </w:p>
    <w:p w14:paraId="000000E1">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1462"/>
        </w:tabs>
        <w:spacing w:before="69" w:after="0" w:line="240" w:lineRule="auto"/>
        <w:ind w:left="1461" w:right="700" w:firstLine="0"/>
        <w:jc w:val="both"/>
        <w:rPr>
          <w:rFonts w:ascii="Calibri" w:hAnsi="Calibri" w:eastAsia="Calibri" w:cs="Calibri"/>
          <w:b w:val="0"/>
          <w:i w:val="0"/>
          <w:smallCaps w:val="0"/>
          <w:strike w:val="0"/>
          <w:color w:val="000000"/>
          <w:sz w:val="22"/>
          <w:szCs w:val="22"/>
          <w:highlight w:val="yellow"/>
          <w:u w:val="none"/>
          <w:vertAlign w:val="baseline"/>
        </w:rPr>
      </w:pPr>
      <w:r>
        <w:rPr>
          <w:b/>
          <w:color w:val="404040"/>
          <w:rtl w:val="0"/>
        </w:rPr>
        <w:t>Considerando melhor ajuste das assinaturas e celeridade, foi incluído o anexo de termo de responsabilidade da ata anexo a ATA</w:t>
      </w:r>
    </w:p>
    <w:p w14:paraId="000000E2"/>
    <w:p w14:paraId="000000E3">
      <w:pPr>
        <w:pStyle w:val="2"/>
        <w:tabs>
          <w:tab w:val="left" w:pos="1461"/>
          <w:tab w:val="left" w:pos="1462"/>
        </w:tabs>
        <w:ind w:firstLine="0"/>
      </w:pPr>
    </w:p>
    <w:p w14:paraId="000000E4">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8"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5">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tabs>
          <w:tab w:val="left" w:pos="2976"/>
          <w:tab w:val="left" w:pos="4504"/>
        </w:tabs>
        <w:spacing w:before="0" w:after="0" w:line="240" w:lineRule="auto"/>
        <w:ind w:left="1473" w:right="0" w:firstLine="0"/>
        <w:jc w:val="both"/>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Niterói, RJ,</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de</w:t>
      </w:r>
      <w:r>
        <w:rPr>
          <w:rFonts w:ascii="Calibri" w:hAnsi="Calibri" w:eastAsia="Calibri" w:cs="Calibri"/>
          <w:b w:val="0"/>
          <w:i w:val="0"/>
          <w:smallCaps w:val="0"/>
          <w:strike w:val="0"/>
          <w:color w:val="000000"/>
          <w:sz w:val="22"/>
          <w:szCs w:val="22"/>
          <w:u w:val="single"/>
          <w:shd w:val="clear" w:fill="auto"/>
          <w:vertAlign w:val="baseline"/>
          <w:rtl w:val="0"/>
        </w:rPr>
        <w:tab/>
      </w:r>
      <w:r>
        <w:rPr>
          <w:rFonts w:ascii="Calibri" w:hAnsi="Calibri" w:eastAsia="Calibri" w:cs="Calibri"/>
          <w:b w:val="0"/>
          <w:i w:val="0"/>
          <w:smallCaps w:val="0"/>
          <w:strike w:val="0"/>
          <w:color w:val="000000"/>
          <w:sz w:val="22"/>
          <w:szCs w:val="22"/>
          <w:u w:val="none"/>
          <w:shd w:val="clear" w:fill="auto"/>
          <w:vertAlign w:val="baseline"/>
          <w:rtl w:val="0"/>
        </w:rPr>
        <w:t xml:space="preserve">de </w:t>
      </w:r>
      <w:r>
        <w:rPr>
          <w:rtl w:val="0"/>
        </w:rPr>
        <w:t>2025</w:t>
      </w:r>
      <w:r>
        <w:rPr>
          <w:rFonts w:ascii="Calibri" w:hAnsi="Calibri" w:eastAsia="Calibri" w:cs="Calibri"/>
          <w:b w:val="0"/>
          <w:i w:val="0"/>
          <w:smallCaps w:val="0"/>
          <w:strike w:val="0"/>
          <w:color w:val="000000"/>
          <w:sz w:val="22"/>
          <w:szCs w:val="22"/>
          <w:u w:val="none"/>
          <w:shd w:val="clear" w:fill="auto"/>
          <w:vertAlign w:val="baseline"/>
          <w:rtl w:val="0"/>
        </w:rPr>
        <w:t>.</w:t>
      </w:r>
    </w:p>
    <w:p w14:paraId="000000E6">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7">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8">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6" w:after="0" w:line="240" w:lineRule="auto"/>
        <w:ind w:left="0" w:right="0" w:firstLine="0"/>
        <w:jc w:val="left"/>
        <w:rPr>
          <w:rFonts w:ascii="Calibri" w:hAnsi="Calibri" w:eastAsia="Calibri" w:cs="Calibri"/>
          <w:b w:val="0"/>
          <w:i w:val="0"/>
          <w:smallCaps w:val="0"/>
          <w:strike w:val="0"/>
          <w:color w:val="000000"/>
          <w:sz w:val="22"/>
          <w:szCs w:val="22"/>
          <w:u w:val="none"/>
          <w:shd w:val="clear" w:fill="auto"/>
          <w:vertAlign w:val="baseline"/>
        </w:rPr>
      </w:pPr>
    </w:p>
    <w:p w14:paraId="000000E9">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BEBEBE"/>
          <w:sz w:val="22"/>
          <w:szCs w:val="22"/>
          <w:u w:val="none"/>
          <w:shd w:val="clear" w:fill="auto"/>
          <w:vertAlign w:val="baseline"/>
          <w:rtl w:val="0"/>
        </w:rPr>
        <w:t>DOCUMENTO ASSINADO ELETRONICAMENTE</w:t>
      </w:r>
    </w:p>
    <w:p w14:paraId="000000EA">
      <w:pPr>
        <w:pStyle w:val="2"/>
        <w:spacing w:before="1"/>
        <w:ind w:left="3564" w:right="3553" w:firstLine="0"/>
        <w:jc w:val="center"/>
      </w:pPr>
      <w:r>
        <w:rPr>
          <w:rtl w:val="0"/>
        </w:rPr>
        <w:t>VERA LÚCIA LAVRADO CUPELLO CAJAZEIRAS</w:t>
      </w:r>
    </w:p>
    <w:p w14:paraId="000000EB">
      <w:pPr>
        <w:keepNext w:val="0"/>
        <w:keepLines w:val="0"/>
        <w:pageBreakBefore w:val="0"/>
        <w:widowControl w:val="0"/>
        <w:pBdr>
          <w:top w:val="none" w:color="000000" w:sz="0" w:space="0"/>
          <w:left w:val="none" w:color="000000" w:sz="0" w:space="0"/>
          <w:bottom w:val="none" w:color="000000" w:sz="0" w:space="0"/>
          <w:right w:val="none" w:color="000000" w:sz="0" w:space="0"/>
          <w:between w:val="none" w:color="000000" w:sz="0" w:space="0"/>
        </w:pBdr>
        <w:shd w:val="clear" w:fill="auto"/>
        <w:spacing w:before="0" w:after="0" w:line="240" w:lineRule="auto"/>
        <w:ind w:left="3564" w:right="3551" w:firstLine="0"/>
        <w:jc w:val="center"/>
        <w:rPr>
          <w:rFonts w:ascii="Calibri" w:hAnsi="Calibri" w:eastAsia="Calibri" w:cs="Calibri"/>
          <w:b w:val="0"/>
          <w:i w:val="0"/>
          <w:smallCaps w:val="0"/>
          <w:strike w:val="0"/>
          <w:color w:val="000000"/>
          <w:sz w:val="22"/>
          <w:szCs w:val="22"/>
          <w:u w:val="none"/>
          <w:shd w:val="clear" w:fill="auto"/>
          <w:vertAlign w:val="baseline"/>
        </w:rPr>
      </w:pPr>
      <w:r>
        <w:rPr>
          <w:rFonts w:ascii="Calibri" w:hAnsi="Calibri" w:eastAsia="Calibri" w:cs="Calibri"/>
          <w:b w:val="0"/>
          <w:i w:val="0"/>
          <w:smallCaps w:val="0"/>
          <w:strike w:val="0"/>
          <w:color w:val="000000"/>
          <w:sz w:val="22"/>
          <w:szCs w:val="22"/>
          <w:u w:val="none"/>
          <w:shd w:val="clear" w:fill="auto"/>
          <w:vertAlign w:val="baseline"/>
          <w:rtl w:val="0"/>
        </w:rPr>
        <w:t>Pró-Reitora de Administração</w:t>
      </w:r>
    </w:p>
    <w:p w14:paraId="000000EC"/>
    <w:p w14:paraId="000000ED">
      <w:pPr>
        <w:rPr>
          <w:strike/>
        </w:rPr>
      </w:pPr>
    </w:p>
    <w:p w14:paraId="000000EE">
      <w:pPr>
        <w:widowControl w:val="0"/>
        <w:spacing w:line="360" w:lineRule="auto"/>
        <w:ind w:right="-30"/>
        <w:jc w:val="center"/>
        <w:rPr>
          <w:rFonts w:ascii="Arial" w:hAnsi="Arial" w:eastAsia="Arial" w:cs="Arial"/>
          <w:strike/>
          <w:color w:val="000000"/>
          <w:sz w:val="20"/>
          <w:szCs w:val="20"/>
        </w:rPr>
      </w:pPr>
      <w:r>
        <w:rPr>
          <w:rFonts w:ascii="Arial" w:hAnsi="Arial" w:eastAsia="Arial" w:cs="Arial"/>
          <w:strike/>
          <w:color w:val="000000"/>
          <w:sz w:val="20"/>
          <w:szCs w:val="20"/>
          <w:rtl w:val="0"/>
        </w:rPr>
        <w:t>Anexo</w:t>
      </w:r>
    </w:p>
    <w:p w14:paraId="000000EF">
      <w:pPr>
        <w:widowControl w:val="0"/>
        <w:spacing w:line="360" w:lineRule="auto"/>
        <w:ind w:right="-30"/>
        <w:jc w:val="center"/>
        <w:rPr>
          <w:rFonts w:ascii="Arial" w:hAnsi="Arial" w:eastAsia="Arial" w:cs="Arial"/>
          <w:strike/>
          <w:color w:val="000000"/>
          <w:sz w:val="20"/>
          <w:szCs w:val="20"/>
        </w:rPr>
      </w:pPr>
    </w:p>
    <w:p w14:paraId="000000F0">
      <w:pPr>
        <w:widowControl w:val="0"/>
        <w:spacing w:line="360" w:lineRule="auto"/>
        <w:ind w:right="-30"/>
        <w:jc w:val="center"/>
        <w:rPr>
          <w:rFonts w:ascii="Arial" w:hAnsi="Arial" w:eastAsia="Arial" w:cs="Arial"/>
          <w:strike/>
          <w:color w:val="000000"/>
          <w:sz w:val="20"/>
          <w:szCs w:val="20"/>
        </w:rPr>
      </w:pPr>
      <w:r>
        <w:rPr>
          <w:rFonts w:ascii="Arial" w:hAnsi="Arial" w:eastAsia="Arial" w:cs="Arial"/>
          <w:strike/>
          <w:color w:val="000000"/>
          <w:sz w:val="20"/>
          <w:szCs w:val="20"/>
          <w:rtl w:val="0"/>
        </w:rPr>
        <w:t>Cadastro Reserva</w:t>
      </w:r>
    </w:p>
    <w:p w14:paraId="000000F1">
      <w:pPr>
        <w:widowControl w:val="0"/>
        <w:spacing w:line="360" w:lineRule="auto"/>
        <w:ind w:right="-30"/>
        <w:jc w:val="center"/>
        <w:rPr>
          <w:rFonts w:ascii="Arial" w:hAnsi="Arial" w:eastAsia="Arial" w:cs="Arial"/>
          <w:strike/>
          <w:color w:val="000000"/>
          <w:sz w:val="20"/>
          <w:szCs w:val="20"/>
        </w:rPr>
      </w:pPr>
    </w:p>
    <w:p w14:paraId="000000F2">
      <w:pPr>
        <w:widowControl w:val="0"/>
        <w:spacing w:line="360" w:lineRule="auto"/>
        <w:ind w:right="-30"/>
        <w:jc w:val="center"/>
        <w:rPr>
          <w:rFonts w:ascii="Arial" w:hAnsi="Arial" w:eastAsia="Arial" w:cs="Arial"/>
          <w:strike/>
          <w:color w:val="000000"/>
          <w:sz w:val="20"/>
          <w:szCs w:val="20"/>
        </w:rPr>
      </w:pPr>
      <w:r>
        <w:rPr>
          <w:rFonts w:ascii="Arial" w:hAnsi="Arial" w:eastAsia="Arial" w:cs="Arial"/>
          <w:strike/>
          <w:color w:val="000000"/>
          <w:sz w:val="20"/>
          <w:szCs w:val="20"/>
          <w:rtl w:val="0"/>
        </w:rPr>
        <w:t>Seguindo a ordem de classificação, segue relação de fornecedores que aceitaram cotar os itens com preços iguais ao adjudicatário:</w:t>
      </w:r>
    </w:p>
    <w:p w14:paraId="000000F3">
      <w:pPr>
        <w:widowControl w:val="0"/>
        <w:spacing w:line="360" w:lineRule="auto"/>
        <w:ind w:right="-30"/>
        <w:jc w:val="center"/>
        <w:rPr>
          <w:rFonts w:ascii="Arial" w:hAnsi="Arial" w:eastAsia="Arial" w:cs="Arial"/>
          <w:strike/>
          <w:color w:val="000000"/>
          <w:sz w:val="20"/>
          <w:szCs w:val="20"/>
        </w:rPr>
      </w:pPr>
    </w:p>
    <w:tbl>
      <w:tblPr>
        <w:tblStyle w:val="40"/>
        <w:tblW w:w="9392" w:type="dxa"/>
        <w:tblInd w:w="10" w:type="dxa"/>
        <w:tblLayout w:type="fixed"/>
        <w:tblCellMar>
          <w:top w:w="0" w:type="dxa"/>
          <w:left w:w="10" w:type="dxa"/>
          <w:bottom w:w="0" w:type="dxa"/>
          <w:right w:w="10" w:type="dxa"/>
        </w:tblCellMar>
      </w:tblPr>
      <w:tblGrid>
        <w:gridCol w:w="497"/>
        <w:gridCol w:w="1333"/>
        <w:gridCol w:w="1253"/>
        <w:gridCol w:w="1541"/>
        <w:gridCol w:w="1121"/>
        <w:gridCol w:w="1121"/>
        <w:gridCol w:w="841"/>
        <w:gridCol w:w="841"/>
        <w:gridCol w:w="844"/>
      </w:tblGrid>
      <w:tr w14:paraId="617AB346">
        <w:tblPrEx>
          <w:tblCellMar>
            <w:top w:w="0" w:type="dxa"/>
            <w:left w:w="10" w:type="dxa"/>
            <w:bottom w:w="0" w:type="dxa"/>
            <w:right w:w="10" w:type="dxa"/>
          </w:tblCellMar>
        </w:tblPrEx>
        <w:trPr>
          <w:trHeight w:val="511" w:hRule="atLeast"/>
        </w:trPr>
        <w:tc>
          <w:tcPr>
            <w:tcBorders>
              <w:top w:val="single" w:color="000000" w:sz="4" w:space="0"/>
              <w:left w:val="single" w:color="000000" w:sz="4" w:space="0"/>
              <w:bottom w:val="single" w:color="000000" w:sz="4" w:space="0"/>
              <w:right w:val="single" w:color="000000" w:sz="4" w:space="0"/>
            </w:tcBorders>
            <w:tcMar>
              <w:top w:w="0" w:type="dxa"/>
              <w:left w:w="10" w:type="dxa"/>
              <w:bottom w:w="0" w:type="dxa"/>
              <w:right w:w="10" w:type="dxa"/>
            </w:tcMar>
            <w:vAlign w:val="center"/>
          </w:tcPr>
          <w:p w14:paraId="000000F4">
            <w:pPr>
              <w:widowControl w:val="0"/>
              <w:ind w:right="-28"/>
              <w:jc w:val="center"/>
              <w:rPr>
                <w:rFonts w:ascii="Arial" w:hAnsi="Arial" w:eastAsia="Arial" w:cs="Arial"/>
                <w:strike/>
                <w:sz w:val="16"/>
                <w:szCs w:val="16"/>
              </w:rPr>
            </w:pPr>
            <w:r>
              <w:rPr>
                <w:rFonts w:ascii="Arial" w:hAnsi="Arial" w:eastAsia="Arial" w:cs="Arial"/>
                <w:strike/>
                <w:sz w:val="16"/>
                <w:szCs w:val="16"/>
                <w:rtl w:val="0"/>
              </w:rPr>
              <w:t>Item</w:t>
            </w:r>
          </w:p>
          <w:p w14:paraId="000000F5">
            <w:pPr>
              <w:widowControl w:val="0"/>
              <w:ind w:right="-28"/>
              <w:jc w:val="center"/>
              <w:rPr>
                <w:rFonts w:ascii="Arial" w:hAnsi="Arial" w:eastAsia="Arial" w:cs="Arial"/>
                <w:strike/>
                <w:sz w:val="16"/>
                <w:szCs w:val="16"/>
              </w:rPr>
            </w:pPr>
            <w:r>
              <w:rPr>
                <w:rFonts w:ascii="Arial" w:hAnsi="Arial" w:eastAsia="Arial" w:cs="Arial"/>
                <w:strike/>
                <w:sz w:val="16"/>
                <w:szCs w:val="16"/>
                <w:rtl w:val="0"/>
              </w:rPr>
              <w:t>do</w:t>
            </w:r>
          </w:p>
          <w:p w14:paraId="000000F6">
            <w:pPr>
              <w:widowControl w:val="0"/>
              <w:ind w:right="-28"/>
              <w:jc w:val="center"/>
              <w:rPr>
                <w:rFonts w:ascii="Arial" w:hAnsi="Arial" w:eastAsia="Arial" w:cs="Arial"/>
                <w:strike/>
                <w:sz w:val="16"/>
                <w:szCs w:val="16"/>
              </w:rPr>
            </w:pPr>
            <w:r>
              <w:rPr>
                <w:rFonts w:ascii="Arial" w:hAnsi="Arial" w:eastAsia="Arial" w:cs="Arial"/>
                <w:strike/>
                <w:sz w:val="16"/>
                <w:szCs w:val="16"/>
                <w:rtl w:val="0"/>
              </w:rPr>
              <w:t>TR</w:t>
            </w:r>
          </w:p>
        </w:tc>
        <w:tc>
          <w:tcPr>
            <w:gridSpan w:val="8"/>
            <w:tcBorders>
              <w:top w:val="single" w:color="000000" w:sz="4" w:space="0"/>
              <w:left w:val="single" w:color="000000" w:sz="4" w:space="0"/>
              <w:bottom w:val="single" w:color="000000" w:sz="4" w:space="0"/>
              <w:right w:val="single" w:color="000000" w:sz="4" w:space="0"/>
            </w:tcBorders>
            <w:tcMar>
              <w:top w:w="0" w:type="dxa"/>
              <w:left w:w="10" w:type="dxa"/>
              <w:bottom w:w="0" w:type="dxa"/>
              <w:right w:w="10" w:type="dxa"/>
            </w:tcMar>
          </w:tcPr>
          <w:p w14:paraId="000000F7">
            <w:pPr>
              <w:widowControl w:val="0"/>
              <w:ind w:right="-28"/>
              <w:jc w:val="center"/>
              <w:rPr>
                <w:rFonts w:ascii="Arial" w:hAnsi="Arial" w:eastAsia="Arial" w:cs="Arial"/>
                <w:strike/>
                <w:sz w:val="16"/>
                <w:szCs w:val="16"/>
              </w:rPr>
            </w:pPr>
            <w:r>
              <w:rPr>
                <w:rFonts w:ascii="Arial" w:hAnsi="Arial" w:eastAsia="Arial" w:cs="Arial"/>
                <w:strike/>
                <w:sz w:val="16"/>
                <w:szCs w:val="16"/>
                <w:rtl w:val="0"/>
              </w:rPr>
              <w:t xml:space="preserve">Fornecedor </w:t>
            </w:r>
            <w:r>
              <w:rPr>
                <w:rFonts w:ascii="Arial" w:hAnsi="Arial" w:eastAsia="Arial" w:cs="Arial"/>
                <w:i/>
                <w:strike/>
                <w:color w:val="FF0000"/>
                <w:sz w:val="16"/>
                <w:szCs w:val="16"/>
                <w:rtl w:val="0"/>
              </w:rPr>
              <w:t>[razão social, CNPJ/MF, endereço, contatos, representante]</w:t>
            </w:r>
          </w:p>
        </w:tc>
      </w:tr>
      <w:tr w14:paraId="1319CD19">
        <w:tblPrEx>
          <w:tblCellMar>
            <w:top w:w="0" w:type="dxa"/>
            <w:left w:w="10" w:type="dxa"/>
            <w:bottom w:w="0" w:type="dxa"/>
            <w:right w:w="10" w:type="dxa"/>
          </w:tblCellMar>
        </w:tblPrEx>
        <w:trPr>
          <w:trHeight w:val="674" w:hRule="atLeast"/>
        </w:trPr>
        <w:tc>
          <w:tcPr>
            <w:tcBorders>
              <w:top w:val="nil"/>
              <w:left w:val="single" w:color="000000" w:sz="4" w:space="0"/>
              <w:bottom w:val="single" w:color="000000" w:sz="4" w:space="0"/>
              <w:right w:val="nil"/>
            </w:tcBorders>
            <w:tcMar>
              <w:top w:w="0" w:type="dxa"/>
              <w:left w:w="10" w:type="dxa"/>
              <w:bottom w:w="0" w:type="dxa"/>
              <w:right w:w="10" w:type="dxa"/>
            </w:tcMar>
            <w:vAlign w:val="center"/>
          </w:tcPr>
          <w:p w14:paraId="000000FF">
            <w:pPr>
              <w:widowControl w:val="0"/>
              <w:ind w:right="-28"/>
              <w:jc w:val="center"/>
              <w:rPr>
                <w:rFonts w:ascii="Arial" w:hAnsi="Arial" w:eastAsia="Arial" w:cs="Arial"/>
                <w:strike/>
                <w:sz w:val="16"/>
                <w:szCs w:val="16"/>
              </w:rPr>
            </w:pPr>
            <w:r>
              <w:rPr>
                <w:rFonts w:ascii="Arial" w:hAnsi="Arial" w:eastAsia="Arial" w:cs="Arial"/>
                <w:strike/>
                <w:sz w:val="16"/>
                <w:szCs w:val="16"/>
                <w:rtl w:val="0"/>
              </w:rPr>
              <w:t>X</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0">
            <w:pPr>
              <w:widowControl w:val="0"/>
              <w:ind w:right="-28"/>
              <w:jc w:val="center"/>
              <w:rPr>
                <w:rFonts w:ascii="Arial" w:hAnsi="Arial" w:eastAsia="Arial" w:cs="Arial"/>
                <w:strike/>
                <w:sz w:val="16"/>
                <w:szCs w:val="16"/>
              </w:rPr>
            </w:pPr>
            <w:r>
              <w:rPr>
                <w:rFonts w:ascii="Arial" w:hAnsi="Arial" w:eastAsia="Arial" w:cs="Arial"/>
                <w:strike/>
                <w:sz w:val="16"/>
                <w:szCs w:val="16"/>
                <w:rtl w:val="0"/>
              </w:rPr>
              <w:t>Especificação</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1">
            <w:pPr>
              <w:widowControl w:val="0"/>
              <w:ind w:right="-28"/>
              <w:jc w:val="center"/>
              <w:rPr>
                <w:rFonts w:ascii="Arial" w:hAnsi="Arial" w:eastAsia="Arial" w:cs="Arial"/>
                <w:strike/>
                <w:sz w:val="16"/>
                <w:szCs w:val="16"/>
              </w:rPr>
            </w:pPr>
            <w:r>
              <w:rPr>
                <w:rFonts w:ascii="Arial" w:hAnsi="Arial" w:eastAsia="Arial" w:cs="Arial"/>
                <w:strike/>
                <w:sz w:val="16"/>
                <w:szCs w:val="16"/>
                <w:rtl w:val="0"/>
              </w:rPr>
              <w:t xml:space="preserve">Marca </w:t>
            </w:r>
          </w:p>
          <w:p w14:paraId="00000102">
            <w:pPr>
              <w:widowControl w:val="0"/>
              <w:ind w:right="-28"/>
              <w:jc w:val="center"/>
              <w:rPr>
                <w:rFonts w:ascii="Arial" w:hAnsi="Arial" w:eastAsia="Arial" w:cs="Arial"/>
                <w:i/>
                <w:strike/>
                <w:sz w:val="16"/>
                <w:szCs w:val="16"/>
              </w:rPr>
            </w:pPr>
            <w:r>
              <w:rPr>
                <w:rFonts w:ascii="Arial" w:hAnsi="Arial" w:eastAsia="Arial" w:cs="Arial"/>
                <w:i/>
                <w:strike/>
                <w:color w:val="FF0000"/>
                <w:sz w:val="16"/>
                <w:szCs w:val="16"/>
                <w:rtl w:val="0"/>
              </w:rPr>
              <w:t>(se exigida no edital)</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3">
            <w:pPr>
              <w:widowControl w:val="0"/>
              <w:ind w:right="-28"/>
              <w:jc w:val="center"/>
              <w:rPr>
                <w:rFonts w:ascii="Arial" w:hAnsi="Arial" w:eastAsia="Arial" w:cs="Arial"/>
                <w:strike/>
                <w:sz w:val="16"/>
                <w:szCs w:val="16"/>
              </w:rPr>
            </w:pPr>
            <w:r>
              <w:rPr>
                <w:rFonts w:ascii="Arial" w:hAnsi="Arial" w:eastAsia="Arial" w:cs="Arial"/>
                <w:strike/>
                <w:sz w:val="16"/>
                <w:szCs w:val="16"/>
                <w:rtl w:val="0"/>
              </w:rPr>
              <w:t>Modelo</w:t>
            </w:r>
          </w:p>
          <w:p w14:paraId="00000104">
            <w:pPr>
              <w:widowControl w:val="0"/>
              <w:ind w:right="-28"/>
              <w:jc w:val="center"/>
              <w:rPr>
                <w:rFonts w:ascii="Arial" w:hAnsi="Arial" w:eastAsia="Arial" w:cs="Arial"/>
                <w:i/>
                <w:strike/>
                <w:sz w:val="16"/>
                <w:szCs w:val="16"/>
              </w:rPr>
            </w:pPr>
            <w:r>
              <w:rPr>
                <w:rFonts w:ascii="Arial" w:hAnsi="Arial" w:eastAsia="Arial" w:cs="Arial"/>
                <w:i/>
                <w:strike/>
                <w:color w:val="FF0000"/>
                <w:sz w:val="16"/>
                <w:szCs w:val="16"/>
                <w:rtl w:val="0"/>
              </w:rPr>
              <w:t>(se exigido no edital)</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5">
            <w:pPr>
              <w:widowControl w:val="0"/>
              <w:ind w:right="-28"/>
              <w:jc w:val="center"/>
              <w:rPr>
                <w:rFonts w:ascii="Arial" w:hAnsi="Arial" w:eastAsia="Arial" w:cs="Arial"/>
                <w:strike/>
                <w:sz w:val="16"/>
                <w:szCs w:val="16"/>
              </w:rPr>
            </w:pPr>
            <w:r>
              <w:rPr>
                <w:rFonts w:ascii="Arial" w:hAnsi="Arial" w:eastAsia="Arial" w:cs="Arial"/>
                <w:strike/>
                <w:sz w:val="16"/>
                <w:szCs w:val="16"/>
                <w:rtl w:val="0"/>
              </w:rPr>
              <w:t>Unidade</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6">
            <w:pPr>
              <w:widowControl w:val="0"/>
              <w:ind w:right="-28"/>
              <w:jc w:val="center"/>
              <w:rPr>
                <w:rFonts w:ascii="Arial" w:hAnsi="Arial" w:eastAsia="Arial" w:cs="Arial"/>
                <w:strike/>
                <w:sz w:val="16"/>
                <w:szCs w:val="16"/>
              </w:rPr>
            </w:pPr>
            <w:r>
              <w:rPr>
                <w:rFonts w:ascii="Arial" w:hAnsi="Arial" w:eastAsia="Arial" w:cs="Arial"/>
                <w:strike/>
                <w:sz w:val="16"/>
                <w:szCs w:val="16"/>
                <w:rtl w:val="0"/>
              </w:rPr>
              <w:t>Quantidade</w:t>
            </w:r>
            <w:r>
              <w:rPr>
                <w:rFonts w:ascii="Arial" w:hAnsi="Arial" w:eastAsia="Arial" w:cs="Arial"/>
                <w:strike/>
                <w:sz w:val="16"/>
                <w:szCs w:val="16"/>
                <w:rtl w:val="0"/>
              </w:rPr>
              <w:br w:type="textWrapping"/>
            </w:r>
            <w:r>
              <w:rPr>
                <w:rFonts w:ascii="Arial" w:hAnsi="Arial" w:eastAsia="Arial" w:cs="Arial"/>
                <w:strike/>
                <w:sz w:val="16"/>
                <w:szCs w:val="16"/>
                <w:rtl w:val="0"/>
              </w:rPr>
              <w:t>Máxima</w:t>
            </w: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07">
            <w:pPr>
              <w:widowControl w:val="0"/>
              <w:ind w:right="-28"/>
              <w:jc w:val="center"/>
              <w:rPr>
                <w:rFonts w:ascii="Arial" w:hAnsi="Arial" w:eastAsia="Arial" w:cs="Arial"/>
                <w:strike/>
                <w:sz w:val="16"/>
                <w:szCs w:val="16"/>
              </w:rPr>
            </w:pPr>
            <w:r>
              <w:rPr>
                <w:rFonts w:ascii="Arial" w:hAnsi="Arial" w:eastAsia="Arial" w:cs="Arial"/>
                <w:strike/>
                <w:sz w:val="16"/>
                <w:szCs w:val="16"/>
                <w:rtl w:val="0"/>
              </w:rPr>
              <w:t>Quantidade</w:t>
            </w:r>
            <w:r>
              <w:rPr>
                <w:rFonts w:ascii="Arial" w:hAnsi="Arial" w:eastAsia="Arial" w:cs="Arial"/>
                <w:strike/>
                <w:sz w:val="16"/>
                <w:szCs w:val="16"/>
                <w:rtl w:val="0"/>
              </w:rPr>
              <w:br w:type="textWrapping"/>
            </w:r>
            <w:r>
              <w:rPr>
                <w:rFonts w:ascii="Arial" w:hAnsi="Arial" w:eastAsia="Arial" w:cs="Arial"/>
                <w:strike/>
                <w:sz w:val="16"/>
                <w:szCs w:val="16"/>
                <w:rtl w:val="0"/>
              </w:rPr>
              <w:t>Mínima</w:t>
            </w:r>
          </w:p>
        </w:tc>
        <w:tc>
          <w:tcPr>
            <w:tcBorders>
              <w:top w:val="nil"/>
              <w:left w:val="single" w:color="000000" w:sz="4" w:space="0"/>
              <w:bottom w:val="single" w:color="000000" w:sz="4" w:space="0"/>
              <w:right w:val="nil"/>
            </w:tcBorders>
            <w:tcMar>
              <w:top w:w="0" w:type="dxa"/>
              <w:left w:w="10" w:type="dxa"/>
              <w:bottom w:w="0" w:type="dxa"/>
              <w:right w:w="10" w:type="dxa"/>
            </w:tcMar>
          </w:tcPr>
          <w:p w14:paraId="00000108">
            <w:pPr>
              <w:widowControl w:val="0"/>
              <w:ind w:right="-28"/>
              <w:jc w:val="center"/>
              <w:rPr>
                <w:rFonts w:ascii="Arial" w:hAnsi="Arial" w:eastAsia="Arial" w:cs="Arial"/>
                <w:strike/>
                <w:sz w:val="16"/>
                <w:szCs w:val="16"/>
              </w:rPr>
            </w:pPr>
            <w:r>
              <w:rPr>
                <w:rFonts w:ascii="Arial" w:hAnsi="Arial" w:eastAsia="Arial" w:cs="Arial"/>
                <w:strike/>
                <w:sz w:val="16"/>
                <w:szCs w:val="16"/>
                <w:rtl w:val="0"/>
              </w:rPr>
              <w:t>Valor</w:t>
            </w:r>
            <w:r>
              <w:rPr>
                <w:rFonts w:ascii="Arial" w:hAnsi="Arial" w:eastAsia="Arial" w:cs="Arial"/>
                <w:strike/>
                <w:sz w:val="16"/>
                <w:szCs w:val="16"/>
                <w:rtl w:val="0"/>
              </w:rPr>
              <w:br w:type="textWrapping"/>
            </w:r>
            <w:r>
              <w:rPr>
                <w:rFonts w:ascii="Arial" w:hAnsi="Arial" w:eastAsia="Arial" w:cs="Arial"/>
                <w:strike/>
                <w:sz w:val="16"/>
                <w:szCs w:val="16"/>
                <w:rtl w:val="0"/>
              </w:rPr>
              <w:t>Unitário</w:t>
            </w: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09">
            <w:pPr>
              <w:widowControl w:val="0"/>
              <w:ind w:right="-28"/>
              <w:jc w:val="center"/>
              <w:rPr>
                <w:rFonts w:ascii="Arial" w:hAnsi="Arial" w:eastAsia="Arial" w:cs="Arial"/>
                <w:strike/>
                <w:sz w:val="16"/>
                <w:szCs w:val="16"/>
              </w:rPr>
            </w:pPr>
            <w:r>
              <w:rPr>
                <w:rFonts w:ascii="Arial" w:hAnsi="Arial" w:eastAsia="Arial" w:cs="Arial"/>
                <w:strike/>
                <w:sz w:val="16"/>
                <w:szCs w:val="16"/>
                <w:rtl w:val="0"/>
              </w:rPr>
              <w:t>Prazo garantia ou validade</w:t>
            </w:r>
          </w:p>
        </w:tc>
      </w:tr>
      <w:tr w14:paraId="56A5972D">
        <w:tblPrEx>
          <w:tblCellMar>
            <w:top w:w="0" w:type="dxa"/>
            <w:left w:w="10" w:type="dxa"/>
            <w:bottom w:w="0" w:type="dxa"/>
            <w:right w:w="10" w:type="dxa"/>
          </w:tblCellMar>
        </w:tblPrEx>
        <w:trPr>
          <w:trHeight w:val="174" w:hRule="atLeast"/>
        </w:trPr>
        <w:tc>
          <w:tcPr>
            <w:tcBorders>
              <w:top w:val="nil"/>
              <w:left w:val="single" w:color="000000" w:sz="4" w:space="0"/>
              <w:bottom w:val="single" w:color="000000" w:sz="4" w:space="0"/>
              <w:right w:val="nil"/>
            </w:tcBorders>
            <w:tcMar>
              <w:top w:w="0" w:type="dxa"/>
              <w:left w:w="10" w:type="dxa"/>
              <w:bottom w:w="0" w:type="dxa"/>
              <w:right w:w="10" w:type="dxa"/>
            </w:tcMar>
          </w:tcPr>
          <w:p w14:paraId="0000010A">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0B">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0C">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0D">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0E">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0F">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10">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11">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12">
            <w:pPr>
              <w:widowControl w:val="0"/>
              <w:spacing w:line="360" w:lineRule="auto"/>
              <w:ind w:right="-30"/>
              <w:jc w:val="both"/>
              <w:rPr>
                <w:rFonts w:ascii="Arial" w:hAnsi="Arial" w:eastAsia="Arial" w:cs="Arial"/>
                <w:strike/>
                <w:sz w:val="16"/>
                <w:szCs w:val="16"/>
              </w:rPr>
            </w:pPr>
          </w:p>
        </w:tc>
      </w:tr>
    </w:tbl>
    <w:p w14:paraId="00000113">
      <w:pPr>
        <w:widowControl w:val="0"/>
        <w:spacing w:line="360" w:lineRule="auto"/>
        <w:ind w:right="-30"/>
        <w:jc w:val="center"/>
        <w:rPr>
          <w:rFonts w:ascii="Arial" w:hAnsi="Arial" w:eastAsia="Arial" w:cs="Arial"/>
          <w:strike/>
          <w:color w:val="000000"/>
          <w:sz w:val="20"/>
          <w:szCs w:val="20"/>
        </w:rPr>
      </w:pPr>
    </w:p>
    <w:p w14:paraId="00000114">
      <w:pPr>
        <w:widowControl w:val="0"/>
        <w:spacing w:line="360" w:lineRule="auto"/>
        <w:ind w:right="-30"/>
        <w:jc w:val="center"/>
        <w:rPr>
          <w:rFonts w:ascii="Arial" w:hAnsi="Arial" w:eastAsia="Arial" w:cs="Arial"/>
          <w:strike/>
          <w:color w:val="000000"/>
          <w:sz w:val="20"/>
          <w:szCs w:val="20"/>
        </w:rPr>
      </w:pPr>
      <w:r>
        <w:rPr>
          <w:rFonts w:ascii="Arial" w:hAnsi="Arial" w:eastAsia="Arial" w:cs="Arial"/>
          <w:strike/>
          <w:color w:val="000000"/>
          <w:sz w:val="20"/>
          <w:szCs w:val="20"/>
          <w:rtl w:val="0"/>
        </w:rPr>
        <w:t>Seguindo a ordem de classificação, segue relação de fornecedores que mantiveram sua proposta original:</w:t>
      </w:r>
    </w:p>
    <w:p w14:paraId="00000115">
      <w:pPr>
        <w:widowControl w:val="0"/>
        <w:spacing w:line="360" w:lineRule="auto"/>
        <w:ind w:right="-30"/>
        <w:jc w:val="center"/>
        <w:rPr>
          <w:rFonts w:ascii="Arial" w:hAnsi="Arial" w:eastAsia="Arial" w:cs="Arial"/>
          <w:strike/>
          <w:color w:val="000000"/>
          <w:sz w:val="20"/>
          <w:szCs w:val="20"/>
        </w:rPr>
      </w:pPr>
    </w:p>
    <w:tbl>
      <w:tblPr>
        <w:tblStyle w:val="41"/>
        <w:tblW w:w="9392" w:type="dxa"/>
        <w:tblInd w:w="10" w:type="dxa"/>
        <w:tblLayout w:type="fixed"/>
        <w:tblCellMar>
          <w:top w:w="0" w:type="dxa"/>
          <w:left w:w="10" w:type="dxa"/>
          <w:bottom w:w="0" w:type="dxa"/>
          <w:right w:w="10" w:type="dxa"/>
        </w:tblCellMar>
      </w:tblPr>
      <w:tblGrid>
        <w:gridCol w:w="497"/>
        <w:gridCol w:w="1333"/>
        <w:gridCol w:w="1253"/>
        <w:gridCol w:w="1541"/>
        <w:gridCol w:w="1121"/>
        <w:gridCol w:w="1121"/>
        <w:gridCol w:w="841"/>
        <w:gridCol w:w="841"/>
        <w:gridCol w:w="844"/>
      </w:tblGrid>
      <w:tr w14:paraId="32350DC4">
        <w:tblPrEx>
          <w:tblCellMar>
            <w:top w:w="0" w:type="dxa"/>
            <w:left w:w="10" w:type="dxa"/>
            <w:bottom w:w="0" w:type="dxa"/>
            <w:right w:w="10" w:type="dxa"/>
          </w:tblCellMar>
        </w:tblPrEx>
        <w:trPr>
          <w:trHeight w:val="511" w:hRule="atLeast"/>
        </w:trPr>
        <w:tc>
          <w:tcPr>
            <w:tcBorders>
              <w:top w:val="single" w:color="000000" w:sz="4" w:space="0"/>
              <w:left w:val="single" w:color="000000" w:sz="4" w:space="0"/>
              <w:bottom w:val="single" w:color="000000" w:sz="4" w:space="0"/>
              <w:right w:val="single" w:color="000000" w:sz="4" w:space="0"/>
            </w:tcBorders>
            <w:tcMar>
              <w:top w:w="0" w:type="dxa"/>
              <w:left w:w="10" w:type="dxa"/>
              <w:bottom w:w="0" w:type="dxa"/>
              <w:right w:w="10" w:type="dxa"/>
            </w:tcMar>
            <w:vAlign w:val="center"/>
          </w:tcPr>
          <w:p w14:paraId="00000116">
            <w:pPr>
              <w:widowControl w:val="0"/>
              <w:ind w:right="-28"/>
              <w:jc w:val="center"/>
              <w:rPr>
                <w:rFonts w:ascii="Arial" w:hAnsi="Arial" w:eastAsia="Arial" w:cs="Arial"/>
                <w:strike/>
                <w:sz w:val="16"/>
                <w:szCs w:val="16"/>
              </w:rPr>
            </w:pPr>
            <w:r>
              <w:rPr>
                <w:rFonts w:ascii="Arial" w:hAnsi="Arial" w:eastAsia="Arial" w:cs="Arial"/>
                <w:strike/>
                <w:sz w:val="16"/>
                <w:szCs w:val="16"/>
                <w:rtl w:val="0"/>
              </w:rPr>
              <w:t>Item</w:t>
            </w:r>
          </w:p>
          <w:p w14:paraId="00000117">
            <w:pPr>
              <w:widowControl w:val="0"/>
              <w:ind w:right="-28"/>
              <w:jc w:val="center"/>
              <w:rPr>
                <w:rFonts w:ascii="Arial" w:hAnsi="Arial" w:eastAsia="Arial" w:cs="Arial"/>
                <w:strike/>
                <w:sz w:val="16"/>
                <w:szCs w:val="16"/>
              </w:rPr>
            </w:pPr>
            <w:r>
              <w:rPr>
                <w:rFonts w:ascii="Arial" w:hAnsi="Arial" w:eastAsia="Arial" w:cs="Arial"/>
                <w:strike/>
                <w:sz w:val="16"/>
                <w:szCs w:val="16"/>
                <w:rtl w:val="0"/>
              </w:rPr>
              <w:t>do</w:t>
            </w:r>
          </w:p>
          <w:p w14:paraId="00000118">
            <w:pPr>
              <w:widowControl w:val="0"/>
              <w:ind w:right="-28"/>
              <w:jc w:val="center"/>
              <w:rPr>
                <w:rFonts w:ascii="Arial" w:hAnsi="Arial" w:eastAsia="Arial" w:cs="Arial"/>
                <w:strike/>
                <w:sz w:val="16"/>
                <w:szCs w:val="16"/>
              </w:rPr>
            </w:pPr>
            <w:r>
              <w:rPr>
                <w:rFonts w:ascii="Arial" w:hAnsi="Arial" w:eastAsia="Arial" w:cs="Arial"/>
                <w:strike/>
                <w:sz w:val="16"/>
                <w:szCs w:val="16"/>
                <w:rtl w:val="0"/>
              </w:rPr>
              <w:t>TR</w:t>
            </w:r>
          </w:p>
        </w:tc>
        <w:tc>
          <w:tcPr>
            <w:gridSpan w:val="8"/>
            <w:tcBorders>
              <w:top w:val="single" w:color="000000" w:sz="4" w:space="0"/>
              <w:left w:val="single" w:color="000000" w:sz="4" w:space="0"/>
              <w:bottom w:val="single" w:color="000000" w:sz="4" w:space="0"/>
              <w:right w:val="single" w:color="000000" w:sz="4" w:space="0"/>
            </w:tcBorders>
            <w:tcMar>
              <w:top w:w="0" w:type="dxa"/>
              <w:left w:w="10" w:type="dxa"/>
              <w:bottom w:w="0" w:type="dxa"/>
              <w:right w:w="10" w:type="dxa"/>
            </w:tcMar>
          </w:tcPr>
          <w:p w14:paraId="00000119">
            <w:pPr>
              <w:widowControl w:val="0"/>
              <w:ind w:right="-28"/>
              <w:jc w:val="center"/>
              <w:rPr>
                <w:rFonts w:ascii="Arial" w:hAnsi="Arial" w:eastAsia="Arial" w:cs="Arial"/>
                <w:strike/>
                <w:sz w:val="16"/>
                <w:szCs w:val="16"/>
              </w:rPr>
            </w:pPr>
            <w:r>
              <w:rPr>
                <w:rFonts w:ascii="Arial" w:hAnsi="Arial" w:eastAsia="Arial" w:cs="Arial"/>
                <w:strike/>
                <w:sz w:val="16"/>
                <w:szCs w:val="16"/>
                <w:rtl w:val="0"/>
              </w:rPr>
              <w:t xml:space="preserve">Fornecedor </w:t>
            </w:r>
            <w:r>
              <w:rPr>
                <w:rFonts w:ascii="Arial" w:hAnsi="Arial" w:eastAsia="Arial" w:cs="Arial"/>
                <w:i/>
                <w:strike/>
                <w:color w:val="FF0000"/>
                <w:sz w:val="16"/>
                <w:szCs w:val="16"/>
                <w:rtl w:val="0"/>
              </w:rPr>
              <w:t>[razão social, CNPJ/MF, endereço, contatos, representante]</w:t>
            </w:r>
          </w:p>
        </w:tc>
      </w:tr>
      <w:tr w14:paraId="5CE97A0E">
        <w:tblPrEx>
          <w:tblCellMar>
            <w:top w:w="0" w:type="dxa"/>
            <w:left w:w="10" w:type="dxa"/>
            <w:bottom w:w="0" w:type="dxa"/>
            <w:right w:w="10" w:type="dxa"/>
          </w:tblCellMar>
        </w:tblPrEx>
        <w:trPr>
          <w:trHeight w:val="674" w:hRule="atLeast"/>
        </w:trPr>
        <w:tc>
          <w:tcPr>
            <w:tcBorders>
              <w:top w:val="nil"/>
              <w:left w:val="single" w:color="000000" w:sz="4" w:space="0"/>
              <w:bottom w:val="single" w:color="000000" w:sz="4" w:space="0"/>
              <w:right w:val="nil"/>
            </w:tcBorders>
            <w:tcMar>
              <w:top w:w="0" w:type="dxa"/>
              <w:left w:w="10" w:type="dxa"/>
              <w:bottom w:w="0" w:type="dxa"/>
              <w:right w:w="10" w:type="dxa"/>
            </w:tcMar>
            <w:vAlign w:val="center"/>
          </w:tcPr>
          <w:p w14:paraId="00000121">
            <w:pPr>
              <w:widowControl w:val="0"/>
              <w:ind w:right="-28"/>
              <w:jc w:val="center"/>
              <w:rPr>
                <w:rFonts w:ascii="Arial" w:hAnsi="Arial" w:eastAsia="Arial" w:cs="Arial"/>
                <w:strike/>
                <w:sz w:val="16"/>
                <w:szCs w:val="16"/>
              </w:rPr>
            </w:pPr>
            <w:r>
              <w:rPr>
                <w:rFonts w:ascii="Arial" w:hAnsi="Arial" w:eastAsia="Arial" w:cs="Arial"/>
                <w:strike/>
                <w:sz w:val="16"/>
                <w:szCs w:val="16"/>
                <w:rtl w:val="0"/>
              </w:rPr>
              <w:t>X</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2">
            <w:pPr>
              <w:widowControl w:val="0"/>
              <w:ind w:right="-28"/>
              <w:jc w:val="center"/>
              <w:rPr>
                <w:rFonts w:ascii="Arial" w:hAnsi="Arial" w:eastAsia="Arial" w:cs="Arial"/>
                <w:strike/>
                <w:sz w:val="16"/>
                <w:szCs w:val="16"/>
              </w:rPr>
            </w:pPr>
            <w:r>
              <w:rPr>
                <w:rFonts w:ascii="Arial" w:hAnsi="Arial" w:eastAsia="Arial" w:cs="Arial"/>
                <w:strike/>
                <w:sz w:val="16"/>
                <w:szCs w:val="16"/>
                <w:rtl w:val="0"/>
              </w:rPr>
              <w:t>Especificação</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3">
            <w:pPr>
              <w:widowControl w:val="0"/>
              <w:ind w:right="-28"/>
              <w:jc w:val="center"/>
              <w:rPr>
                <w:rFonts w:ascii="Arial" w:hAnsi="Arial" w:eastAsia="Arial" w:cs="Arial"/>
                <w:strike/>
                <w:sz w:val="16"/>
                <w:szCs w:val="16"/>
              </w:rPr>
            </w:pPr>
            <w:r>
              <w:rPr>
                <w:rFonts w:ascii="Arial" w:hAnsi="Arial" w:eastAsia="Arial" w:cs="Arial"/>
                <w:strike/>
                <w:sz w:val="16"/>
                <w:szCs w:val="16"/>
                <w:rtl w:val="0"/>
              </w:rPr>
              <w:t xml:space="preserve">Marca </w:t>
            </w:r>
          </w:p>
          <w:p w14:paraId="00000124">
            <w:pPr>
              <w:widowControl w:val="0"/>
              <w:ind w:right="-28"/>
              <w:jc w:val="center"/>
              <w:rPr>
                <w:rFonts w:ascii="Arial" w:hAnsi="Arial" w:eastAsia="Arial" w:cs="Arial"/>
                <w:i/>
                <w:strike/>
                <w:sz w:val="16"/>
                <w:szCs w:val="16"/>
              </w:rPr>
            </w:pPr>
            <w:r>
              <w:rPr>
                <w:rFonts w:ascii="Arial" w:hAnsi="Arial" w:eastAsia="Arial" w:cs="Arial"/>
                <w:i/>
                <w:strike/>
                <w:color w:val="FF0000"/>
                <w:sz w:val="16"/>
                <w:szCs w:val="16"/>
                <w:rtl w:val="0"/>
              </w:rPr>
              <w:t>(se exigida no edital)</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5">
            <w:pPr>
              <w:widowControl w:val="0"/>
              <w:ind w:right="-28"/>
              <w:jc w:val="center"/>
              <w:rPr>
                <w:rFonts w:ascii="Arial" w:hAnsi="Arial" w:eastAsia="Arial" w:cs="Arial"/>
                <w:strike/>
                <w:sz w:val="16"/>
                <w:szCs w:val="16"/>
              </w:rPr>
            </w:pPr>
            <w:r>
              <w:rPr>
                <w:rFonts w:ascii="Arial" w:hAnsi="Arial" w:eastAsia="Arial" w:cs="Arial"/>
                <w:strike/>
                <w:sz w:val="16"/>
                <w:szCs w:val="16"/>
                <w:rtl w:val="0"/>
              </w:rPr>
              <w:t>Modelo</w:t>
            </w:r>
          </w:p>
          <w:p w14:paraId="00000126">
            <w:pPr>
              <w:widowControl w:val="0"/>
              <w:ind w:right="-28"/>
              <w:jc w:val="center"/>
              <w:rPr>
                <w:rFonts w:ascii="Arial" w:hAnsi="Arial" w:eastAsia="Arial" w:cs="Arial"/>
                <w:i/>
                <w:strike/>
                <w:sz w:val="16"/>
                <w:szCs w:val="16"/>
              </w:rPr>
            </w:pPr>
            <w:r>
              <w:rPr>
                <w:rFonts w:ascii="Arial" w:hAnsi="Arial" w:eastAsia="Arial" w:cs="Arial"/>
                <w:i/>
                <w:strike/>
                <w:color w:val="FF0000"/>
                <w:sz w:val="16"/>
                <w:szCs w:val="16"/>
                <w:rtl w:val="0"/>
              </w:rPr>
              <w:t>(se exigido no edital)</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7">
            <w:pPr>
              <w:widowControl w:val="0"/>
              <w:ind w:right="-28"/>
              <w:jc w:val="center"/>
              <w:rPr>
                <w:rFonts w:ascii="Arial" w:hAnsi="Arial" w:eastAsia="Arial" w:cs="Arial"/>
                <w:strike/>
                <w:sz w:val="16"/>
                <w:szCs w:val="16"/>
              </w:rPr>
            </w:pPr>
            <w:r>
              <w:rPr>
                <w:rFonts w:ascii="Arial" w:hAnsi="Arial" w:eastAsia="Arial" w:cs="Arial"/>
                <w:strike/>
                <w:sz w:val="16"/>
                <w:szCs w:val="16"/>
                <w:rtl w:val="0"/>
              </w:rPr>
              <w:t>Unidade</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8">
            <w:pPr>
              <w:widowControl w:val="0"/>
              <w:ind w:right="-28"/>
              <w:jc w:val="center"/>
              <w:rPr>
                <w:rFonts w:ascii="Arial" w:hAnsi="Arial" w:eastAsia="Arial" w:cs="Arial"/>
                <w:strike/>
                <w:sz w:val="16"/>
                <w:szCs w:val="16"/>
              </w:rPr>
            </w:pPr>
            <w:r>
              <w:rPr>
                <w:rFonts w:ascii="Arial" w:hAnsi="Arial" w:eastAsia="Arial" w:cs="Arial"/>
                <w:strike/>
                <w:sz w:val="16"/>
                <w:szCs w:val="16"/>
                <w:rtl w:val="0"/>
              </w:rPr>
              <w:t>Quantidade</w:t>
            </w:r>
            <w:r>
              <w:rPr>
                <w:rFonts w:ascii="Arial" w:hAnsi="Arial" w:eastAsia="Arial" w:cs="Arial"/>
                <w:strike/>
                <w:sz w:val="16"/>
                <w:szCs w:val="16"/>
                <w:rtl w:val="0"/>
              </w:rPr>
              <w:br w:type="textWrapping"/>
            </w:r>
            <w:r>
              <w:rPr>
                <w:rFonts w:ascii="Arial" w:hAnsi="Arial" w:eastAsia="Arial" w:cs="Arial"/>
                <w:strike/>
                <w:sz w:val="16"/>
                <w:szCs w:val="16"/>
                <w:rtl w:val="0"/>
              </w:rPr>
              <w:t>Máxima</w:t>
            </w: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29">
            <w:pPr>
              <w:widowControl w:val="0"/>
              <w:ind w:right="-28"/>
              <w:jc w:val="center"/>
              <w:rPr>
                <w:rFonts w:ascii="Arial" w:hAnsi="Arial" w:eastAsia="Arial" w:cs="Arial"/>
                <w:strike/>
                <w:sz w:val="16"/>
                <w:szCs w:val="16"/>
              </w:rPr>
            </w:pPr>
            <w:r>
              <w:rPr>
                <w:rFonts w:ascii="Arial" w:hAnsi="Arial" w:eastAsia="Arial" w:cs="Arial"/>
                <w:strike/>
                <w:sz w:val="16"/>
                <w:szCs w:val="16"/>
                <w:rtl w:val="0"/>
              </w:rPr>
              <w:t>Quantidade</w:t>
            </w:r>
            <w:r>
              <w:rPr>
                <w:rFonts w:ascii="Arial" w:hAnsi="Arial" w:eastAsia="Arial" w:cs="Arial"/>
                <w:strike/>
                <w:sz w:val="16"/>
                <w:szCs w:val="16"/>
                <w:rtl w:val="0"/>
              </w:rPr>
              <w:br w:type="textWrapping"/>
            </w:r>
            <w:r>
              <w:rPr>
                <w:rFonts w:ascii="Arial" w:hAnsi="Arial" w:eastAsia="Arial" w:cs="Arial"/>
                <w:strike/>
                <w:sz w:val="16"/>
                <w:szCs w:val="16"/>
                <w:rtl w:val="0"/>
              </w:rPr>
              <w:t>Mínima</w:t>
            </w:r>
          </w:p>
        </w:tc>
        <w:tc>
          <w:tcPr>
            <w:tcBorders>
              <w:top w:val="nil"/>
              <w:left w:val="single" w:color="000000" w:sz="4" w:space="0"/>
              <w:bottom w:val="single" w:color="000000" w:sz="4" w:space="0"/>
              <w:right w:val="nil"/>
            </w:tcBorders>
            <w:tcMar>
              <w:top w:w="0" w:type="dxa"/>
              <w:left w:w="10" w:type="dxa"/>
              <w:bottom w:w="0" w:type="dxa"/>
              <w:right w:w="10" w:type="dxa"/>
            </w:tcMar>
          </w:tcPr>
          <w:p w14:paraId="0000012A">
            <w:pPr>
              <w:widowControl w:val="0"/>
              <w:ind w:right="-28"/>
              <w:jc w:val="center"/>
              <w:rPr>
                <w:rFonts w:ascii="Arial" w:hAnsi="Arial" w:eastAsia="Arial" w:cs="Arial"/>
                <w:strike/>
                <w:sz w:val="16"/>
                <w:szCs w:val="16"/>
              </w:rPr>
            </w:pPr>
            <w:r>
              <w:rPr>
                <w:rFonts w:ascii="Arial" w:hAnsi="Arial" w:eastAsia="Arial" w:cs="Arial"/>
                <w:strike/>
                <w:sz w:val="16"/>
                <w:szCs w:val="16"/>
                <w:rtl w:val="0"/>
              </w:rPr>
              <w:t>Valor</w:t>
            </w:r>
            <w:r>
              <w:rPr>
                <w:rFonts w:ascii="Arial" w:hAnsi="Arial" w:eastAsia="Arial" w:cs="Arial"/>
                <w:strike/>
                <w:sz w:val="16"/>
                <w:szCs w:val="16"/>
                <w:rtl w:val="0"/>
              </w:rPr>
              <w:br w:type="textWrapping"/>
            </w:r>
            <w:r>
              <w:rPr>
                <w:rFonts w:ascii="Arial" w:hAnsi="Arial" w:eastAsia="Arial" w:cs="Arial"/>
                <w:strike/>
                <w:sz w:val="16"/>
                <w:szCs w:val="16"/>
                <w:rtl w:val="0"/>
              </w:rPr>
              <w:t>Unitário</w:t>
            </w: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2B">
            <w:pPr>
              <w:widowControl w:val="0"/>
              <w:ind w:right="-28"/>
              <w:jc w:val="center"/>
              <w:rPr>
                <w:rFonts w:ascii="Arial" w:hAnsi="Arial" w:eastAsia="Arial" w:cs="Arial"/>
                <w:strike/>
                <w:sz w:val="16"/>
                <w:szCs w:val="16"/>
              </w:rPr>
            </w:pPr>
            <w:r>
              <w:rPr>
                <w:rFonts w:ascii="Arial" w:hAnsi="Arial" w:eastAsia="Arial" w:cs="Arial"/>
                <w:strike/>
                <w:sz w:val="16"/>
                <w:szCs w:val="16"/>
                <w:rtl w:val="0"/>
              </w:rPr>
              <w:t>Prazo garantia ou validade</w:t>
            </w:r>
          </w:p>
        </w:tc>
      </w:tr>
      <w:tr w14:paraId="1D9144B4">
        <w:tblPrEx>
          <w:tblCellMar>
            <w:top w:w="0" w:type="dxa"/>
            <w:left w:w="10" w:type="dxa"/>
            <w:bottom w:w="0" w:type="dxa"/>
            <w:right w:w="10" w:type="dxa"/>
          </w:tblCellMar>
        </w:tblPrEx>
        <w:trPr>
          <w:trHeight w:val="174" w:hRule="atLeast"/>
        </w:trPr>
        <w:tc>
          <w:tcPr>
            <w:tcBorders>
              <w:top w:val="nil"/>
              <w:left w:val="single" w:color="000000" w:sz="4" w:space="0"/>
              <w:bottom w:val="single" w:color="000000" w:sz="4" w:space="0"/>
              <w:right w:val="nil"/>
            </w:tcBorders>
            <w:tcMar>
              <w:top w:w="0" w:type="dxa"/>
              <w:left w:w="10" w:type="dxa"/>
              <w:bottom w:w="0" w:type="dxa"/>
              <w:right w:w="10" w:type="dxa"/>
            </w:tcMar>
          </w:tcPr>
          <w:p w14:paraId="0000012C">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2D">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2E">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2F">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30">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31">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32">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nil"/>
            </w:tcBorders>
            <w:tcMar>
              <w:top w:w="0" w:type="dxa"/>
              <w:left w:w="10" w:type="dxa"/>
              <w:bottom w:w="0" w:type="dxa"/>
              <w:right w:w="10" w:type="dxa"/>
            </w:tcMar>
          </w:tcPr>
          <w:p w14:paraId="00000133">
            <w:pPr>
              <w:widowControl w:val="0"/>
              <w:spacing w:line="360" w:lineRule="auto"/>
              <w:ind w:right="-30"/>
              <w:jc w:val="both"/>
              <w:rPr>
                <w:rFonts w:ascii="Arial" w:hAnsi="Arial" w:eastAsia="Arial" w:cs="Arial"/>
                <w:strike/>
                <w:sz w:val="16"/>
                <w:szCs w:val="16"/>
              </w:rPr>
            </w:pPr>
          </w:p>
        </w:tc>
        <w:tc>
          <w:tcPr>
            <w:tcBorders>
              <w:top w:val="nil"/>
              <w:left w:val="single" w:color="000000" w:sz="4" w:space="0"/>
              <w:bottom w:val="single" w:color="000000" w:sz="4" w:space="0"/>
              <w:right w:val="single" w:color="000000" w:sz="4" w:space="0"/>
            </w:tcBorders>
            <w:tcMar>
              <w:top w:w="0" w:type="dxa"/>
              <w:left w:w="10" w:type="dxa"/>
              <w:bottom w:w="0" w:type="dxa"/>
              <w:right w:w="10" w:type="dxa"/>
            </w:tcMar>
          </w:tcPr>
          <w:p w14:paraId="00000134">
            <w:pPr>
              <w:widowControl w:val="0"/>
              <w:spacing w:line="360" w:lineRule="auto"/>
              <w:ind w:right="-30"/>
              <w:jc w:val="both"/>
              <w:rPr>
                <w:rFonts w:ascii="Arial" w:hAnsi="Arial" w:eastAsia="Arial" w:cs="Arial"/>
                <w:strike/>
                <w:sz w:val="16"/>
                <w:szCs w:val="16"/>
              </w:rPr>
            </w:pPr>
          </w:p>
        </w:tc>
      </w:tr>
    </w:tbl>
    <w:p w14:paraId="00000135">
      <w:pPr>
        <w:widowControl w:val="0"/>
        <w:spacing w:line="360" w:lineRule="auto"/>
        <w:ind w:right="-30"/>
        <w:jc w:val="center"/>
        <w:rPr>
          <w:rFonts w:ascii="Arial" w:hAnsi="Arial" w:eastAsia="Arial" w:cs="Arial"/>
          <w:color w:val="000000"/>
          <w:sz w:val="20"/>
          <w:szCs w:val="20"/>
        </w:rPr>
      </w:pPr>
    </w:p>
    <w:p w14:paraId="00000136">
      <w:pPr>
        <w:tabs>
          <w:tab w:val="left" w:pos="1462"/>
        </w:tabs>
        <w:spacing w:before="80"/>
        <w:ind w:firstLine="1761"/>
        <w:jc w:val="both"/>
        <w:rPr>
          <w:b/>
          <w:color w:val="404040"/>
          <w:shd w:val="clear" w:fill="auto"/>
        </w:rPr>
      </w:pPr>
      <w:bookmarkStart w:id="12" w:name="_heading=h.hatag953iv9o" w:colFirst="0" w:colLast="0"/>
      <w:bookmarkEnd w:id="12"/>
      <w:r>
        <w:rPr>
          <w:b/>
          <w:color w:val="404040"/>
          <w:shd w:val="clear" w:fill="auto"/>
          <w:rtl w:val="0"/>
        </w:rPr>
        <w:t>Excluído o anexo considerando que o sistema ainda não possui a opção automatizada de cadastro de reservas.</w:t>
      </w:r>
    </w:p>
    <w:p w14:paraId="00000137">
      <w:pPr>
        <w:rPr>
          <w:rFonts w:ascii="Calibri" w:hAnsi="Calibri" w:eastAsia="Calibri" w:cs="Calibri"/>
          <w:b w:val="0"/>
          <w:i w:val="0"/>
          <w:smallCaps w:val="0"/>
          <w:strike w:val="0"/>
          <w:color w:val="000000"/>
          <w:sz w:val="22"/>
          <w:szCs w:val="22"/>
          <w:u w:val="none"/>
          <w:shd w:val="clear" w:fill="auto"/>
          <w:vertAlign w:val="baseline"/>
        </w:rPr>
      </w:pPr>
    </w:p>
    <w:sectPr>
      <w:pgSz w:w="11910" w:h="16840"/>
      <w:pgMar w:top="460" w:right="340" w:bottom="280" w:left="380" w:header="720" w:footer="720"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Ecofont_Spranq_eco_Sans">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Verdana">
    <w:panose1 w:val="020B0604030504040204"/>
    <w:charset w:val="00"/>
    <w:family w:val="auto"/>
    <w:pitch w:val="default"/>
    <w:sig w:usb0="A00006FF" w:usb1="4000205B" w:usb2="00000010" w:usb3="00000000" w:csb0="2000019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36DC0"/>
    <w:multiLevelType w:val="multilevel"/>
    <w:tmpl w:val="88236DC0"/>
    <w:lvl w:ilvl="0" w:tentative="0">
      <w:start w:val="3"/>
      <w:numFmt w:val="decimal"/>
      <w:lvlText w:val="%1."/>
      <w:lvlJc w:val="left"/>
      <w:pPr>
        <w:ind w:left="1461" w:hanging="709"/>
      </w:pPr>
      <w:rPr>
        <w:rFonts w:ascii="Calibri" w:hAnsi="Calibri" w:eastAsia="Calibri" w:cs="Calibri"/>
        <w:b/>
        <w:sz w:val="22"/>
        <w:szCs w:val="22"/>
      </w:rPr>
    </w:lvl>
    <w:lvl w:ilvl="1" w:tentative="0">
      <w:start w:val="1"/>
      <w:numFmt w:val="decimal"/>
      <w:lvlText w:val="%1.%2."/>
      <w:lvlJc w:val="left"/>
      <w:pPr>
        <w:ind w:left="1461" w:hanging="709"/>
      </w:pPr>
      <w:rPr>
        <w:rFonts w:ascii="Calibri" w:hAnsi="Calibri" w:eastAsia="Calibri" w:cs="Calibri"/>
        <w:sz w:val="22"/>
        <w:szCs w:val="22"/>
      </w:rPr>
    </w:lvl>
    <w:lvl w:ilvl="2" w:tentative="0">
      <w:start w:val="1"/>
      <w:numFmt w:val="decimal"/>
      <w:pStyle w:val="33"/>
      <w:lvlText w:val="%1.%2.%3."/>
      <w:lvlJc w:val="left"/>
      <w:pPr>
        <w:ind w:left="752" w:hanging="709"/>
      </w:pPr>
    </w:lvl>
    <w:lvl w:ilvl="3" w:tentative="0">
      <w:start w:val="0"/>
      <w:numFmt w:val="bullet"/>
      <w:lvlText w:val="•"/>
      <w:lvlJc w:val="left"/>
      <w:pPr>
        <w:ind w:left="3621" w:hanging="708"/>
      </w:pPr>
    </w:lvl>
    <w:lvl w:ilvl="4" w:tentative="0">
      <w:start w:val="0"/>
      <w:numFmt w:val="bullet"/>
      <w:lvlText w:val="•"/>
      <w:lvlJc w:val="left"/>
      <w:pPr>
        <w:ind w:left="4702" w:hanging="709"/>
      </w:pPr>
    </w:lvl>
    <w:lvl w:ilvl="5" w:tentative="0">
      <w:start w:val="0"/>
      <w:numFmt w:val="bullet"/>
      <w:lvlText w:val="•"/>
      <w:lvlJc w:val="left"/>
      <w:pPr>
        <w:ind w:left="5782" w:hanging="708"/>
      </w:pPr>
    </w:lvl>
    <w:lvl w:ilvl="6" w:tentative="0">
      <w:start w:val="0"/>
      <w:numFmt w:val="bullet"/>
      <w:lvlText w:val="•"/>
      <w:lvlJc w:val="left"/>
      <w:pPr>
        <w:ind w:left="6863" w:hanging="709"/>
      </w:pPr>
    </w:lvl>
    <w:lvl w:ilvl="7" w:tentative="0">
      <w:start w:val="0"/>
      <w:numFmt w:val="bullet"/>
      <w:lvlText w:val="•"/>
      <w:lvlJc w:val="left"/>
      <w:pPr>
        <w:ind w:left="7944" w:hanging="709"/>
      </w:pPr>
    </w:lvl>
    <w:lvl w:ilvl="8" w:tentative="0">
      <w:start w:val="0"/>
      <w:numFmt w:val="bullet"/>
      <w:lvlText w:val="•"/>
      <w:lvlJc w:val="left"/>
      <w:pPr>
        <w:ind w:left="9024" w:hanging="709"/>
      </w:pPr>
    </w:lvl>
  </w:abstractNum>
  <w:abstractNum w:abstractNumId="1">
    <w:nsid w:val="E1024092"/>
    <w:multiLevelType w:val="multilevel"/>
    <w:tmpl w:val="E1024092"/>
    <w:lvl w:ilvl="0" w:tentative="0">
      <w:start w:val="5"/>
      <w:numFmt w:val="decimal"/>
      <w:pStyle w:val="21"/>
      <w:lvlText w:val="%1"/>
      <w:lvlJc w:val="left"/>
      <w:pPr>
        <w:ind w:left="612" w:hanging="612"/>
      </w:pPr>
    </w:lvl>
    <w:lvl w:ilvl="1" w:tentative="0">
      <w:start w:val="4"/>
      <w:numFmt w:val="decimal"/>
      <w:pStyle w:val="23"/>
      <w:lvlText w:val="%1.%2"/>
      <w:lvlJc w:val="left"/>
      <w:pPr>
        <w:ind w:left="1561" w:hanging="612"/>
      </w:pPr>
    </w:lvl>
    <w:lvl w:ilvl="2" w:tentative="0">
      <w:start w:val="2"/>
      <w:numFmt w:val="decimal"/>
      <w:pStyle w:val="26"/>
      <w:lvlText w:val="%1.%2.%3"/>
      <w:lvlJc w:val="left"/>
      <w:pPr>
        <w:ind w:left="2618" w:hanging="720"/>
      </w:pPr>
    </w:lvl>
    <w:lvl w:ilvl="3" w:tentative="0">
      <w:start w:val="2"/>
      <w:numFmt w:val="decimal"/>
      <w:pStyle w:val="27"/>
      <w:lvlText w:val="%1.%2.%3.%4"/>
      <w:lvlJc w:val="left"/>
      <w:pPr>
        <w:ind w:left="3567" w:hanging="720"/>
      </w:pPr>
    </w:lvl>
    <w:lvl w:ilvl="4" w:tentative="0">
      <w:start w:val="1"/>
      <w:numFmt w:val="decimal"/>
      <w:lvlText w:val="%1.%2.%3.%4.%5"/>
      <w:lvlJc w:val="left"/>
      <w:pPr>
        <w:ind w:left="4876" w:hanging="1080"/>
      </w:pPr>
    </w:lvl>
    <w:lvl w:ilvl="5" w:tentative="0">
      <w:start w:val="1"/>
      <w:numFmt w:val="decimal"/>
      <w:lvlText w:val="%1.%2.%3.%4.%5.%6"/>
      <w:lvlJc w:val="left"/>
      <w:pPr>
        <w:ind w:left="5825" w:hanging="1080"/>
      </w:pPr>
    </w:lvl>
    <w:lvl w:ilvl="6" w:tentative="0">
      <w:start w:val="1"/>
      <w:numFmt w:val="decimal"/>
      <w:lvlText w:val="%1.%2.%3.%4.%5.%6.%7"/>
      <w:lvlJc w:val="left"/>
      <w:pPr>
        <w:ind w:left="7134" w:hanging="1440"/>
      </w:pPr>
    </w:lvl>
    <w:lvl w:ilvl="7" w:tentative="0">
      <w:start w:val="1"/>
      <w:numFmt w:val="decimal"/>
      <w:lvlText w:val="%1.%2.%3.%4.%5.%6.%7.%8"/>
      <w:lvlJc w:val="left"/>
      <w:pPr>
        <w:ind w:left="8083" w:hanging="1440"/>
      </w:pPr>
    </w:lvl>
    <w:lvl w:ilvl="8" w:tentative="0">
      <w:start w:val="1"/>
      <w:numFmt w:val="decimal"/>
      <w:lvlText w:val="%1.%2.%3.%4.%5.%6.%7.%8.%9"/>
      <w:lvlJc w:val="left"/>
      <w:pPr>
        <w:ind w:left="9392" w:hanging="1800"/>
      </w:pPr>
    </w:lvl>
  </w:abstractNum>
  <w:abstractNum w:abstractNumId="2">
    <w:nsid w:val="173202F8"/>
    <w:multiLevelType w:val="multilevel"/>
    <w:tmpl w:val="173202F8"/>
    <w:lvl w:ilvl="0" w:tentative="0">
      <w:start w:val="1"/>
      <w:numFmt w:val="decimal"/>
      <w:lvlText w:val="%1"/>
      <w:lvlJc w:val="left"/>
      <w:pPr>
        <w:ind w:left="1313" w:hanging="844"/>
      </w:pPr>
    </w:lvl>
    <w:lvl w:ilvl="1" w:tentative="0">
      <w:start w:val="1"/>
      <w:numFmt w:val="decimal"/>
      <w:lvlText w:val="%1.%2."/>
      <w:lvlJc w:val="left"/>
      <w:pPr>
        <w:ind w:left="1313" w:hanging="844"/>
      </w:pPr>
      <w:rPr>
        <w:rFonts w:ascii="Calibri" w:hAnsi="Calibri" w:eastAsia="Calibri" w:cs="Calibri"/>
        <w:sz w:val="22"/>
        <w:szCs w:val="22"/>
      </w:rPr>
    </w:lvl>
    <w:lvl w:ilvl="2" w:tentative="0">
      <w:start w:val="2"/>
      <w:numFmt w:val="decimal"/>
      <w:lvlText w:val="%3."/>
      <w:lvlJc w:val="left"/>
      <w:pPr>
        <w:ind w:left="1462" w:hanging="846"/>
      </w:pPr>
      <w:rPr>
        <w:rFonts w:ascii="Calibri" w:hAnsi="Calibri" w:eastAsia="Calibri" w:cs="Calibri"/>
        <w:b/>
        <w:sz w:val="22"/>
        <w:szCs w:val="22"/>
      </w:rPr>
    </w:lvl>
    <w:lvl w:ilvl="3" w:tentative="0">
      <w:start w:val="1"/>
      <w:numFmt w:val="decimal"/>
      <w:lvlText w:val="%3.%4."/>
      <w:lvlJc w:val="left"/>
      <w:pPr>
        <w:ind w:left="1462" w:hanging="846"/>
      </w:pPr>
      <w:rPr>
        <w:rFonts w:ascii="Calibri" w:hAnsi="Calibri" w:eastAsia="Calibri" w:cs="Calibri"/>
        <w:sz w:val="22"/>
        <w:szCs w:val="22"/>
      </w:rPr>
    </w:lvl>
    <w:lvl w:ilvl="4" w:tentative="0">
      <w:start w:val="0"/>
      <w:numFmt w:val="bullet"/>
      <w:lvlText w:val="•"/>
      <w:lvlJc w:val="left"/>
      <w:pPr>
        <w:ind w:left="4573" w:hanging="845"/>
      </w:pPr>
    </w:lvl>
    <w:lvl w:ilvl="5" w:tentative="0">
      <w:start w:val="0"/>
      <w:numFmt w:val="bullet"/>
      <w:lvlText w:val="•"/>
      <w:lvlJc w:val="left"/>
      <w:pPr>
        <w:ind w:left="5611" w:hanging="846"/>
      </w:pPr>
    </w:lvl>
    <w:lvl w:ilvl="6" w:tentative="0">
      <w:start w:val="0"/>
      <w:numFmt w:val="bullet"/>
      <w:lvlText w:val="•"/>
      <w:lvlJc w:val="left"/>
      <w:pPr>
        <w:ind w:left="6648" w:hanging="846"/>
      </w:pPr>
    </w:lvl>
    <w:lvl w:ilvl="7" w:tentative="0">
      <w:start w:val="0"/>
      <w:numFmt w:val="bullet"/>
      <w:lvlText w:val="•"/>
      <w:lvlJc w:val="left"/>
      <w:pPr>
        <w:ind w:left="7686" w:hanging="846"/>
      </w:pPr>
    </w:lvl>
    <w:lvl w:ilvl="8" w:tentative="0">
      <w:start w:val="0"/>
      <w:numFmt w:val="bullet"/>
      <w:lvlText w:val="•"/>
      <w:lvlJc w:val="left"/>
      <w:pPr>
        <w:ind w:left="8724" w:hanging="846"/>
      </w:pPr>
    </w:lvl>
  </w:abstractNum>
  <w:abstractNum w:abstractNumId="3">
    <w:nsid w:val="351C9EA4"/>
    <w:multiLevelType w:val="multilevel"/>
    <w:tmpl w:val="351C9EA4"/>
    <w:lvl w:ilvl="0" w:tentative="0">
      <w:start w:val="6"/>
      <w:numFmt w:val="decimal"/>
      <w:lvlText w:val="%1"/>
      <w:lvlJc w:val="left"/>
      <w:pPr>
        <w:ind w:left="612" w:hanging="612"/>
      </w:pPr>
    </w:lvl>
    <w:lvl w:ilvl="1" w:tentative="0">
      <w:start w:val="1"/>
      <w:numFmt w:val="decimal"/>
      <w:lvlText w:val="%1.%2"/>
      <w:lvlJc w:val="left"/>
      <w:pPr>
        <w:ind w:left="1542" w:hanging="612"/>
      </w:pPr>
    </w:lvl>
    <w:lvl w:ilvl="2" w:tentative="0">
      <w:start w:val="3"/>
      <w:numFmt w:val="decimal"/>
      <w:lvlText w:val="%1.%2.%3"/>
      <w:lvlJc w:val="left"/>
      <w:pPr>
        <w:ind w:left="2580" w:hanging="720"/>
      </w:pPr>
    </w:lvl>
    <w:lvl w:ilvl="3" w:tentative="0">
      <w:start w:val="1"/>
      <w:numFmt w:val="decimal"/>
      <w:lvlText w:val="%1.%2.%3.%4"/>
      <w:lvlJc w:val="left"/>
      <w:pPr>
        <w:ind w:left="3510" w:hanging="720"/>
      </w:pPr>
    </w:lvl>
    <w:lvl w:ilvl="4" w:tentative="0">
      <w:start w:val="1"/>
      <w:numFmt w:val="decimal"/>
      <w:lvlText w:val="%1.%2.%3.%4.%5"/>
      <w:lvlJc w:val="left"/>
      <w:pPr>
        <w:ind w:left="4800" w:hanging="1080"/>
      </w:pPr>
    </w:lvl>
    <w:lvl w:ilvl="5" w:tentative="0">
      <w:start w:val="1"/>
      <w:numFmt w:val="decimal"/>
      <w:lvlText w:val="%1.%2.%3.%4.%5.%6"/>
      <w:lvlJc w:val="left"/>
      <w:pPr>
        <w:ind w:left="5730" w:hanging="1080"/>
      </w:pPr>
    </w:lvl>
    <w:lvl w:ilvl="6" w:tentative="0">
      <w:start w:val="1"/>
      <w:numFmt w:val="decimal"/>
      <w:lvlText w:val="%1.%2.%3.%4.%5.%6.%7"/>
      <w:lvlJc w:val="left"/>
      <w:pPr>
        <w:ind w:left="7020" w:hanging="1440"/>
      </w:pPr>
    </w:lvl>
    <w:lvl w:ilvl="7" w:tentative="0">
      <w:start w:val="1"/>
      <w:numFmt w:val="decimal"/>
      <w:lvlText w:val="%1.%2.%3.%4.%5.%6.%7.%8"/>
      <w:lvlJc w:val="left"/>
      <w:pPr>
        <w:ind w:left="7950" w:hanging="1440"/>
      </w:pPr>
    </w:lvl>
    <w:lvl w:ilvl="8" w:tentative="0">
      <w:start w:val="1"/>
      <w:numFmt w:val="decimal"/>
      <w:lvlText w:val="%1.%2.%3.%4.%5.%6.%7.%8.%9"/>
      <w:lvlJc w:val="left"/>
      <w:pPr>
        <w:ind w:left="8880" w:hanging="1440"/>
      </w:pPr>
    </w:lvl>
  </w:abstractNum>
  <w:abstractNum w:abstractNumId="4">
    <w:nsid w:val="573CC918"/>
    <w:multiLevelType w:val="multilevel"/>
    <w:tmpl w:val="573CC918"/>
    <w:lvl w:ilvl="0" w:tentative="0">
      <w:start w:val="9"/>
      <w:numFmt w:val="decimal"/>
      <w:lvlText w:val="%1"/>
      <w:lvlJc w:val="left"/>
      <w:pPr>
        <w:ind w:left="612" w:hanging="612"/>
      </w:pPr>
    </w:lvl>
    <w:lvl w:ilvl="1" w:tentative="0">
      <w:start w:val="1"/>
      <w:numFmt w:val="decimal"/>
      <w:lvlText w:val="%1.%2"/>
      <w:lvlJc w:val="left"/>
      <w:pPr>
        <w:ind w:left="1332" w:hanging="612"/>
      </w:pPr>
    </w:lvl>
    <w:lvl w:ilvl="2" w:tentative="0">
      <w:start w:val="4"/>
      <w:numFmt w:val="decimal"/>
      <w:lvlText w:val="%1.%2.%3"/>
      <w:lvlJc w:val="left"/>
      <w:pPr>
        <w:ind w:left="2160" w:hanging="720"/>
      </w:pPr>
    </w:lvl>
    <w:lvl w:ilvl="3" w:tentative="0">
      <w:start w:val="1"/>
      <w:numFmt w:val="decimal"/>
      <w:lvlText w:val="%1.%2.%3.%4"/>
      <w:lvlJc w:val="left"/>
      <w:pPr>
        <w:ind w:left="2880" w:hanging="720"/>
      </w:pPr>
    </w:lvl>
    <w:lvl w:ilvl="4" w:tentative="0">
      <w:start w:val="1"/>
      <w:numFmt w:val="decimal"/>
      <w:lvlText w:val="%1.%2.%3.%4.%5"/>
      <w:lvlJc w:val="left"/>
      <w:pPr>
        <w:ind w:left="3960" w:hanging="1080"/>
      </w:pPr>
    </w:lvl>
    <w:lvl w:ilvl="5" w:tentative="0">
      <w:start w:val="1"/>
      <w:numFmt w:val="decimal"/>
      <w:lvlText w:val="%1.%2.%3.%4.%5.%6"/>
      <w:lvlJc w:val="left"/>
      <w:pPr>
        <w:ind w:left="4680" w:hanging="1080"/>
      </w:pPr>
    </w:lvl>
    <w:lvl w:ilvl="6" w:tentative="0">
      <w:start w:val="1"/>
      <w:numFmt w:val="decimal"/>
      <w:lvlText w:val="%1.%2.%3.%4.%5.%6.%7"/>
      <w:lvlJc w:val="left"/>
      <w:pPr>
        <w:ind w:left="5760" w:hanging="1440"/>
      </w:pPr>
    </w:lvl>
    <w:lvl w:ilvl="7" w:tentative="0">
      <w:start w:val="1"/>
      <w:numFmt w:val="decimal"/>
      <w:lvlText w:val="%1.%2.%3.%4.%5.%6.%7.%8"/>
      <w:lvlJc w:val="left"/>
      <w:pPr>
        <w:ind w:left="6480" w:hanging="1440"/>
      </w:pPr>
    </w:lvl>
    <w:lvl w:ilvl="8" w:tentative="0">
      <w:start w:val="1"/>
      <w:numFmt w:val="decimal"/>
      <w:lvlText w:val="%1.%2.%3.%4.%5.%6.%7.%8.%9"/>
      <w:lvlJc w:val="left"/>
      <w:pPr>
        <w:ind w:left="7200" w:hanging="144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ompat>
    <w:compatSetting w:name="compatibilityMode" w:uri="http://schemas.microsoft.com/office/word" w:val="15"/>
  </w:compat>
  <w:rsids>
    <w:rsidRoot w:val="00000000"/>
    <w:rsid w:val="2ED05C8F"/>
    <w:rsid w:val="50A84CAF"/>
    <w:rsid w:val="623A1909"/>
    <w:rsid w:val="6ECF72F5"/>
    <w:rsid w:val="712476C7"/>
    <w:rsid w:val="7516289E"/>
    <w:rsid w:val="77142E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uiPriority w:val="0"/>
    <w:pPr>
      <w:widowControl w:val="0"/>
    </w:pPr>
    <w:rPr>
      <w:rFonts w:ascii="Calibri" w:hAnsi="Calibri" w:eastAsia="Calibri" w:cs="Calibri"/>
      <w:sz w:val="22"/>
      <w:szCs w:val="22"/>
      <w:lang w:val="zh-CN"/>
    </w:rPr>
  </w:style>
  <w:style w:type="paragraph" w:styleId="2">
    <w:name w:val="heading 1"/>
    <w:basedOn w:val="1"/>
    <w:next w:val="1"/>
    <w:uiPriority w:val="0"/>
    <w:pPr>
      <w:ind w:left="1461" w:hanging="710"/>
    </w:pPr>
    <w:rPr>
      <w:b/>
    </w:rPr>
  </w:style>
  <w:style w:type="paragraph" w:styleId="3">
    <w:name w:val="heading 2"/>
    <w:basedOn w:val="1"/>
    <w:next w:val="1"/>
    <w:uiPriority w:val="0"/>
    <w:pPr>
      <w:keepNext/>
      <w:keepLines/>
      <w:pageBreakBefore w:val="0"/>
      <w:spacing w:before="360" w:after="80"/>
    </w:pPr>
    <w:rPr>
      <w:b/>
      <w:sz w:val="36"/>
      <w:szCs w:val="36"/>
    </w:rPr>
  </w:style>
  <w:style w:type="paragraph" w:styleId="4">
    <w:name w:val="heading 3"/>
    <w:basedOn w:val="1"/>
    <w:next w:val="1"/>
    <w:uiPriority w:val="0"/>
    <w:pPr>
      <w:keepNext/>
      <w:keepLines/>
      <w:pageBreakBefore w:val="0"/>
      <w:spacing w:before="280" w:after="80"/>
    </w:pPr>
    <w:rPr>
      <w:b/>
      <w:sz w:val="28"/>
      <w:szCs w:val="28"/>
    </w:rPr>
  </w:style>
  <w:style w:type="paragraph" w:styleId="5">
    <w:name w:val="heading 4"/>
    <w:basedOn w:val="1"/>
    <w:next w:val="1"/>
    <w:qFormat/>
    <w:uiPriority w:val="0"/>
    <w:pPr>
      <w:keepNext/>
      <w:keepLines/>
      <w:pageBreakBefore w:val="0"/>
      <w:spacing w:before="240" w:after="40"/>
    </w:pPr>
    <w:rPr>
      <w:b/>
      <w:sz w:val="24"/>
      <w:szCs w:val="24"/>
    </w:rPr>
  </w:style>
  <w:style w:type="paragraph" w:styleId="6">
    <w:name w:val="heading 5"/>
    <w:basedOn w:val="1"/>
    <w:next w:val="1"/>
    <w:qFormat/>
    <w:uiPriority w:val="0"/>
    <w:pPr>
      <w:keepNext/>
      <w:keepLines/>
      <w:pageBreakBefore w:val="0"/>
      <w:spacing w:before="220" w:after="40"/>
    </w:pPr>
    <w:rPr>
      <w:b/>
      <w:sz w:val="22"/>
      <w:szCs w:val="22"/>
    </w:rPr>
  </w:style>
  <w:style w:type="paragraph" w:styleId="7">
    <w:name w:val="heading 6"/>
    <w:basedOn w:val="1"/>
    <w:next w:val="1"/>
    <w:qFormat/>
    <w:uiPriority w:val="0"/>
    <w:pPr>
      <w:keepNext/>
      <w:keepLines/>
      <w:pageBreakBefore w:val="0"/>
      <w:spacing w:before="200" w:after="40"/>
    </w:pPr>
    <w:rPr>
      <w:b/>
      <w:sz w:val="20"/>
      <w:szCs w:val="20"/>
    </w:rPr>
  </w:style>
  <w:style w:type="character" w:default="1" w:styleId="8">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annotation reference"/>
    <w:basedOn w:val="8"/>
    <w:semiHidden/>
    <w:unhideWhenUsed/>
    <w:qFormat/>
    <w:uiPriority w:val="0"/>
    <w:rPr>
      <w:sz w:val="16"/>
      <w:szCs w:val="16"/>
    </w:rPr>
  </w:style>
  <w:style w:type="paragraph" w:styleId="11">
    <w:name w:val="Body Text"/>
    <w:qFormat/>
    <w:uiPriority w:val="1"/>
    <w:pPr>
      <w:widowControl w:val="0"/>
      <w:ind w:left="752"/>
      <w:jc w:val="both"/>
    </w:pPr>
    <w:rPr>
      <w:rFonts w:ascii="Calibri" w:hAnsi="Calibri" w:eastAsia="Calibri" w:cs="Calibri"/>
      <w:sz w:val="22"/>
      <w:szCs w:val="22"/>
      <w:lang w:val="zh-CN"/>
    </w:rPr>
  </w:style>
  <w:style w:type="paragraph" w:styleId="12">
    <w:name w:val="annotation text"/>
    <w:link w:val="22"/>
    <w:unhideWhenUsed/>
    <w:qFormat/>
    <w:uiPriority w:val="0"/>
    <w:pPr>
      <w:widowControl/>
      <w:autoSpaceDE/>
      <w:autoSpaceDN/>
    </w:pPr>
    <w:rPr>
      <w:rFonts w:ascii="Ecofont_Spranq_eco_Sans" w:hAnsi="Ecofont_Spranq_eco_Sans" w:eastAsia="Times New Roman" w:cs="Tahoma"/>
      <w:sz w:val="20"/>
      <w:szCs w:val="20"/>
      <w:lang w:val="pt-BR" w:eastAsia="pt-BR"/>
    </w:rPr>
  </w:style>
  <w:style w:type="paragraph" w:styleId="13">
    <w:name w:val="Title"/>
    <w:basedOn w:val="1"/>
    <w:next w:val="1"/>
    <w:uiPriority w:val="0"/>
    <w:pPr>
      <w:keepNext/>
      <w:keepLines/>
      <w:pageBreakBefore w:val="0"/>
      <w:spacing w:before="480" w:after="120"/>
    </w:pPr>
    <w:rPr>
      <w:b/>
      <w:sz w:val="72"/>
      <w:szCs w:val="72"/>
    </w:rPr>
  </w:style>
  <w:style w:type="paragraph" w:styleId="14">
    <w:name w:val="header"/>
    <w:link w:val="36"/>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5">
    <w:name w:val="footer"/>
    <w:link w:val="37"/>
    <w:unhideWhenUsed/>
    <w:qFormat/>
    <w:uiPriority w:val="99"/>
    <w:pPr>
      <w:widowControl w:val="0"/>
      <w:tabs>
        <w:tab w:val="center" w:pos="4252"/>
        <w:tab w:val="right" w:pos="8504"/>
      </w:tabs>
    </w:pPr>
    <w:rPr>
      <w:rFonts w:ascii="Calibri" w:hAnsi="Calibri" w:eastAsia="Calibri" w:cs="Calibri"/>
      <w:sz w:val="22"/>
      <w:szCs w:val="22"/>
      <w:lang w:val="zh-CN"/>
    </w:rPr>
  </w:style>
  <w:style w:type="paragraph" w:styleId="16">
    <w:name w:val="Subtitle"/>
    <w:basedOn w:val="1"/>
    <w:next w:val="1"/>
    <w:qFormat/>
    <w:uiPriority w:val="0"/>
    <w:pPr>
      <w:keepNext/>
      <w:keepLines/>
      <w:pageBreakBefore w:val="0"/>
      <w:spacing w:before="360" w:after="80"/>
    </w:pPr>
    <w:rPr>
      <w:rFonts w:ascii="Georgia" w:hAnsi="Georgia" w:eastAsia="Georgia" w:cs="Georgia"/>
      <w:i/>
      <w:color w:val="666666"/>
      <w:sz w:val="48"/>
      <w:szCs w:val="48"/>
    </w:rPr>
  </w:style>
  <w:style w:type="table" w:customStyle="1" w:styleId="17">
    <w:name w:val="TableNormal"/>
    <w:uiPriority w:val="0"/>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qFormat/>
    <w:uiPriority w:val="1"/>
    <w:pPr>
      <w:widowControl w:val="0"/>
      <w:spacing w:before="70"/>
      <w:ind w:left="752"/>
      <w:jc w:val="both"/>
    </w:pPr>
    <w:rPr>
      <w:rFonts w:ascii="Calibri" w:hAnsi="Calibri" w:eastAsia="Calibri" w:cs="Calibri"/>
      <w:sz w:val="22"/>
      <w:szCs w:val="22"/>
      <w:lang w:val="zh-CN"/>
    </w:rPr>
  </w:style>
  <w:style w:type="paragraph" w:customStyle="1" w:styleId="20">
    <w:name w:val="Table Paragraph"/>
    <w:qFormat/>
    <w:uiPriority w:val="1"/>
    <w:pPr>
      <w:widowControl w:val="0"/>
    </w:pPr>
    <w:rPr>
      <w:rFonts w:ascii="Calibri" w:hAnsi="Calibri" w:eastAsia="Calibri" w:cs="Calibri"/>
      <w:sz w:val="22"/>
      <w:szCs w:val="22"/>
      <w:lang w:val="zh-CN"/>
    </w:rPr>
  </w:style>
  <w:style w:type="paragraph" w:customStyle="1" w:styleId="21">
    <w:name w:val="Nivel 01"/>
    <w:link w:val="31"/>
    <w:qFormat/>
    <w:uiPriority w:val="0"/>
    <w:pPr>
      <w:keepNext/>
      <w:keepLines/>
      <w:widowControl/>
      <w:numPr>
        <w:ilvl w:val="0"/>
        <w:numId w:val="1"/>
      </w:numPr>
      <w:tabs>
        <w:tab w:val="left" w:pos="567"/>
      </w:tabs>
      <w:autoSpaceDE/>
      <w:autoSpaceDN/>
      <w:spacing w:before="120" w:after="120" w:line="276" w:lineRule="auto"/>
      <w:ind w:left="0" w:firstLine="0"/>
      <w:jc w:val="both"/>
    </w:pPr>
    <w:rPr>
      <w:rFonts w:ascii="Arial" w:hAnsi="Arial" w:cs="Arial" w:eastAsiaTheme="majorEastAsia"/>
      <w:sz w:val="20"/>
      <w:szCs w:val="20"/>
      <w:lang w:val="pt-BR"/>
    </w:rPr>
  </w:style>
  <w:style w:type="character" w:customStyle="1" w:styleId="22">
    <w:name w:val="Texto de comentário Char"/>
    <w:basedOn w:val="8"/>
    <w:link w:val="12"/>
    <w:qFormat/>
    <w:uiPriority w:val="0"/>
    <w:rPr>
      <w:rFonts w:ascii="Ecofont_Spranq_eco_Sans" w:hAnsi="Ecofont_Spranq_eco_Sans" w:eastAsia="Times New Roman" w:cs="Tahoma"/>
      <w:sz w:val="20"/>
      <w:szCs w:val="20"/>
      <w:lang w:val="pt-BR" w:eastAsia="pt-BR"/>
    </w:rPr>
  </w:style>
  <w:style w:type="paragraph" w:customStyle="1" w:styleId="23">
    <w:name w:val="Nivel 2"/>
    <w:link w:val="32"/>
    <w:qFormat/>
    <w:uiPriority w:val="0"/>
    <w:pPr>
      <w:widowControl/>
      <w:numPr>
        <w:ilvl w:val="1"/>
        <w:numId w:val="1"/>
      </w:numPr>
      <w:adjustRightInd w:val="0"/>
      <w:spacing w:before="120" w:after="120" w:line="276" w:lineRule="auto"/>
      <w:ind w:left="0" w:firstLine="0"/>
      <w:jc w:val="both"/>
    </w:pPr>
    <w:rPr>
      <w:rFonts w:ascii="Arial" w:hAnsi="Arial" w:eastAsia="Times New Roman" w:cs="Arial"/>
      <w:sz w:val="20"/>
      <w:szCs w:val="20"/>
      <w:lang w:val="pt-BR" w:eastAsia="pt-BR"/>
    </w:rPr>
  </w:style>
  <w:style w:type="paragraph" w:customStyle="1" w:styleId="24">
    <w:name w:val="Nível 2 -Red"/>
    <w:basedOn w:val="23"/>
    <w:link w:val="25"/>
    <w:qFormat/>
    <w:uiPriority w:val="0"/>
    <w:rPr>
      <w:i/>
      <w:iCs/>
      <w:color w:val="FF0000"/>
    </w:rPr>
  </w:style>
  <w:style w:type="character" w:customStyle="1" w:styleId="25">
    <w:name w:val="Nível 2 -Red Char"/>
    <w:basedOn w:val="8"/>
    <w:link w:val="24"/>
    <w:qFormat/>
    <w:uiPriority w:val="0"/>
    <w:rPr>
      <w:rFonts w:ascii="Arial" w:hAnsi="Arial" w:eastAsia="Times New Roman" w:cs="Arial"/>
      <w:i/>
      <w:iCs/>
      <w:color w:val="FF0000"/>
      <w:sz w:val="20"/>
      <w:szCs w:val="20"/>
      <w:lang w:val="pt-BR" w:eastAsia="pt-BR"/>
    </w:rPr>
  </w:style>
  <w:style w:type="paragraph" w:customStyle="1" w:styleId="26">
    <w:name w:val="Nível 3-R"/>
    <w:link w:val="28"/>
    <w:qFormat/>
    <w:uiPriority w:val="0"/>
    <w:pPr>
      <w:widowControl/>
      <w:numPr>
        <w:ilvl w:val="2"/>
        <w:numId w:val="1"/>
      </w:numPr>
      <w:autoSpaceDE/>
      <w:autoSpaceDN/>
      <w:spacing w:before="120" w:after="120" w:line="276" w:lineRule="auto"/>
      <w:jc w:val="both"/>
    </w:pPr>
    <w:rPr>
      <w:rFonts w:ascii="Arial" w:hAnsi="Arial" w:cs="Arial" w:eastAsiaTheme="minorEastAsia"/>
      <w:i/>
      <w:iCs/>
      <w:color w:val="FF0000"/>
      <w:sz w:val="20"/>
      <w:szCs w:val="20"/>
      <w:lang w:val="pt-BR" w:eastAsia="pt-BR"/>
    </w:rPr>
  </w:style>
  <w:style w:type="paragraph" w:customStyle="1" w:styleId="27">
    <w:name w:val="Nível 4"/>
    <w:link w:val="35"/>
    <w:qFormat/>
    <w:uiPriority w:val="0"/>
    <w:pPr>
      <w:widowControl/>
      <w:numPr>
        <w:ilvl w:val="3"/>
        <w:numId w:val="1"/>
      </w:numPr>
      <w:autoSpaceDE/>
      <w:autoSpaceDN/>
      <w:spacing w:before="120" w:after="120" w:line="276" w:lineRule="auto"/>
      <w:ind w:left="567" w:firstLine="0"/>
      <w:jc w:val="both"/>
    </w:pPr>
    <w:rPr>
      <w:rFonts w:ascii="Arial" w:hAnsi="Arial" w:eastAsia="Times New Roman" w:cs="Arial"/>
      <w:sz w:val="20"/>
      <w:szCs w:val="20"/>
      <w:lang w:val="pt-BR" w:eastAsia="pt-BR"/>
    </w:rPr>
  </w:style>
  <w:style w:type="character" w:customStyle="1" w:styleId="28">
    <w:name w:val="Nível 3-R Char"/>
    <w:basedOn w:val="8"/>
    <w:link w:val="26"/>
    <w:qFormat/>
    <w:uiPriority w:val="0"/>
    <w:rPr>
      <w:rFonts w:ascii="Arial" w:hAnsi="Arial" w:cs="Arial" w:eastAsiaTheme="minorEastAsia"/>
      <w:i/>
      <w:iCs/>
      <w:color w:val="FF0000"/>
      <w:sz w:val="20"/>
      <w:szCs w:val="20"/>
      <w:lang w:val="pt-BR" w:eastAsia="pt-BR"/>
    </w:rPr>
  </w:style>
  <w:style w:type="paragraph" w:customStyle="1" w:styleId="29">
    <w:name w:val="SubTitNN"/>
    <w:link w:val="30"/>
    <w:qFormat/>
    <w:uiPriority w:val="0"/>
    <w:pPr>
      <w:widowControl/>
      <w:autoSpaceDE/>
      <w:autoSpaceDN/>
      <w:spacing w:before="240" w:after="120" w:line="276" w:lineRule="auto"/>
      <w:jc w:val="both"/>
    </w:pPr>
    <w:rPr>
      <w:rFonts w:ascii="Arial" w:hAnsi="Arial" w:eastAsia="Times New Roman" w:cs="Arial"/>
      <w:b/>
      <w:bCs/>
      <w:iCs/>
      <w:sz w:val="20"/>
      <w:szCs w:val="20"/>
      <w:lang w:val="pt-BR" w:eastAsia="pt-BR"/>
    </w:rPr>
  </w:style>
  <w:style w:type="character" w:customStyle="1" w:styleId="30">
    <w:name w:val="SubTitNN Char"/>
    <w:basedOn w:val="8"/>
    <w:link w:val="29"/>
    <w:qFormat/>
    <w:uiPriority w:val="0"/>
    <w:rPr>
      <w:rFonts w:ascii="Arial" w:hAnsi="Arial" w:eastAsia="Times New Roman" w:cs="Arial"/>
      <w:b/>
      <w:bCs/>
      <w:iCs/>
      <w:sz w:val="20"/>
      <w:szCs w:val="20"/>
      <w:lang w:val="pt-BR" w:eastAsia="pt-BR"/>
    </w:rPr>
  </w:style>
  <w:style w:type="character" w:customStyle="1" w:styleId="31">
    <w:name w:val="Nivel 01 Char"/>
    <w:basedOn w:val="8"/>
    <w:link w:val="21"/>
    <w:qFormat/>
    <w:uiPriority w:val="0"/>
    <w:rPr>
      <w:rFonts w:ascii="Arial" w:hAnsi="Arial" w:cs="Arial" w:eastAsiaTheme="majorEastAsia"/>
      <w:b/>
      <w:bCs/>
      <w:sz w:val="20"/>
      <w:szCs w:val="20"/>
      <w:lang w:val="pt-BR"/>
    </w:rPr>
  </w:style>
  <w:style w:type="character" w:customStyle="1" w:styleId="32">
    <w:name w:val="Nivel 2 Char"/>
    <w:basedOn w:val="8"/>
    <w:link w:val="23"/>
    <w:qFormat/>
    <w:locked/>
    <w:uiPriority w:val="0"/>
    <w:rPr>
      <w:rFonts w:ascii="Arial" w:hAnsi="Arial" w:eastAsia="Times New Roman" w:cs="Arial"/>
      <w:sz w:val="20"/>
      <w:szCs w:val="20"/>
      <w:lang w:val="pt-BR" w:eastAsia="pt-BR"/>
    </w:rPr>
  </w:style>
  <w:style w:type="paragraph" w:customStyle="1" w:styleId="33">
    <w:name w:val="Nível 3"/>
    <w:basedOn w:val="26"/>
    <w:link w:val="34"/>
    <w:qFormat/>
    <w:uiPriority w:val="0"/>
    <w:pPr>
      <w:numPr>
        <w:numId w:val="2"/>
      </w:numPr>
      <w:ind w:left="284" w:firstLine="0"/>
    </w:pPr>
    <w:rPr>
      <w:rFonts w:eastAsia="Times New Roman"/>
      <w:i w:val="0"/>
      <w:iCs w:val="0"/>
    </w:rPr>
  </w:style>
  <w:style w:type="character" w:customStyle="1" w:styleId="34">
    <w:name w:val="Nível 3 Char"/>
    <w:basedOn w:val="28"/>
    <w:link w:val="33"/>
    <w:qFormat/>
    <w:uiPriority w:val="0"/>
    <w:rPr>
      <w:rFonts w:ascii="Arial" w:hAnsi="Arial" w:eastAsia="Times New Roman" w:cs="Arial"/>
      <w:i w:val="0"/>
      <w:iCs w:val="0"/>
      <w:color w:val="FF0000"/>
      <w:sz w:val="20"/>
      <w:szCs w:val="20"/>
      <w:lang w:val="pt-BR" w:eastAsia="pt-BR"/>
    </w:rPr>
  </w:style>
  <w:style w:type="character" w:customStyle="1" w:styleId="35">
    <w:name w:val="Nível 4 Char"/>
    <w:basedOn w:val="34"/>
    <w:link w:val="27"/>
    <w:qFormat/>
    <w:uiPriority w:val="0"/>
    <w:rPr>
      <w:rFonts w:ascii="Arial" w:hAnsi="Arial" w:eastAsia="Times New Roman" w:cs="Arial"/>
      <w:color w:val="FF0000"/>
      <w:sz w:val="20"/>
      <w:szCs w:val="20"/>
      <w:lang w:val="pt-BR" w:eastAsia="pt-BR"/>
    </w:rPr>
  </w:style>
  <w:style w:type="character" w:customStyle="1" w:styleId="36">
    <w:name w:val="Cabeçalho Char"/>
    <w:basedOn w:val="8"/>
    <w:link w:val="14"/>
    <w:qFormat/>
    <w:uiPriority w:val="99"/>
    <w:rPr>
      <w:rFonts w:ascii="Calibri" w:hAnsi="Calibri" w:eastAsia="Calibri" w:cs="Calibri"/>
      <w:lang w:val="pt-PT"/>
    </w:rPr>
  </w:style>
  <w:style w:type="character" w:customStyle="1" w:styleId="37">
    <w:name w:val="Rodapé Char"/>
    <w:basedOn w:val="8"/>
    <w:link w:val="15"/>
    <w:qFormat/>
    <w:uiPriority w:val="99"/>
    <w:rPr>
      <w:rFonts w:ascii="Calibri" w:hAnsi="Calibri" w:eastAsia="Calibri" w:cs="Calibri"/>
      <w:lang w:val="pt-PT"/>
    </w:rPr>
  </w:style>
  <w:style w:type="table" w:customStyle="1" w:styleId="38">
    <w:name w:val="_Style 39"/>
    <w:basedOn w:val="17"/>
    <w:qFormat/>
    <w:uiPriority w:val="0"/>
    <w:tblPr>
      <w:tblCellMar>
        <w:top w:w="0" w:type="dxa"/>
        <w:left w:w="0" w:type="dxa"/>
        <w:bottom w:w="0" w:type="dxa"/>
        <w:right w:w="0" w:type="dxa"/>
      </w:tblCellMar>
    </w:tblPr>
  </w:style>
  <w:style w:type="table" w:customStyle="1" w:styleId="39">
    <w:name w:val="_Style 40"/>
    <w:basedOn w:val="17"/>
    <w:qFormat/>
    <w:uiPriority w:val="0"/>
    <w:tblPr>
      <w:tblCellMar>
        <w:top w:w="0" w:type="dxa"/>
        <w:left w:w="115" w:type="dxa"/>
        <w:bottom w:w="0" w:type="dxa"/>
        <w:right w:w="115" w:type="dxa"/>
      </w:tblCellMar>
    </w:tblPr>
  </w:style>
  <w:style w:type="table" w:customStyle="1" w:styleId="40">
    <w:name w:val="_Style 41"/>
    <w:basedOn w:val="17"/>
    <w:uiPriority w:val="0"/>
    <w:tblPr>
      <w:tblCellMar>
        <w:top w:w="0" w:type="dxa"/>
        <w:left w:w="10" w:type="dxa"/>
        <w:bottom w:w="0" w:type="dxa"/>
        <w:right w:w="10" w:type="dxa"/>
      </w:tblCellMar>
    </w:tblPr>
  </w:style>
  <w:style w:type="table" w:customStyle="1" w:styleId="41">
    <w:name w:val="_Style 42"/>
    <w:basedOn w:val="17"/>
    <w:qFormat/>
    <w:uiPriority w:val="0"/>
    <w:tblPr>
      <w:tblCellMar>
        <w:top w:w="0" w:type="dxa"/>
        <w:left w:w="10" w:type="dxa"/>
        <w:bottom w:w="0" w:type="dxa"/>
        <w:right w:w="1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9fbRtkN6WQUGSC8pMEnnuivySg==">CgMxLjAyCWlkLmdqZGd4czIKaWQuMzBqMHpsbDIKaWQuMWZvYjl0ZTIKaWQuM3pueXNoNzIKaWQuMmV0OTJwMDIJaWQudHlqY3d0MgppZC4zZHk2dmttMgppZC4xdDNoNXNmMgppZC40ZDM0b2c4MgppZC4yczhleW8xMgppZC4xN2RwOHZ1MgppZC4zcmRjcmpuMg5oLmhhdGFnOTUzaXY5bzgAciExRjNYRXctYmUxT0U2QlFIRDhidllzeWdTNlNSUnBiVkc=</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8</Pages>
  <TotalTime>1</TotalTime>
  <ScaleCrop>false</ScaleCrop>
  <LinksUpToDate>false</LinksUpToDate>
  <Application>WPS Office_12.2.0.23155_F1E327BC-269C-435d-A152-05C5408002CA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lastModifiedBy>Juliana Borsoi</cp:lastModifiedBy>
  <dcterms:modified xsi:type="dcterms:W3CDTF">2025-11-30T14:11:46Z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1046-12.2.0.23155</vt:lpwstr>
  </property>
  <property fmtid="{D5CDD505-2E9C-101B-9397-08002B2CF9AE}" pid="6" name="ICV">
    <vt:lpwstr>C52321B2457D45638AA29673D4D5EC1B_12</vt:lpwstr>
  </property>
</Properties>
</file>