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Pr>
              <w:drawing>
                <wp:inline distB="0" distT="0" distL="0" distR="0">
                  <wp:extent cx="684860" cy="370331"/>
                  <wp:effectExtent b="0" l="0" r="0" t="0"/>
                  <wp:docPr id="2115606147"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49"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Pr>
              <w:drawing>
                <wp:inline distB="0" distT="0" distL="0" distR="0">
                  <wp:extent cx="927176" cy="196596"/>
                  <wp:effectExtent b="0" l="0" r="0" t="0"/>
                  <wp:docPr id="2115606148"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i w:val="0"/>
                <w:smallCaps w:val="0"/>
                <w:strike w:val="0"/>
                <w:color w:val="0000ff"/>
                <w:sz w:val="18"/>
                <w:szCs w:val="18"/>
                <w:u w:val="none"/>
                <w:shd w:fill="auto" w:val="clear"/>
                <w:vertAlign w:val="baseline"/>
              </w:rPr>
            </w:pPr>
            <w:r w:rsidDel="00000000" w:rsidR="00000000" w:rsidRPr="00000000">
              <w:rPr>
                <w:rFonts w:ascii="Arial" w:cs="Arial" w:eastAsia="Arial" w:hAnsi="Arial"/>
                <w:b w:val="1"/>
                <w:i w:val="0"/>
                <w:smallCaps w:val="0"/>
                <w:strike w:val="0"/>
                <w:color w:val="0000ff"/>
                <w:sz w:val="18"/>
                <w:szCs w:val="18"/>
                <w:u w:val="none"/>
                <w:shd w:fill="auto" w:val="clear"/>
                <w:vertAlign w:val="baseline"/>
                <w:rtl w:val="0"/>
              </w:rPr>
              <w:t xml:space="preserve">ANEXO </w:t>
            </w:r>
            <w:r w:rsidDel="00000000" w:rsidR="00000000" w:rsidRPr="00000000">
              <w:rPr>
                <w:rFonts w:ascii="Arial" w:cs="Arial" w:eastAsia="Arial" w:hAnsi="Arial"/>
                <w:b w:val="1"/>
                <w:color w:val="0000ff"/>
                <w:sz w:val="18"/>
                <w:szCs w:val="18"/>
                <w:rtl w:val="0"/>
              </w:rPr>
              <w:t xml:space="preserve">VI </w:t>
            </w:r>
            <w:r w:rsidDel="00000000" w:rsidR="00000000" w:rsidRPr="00000000">
              <w:rPr>
                <w:rFonts w:ascii="Arial" w:cs="Arial" w:eastAsia="Arial" w:hAnsi="Arial"/>
                <w:b w:val="1"/>
                <w:i w:val="0"/>
                <w:smallCaps w:val="0"/>
                <w:strike w:val="0"/>
                <w:color w:val="0000ff"/>
                <w:sz w:val="18"/>
                <w:szCs w:val="18"/>
                <w:u w:val="none"/>
                <w:shd w:fill="auto" w:val="clear"/>
                <w:vertAlign w:val="baseline"/>
                <w:rtl w:val="0"/>
              </w:rPr>
              <w:t xml:space="preserve">DO EDITAL DO </w:t>
            </w:r>
            <w:r w:rsidDel="00000000" w:rsidR="00000000" w:rsidRPr="00000000">
              <w:rPr>
                <w:rFonts w:ascii="Arial" w:cs="Arial" w:eastAsia="Arial" w:hAnsi="Arial"/>
                <w:b w:val="1"/>
                <w:color w:val="0000ff"/>
                <w:sz w:val="18"/>
                <w:szCs w:val="18"/>
                <w:rtl w:val="0"/>
              </w:rPr>
              <w:t xml:space="preserve">PE</w:t>
            </w:r>
            <w:r w:rsidDel="00000000" w:rsidR="00000000" w:rsidRPr="00000000">
              <w:rPr>
                <w:rFonts w:ascii="Arial" w:cs="Arial" w:eastAsia="Arial" w:hAnsi="Arial"/>
                <w:b w:val="1"/>
                <w:i w:val="0"/>
                <w:smallCaps w:val="0"/>
                <w:strike w:val="0"/>
                <w:color w:val="0000ff"/>
                <w:sz w:val="18"/>
                <w:szCs w:val="18"/>
                <w:u w:val="none"/>
                <w:shd w:fill="auto" w:val="clear"/>
                <w:vertAlign w:val="baseline"/>
                <w:rtl w:val="0"/>
              </w:rPr>
              <w:t xml:space="preserve"> N.º xx/202</w:t>
            </w:r>
            <w:r w:rsidDel="00000000" w:rsidR="00000000" w:rsidRPr="00000000">
              <w:rPr>
                <w:rFonts w:ascii="Arial" w:cs="Arial" w:eastAsia="Arial" w:hAnsi="Arial"/>
                <w:b w:val="1"/>
                <w:color w:val="0000ff"/>
                <w:sz w:val="18"/>
                <w:szCs w:val="18"/>
                <w:rtl w:val="0"/>
              </w:rPr>
              <w:t xml:space="preserve">5</w:t>
            </w:r>
            <w:r w:rsidDel="00000000" w:rsidR="00000000" w:rsidRPr="00000000">
              <w:rPr>
                <w:rFonts w:ascii="Arial" w:cs="Arial" w:eastAsia="Arial" w:hAnsi="Arial"/>
                <w:b w:val="1"/>
                <w:i w:val="0"/>
                <w:smallCaps w:val="0"/>
                <w:strike w:val="0"/>
                <w:color w:val="0000ff"/>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2" w:lineRule="auto"/>
              <w:ind w:left="1254"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44"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3" name="Shape 3"/>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9" name="Shape 9"/>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4"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color w:val="0000ff"/>
                <w:highlight w:val="yellow"/>
                <w:rtl w:val="0"/>
              </w:rPr>
              <w:t xml:space="preserve">nº ......./202...,</w:t>
            </w:r>
            <w:r w:rsidDel="00000000" w:rsidR="00000000" w:rsidRPr="00000000">
              <w:rPr>
                <w:color w:val="0000ff"/>
                <w:rtl w:val="0"/>
              </w:rPr>
              <w:t xml:space="preserve"> </w:t>
            </w:r>
            <w:r w:rsidDel="00000000" w:rsidR="00000000" w:rsidRPr="00000000">
              <w:rPr>
                <w:rtl w:val="0"/>
              </w:rPr>
              <w:t xml:space="preserve">processo administrativo</w:t>
            </w:r>
            <w:r w:rsidDel="00000000" w:rsidR="00000000" w:rsidRPr="00000000">
              <w:rPr>
                <w:color w:val="0000ff"/>
                <w:rtl w:val="0"/>
              </w:rPr>
              <w:t xml:space="preserve"> </w:t>
            </w:r>
            <w:r w:rsidDel="00000000" w:rsidR="00000000" w:rsidRPr="00000000">
              <w:rPr>
                <w:color w:val="0000ff"/>
                <w:highlight w:val="yellow"/>
                <w:rtl w:val="0"/>
              </w:rPr>
              <w:t xml:space="preserve">n.º ........,</w:t>
            </w:r>
            <w:r w:rsidDel="00000000" w:rsidR="00000000" w:rsidRPr="00000000">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presente Ata tem por objeto o registro de preços para a eventual aquisição de </w:t>
            </w:r>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 xml:space="preserve">xxxxx</w:t>
            </w:r>
            <w:r w:rsidDel="00000000" w:rsidR="00000000" w:rsidRPr="00000000">
              <w:rPr>
                <w:rFonts w:ascii="Calibri" w:cs="Calibri" w:eastAsia="Calibri" w:hAnsi="Calibri"/>
                <w:b w:val="1"/>
                <w:i w:val="0"/>
                <w:smallCaps w:val="0"/>
                <w:strike w:val="0"/>
                <w:color w:val="0000ff"/>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especificado(s) no(s) item(ns) do Termo de Referência e Planilha de Itens, Anexos I e </w:t>
            </w:r>
            <w:r w:rsidDel="00000000" w:rsidR="00000000" w:rsidRPr="00000000">
              <w:rPr>
                <w:b w:val="0"/>
                <w:i w:val="0"/>
                <w:smallCaps w:val="0"/>
                <w:strike w:val="0"/>
                <w:color w:val="000000"/>
                <w:sz w:val="22"/>
                <w:szCs w:val="22"/>
                <w:u w:val="none"/>
                <w:shd w:fill="auto" w:val="clear"/>
                <w:vertAlign w:val="baseline"/>
                <w:rtl w:val="0"/>
              </w:rPr>
              <w:t xml:space="preserve">III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do edital de Pregão nº  </w:t>
            </w:r>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 xml:space="preserve">xx/202</w:t>
            </w:r>
            <w:r w:rsidDel="00000000" w:rsidR="00000000" w:rsidRPr="00000000">
              <w:rPr>
                <w:color w:val="0000ff"/>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02"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1" w:firstLine="2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w:t>
            </w:r>
            <w:r w:rsidDel="00000000" w:rsidR="00000000" w:rsidRPr="00000000">
              <w:rPr>
                <w:b w:val="1"/>
                <w:i w:val="0"/>
                <w:smallCaps w:val="0"/>
                <w:strike w:val="0"/>
                <w:color w:val="000000"/>
                <w:sz w:val="22"/>
                <w:szCs w:val="22"/>
                <w:u w:val="none"/>
                <w:shd w:fill="auto" w:val="clear"/>
                <w:vertAlign w:val="baseline"/>
                <w:rtl w:val="0"/>
              </w:rPr>
              <w:t xml:space="preserve">UNITÁRIO</w:t>
            </w: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right="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43"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3" name="Shape 3"/>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5" name="Shape 5"/>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3"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910273</wp:posOffset>
                </wp:positionH>
                <wp:positionV relativeFrom="page">
                  <wp:posOffset>2688908</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910273</wp:posOffset>
                </wp:positionH>
                <wp:positionV relativeFrom="page">
                  <wp:posOffset>2688908</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50"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gerenciador será a </w:t>
      </w:r>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 xml:space="preserve">Pró-Reitoria de Administração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color w:val="0000ff"/>
          <w:shd w:fill="auto" w:val="clear"/>
        </w:rPr>
      </w:pPr>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 xml:space="preserve">Além do gerenciador, não há</w:t>
      </w:r>
      <w:r w:rsidDel="00000000" w:rsidR="00000000" w:rsidRPr="00000000">
        <w:rPr>
          <w:b w:val="0"/>
          <w:i w:val="0"/>
          <w:smallCaps w:val="0"/>
          <w:strike w:val="0"/>
          <w:color w:val="0000ff"/>
          <w:sz w:val="22"/>
          <w:szCs w:val="22"/>
          <w:u w:val="none"/>
          <w:shd w:fill="auto" w:val="clear"/>
          <w:vertAlign w:val="baseline"/>
          <w:rtl w:val="0"/>
        </w:rPr>
        <w:t xml:space="preserve"> órgãos e entidades públicas participantes do registro de preços.</w:t>
      </w: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right="0"/>
        <w:jc w:val="center"/>
        <w:rPr>
          <w:b w:val="1"/>
          <w:color w:val="0000ff"/>
          <w:sz w:val="28"/>
          <w:szCs w:val="28"/>
          <w:shd w:fill="auto" w:val="clear"/>
        </w:rPr>
      </w:pPr>
      <w:r w:rsidDel="00000000" w:rsidR="00000000" w:rsidRPr="00000000">
        <w:rPr>
          <w:b w:val="1"/>
          <w:i w:val="0"/>
          <w:strike w:val="0"/>
          <w:color w:val="0000ff"/>
          <w:sz w:val="28"/>
          <w:szCs w:val="28"/>
          <w:u w:val="none"/>
          <w:shd w:fill="auto" w:val="clear"/>
          <w:vertAlign w:val="baseline"/>
          <w:rtl w:val="0"/>
        </w:rPr>
        <w:t xml:space="preserve">OU</w:t>
      </w:r>
      <w:r w:rsidDel="00000000" w:rsidR="00000000" w:rsidRPr="00000000">
        <w:rPr>
          <w:rtl w:val="0"/>
        </w:rPr>
      </w:r>
    </w:p>
    <w:p w:rsidR="00000000" w:rsidDel="00000000" w:rsidP="00000000" w:rsidRDefault="00000000" w:rsidRPr="00000000" w14:paraId="0000005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color w:val="0000ff"/>
          <w:shd w:fill="auto" w:val="clear"/>
        </w:rPr>
      </w:pPr>
      <w:r w:rsidDel="00000000" w:rsidR="00000000" w:rsidRPr="00000000">
        <w:rPr>
          <w:b w:val="0"/>
          <w:i w:val="0"/>
          <w:smallCaps w:val="0"/>
          <w:strike w:val="0"/>
          <w:color w:val="0000ff"/>
          <w:sz w:val="22"/>
          <w:szCs w:val="22"/>
          <w:u w:val="none"/>
          <w:shd w:fill="auto" w:val="clear"/>
          <w:vertAlign w:val="baseline"/>
          <w:rtl w:val="0"/>
        </w:rPr>
        <w:t xml:space="preserve">Além do gerenciador s</w:t>
      </w:r>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 xml:space="preserve">ão órgãos e entidades públicas participantes do registro de preços:</w:t>
      </w: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8978.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44"/>
        <w:gridCol w:w="2244"/>
        <w:gridCol w:w="2245"/>
        <w:gridCol w:w="2245"/>
        <w:tblGridChange w:id="0">
          <w:tblGrid>
            <w:gridCol w:w="2244"/>
            <w:gridCol w:w="2244"/>
            <w:gridCol w:w="2245"/>
            <w:gridCol w:w="224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3">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Item nº </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4">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Órgãos Participantes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5">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Unidade</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6">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Quantidade</w:t>
            </w:r>
          </w:p>
        </w:tc>
      </w:tr>
      <w:tr>
        <w:trPr>
          <w:cantSplit w:val="0"/>
          <w:trHeight w:val="176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7">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8">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9">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A">
            <w:pPr>
              <w:spacing w:line="360" w:lineRule="auto"/>
              <w:ind w:right="-30"/>
              <w:jc w:val="center"/>
              <w:rPr>
                <w:rFonts w:ascii="Arial" w:cs="Arial" w:eastAsia="Arial" w:hAnsi="Arial"/>
                <w:i w:val="1"/>
                <w:color w:val="ff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B">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C">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D">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E">
            <w:pPr>
              <w:spacing w:line="360" w:lineRule="auto"/>
              <w:ind w:right="-30"/>
              <w:jc w:val="center"/>
              <w:rPr>
                <w:rFonts w:ascii="Arial" w:cs="Arial" w:eastAsia="Arial" w:hAnsi="Arial"/>
                <w:i w:val="1"/>
                <w:color w:val="ff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F">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0">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1">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2">
            <w:pPr>
              <w:spacing w:line="360" w:lineRule="auto"/>
              <w:ind w:right="-30"/>
              <w:jc w:val="center"/>
              <w:rPr>
                <w:rFonts w:ascii="Arial" w:cs="Arial" w:eastAsia="Arial" w:hAnsi="Arial"/>
                <w:i w:val="1"/>
                <w:color w:val="ff0000"/>
                <w:sz w:val="20"/>
                <w:szCs w:val="20"/>
              </w:rPr>
            </w:pPr>
            <w:r w:rsidDel="00000000" w:rsidR="00000000" w:rsidRPr="00000000">
              <w:rPr>
                <w:rtl w:val="0"/>
              </w:rPr>
            </w:r>
          </w:p>
        </w:tc>
      </w:tr>
    </w:tbl>
    <w:p w:rsidR="00000000" w:rsidDel="00000000" w:rsidP="00000000" w:rsidRDefault="00000000" w:rsidRPr="00000000" w14:paraId="00000063">
      <w:pPr>
        <w:tabs>
          <w:tab w:val="left" w:leader="none" w:pos="1462"/>
        </w:tabs>
        <w:spacing w:before="73" w:lineRule="auto"/>
        <w:rPr/>
      </w:pP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A IRP nº </w:t>
      </w:r>
      <w:r w:rsidDel="00000000" w:rsidR="00000000" w:rsidRPr="00000000">
        <w:rPr>
          <w:rFonts w:ascii="Calibri" w:cs="Calibri" w:eastAsia="Calibri" w:hAnsi="Calibri"/>
          <w:b w:val="1"/>
          <w:i w:val="0"/>
          <w:smallCaps w:val="0"/>
          <w:strike w:val="0"/>
          <w:color w:val="ff0000"/>
          <w:sz w:val="22"/>
          <w:szCs w:val="22"/>
          <w:u w:val="none"/>
          <w:shd w:fill="auto" w:val="clear"/>
          <w:vertAlign w:val="baseline"/>
          <w:rtl w:val="0"/>
        </w:rPr>
        <w:t xml:space="preserve">xx/2023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não foi divulgada, conforme previsão do</w:t>
      </w:r>
      <w:r w:rsidDel="00000000" w:rsidR="00000000" w:rsidRPr="00000000">
        <w:rPr>
          <w:color w:val="ff0000"/>
          <w:shd w:fill="auto" w:val="clear"/>
          <w:rtl w:val="0"/>
        </w:rPr>
        <w:t xml:space="preserve">……</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w:t>
      </w:r>
    </w:p>
    <w:p w:rsidR="00000000" w:rsidDel="00000000" w:rsidP="00000000" w:rsidRDefault="00000000" w:rsidRPr="00000000" w14:paraId="0000006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right="0"/>
        <w:jc w:val="center"/>
        <w:rPr>
          <w:rFonts w:ascii="Calibri" w:cs="Calibri" w:eastAsia="Calibri" w:hAnsi="Calibri"/>
          <w:b w:val="0"/>
          <w:i w:val="0"/>
          <w:strike w:val="0"/>
          <w:color w:val="0000ff"/>
          <w:sz w:val="32"/>
          <w:szCs w:val="32"/>
          <w:u w:val="none"/>
          <w:shd w:fill="auto" w:val="clear"/>
          <w:vertAlign w:val="baseline"/>
        </w:rPr>
      </w:pPr>
      <w:r w:rsidDel="00000000" w:rsidR="00000000" w:rsidRPr="00000000">
        <w:rPr>
          <w:b w:val="0"/>
          <w:i w:val="0"/>
          <w:strike w:val="0"/>
          <w:color w:val="0000ff"/>
          <w:sz w:val="32"/>
          <w:szCs w:val="32"/>
          <w:u w:val="none"/>
          <w:shd w:fill="auto" w:val="clear"/>
          <w:vertAlign w:val="baseline"/>
          <w:rtl w:val="0"/>
        </w:rPr>
        <w:t xml:space="preserve">OU</w:t>
      </w:r>
      <w:r w:rsidDel="00000000" w:rsidR="00000000" w:rsidRPr="00000000">
        <w:rPr>
          <w:rtl w:val="0"/>
        </w:rPr>
      </w:r>
    </w:p>
    <w:p w:rsidR="00000000" w:rsidDel="00000000" w:rsidP="00000000" w:rsidRDefault="00000000" w:rsidRPr="00000000" w14:paraId="00000066">
      <w:pPr>
        <w:numPr>
          <w:ilvl w:val="1"/>
          <w:numId w:val="2"/>
        </w:numPr>
        <w:tabs>
          <w:tab w:val="left" w:leader="none" w:pos="1462"/>
        </w:tabs>
        <w:spacing w:before="80" w:lineRule="auto"/>
        <w:ind w:left="1461" w:hanging="709"/>
        <w:jc w:val="both"/>
        <w:rPr>
          <w:highlight w:val="yellow"/>
        </w:rPr>
      </w:pPr>
      <w:r w:rsidDel="00000000" w:rsidR="00000000" w:rsidRPr="00000000">
        <w:rPr>
          <w:color w:val="ff0000"/>
          <w:sz w:val="14"/>
          <w:szCs w:val="14"/>
          <w:shd w:fill="auto" w:val="clear"/>
          <w:rtl w:val="0"/>
        </w:rPr>
        <w:t xml:space="preserve"> </w:t>
      </w:r>
      <w:r w:rsidDel="00000000" w:rsidR="00000000" w:rsidRPr="00000000">
        <w:rPr>
          <w:color w:val="ff0000"/>
          <w:shd w:fill="auto" w:val="clear"/>
          <w:rtl w:val="0"/>
        </w:rPr>
        <w:t xml:space="preserve">A IRP nº </w:t>
      </w:r>
      <w:r w:rsidDel="00000000" w:rsidR="00000000" w:rsidRPr="00000000">
        <w:rPr>
          <w:b w:val="1"/>
          <w:color w:val="ff0000"/>
          <w:shd w:fill="auto" w:val="clear"/>
          <w:rtl w:val="0"/>
        </w:rPr>
        <w:t xml:space="preserve">xx/2023 </w:t>
      </w:r>
      <w:r w:rsidDel="00000000" w:rsidR="00000000" w:rsidRPr="00000000">
        <w:rPr>
          <w:color w:val="ff0000"/>
          <w:shd w:fill="auto" w:val="clear"/>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67">
      <w:pPr>
        <w:tabs>
          <w:tab w:val="left" w:leader="none" w:pos="1462"/>
        </w:tabs>
        <w:spacing w:before="80" w:lineRule="auto"/>
        <w:jc w:val="both"/>
        <w:rPr>
          <w:color w:val="ff0000"/>
          <w:shd w:fill="auto" w:val="clear"/>
        </w:rPr>
      </w:pPr>
      <w:r w:rsidDel="00000000" w:rsidR="00000000" w:rsidRPr="00000000">
        <w:rPr>
          <w:rtl w:val="0"/>
        </w:rPr>
      </w:r>
    </w:p>
    <w:p w:rsidR="00000000" w:rsidDel="00000000" w:rsidP="00000000" w:rsidRDefault="00000000" w:rsidRPr="00000000" w14:paraId="00000068">
      <w:pPr>
        <w:tabs>
          <w:tab w:val="left" w:leader="none" w:pos="1462"/>
        </w:tabs>
        <w:spacing w:before="80" w:lineRule="auto"/>
        <w:ind w:firstLine="1761"/>
        <w:jc w:val="both"/>
        <w:rPr>
          <w:b w:val="1"/>
          <w:color w:val="404040"/>
          <w:highlight w:val="yellow"/>
        </w:rPr>
      </w:pPr>
      <w:r w:rsidDel="00000000" w:rsidR="00000000" w:rsidRPr="00000000">
        <w:rPr>
          <w:b w:val="1"/>
          <w:color w:val="404040"/>
          <w:shd w:fill="auto" w:val="clear"/>
          <w:rtl w:val="0"/>
        </w:rPr>
        <w:t xml:space="preserve">Inclusão dos subitens acima para indicar se houve divulgação ou não da IRP.</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5" name=""/>
                <a:graphic>
                  <a:graphicData uri="http://schemas.microsoft.com/office/word/2010/wordprocessingShape">
                    <wps:wsp>
                      <wps:cNvSpPr/>
                      <wps:cNvPr id="11" name="Shape 11"/>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5"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6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6B">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6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shd w:fill="auto" w:val="clear"/>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w:t>
      </w:r>
      <w:r w:rsidDel="00000000" w:rsidR="00000000" w:rsidRPr="00000000">
        <w:rPr>
          <w:b w:val="0"/>
          <w:i w:val="0"/>
          <w:smallCaps w:val="0"/>
          <w:strike w:val="0"/>
          <w:color w:val="0000ff"/>
          <w:sz w:val="22"/>
          <w:szCs w:val="22"/>
          <w:u w:val="none"/>
          <w:shd w:fill="auto" w:val="clear"/>
          <w:vertAlign w:val="baseline"/>
          <w:rtl w:val="0"/>
        </w:rPr>
        <w:t xml:space="preserve">Não será admitida a adesão à ata de registro de preços decorrente desta licitação, conforme justificativa apresentada</w:t>
      </w:r>
      <w:r w:rsidDel="00000000" w:rsidR="00000000" w:rsidRPr="00000000">
        <w:rPr>
          <w:i w:val="1"/>
          <w:shd w:fill="auto" w:val="clear"/>
          <w:rtl w:val="0"/>
        </w:rPr>
        <w:t xml:space="preserve"> </w:t>
      </w:r>
      <w:r w:rsidDel="00000000" w:rsidR="00000000" w:rsidRPr="00000000">
        <w:rPr>
          <w:i w:val="0"/>
          <w:color w:val="4f6228"/>
          <w:shd w:fill="auto" w:val="clear"/>
          <w:rtl w:val="0"/>
        </w:rPr>
        <w:t xml:space="preserve">no despacho de autorização de abertura de procedimento licitatório pela autoridade competente no processo 23069.xxxxxxxxxxxxxxxxxx</w:t>
      </w:r>
      <w:r w:rsidDel="00000000" w:rsidR="00000000" w:rsidRPr="00000000">
        <w:rPr>
          <w:rFonts w:ascii="Calibri" w:cs="Calibri" w:eastAsia="Calibri" w:hAnsi="Calibri"/>
          <w:b w:val="0"/>
          <w:i w:val="0"/>
          <w:smallCaps w:val="0"/>
          <w:strike w:val="0"/>
          <w:color w:val="4f6228"/>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center"/>
        <w:rPr>
          <w:b w:val="1"/>
          <w:color w:val="404040"/>
          <w:shd w:fill="auto" w:val="clear"/>
        </w:rPr>
      </w:pPr>
      <w:r w:rsidDel="00000000" w:rsidR="00000000" w:rsidRPr="00000000">
        <w:rPr>
          <w:b w:val="1"/>
          <w:color w:val="404040"/>
          <w:shd w:fill="auto" w:val="clear"/>
          <w:rtl w:val="0"/>
        </w:rPr>
        <w:t xml:space="preserve">Alteração da redação para indicar onde estará a justificada a permissão de adesão.</w:t>
      </w:r>
    </w:p>
    <w:p w:rsidR="00000000" w:rsidDel="00000000" w:rsidP="00000000" w:rsidRDefault="00000000" w:rsidRPr="00000000" w14:paraId="0000006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center"/>
        <w:rPr>
          <w:b w:val="1"/>
          <w:color w:val="404040"/>
          <w:shd w:fill="auto" w:val="clear"/>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right="0"/>
        <w:jc w:val="center"/>
        <w:rPr>
          <w:b w:val="0"/>
          <w:i w:val="0"/>
          <w:strike w:val="0"/>
          <w:color w:val="0000ff"/>
          <w:sz w:val="32"/>
          <w:szCs w:val="32"/>
          <w:u w:val="none"/>
          <w:shd w:fill="auto" w:val="clear"/>
          <w:vertAlign w:val="baseline"/>
        </w:rPr>
      </w:pPr>
      <w:r w:rsidDel="00000000" w:rsidR="00000000" w:rsidRPr="00000000">
        <w:rPr>
          <w:b w:val="0"/>
          <w:i w:val="0"/>
          <w:strike w:val="0"/>
          <w:color w:val="0000ff"/>
          <w:sz w:val="32"/>
          <w:szCs w:val="32"/>
          <w:u w:val="none"/>
          <w:shd w:fill="auto" w:val="clear"/>
          <w:vertAlign w:val="baseline"/>
          <w:rtl w:val="0"/>
        </w:rPr>
        <w:t xml:space="preserve">Ou</w:t>
      </w:r>
    </w:p>
    <w:p w:rsidR="00000000" w:rsidDel="00000000" w:rsidP="00000000" w:rsidRDefault="00000000" w:rsidRPr="00000000" w14:paraId="0000007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right="0"/>
        <w:jc w:val="center"/>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p>
    <w:p w:rsidR="00000000" w:rsidDel="00000000" w:rsidP="00000000" w:rsidRDefault="00000000" w:rsidRPr="00000000" w14:paraId="0000007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751" w:right="700" w:firstLine="0"/>
        <w:jc w:val="both"/>
        <w:rPr>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4.2.1. apresentação de justificativa da vantagem da adesão, inclusive em situações de provável desabastecimento ou descontinuidade de serviço público;</w:t>
      </w:r>
    </w:p>
    <w:p w:rsidR="00000000" w:rsidDel="00000000" w:rsidP="00000000" w:rsidRDefault="00000000" w:rsidRPr="00000000" w14:paraId="0000007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4.2.2.  demonstração de que os valores registrados estão compatíveis com os valores praticados pelo mercado na forma do art. 23 da Lei nº 14.133, de 2021; e</w:t>
      </w:r>
    </w:p>
    <w:p w:rsidR="00000000" w:rsidDel="00000000" w:rsidP="00000000" w:rsidRDefault="00000000" w:rsidRPr="00000000" w14:paraId="0000007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4.2.3.  consulta e aceitação prévias do órgão ou da entidade gerenciadora e do fornecedor</w:t>
      </w:r>
    </w:p>
    <w:p w:rsidR="00000000" w:rsidDel="00000000" w:rsidP="00000000" w:rsidRDefault="00000000" w:rsidRPr="00000000" w14:paraId="0000007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A autorização do órgão ou entidade gerenciadora apenas será realizada após a aceitação da adesão pelo fornecedor.</w:t>
      </w:r>
    </w:p>
    <w:p w:rsidR="00000000" w:rsidDel="00000000" w:rsidP="00000000" w:rsidRDefault="00000000" w:rsidRPr="00000000" w14:paraId="0000007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751" w:right="700" w:firstLine="0"/>
        <w:jc w:val="both"/>
        <w:rPr>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4.3.1. O órgão ou entidade gerenciadora poderá rejeitar adesões caso elas possam acarretar prejuízo à execução de seus próprios contratos ou à sua capacidade de gerenciamento.</w:t>
      </w:r>
    </w:p>
    <w:p w:rsidR="00000000" w:rsidDel="00000000" w:rsidP="00000000" w:rsidRDefault="00000000" w:rsidRPr="00000000" w14:paraId="0000007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40" w:right="700" w:firstLine="0"/>
        <w:jc w:val="both"/>
        <w:rPr>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Após a autorização do órgão ou da entidade gerenciadora, o órgão ou entidade não participante deverá efetivar a aquisição ou a contratação solicitada em até noventa dias, observado o prazo de vigência da ata.</w:t>
      </w:r>
    </w:p>
    <w:p w:rsidR="00000000" w:rsidDel="00000000" w:rsidP="00000000" w:rsidRDefault="00000000" w:rsidRPr="00000000" w14:paraId="0000007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rsidR="00000000" w:rsidDel="00000000" w:rsidP="00000000" w:rsidRDefault="00000000" w:rsidRPr="00000000" w14:paraId="0000007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O órgão ou a entidade poderá aderir a item da ata de registro de preços da qual seja integrante, na qualidade de não participante, para aqueles itens para os quais não tenha quantitativo registrado, observados os requisitos do item 4.1.</w:t>
      </w:r>
    </w:p>
    <w:p w:rsidR="00000000" w:rsidDel="00000000" w:rsidP="00000000" w:rsidRDefault="00000000" w:rsidRPr="00000000" w14:paraId="0000007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751" w:right="700" w:firstLine="0"/>
        <w:jc w:val="both"/>
        <w:rPr>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tabs>
          <w:tab w:val="left" w:leader="none" w:pos="1462"/>
        </w:tabs>
        <w:spacing w:before="69" w:lineRule="auto"/>
        <w:ind w:left="751" w:right="700" w:firstLine="0"/>
        <w:rPr>
          <w:b w:val="1"/>
        </w:rPr>
      </w:pPr>
      <w:r w:rsidDel="00000000" w:rsidR="00000000" w:rsidRPr="00000000">
        <w:rPr>
          <w:b w:val="1"/>
          <w:rtl w:val="0"/>
        </w:rPr>
        <w:t xml:space="preserve">Dos limites para as adesões</w:t>
      </w:r>
    </w:p>
    <w:p w:rsidR="00000000" w:rsidDel="00000000" w:rsidP="00000000" w:rsidRDefault="00000000" w:rsidRPr="00000000" w14:paraId="0000008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As aquisições ou contratações adicionais não poderão exceder, por órgão ou entidade, a cinquenta por cento dos quantitativos dos itens do instrumento convocatório registrados na ata de registro de preços para o gerenciador e para os participantes.</w:t>
      </w:r>
    </w:p>
    <w:p w:rsidR="00000000" w:rsidDel="00000000" w:rsidP="00000000" w:rsidRDefault="00000000" w:rsidRPr="00000000" w14:paraId="0000008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rsidR="00000000" w:rsidDel="00000000" w:rsidP="00000000" w:rsidRDefault="00000000" w:rsidRPr="00000000" w14:paraId="0000008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b w:val="0"/>
          <w:i w:val="0"/>
          <w:smallCaps w:val="0"/>
          <w:strike w:val="0"/>
          <w:color w:val="0000ff"/>
          <w:sz w:val="22"/>
          <w:szCs w:val="22"/>
          <w:u w:val="none"/>
          <w:shd w:fill="auto" w:val="clear"/>
          <w:vertAlign w:val="baseline"/>
        </w:rPr>
      </w:pPr>
      <w:r w:rsidDel="00000000" w:rsidR="00000000" w:rsidRPr="00000000">
        <w:rPr>
          <w:b w:val="0"/>
          <w:i w:val="0"/>
          <w:smallCaps w:val="0"/>
          <w:strike w:val="0"/>
          <w:color w:val="0000ff"/>
          <w:sz w:val="22"/>
          <w:szCs w:val="22"/>
          <w:u w:val="none"/>
          <w:shd w:fill="auto" w:val="clear"/>
          <w:vertAlign w:val="baseline"/>
          <w:rtl w:val="0"/>
        </w:rPr>
        <w:t xml:space="preserve">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p>
    <w:p w:rsidR="00000000" w:rsidDel="00000000" w:rsidP="00000000" w:rsidRDefault="00000000" w:rsidRPr="00000000" w14:paraId="0000008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1461" w:right="700" w:hanging="709"/>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adesão à ata de registro de preços por órgãos e entidades da Administração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1461" w:right="70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5">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8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1461" w:right="700" w:hanging="709"/>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8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8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8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8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8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w:t>
      </w:r>
      <w:r w:rsidDel="00000000" w:rsidR="00000000" w:rsidRPr="00000000">
        <w:rPr>
          <w:b w:val="0"/>
          <w:i w:val="0"/>
          <w:smallCaps w:val="0"/>
          <w:strike w:val="0"/>
          <w:color w:val="000000"/>
          <w:sz w:val="22"/>
          <w:szCs w:val="22"/>
          <w:u w:val="none"/>
          <w:shd w:fill="auto" w:val="clear"/>
          <w:vertAlign w:val="baseline"/>
          <w:rtl w:val="0"/>
        </w:rPr>
        <w:t xml:space="preserve"> 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obrigar nos limites dela;</w:t>
      </w:r>
    </w:p>
    <w:p w:rsidR="00000000" w:rsidDel="00000000" w:rsidP="00000000" w:rsidRDefault="00000000" w:rsidRPr="00000000" w14:paraId="0000009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92">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93">
      <w:pPr>
        <w:keepNext w:val="0"/>
        <w:keepLines w:val="0"/>
        <w:pageBreakBefore w:val="0"/>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9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9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p>
    <w:p w:rsidR="00000000" w:rsidDel="00000000" w:rsidP="00000000" w:rsidRDefault="00000000" w:rsidRPr="00000000" w14:paraId="0000009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9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9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9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9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A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A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A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A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A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AA">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AB">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AC">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AD">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A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B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1"/>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B1">
      <w:pPr>
        <w:tabs>
          <w:tab w:val="left" w:leader="none" w:pos="1462"/>
        </w:tabs>
        <w:spacing w:before="80" w:lineRule="auto"/>
        <w:ind w:firstLine="1761"/>
        <w:jc w:val="both"/>
        <w:rPr>
          <w:b w:val="1"/>
          <w:color w:val="404040"/>
          <w:shd w:fill="auto" w:val="clear"/>
        </w:rPr>
      </w:pPr>
      <w:r w:rsidDel="00000000" w:rsidR="00000000" w:rsidRPr="00000000">
        <w:rPr>
          <w:b w:val="1"/>
          <w:color w:val="404040"/>
          <w:shd w:fill="auto" w:val="clear"/>
          <w:rtl w:val="0"/>
        </w:rPr>
        <w:t xml:space="preserve">Excluído o subitem considerando que o sistema ainda não possui a opção automatizada de cadastro de reservas.</w:t>
      </w:r>
    </w:p>
    <w:p w:rsidR="00000000" w:rsidDel="00000000" w:rsidP="00000000" w:rsidRDefault="00000000" w:rsidRPr="00000000" w14:paraId="000000B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B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B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B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B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B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C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C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C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C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C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C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C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C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C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C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CD">
      <w:pPr>
        <w:keepNext w:val="0"/>
        <w:keepLines w:val="0"/>
        <w:pageBreakBefore w:val="0"/>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C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C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D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D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D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D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D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D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D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D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D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rFonts w:ascii="Calibri" w:cs="Calibri" w:eastAsia="Calibri" w:hAnsi="Calibri"/>
          <w:b w:val="0"/>
          <w:i w:val="0"/>
          <w:smallCaps w:val="0"/>
          <w:strike w:val="0"/>
          <w:color w:val="1d41d5"/>
          <w:sz w:val="22"/>
          <w:szCs w:val="22"/>
          <w:u w:val="none"/>
          <w:shd w:fill="auto" w:val="clear"/>
          <w:vertAlign w:val="baseline"/>
          <w:rtl w:val="0"/>
        </w:rPr>
        <w:t xml:space="preserve">ANEXO </w:t>
      </w:r>
      <w:r w:rsidDel="00000000" w:rsidR="00000000" w:rsidRPr="00000000">
        <w:rPr>
          <w:rFonts w:ascii="Calibri" w:cs="Calibri" w:eastAsia="Calibri" w:hAnsi="Calibri"/>
          <w:b w:val="0"/>
          <w:i w:val="1"/>
          <w:smallCaps w:val="0"/>
          <w:strike w:val="0"/>
          <w:color w:val="1d41d5"/>
          <w:sz w:val="22"/>
          <w:szCs w:val="22"/>
          <w:u w:val="none"/>
          <w:shd w:fill="auto" w:val="clear"/>
          <w:vertAlign w:val="baseline"/>
          <w:rtl w:val="0"/>
        </w:rPr>
        <w:t xml:space="preserve">AO EDITAL</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D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highlight w:val="whit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DE">
      <w:pPr>
        <w:numPr>
          <w:ilvl w:val="1"/>
          <w:numId w:val="2"/>
        </w:numPr>
        <w:tabs>
          <w:tab w:val="left" w:leader="none" w:pos="1462"/>
        </w:tabs>
        <w:spacing w:before="69" w:lineRule="auto"/>
        <w:ind w:left="1461" w:right="700" w:hanging="709"/>
        <w:jc w:val="both"/>
        <w:rPr>
          <w:color w:val="ff0000"/>
          <w:highlight w:val="yellow"/>
        </w:rPr>
      </w:pPr>
      <w:r w:rsidDel="00000000" w:rsidR="00000000" w:rsidRPr="00000000">
        <w:rPr>
          <w:color w:val="ff0000"/>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DF">
      <w:pPr>
        <w:widowControl w:val="0"/>
        <w:spacing w:after="120" w:before="120" w:line="276" w:lineRule="auto"/>
        <w:jc w:val="both"/>
        <w:rPr>
          <w:rFonts w:ascii="Arial" w:cs="Arial" w:eastAsia="Arial" w:hAnsi="Arial"/>
          <w:i w:val="1"/>
          <w:color w:val="ff0000"/>
          <w:sz w:val="20"/>
          <w:szCs w:val="20"/>
        </w:rPr>
      </w:pPr>
      <w:r w:rsidDel="00000000" w:rsidR="00000000" w:rsidRPr="00000000">
        <w:rPr>
          <w:rFonts w:ascii="Arial" w:cs="Arial" w:eastAsia="Arial" w:hAnsi="Arial"/>
          <w:strike w:val="1"/>
          <w:sz w:val="20"/>
          <w:szCs w:val="20"/>
          <w:rtl w:val="0"/>
        </w:rPr>
        <w:t xml:space="preserve">Para firmeza e validade do pactuado, a presente Ata foi lavrada em </w:t>
      </w:r>
      <w:r w:rsidDel="00000000" w:rsidR="00000000" w:rsidRPr="00000000">
        <w:rPr>
          <w:rFonts w:ascii="Arial" w:cs="Arial" w:eastAsia="Arial" w:hAnsi="Arial"/>
          <w:strike w:val="1"/>
          <w:color w:val="ff0000"/>
          <w:sz w:val="20"/>
          <w:szCs w:val="20"/>
          <w:rtl w:val="0"/>
        </w:rPr>
        <w:t xml:space="preserve">.... </w:t>
      </w:r>
      <w:r w:rsidDel="00000000" w:rsidR="00000000" w:rsidRPr="00000000">
        <w:rPr>
          <w:rFonts w:ascii="Arial" w:cs="Arial" w:eastAsia="Arial" w:hAnsi="Arial"/>
          <w:strike w:val="1"/>
          <w:sz w:val="20"/>
          <w:szCs w:val="20"/>
          <w:rtl w:val="0"/>
        </w:rPr>
        <w:t xml:space="preserve">(</w:t>
      </w:r>
      <w:r w:rsidDel="00000000" w:rsidR="00000000" w:rsidRPr="00000000">
        <w:rPr>
          <w:rFonts w:ascii="Arial" w:cs="Arial" w:eastAsia="Arial" w:hAnsi="Arial"/>
          <w:strike w:val="1"/>
          <w:color w:val="ff0000"/>
          <w:sz w:val="20"/>
          <w:szCs w:val="20"/>
          <w:rtl w:val="0"/>
        </w:rPr>
        <w:t xml:space="preserve">....</w:t>
      </w:r>
      <w:r w:rsidDel="00000000" w:rsidR="00000000" w:rsidRPr="00000000">
        <w:rPr>
          <w:rFonts w:ascii="Arial" w:cs="Arial" w:eastAsia="Arial" w:hAnsi="Arial"/>
          <w:strike w:val="1"/>
          <w:sz w:val="20"/>
          <w:szCs w:val="20"/>
          <w:rtl w:val="0"/>
        </w:rPr>
        <w:t xml:space="preserve">) vias de igual teor, que, depois de lida e achada em ordem, vai assinada pelas partes </w:t>
      </w:r>
      <w:r w:rsidDel="00000000" w:rsidR="00000000" w:rsidRPr="00000000">
        <w:rPr>
          <w:rFonts w:ascii="Arial" w:cs="Arial" w:eastAsia="Arial" w:hAnsi="Arial"/>
          <w:i w:val="1"/>
          <w:strike w:val="1"/>
          <w:color w:val="ff0000"/>
          <w:sz w:val="20"/>
          <w:szCs w:val="20"/>
          <w:rtl w:val="0"/>
        </w:rPr>
        <w:t xml:space="preserve">e encaminhada cópia aos demais órgãos participantes (se houver).</w:t>
      </w:r>
      <w:r w:rsidDel="00000000" w:rsidR="00000000" w:rsidRPr="00000000">
        <w:rPr>
          <w:rFonts w:ascii="Arial" w:cs="Arial" w:eastAsia="Arial" w:hAnsi="Arial"/>
          <w:i w:val="1"/>
          <w:color w:val="ff0000"/>
          <w:sz w:val="20"/>
          <w:szCs w:val="20"/>
          <w:rtl w:val="0"/>
        </w:rPr>
        <w:t xml:space="preserve"> </w:t>
      </w:r>
    </w:p>
    <w:p w:rsidR="00000000" w:rsidDel="00000000" w:rsidP="00000000" w:rsidRDefault="00000000" w:rsidRPr="00000000" w14:paraId="000000E0">
      <w:pPr>
        <w:widowControl w:val="0"/>
        <w:tabs>
          <w:tab w:val="left" w:leader="none" w:pos="1462"/>
        </w:tabs>
        <w:spacing w:before="69" w:lineRule="auto"/>
        <w:ind w:right="700"/>
        <w:jc w:val="both"/>
        <w:rPr>
          <w:color w:val="ff0000"/>
          <w:highlight w:val="yellow"/>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b w:val="1"/>
          <w:color w:val="404040"/>
          <w:rtl w:val="0"/>
        </w:rPr>
        <w:t xml:space="preserve">Considerando melhor ajuste das assinaturas e celeridade, foi incluído o anexo de termo de responsabilidade da ata anexo a ATA</w:t>
      </w: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E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EA">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E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strike w:val="1"/>
        </w:rPr>
      </w:pPr>
      <w:r w:rsidDel="00000000" w:rsidR="00000000" w:rsidRPr="00000000">
        <w:rPr>
          <w:rtl w:val="0"/>
        </w:rPr>
      </w:r>
    </w:p>
    <w:p w:rsidR="00000000" w:rsidDel="00000000" w:rsidP="00000000" w:rsidRDefault="00000000" w:rsidRPr="00000000" w14:paraId="000000EE">
      <w:pPr>
        <w:widowControl w:val="0"/>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Anexo</w:t>
      </w:r>
    </w:p>
    <w:p w:rsidR="00000000" w:rsidDel="00000000" w:rsidP="00000000" w:rsidRDefault="00000000" w:rsidRPr="00000000" w14:paraId="000000EF">
      <w:pPr>
        <w:widowControl w:val="0"/>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0F0">
      <w:pPr>
        <w:widowControl w:val="0"/>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Cadastro Reserva</w:t>
      </w:r>
    </w:p>
    <w:p w:rsidR="00000000" w:rsidDel="00000000" w:rsidP="00000000" w:rsidRDefault="00000000" w:rsidRPr="00000000" w14:paraId="000000F1">
      <w:pPr>
        <w:widowControl w:val="0"/>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0F2">
      <w:pPr>
        <w:widowControl w:val="0"/>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Seguindo a ordem de classificação, segue relação de fornecedores que aceitaram cotar os itens com preços iguais ao adjudicatário:</w:t>
      </w:r>
    </w:p>
    <w:p w:rsidR="00000000" w:rsidDel="00000000" w:rsidP="00000000" w:rsidRDefault="00000000" w:rsidRPr="00000000" w14:paraId="000000F3">
      <w:pPr>
        <w:widowControl w:val="0"/>
        <w:spacing w:line="360" w:lineRule="auto"/>
        <w:ind w:right="-30"/>
        <w:jc w:val="center"/>
        <w:rPr>
          <w:rFonts w:ascii="Arial" w:cs="Arial" w:eastAsia="Arial" w:hAnsi="Arial"/>
          <w:strike w:val="1"/>
          <w:color w:val="000000"/>
          <w:sz w:val="20"/>
          <w:szCs w:val="20"/>
        </w:rPr>
      </w:pPr>
      <w:r w:rsidDel="00000000" w:rsidR="00000000" w:rsidRPr="00000000">
        <w:rPr>
          <w:rtl w:val="0"/>
        </w:rPr>
      </w:r>
    </w:p>
    <w:tbl>
      <w:tblPr>
        <w:tblStyle w:val="Table3"/>
        <w:tblW w:w="9392.0" w:type="dxa"/>
        <w:jc w:val="left"/>
        <w:tblInd w:w="10.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vAlign w:val="center"/>
          </w:tcPr>
          <w:p w:rsidR="00000000" w:rsidDel="00000000" w:rsidP="00000000" w:rsidRDefault="00000000" w:rsidRPr="00000000" w14:paraId="000000F4">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Item</w:t>
            </w:r>
          </w:p>
          <w:p w:rsidR="00000000" w:rsidDel="00000000" w:rsidP="00000000" w:rsidRDefault="00000000" w:rsidRPr="00000000" w14:paraId="000000F5">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do</w:t>
            </w:r>
          </w:p>
          <w:p w:rsidR="00000000" w:rsidDel="00000000" w:rsidP="00000000" w:rsidRDefault="00000000" w:rsidRPr="00000000" w14:paraId="000000F6">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TR</w:t>
            </w:r>
          </w:p>
        </w:tc>
        <w:tc>
          <w:tcPr>
            <w:gridSpan w:val="8"/>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F7">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Fornecedor </w:t>
            </w:r>
            <w:r w:rsidDel="00000000" w:rsidR="00000000" w:rsidRPr="00000000">
              <w:rPr>
                <w:rFonts w:ascii="Arial" w:cs="Arial" w:eastAsia="Arial" w:hAnsi="Arial"/>
                <w:i w:val="1"/>
                <w:strike w:val="1"/>
                <w:color w:val="ff0000"/>
                <w:sz w:val="16"/>
                <w:szCs w:val="16"/>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vAlign w:val="center"/>
          </w:tcPr>
          <w:p w:rsidR="00000000" w:rsidDel="00000000" w:rsidP="00000000" w:rsidRDefault="00000000" w:rsidRPr="00000000" w14:paraId="000000FF">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X</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0">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Especificação</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1">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Marca </w:t>
            </w:r>
          </w:p>
          <w:p w:rsidR="00000000" w:rsidDel="00000000" w:rsidP="00000000" w:rsidRDefault="00000000" w:rsidRPr="00000000" w14:paraId="00000102">
            <w:pPr>
              <w:widowControl w:val="0"/>
              <w:ind w:right="-28"/>
              <w:jc w:val="center"/>
              <w:rPr>
                <w:rFonts w:ascii="Arial" w:cs="Arial" w:eastAsia="Arial" w:hAnsi="Arial"/>
                <w:i w:val="1"/>
                <w:strike w:val="1"/>
                <w:sz w:val="16"/>
                <w:szCs w:val="16"/>
              </w:rPr>
            </w:pPr>
            <w:r w:rsidDel="00000000" w:rsidR="00000000" w:rsidRPr="00000000">
              <w:rPr>
                <w:rFonts w:ascii="Arial" w:cs="Arial" w:eastAsia="Arial" w:hAnsi="Arial"/>
                <w:i w:val="1"/>
                <w:strike w:val="1"/>
                <w:color w:val="ff0000"/>
                <w:sz w:val="16"/>
                <w:szCs w:val="16"/>
                <w:rtl w:val="0"/>
              </w:rPr>
              <w:t xml:space="preserve">(se exigida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3">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Modelo</w:t>
            </w:r>
          </w:p>
          <w:p w:rsidR="00000000" w:rsidDel="00000000" w:rsidP="00000000" w:rsidRDefault="00000000" w:rsidRPr="00000000" w14:paraId="00000104">
            <w:pPr>
              <w:widowControl w:val="0"/>
              <w:ind w:right="-28"/>
              <w:jc w:val="center"/>
              <w:rPr>
                <w:rFonts w:ascii="Arial" w:cs="Arial" w:eastAsia="Arial" w:hAnsi="Arial"/>
                <w:i w:val="1"/>
                <w:strike w:val="1"/>
                <w:sz w:val="16"/>
                <w:szCs w:val="16"/>
              </w:rPr>
            </w:pPr>
            <w:r w:rsidDel="00000000" w:rsidR="00000000" w:rsidRPr="00000000">
              <w:rPr>
                <w:rFonts w:ascii="Arial" w:cs="Arial" w:eastAsia="Arial" w:hAnsi="Arial"/>
                <w:i w:val="1"/>
                <w:strike w:val="1"/>
                <w:color w:val="ff0000"/>
                <w:sz w:val="16"/>
                <w:szCs w:val="16"/>
                <w:rtl w:val="0"/>
              </w:rPr>
              <w:t xml:space="preserve">(se exigido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5">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Unidade</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6">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Máxima</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7">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Mínima</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8">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Valor</w:t>
              <w:br w:type="textWrapping"/>
              <w:t xml:space="preserve">Unitário</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9">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Prazo garantia ou validade</w:t>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A">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B">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C">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D">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E">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F">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10">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11">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12">
            <w:pPr>
              <w:widowControl w:val="0"/>
              <w:spacing w:line="360" w:lineRule="auto"/>
              <w:ind w:right="-30"/>
              <w:jc w:val="both"/>
              <w:rPr>
                <w:rFonts w:ascii="Arial" w:cs="Arial" w:eastAsia="Arial" w:hAnsi="Arial"/>
                <w:strike w:val="1"/>
                <w:sz w:val="16"/>
                <w:szCs w:val="16"/>
              </w:rPr>
            </w:pPr>
            <w:r w:rsidDel="00000000" w:rsidR="00000000" w:rsidRPr="00000000">
              <w:rPr>
                <w:rtl w:val="0"/>
              </w:rPr>
            </w:r>
          </w:p>
        </w:tc>
      </w:tr>
    </w:tbl>
    <w:p w:rsidR="00000000" w:rsidDel="00000000" w:rsidP="00000000" w:rsidRDefault="00000000" w:rsidRPr="00000000" w14:paraId="00000113">
      <w:pPr>
        <w:widowControl w:val="0"/>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114">
      <w:pPr>
        <w:widowControl w:val="0"/>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Seguindo a ordem de classificação, segue relação de fornecedores que mantiveram sua proposta original:</w:t>
      </w:r>
    </w:p>
    <w:p w:rsidR="00000000" w:rsidDel="00000000" w:rsidP="00000000" w:rsidRDefault="00000000" w:rsidRPr="00000000" w14:paraId="00000115">
      <w:pPr>
        <w:widowControl w:val="0"/>
        <w:spacing w:line="360" w:lineRule="auto"/>
        <w:ind w:right="-30"/>
        <w:jc w:val="center"/>
        <w:rPr>
          <w:rFonts w:ascii="Arial" w:cs="Arial" w:eastAsia="Arial" w:hAnsi="Arial"/>
          <w:strike w:val="1"/>
          <w:color w:val="000000"/>
          <w:sz w:val="20"/>
          <w:szCs w:val="20"/>
        </w:rPr>
      </w:pPr>
      <w:r w:rsidDel="00000000" w:rsidR="00000000" w:rsidRPr="00000000">
        <w:rPr>
          <w:rtl w:val="0"/>
        </w:rPr>
      </w:r>
    </w:p>
    <w:tbl>
      <w:tblPr>
        <w:tblStyle w:val="Table4"/>
        <w:tblW w:w="9392.0" w:type="dxa"/>
        <w:jc w:val="left"/>
        <w:tblInd w:w="10.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vAlign w:val="center"/>
          </w:tcPr>
          <w:p w:rsidR="00000000" w:rsidDel="00000000" w:rsidP="00000000" w:rsidRDefault="00000000" w:rsidRPr="00000000" w14:paraId="00000116">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Item</w:t>
            </w:r>
          </w:p>
          <w:p w:rsidR="00000000" w:rsidDel="00000000" w:rsidP="00000000" w:rsidRDefault="00000000" w:rsidRPr="00000000" w14:paraId="00000117">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do</w:t>
            </w:r>
          </w:p>
          <w:p w:rsidR="00000000" w:rsidDel="00000000" w:rsidP="00000000" w:rsidRDefault="00000000" w:rsidRPr="00000000" w14:paraId="00000118">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TR</w:t>
            </w:r>
          </w:p>
        </w:tc>
        <w:tc>
          <w:tcPr>
            <w:gridSpan w:val="8"/>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19">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Fornecedor </w:t>
            </w:r>
            <w:r w:rsidDel="00000000" w:rsidR="00000000" w:rsidRPr="00000000">
              <w:rPr>
                <w:rFonts w:ascii="Arial" w:cs="Arial" w:eastAsia="Arial" w:hAnsi="Arial"/>
                <w:i w:val="1"/>
                <w:strike w:val="1"/>
                <w:color w:val="ff0000"/>
                <w:sz w:val="16"/>
                <w:szCs w:val="16"/>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vAlign w:val="center"/>
          </w:tcPr>
          <w:p w:rsidR="00000000" w:rsidDel="00000000" w:rsidP="00000000" w:rsidRDefault="00000000" w:rsidRPr="00000000" w14:paraId="00000121">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X</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2">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Especificação</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3">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Marca </w:t>
            </w:r>
          </w:p>
          <w:p w:rsidR="00000000" w:rsidDel="00000000" w:rsidP="00000000" w:rsidRDefault="00000000" w:rsidRPr="00000000" w14:paraId="00000124">
            <w:pPr>
              <w:widowControl w:val="0"/>
              <w:ind w:right="-28"/>
              <w:jc w:val="center"/>
              <w:rPr>
                <w:rFonts w:ascii="Arial" w:cs="Arial" w:eastAsia="Arial" w:hAnsi="Arial"/>
                <w:i w:val="1"/>
                <w:strike w:val="1"/>
                <w:sz w:val="16"/>
                <w:szCs w:val="16"/>
              </w:rPr>
            </w:pPr>
            <w:r w:rsidDel="00000000" w:rsidR="00000000" w:rsidRPr="00000000">
              <w:rPr>
                <w:rFonts w:ascii="Arial" w:cs="Arial" w:eastAsia="Arial" w:hAnsi="Arial"/>
                <w:i w:val="1"/>
                <w:strike w:val="1"/>
                <w:color w:val="ff0000"/>
                <w:sz w:val="16"/>
                <w:szCs w:val="16"/>
                <w:rtl w:val="0"/>
              </w:rPr>
              <w:t xml:space="preserve">(se exigida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5">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Modelo</w:t>
            </w:r>
          </w:p>
          <w:p w:rsidR="00000000" w:rsidDel="00000000" w:rsidP="00000000" w:rsidRDefault="00000000" w:rsidRPr="00000000" w14:paraId="00000126">
            <w:pPr>
              <w:widowControl w:val="0"/>
              <w:ind w:right="-28"/>
              <w:jc w:val="center"/>
              <w:rPr>
                <w:rFonts w:ascii="Arial" w:cs="Arial" w:eastAsia="Arial" w:hAnsi="Arial"/>
                <w:i w:val="1"/>
                <w:strike w:val="1"/>
                <w:sz w:val="16"/>
                <w:szCs w:val="16"/>
              </w:rPr>
            </w:pPr>
            <w:r w:rsidDel="00000000" w:rsidR="00000000" w:rsidRPr="00000000">
              <w:rPr>
                <w:rFonts w:ascii="Arial" w:cs="Arial" w:eastAsia="Arial" w:hAnsi="Arial"/>
                <w:i w:val="1"/>
                <w:strike w:val="1"/>
                <w:color w:val="ff0000"/>
                <w:sz w:val="16"/>
                <w:szCs w:val="16"/>
                <w:rtl w:val="0"/>
              </w:rPr>
              <w:t xml:space="preserve">(se exigido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7">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Unidade</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8">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Máxima</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9">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Mínima</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A">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Valor</w:t>
              <w:br w:type="textWrapping"/>
              <w:t xml:space="preserve">Unitário</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B">
            <w:pPr>
              <w:widowControl w:val="0"/>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Prazo garantia ou validade</w:t>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C">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D">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E">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F">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30">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31">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32">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33">
            <w:pPr>
              <w:widowControl w:val="0"/>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34">
            <w:pPr>
              <w:widowControl w:val="0"/>
              <w:spacing w:line="360" w:lineRule="auto"/>
              <w:ind w:right="-30"/>
              <w:jc w:val="both"/>
              <w:rPr>
                <w:rFonts w:ascii="Arial" w:cs="Arial" w:eastAsia="Arial" w:hAnsi="Arial"/>
                <w:strike w:val="1"/>
                <w:sz w:val="16"/>
                <w:szCs w:val="16"/>
              </w:rPr>
            </w:pPr>
            <w:r w:rsidDel="00000000" w:rsidR="00000000" w:rsidRPr="00000000">
              <w:rPr>
                <w:rtl w:val="0"/>
              </w:rPr>
            </w:r>
          </w:p>
        </w:tc>
      </w:tr>
    </w:tbl>
    <w:p w:rsidR="00000000" w:rsidDel="00000000" w:rsidP="00000000" w:rsidRDefault="00000000" w:rsidRPr="00000000" w14:paraId="00000135">
      <w:pPr>
        <w:widowControl w:val="0"/>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36">
      <w:pPr>
        <w:tabs>
          <w:tab w:val="left" w:leader="none" w:pos="1462"/>
        </w:tabs>
        <w:spacing w:before="80" w:lineRule="auto"/>
        <w:ind w:firstLine="1761"/>
        <w:jc w:val="both"/>
        <w:rPr>
          <w:b w:val="1"/>
          <w:color w:val="404040"/>
          <w:shd w:fill="auto" w:val="clear"/>
        </w:rPr>
      </w:pPr>
      <w:bookmarkStart w:colFirst="0" w:colLast="0" w:name="_heading=h.hatag953iv9o" w:id="12"/>
      <w:bookmarkEnd w:id="12"/>
      <w:r w:rsidDel="00000000" w:rsidR="00000000" w:rsidRPr="00000000">
        <w:rPr>
          <w:b w:val="1"/>
          <w:color w:val="404040"/>
          <w:shd w:fill="auto" w:val="clear"/>
          <w:rtl w:val="0"/>
        </w:rPr>
        <w:t xml:space="preserve">Excluído o anexo considerando que o sistema ainda não possui a opção automatizada de cadastro de reservas.</w:t>
      </w:r>
    </w:p>
    <w:p w:rsidR="00000000" w:rsidDel="00000000" w:rsidP="00000000" w:rsidRDefault="00000000" w:rsidRPr="00000000" w14:paraId="00000137">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9999999999999"/>
      </w:pPr>
      <w:rPr/>
    </w:lvl>
    <w:lvl w:ilvl="1">
      <w:start w:val="1"/>
      <w:numFmt w:val="decimal"/>
      <w:lvlText w:val="%1.%2."/>
      <w:lvlJc w:val="left"/>
      <w:pPr>
        <w:ind w:left="1313" w:hanging="844.9999999999999"/>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09"/>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8" w:default="1">
    <w:name w:val="Default Paragraph Font"/>
    <w:uiPriority w:val="1"/>
    <w:semiHidden w:val="1"/>
    <w:unhideWhenUsed w:val="1"/>
    <w:qFormat w:val="1"/>
  </w:style>
  <w:style w:type="table" w:styleId="9" w:default="1">
    <w:name w:val="Normal Table"/>
    <w:uiPriority w:val="99"/>
    <w:semiHidden w:val="1"/>
    <w:unhideWhenUsed w:val="1"/>
    <w:qFormat w:val="1"/>
    <w:tblPr>
      <w:tblCellMar>
        <w:top w:w="0.0" w:type="dxa"/>
        <w:left w:w="108.0" w:type="dxa"/>
        <w:bottom w:w="0.0" w:type="dxa"/>
        <w:right w:w="108.0" w:type="dxa"/>
      </w:tblCellMar>
    </w:tblPr>
  </w:style>
  <w:style w:type="character" w:styleId="10">
    <w:name w:val="annotation reference"/>
    <w:basedOn w:val="8"/>
    <w:uiPriority w:val="0"/>
    <w:semiHidden w:val="1"/>
    <w:unhideWhenUsed w:val="1"/>
    <w:qFormat w:val="1"/>
    <w:rPr>
      <w:sz w:val="16"/>
      <w:szCs w:val="16"/>
    </w:rPr>
  </w:style>
  <w:style w:type="paragraph" w:styleId="11">
    <w:name w:val="Body Text"/>
    <w:basedOn w:val="1"/>
    <w:uiPriority w:val="1"/>
    <w:qFormat w:val="1"/>
    <w:pPr>
      <w:ind w:left="752"/>
      <w:jc w:val="both"/>
    </w:pPr>
  </w:style>
  <w:style w:type="paragraph" w:styleId="12">
    <w:name w:val="annotation text"/>
    <w:basedOn w:val="1"/>
    <w:link w:val="21"/>
    <w:uiPriority w:val="0"/>
    <w:unhideWhenUsed w:val="1"/>
    <w:qFormat w:val="1"/>
    <w:pPr>
      <w:widowControl w:val="1"/>
      <w:autoSpaceDE w:val="1"/>
      <w:autoSpaceDN w:val="1"/>
    </w:pPr>
    <w:rPr>
      <w:rFonts w:ascii="Ecofont_Spranq_eco_Sans" w:cs="Tahoma" w:eastAsia="Times New Roman" w:hAnsi="Ecofont_Spranq_eco_Sans"/>
      <w:sz w:val="20"/>
      <w:szCs w:val="20"/>
      <w:lang w:eastAsia="pt-BR" w:val="pt-BR"/>
    </w:rPr>
  </w:style>
  <w:style w:type="paragraph" w:styleId="14">
    <w:name w:val="header"/>
    <w:basedOn w:val="1"/>
    <w:link w:val="35"/>
    <w:uiPriority w:val="99"/>
    <w:unhideWhenUsed w:val="1"/>
    <w:qFormat w:val="1"/>
    <w:pPr>
      <w:tabs>
        <w:tab w:val="center" w:pos="4252"/>
        <w:tab w:val="right" w:pos="8504"/>
      </w:tabs>
    </w:pPr>
  </w:style>
  <w:style w:type="paragraph" w:styleId="15">
    <w:name w:val="footer"/>
    <w:basedOn w:val="1"/>
    <w:link w:val="36"/>
    <w:uiPriority w:val="99"/>
    <w:unhideWhenUsed w:val="1"/>
    <w:qFormat w:val="1"/>
    <w:pPr>
      <w:tabs>
        <w:tab w:val="center" w:pos="4252"/>
        <w:tab w:val="right" w:pos="8504"/>
      </w:tabs>
    </w:pPr>
  </w:style>
  <w:style w:type="table" w:styleId="17" w:customStyle="1">
    <w:name w:val="Table Normal"/>
    <w:uiPriority w:val="2"/>
    <w:semiHidden w:val="1"/>
    <w:unhideWhenUsed w:val="1"/>
    <w:qFormat w:val="1"/>
    <w:tblPr>
      <w:tblCellMar>
        <w:top w:w="0.0" w:type="dxa"/>
        <w:left w:w="0.0" w:type="dxa"/>
        <w:bottom w:w="0.0" w:type="dxa"/>
        <w:right w:w="0.0" w:type="dxa"/>
      </w:tblCellMar>
    </w:tblPr>
  </w:style>
  <w:style w:type="paragraph" w:styleId="18">
    <w:name w:val="List Paragraph"/>
    <w:basedOn w:val="1"/>
    <w:uiPriority w:val="1"/>
    <w:qFormat w:val="1"/>
    <w:pPr>
      <w:spacing w:before="70"/>
      <w:ind w:left="752"/>
      <w:jc w:val="both"/>
    </w:pPr>
  </w:style>
  <w:style w:type="paragraph" w:styleId="19" w:customStyle="1">
    <w:name w:val="Table Paragraph"/>
    <w:basedOn w:val="1"/>
    <w:uiPriority w:val="1"/>
    <w:qFormat w:val="1"/>
  </w:style>
  <w:style w:type="paragraph" w:styleId="20" w:customStyle="1">
    <w:name w:val="Nivel 01"/>
    <w:basedOn w:val="2"/>
    <w:next w:val="1"/>
    <w:link w:val="30"/>
    <w:uiPriority w:val="0"/>
    <w:qFormat w:val="1"/>
    <w:pPr>
      <w:keepNext w:val="1"/>
      <w:keepLines w:val="1"/>
      <w:widowControl w:val="1"/>
      <w:numPr>
        <w:ilvl w:val="0"/>
        <w:numId w:val="1"/>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21" w:customStyle="1">
    <w:name w:val="Texto de comentário Char"/>
    <w:basedOn w:val="8"/>
    <w:link w:val="12"/>
    <w:uiPriority w:val="0"/>
    <w:qFormat w:val="1"/>
    <w:rPr>
      <w:rFonts w:ascii="Ecofont_Spranq_eco_Sans" w:cs="Tahoma" w:eastAsia="Times New Roman" w:hAnsi="Ecofont_Spranq_eco_Sans"/>
      <w:sz w:val="20"/>
      <w:szCs w:val="20"/>
      <w:lang w:eastAsia="pt-BR" w:val="pt-BR"/>
    </w:rPr>
  </w:style>
  <w:style w:type="paragraph" w:styleId="22" w:customStyle="1">
    <w:name w:val="Nivel 2"/>
    <w:basedOn w:val="1"/>
    <w:link w:val="31"/>
    <w:uiPriority w:val="0"/>
    <w:qFormat w:val="1"/>
    <w:pPr>
      <w:widowControl w:val="1"/>
      <w:numPr>
        <w:ilvl w:val="1"/>
        <w:numId w:val="1"/>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23" w:customStyle="1">
    <w:name w:val="Nível 2 -Red"/>
    <w:basedOn w:val="22"/>
    <w:link w:val="24"/>
    <w:uiPriority w:val="0"/>
    <w:qFormat w:val="1"/>
    <w:rPr>
      <w:i w:val="1"/>
      <w:iCs w:val="1"/>
      <w:color w:val="ff0000"/>
    </w:rPr>
  </w:style>
  <w:style w:type="character" w:styleId="24" w:customStyle="1">
    <w:name w:val="Nível 2 -Red Char"/>
    <w:basedOn w:val="8"/>
    <w:link w:val="23"/>
    <w:uiPriority w:val="0"/>
    <w:qFormat w:val="1"/>
    <w:rPr>
      <w:rFonts w:ascii="Arial" w:cs="Arial" w:eastAsia="Times New Roman" w:hAnsi="Arial"/>
      <w:i w:val="1"/>
      <w:iCs w:val="1"/>
      <w:color w:val="ff0000"/>
      <w:sz w:val="20"/>
      <w:szCs w:val="20"/>
      <w:lang w:eastAsia="pt-BR" w:val="pt-BR"/>
    </w:rPr>
  </w:style>
  <w:style w:type="paragraph" w:styleId="25" w:customStyle="1">
    <w:name w:val="Nível 3-R"/>
    <w:basedOn w:val="1"/>
    <w:link w:val="27"/>
    <w:uiPriority w:val="0"/>
    <w:qFormat w:val="1"/>
    <w:pPr>
      <w:widowControl w:val="1"/>
      <w:numPr>
        <w:ilvl w:val="2"/>
        <w:numId w:val="1"/>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26" w:customStyle="1">
    <w:name w:val="Nível 4"/>
    <w:basedOn w:val="1"/>
    <w:link w:val="34"/>
    <w:uiPriority w:val="0"/>
    <w:qFormat w:val="1"/>
    <w:pPr>
      <w:widowControl w:val="1"/>
      <w:numPr>
        <w:ilvl w:val="3"/>
        <w:numId w:val="1"/>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27" w:customStyle="1">
    <w:name w:val="Nível 3-R Char"/>
    <w:basedOn w:val="8"/>
    <w:link w:val="25"/>
    <w:uiPriority w:val="0"/>
    <w:qFormat w:val="1"/>
    <w:rPr>
      <w:rFonts w:ascii="Arial" w:cs="Arial" w:hAnsi="Arial" w:eastAsiaTheme="minorEastAsia"/>
      <w:i w:val="1"/>
      <w:iCs w:val="1"/>
      <w:color w:val="ff0000"/>
      <w:sz w:val="20"/>
      <w:szCs w:val="20"/>
      <w:lang w:eastAsia="pt-BR" w:val="pt-BR"/>
    </w:rPr>
  </w:style>
  <w:style w:type="paragraph" w:styleId="28" w:customStyle="1">
    <w:name w:val="SubTitNN"/>
    <w:basedOn w:val="1"/>
    <w:link w:val="29"/>
    <w:uiPriority w:val="0"/>
    <w:qFormat w:val="1"/>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29" w:customStyle="1">
    <w:name w:val="SubTitNN Char"/>
    <w:basedOn w:val="8"/>
    <w:link w:val="28"/>
    <w:uiPriority w:val="0"/>
    <w:qFormat w:val="1"/>
    <w:rPr>
      <w:rFonts w:ascii="Arial" w:cs="Arial" w:eastAsia="Times New Roman" w:hAnsi="Arial"/>
      <w:b w:val="1"/>
      <w:bCs w:val="1"/>
      <w:iCs w:val="1"/>
      <w:sz w:val="20"/>
      <w:szCs w:val="20"/>
      <w:lang w:eastAsia="pt-BR" w:val="pt-BR"/>
    </w:rPr>
  </w:style>
  <w:style w:type="character" w:styleId="30" w:customStyle="1">
    <w:name w:val="Nivel 01 Char"/>
    <w:basedOn w:val="8"/>
    <w:link w:val="20"/>
    <w:uiPriority w:val="0"/>
    <w:qFormat w:val="1"/>
    <w:rPr>
      <w:rFonts w:ascii="Arial" w:cs="Arial" w:hAnsi="Arial" w:eastAsiaTheme="majorEastAsia"/>
      <w:b w:val="1"/>
      <w:bCs w:val="1"/>
      <w:sz w:val="20"/>
      <w:szCs w:val="20"/>
      <w:lang w:val="pt-BR"/>
    </w:rPr>
  </w:style>
  <w:style w:type="character" w:styleId="31" w:customStyle="1">
    <w:name w:val="Nivel 2 Char"/>
    <w:basedOn w:val="8"/>
    <w:link w:val="22"/>
    <w:uiPriority w:val="0"/>
    <w:qFormat w:val="1"/>
    <w:locked w:val="1"/>
    <w:rPr>
      <w:rFonts w:ascii="Arial" w:cs="Arial" w:eastAsia="Times New Roman" w:hAnsi="Arial"/>
      <w:sz w:val="20"/>
      <w:szCs w:val="20"/>
      <w:lang w:eastAsia="pt-BR" w:val="pt-BR"/>
    </w:rPr>
  </w:style>
  <w:style w:type="paragraph" w:styleId="32" w:customStyle="1">
    <w:name w:val="Nível 3"/>
    <w:basedOn w:val="25"/>
    <w:link w:val="33"/>
    <w:uiPriority w:val="0"/>
    <w:qFormat w:val="1"/>
    <w:pPr>
      <w:numPr>
        <w:numId w:val="2"/>
      </w:numPr>
      <w:ind w:left="284" w:firstLine="0"/>
    </w:pPr>
    <w:rPr>
      <w:rFonts w:eastAsia="Times New Roman"/>
      <w:i w:val="0"/>
      <w:iCs w:val="0"/>
    </w:rPr>
  </w:style>
  <w:style w:type="character" w:styleId="33" w:customStyle="1">
    <w:name w:val="Nível 3 Char"/>
    <w:basedOn w:val="27"/>
    <w:link w:val="32"/>
    <w:uiPriority w:val="0"/>
    <w:qFormat w:val="1"/>
    <w:rPr>
      <w:rFonts w:ascii="Arial" w:cs="Arial" w:eastAsia="Times New Roman" w:hAnsi="Arial"/>
      <w:i w:val="0"/>
      <w:iCs w:val="0"/>
      <w:color w:val="ff0000"/>
      <w:sz w:val="20"/>
      <w:szCs w:val="20"/>
      <w:lang w:eastAsia="pt-BR" w:val="pt-BR"/>
    </w:rPr>
  </w:style>
  <w:style w:type="character" w:styleId="34" w:customStyle="1">
    <w:name w:val="Nível 4 Char"/>
    <w:basedOn w:val="33"/>
    <w:link w:val="26"/>
    <w:uiPriority w:val="0"/>
    <w:qFormat w:val="1"/>
    <w:rPr>
      <w:rFonts w:ascii="Arial" w:cs="Arial" w:eastAsia="Times New Roman" w:hAnsi="Arial"/>
      <w:color w:val="ff0000"/>
      <w:sz w:val="20"/>
      <w:szCs w:val="20"/>
      <w:lang w:eastAsia="pt-BR" w:val="pt-BR"/>
    </w:rPr>
  </w:style>
  <w:style w:type="character" w:styleId="35" w:customStyle="1">
    <w:name w:val="Cabeçalho Char"/>
    <w:basedOn w:val="8"/>
    <w:link w:val="14"/>
    <w:uiPriority w:val="99"/>
    <w:qFormat w:val="1"/>
    <w:rPr>
      <w:rFonts w:ascii="Calibri" w:cs="Calibri" w:eastAsia="Calibri" w:hAnsi="Calibri"/>
      <w:lang w:val="pt-PT"/>
    </w:rPr>
  </w:style>
  <w:style w:type="character" w:styleId="36" w:customStyle="1">
    <w:name w:val="Rodapé Char"/>
    <w:basedOn w:val="8"/>
    <w:link w:val="15"/>
    <w:uiPriority w:val="99"/>
    <w:qFormat w:val="1"/>
    <w:rPr>
      <w:rFonts w:ascii="Calibri" w:cs="Calibri" w:eastAsia="Calibri" w:hAnsi="Calibri"/>
      <w:lang w:val="pt-PT"/>
    </w:rPr>
  </w:style>
  <w:style w:type="table" w:styleId="37" w:customStyle="1">
    <w:name w:val="_Style 39"/>
    <w:basedOn w:val="17"/>
    <w:uiPriority w:val="0"/>
    <w:qFormat w:val="1"/>
    <w:tblPr>
      <w:tblCellMar>
        <w:top w:w="0.0" w:type="dxa"/>
        <w:left w:w="0.0" w:type="dxa"/>
        <w:bottom w:w="0.0" w:type="dxa"/>
        <w:right w:w="0.0" w:type="dxa"/>
      </w:tblCellMar>
    </w:tblPr>
  </w:style>
  <w:style w:type="table" w:styleId="38" w:customStyle="1">
    <w:name w:val="_Style 40"/>
    <w:basedOn w:val="17"/>
    <w:uiPriority w:val="0"/>
    <w:qFormat w:val="1"/>
    <w:tblPr>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9fbRtkN6WQUGSC8pMEnnuivySg==">CgMxLjAyCWlkLmdqZGd4czIKaWQuMzBqMHpsbDIKaWQuMWZvYjl0ZTIKaWQuM3pueXNoNzIKaWQuMmV0OTJwMDIJaWQudHlqY3d0MgppZC4zZHk2dmttMgppZC4xdDNoNXNmMgppZC40ZDM0b2c4MgppZC4yczhleW8xMgppZC4xN2RwOHZ1MgppZC4zcmRjcmpuMg5oLmhhdGFnOTUzaXY5bzgAciExRjNYRXctYmUxT0U2QlFIRDhidllzeWdTNlNSUnBiVkc=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