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VI</w:t>
      </w:r>
      <w:r>
        <w:rPr>
          <w:rFonts w:hint="default" w:asciiTheme="minorHAnsi" w:hAnsiTheme="minorHAnsi" w:cstheme="minorHAnsi"/>
          <w:b/>
          <w:bCs/>
          <w:color w:val="FF0000"/>
          <w:sz w:val="22"/>
          <w:szCs w:val="22"/>
          <w:lang w:val="pt-BR"/>
        </w:rPr>
        <w:t>I</w:t>
      </w:r>
      <w:r>
        <w:rPr>
          <w:rFonts w:asciiTheme="minorHAnsi" w:hAnsiTheme="minorHAnsi" w:cstheme="minorHAnsi"/>
          <w:b/>
          <w:bCs/>
          <w:color w:val="FF0000"/>
          <w:sz w:val="22"/>
          <w:szCs w:val="22"/>
        </w:rPr>
        <w:t xml:space="preserve"> – PE. 90</w:t>
      </w:r>
      <w:r>
        <w:rPr>
          <w:rFonts w:hint="default" w:asciiTheme="minorHAnsi" w:hAnsiTheme="minorHAnsi" w:cstheme="minorHAnsi"/>
          <w:b/>
          <w:bCs/>
          <w:color w:val="FF0000"/>
          <w:sz w:val="22"/>
          <w:szCs w:val="22"/>
          <w:lang w:val="pt-BR"/>
        </w:rPr>
        <w:t>.</w:t>
      </w:r>
      <w:r>
        <w:rPr>
          <w:rFonts w:asciiTheme="minorHAnsi" w:hAnsiTheme="minorHAnsi" w:cstheme="minorHAnsi"/>
          <w:b/>
          <w:bCs/>
          <w:color w:val="FF0000"/>
          <w:sz w:val="22"/>
          <w:szCs w:val="22"/>
        </w:rPr>
        <w:t>0</w:t>
      </w:r>
      <w:r>
        <w:rPr>
          <w:rFonts w:hint="default" w:asciiTheme="minorHAnsi" w:hAnsiTheme="minorHAnsi" w:cstheme="minorHAnsi"/>
          <w:b/>
          <w:bCs/>
          <w:color w:val="FF0000"/>
          <w:sz w:val="22"/>
          <w:szCs w:val="22"/>
          <w:lang w:val="pt-BR"/>
        </w:rPr>
        <w:t>58</w:t>
      </w:r>
      <w:r>
        <w:rPr>
          <w:rFonts w:asciiTheme="minorHAnsi" w:hAnsiTheme="minorHAnsi" w:cstheme="minorHAnsi"/>
          <w:b/>
          <w:bCs/>
          <w:color w:val="FF0000"/>
          <w:sz w:val="22"/>
          <w:szCs w:val="22"/>
        </w:rPr>
        <w:t>/2025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23069.164735/2025-38)</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23069.164735/2025-38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90.058</w:t>
      </w:r>
      <w:bookmarkStart w:id="6" w:name="_GoBack"/>
      <w:bookmarkEnd w:id="6"/>
      <w:r>
        <w:rPr>
          <w:rFonts w:eastAsia="Arial" w:asciiTheme="minorHAnsi" w:hAnsiTheme="minorHAnsi" w:cstheme="minorHAnsi"/>
          <w:i/>
          <w:iCs/>
          <w:sz w:val="22"/>
          <w:szCs w:val="22"/>
        </w:rPr>
        <w:t>/2025,</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eastAsia="Arial" w:asciiTheme="minorHAnsi" w:hAnsiTheme="minorHAnsi" w:cstheme="minorHAnsi"/>
          <w:sz w:val="22"/>
          <w:szCs w:val="22"/>
        </w:rPr>
        <w:t>Contratação de empresa especializada para prestação de serviços de engenharia com fornecimento de materiais para recuperação estrutural do telhado, impermeabilização e recuperação estrutural das lajes de cobertura e recuperação dos revestimentos de fachada do prédio anexo da Faculdade de Direito - Campus II, localizado na Rua Tiradentes nº 17, Bairro Ingá, Niterói/RJ</w:t>
      </w:r>
      <w:r>
        <w:rPr>
          <w:rFonts w:asciiTheme="minorHAnsi" w:hAnsiTheme="minorHAnsi" w:cstheme="minorHAnsi"/>
          <w:sz w:val="22"/>
          <w:szCs w:val="22"/>
        </w:rPr>
        <w:t>.</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12"/>
        <w:tblW w:w="9498" w:type="dxa"/>
        <w:tblInd w:w="-5" w:type="dxa"/>
        <w:tblLayout w:type="fixed"/>
        <w:tblCellMar>
          <w:top w:w="0" w:type="dxa"/>
          <w:left w:w="108" w:type="dxa"/>
          <w:bottom w:w="0" w:type="dxa"/>
          <w:right w:w="108" w:type="dxa"/>
        </w:tblCellMar>
      </w:tblPr>
      <w:tblGrid>
        <w:gridCol w:w="707"/>
        <w:gridCol w:w="2554"/>
        <w:gridCol w:w="1277"/>
        <w:gridCol w:w="1134"/>
        <w:gridCol w:w="1558"/>
        <w:gridCol w:w="1279"/>
        <w:gridCol w:w="989"/>
      </w:tblGrid>
      <w:tr w14:paraId="1D193ECB">
        <w:tblPrEx>
          <w:tblCellMar>
            <w:top w:w="0" w:type="dxa"/>
            <w:left w:w="108" w:type="dxa"/>
            <w:bottom w:w="0" w:type="dxa"/>
            <w:right w:w="108" w:type="dxa"/>
          </w:tblCellMar>
        </w:tblPrEx>
        <w:tc>
          <w:tcPr>
            <w:tcW w:w="70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0A29DF27">
            <w:pPr>
              <w:widowControl w:val="0"/>
              <w:spacing w:before="120" w:after="288" w:afterLines="120" w:line="312" w:lineRule="auto"/>
              <w:jc w:val="center"/>
              <w:rPr>
                <w:rFonts w:eastAsia="Arial" w:cs="Arial"/>
                <w:b/>
                <w:bCs/>
                <w:color w:val="000000"/>
                <w:szCs w:val="20"/>
              </w:rPr>
            </w:pPr>
            <w:r>
              <w:rPr>
                <w:rFonts w:eastAsia="Arial" w:cs="Arial"/>
                <w:b/>
                <w:bCs/>
                <w:color w:val="000000" w:themeColor="text1"/>
                <w:szCs w:val="20"/>
                <w14:textFill>
                  <w14:solidFill>
                    <w14:schemeClr w14:val="tx1"/>
                  </w14:solidFill>
                </w14:textFill>
              </w:rPr>
              <w:t>ITEM</w:t>
            </w:r>
          </w:p>
        </w:tc>
        <w:tc>
          <w:tcPr>
            <w:tcW w:w="2554"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03628AFA">
            <w:pPr>
              <w:widowControl w:val="0"/>
              <w:spacing w:before="120" w:after="288" w:afterLines="120" w:line="312" w:lineRule="auto"/>
              <w:jc w:val="center"/>
              <w:rPr>
                <w:rFonts w:eastAsia="Arial" w:cs="Arial"/>
                <w:color w:val="000000"/>
                <w:szCs w:val="20"/>
              </w:rPr>
            </w:pPr>
            <w:r>
              <w:rPr>
                <w:rFonts w:eastAsia="Arial" w:cs="Arial"/>
                <w:b/>
                <w:bCs/>
                <w:color w:val="000000" w:themeColor="text1"/>
                <w:szCs w:val="20"/>
                <w14:textFill>
                  <w14:solidFill>
                    <w14:schemeClr w14:val="tx1"/>
                  </w14:solidFill>
                </w14:textFill>
              </w:rPr>
              <w:t>ESPECIFICAÇÃO</w:t>
            </w:r>
          </w:p>
        </w:tc>
        <w:tc>
          <w:tcPr>
            <w:tcW w:w="127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767A47F2">
            <w:pPr>
              <w:widowControl w:val="0"/>
              <w:spacing w:before="120" w:after="288" w:afterLines="120" w:line="312" w:lineRule="auto"/>
              <w:jc w:val="center"/>
              <w:rPr>
                <w:rFonts w:eastAsia="Arial" w:cs="Arial"/>
                <w:color w:val="000000"/>
                <w:szCs w:val="20"/>
              </w:rPr>
            </w:pPr>
            <w:r>
              <w:rPr>
                <w:rFonts w:eastAsia="Arial" w:cs="Arial"/>
                <w:b/>
                <w:bCs/>
                <w:color w:val="000000" w:themeColor="text1"/>
                <w:szCs w:val="20"/>
                <w14:textFill>
                  <w14:solidFill>
                    <w14:schemeClr w14:val="tx1"/>
                  </w14:solidFill>
                </w14:textFill>
              </w:rPr>
              <w:t>CATSER</w:t>
            </w:r>
          </w:p>
        </w:tc>
        <w:tc>
          <w:tcPr>
            <w:tcW w:w="1134"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4C2718C8">
            <w:pPr>
              <w:widowControl w:val="0"/>
              <w:spacing w:before="120" w:after="288" w:afterLines="120" w:line="312" w:lineRule="auto"/>
              <w:jc w:val="center"/>
              <w:rPr>
                <w:rFonts w:eastAsia="Arial" w:cs="Arial"/>
                <w:color w:val="000000"/>
                <w:szCs w:val="20"/>
              </w:rPr>
            </w:pPr>
            <w:r>
              <w:rPr>
                <w:rFonts w:eastAsia="Arial" w:cs="Arial"/>
                <w:b/>
                <w:bCs/>
                <w:color w:val="000000" w:themeColor="text1"/>
                <w:szCs w:val="20"/>
                <w14:textFill>
                  <w14:solidFill>
                    <w14:schemeClr w14:val="tx1"/>
                  </w14:solidFill>
                </w14:textFill>
              </w:rPr>
              <w:t>UNIDADE DE MEDIDA</w:t>
            </w:r>
          </w:p>
        </w:tc>
        <w:tc>
          <w:tcPr>
            <w:tcW w:w="155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12EE92E4">
            <w:pPr>
              <w:widowControl w:val="0"/>
              <w:spacing w:before="120" w:after="288" w:afterLines="120" w:line="312" w:lineRule="auto"/>
              <w:jc w:val="center"/>
              <w:rPr>
                <w:rFonts w:eastAsia="Arial" w:cs="Arial"/>
                <w:b/>
                <w:bCs/>
                <w:szCs w:val="20"/>
              </w:rPr>
            </w:pPr>
            <w:r>
              <w:rPr>
                <w:rFonts w:eastAsia="Arial" w:cs="Arial"/>
                <w:b/>
                <w:bCs/>
                <w:szCs w:val="20"/>
              </w:rPr>
              <w:t>QUANTIDADE</w:t>
            </w:r>
          </w:p>
        </w:tc>
        <w:tc>
          <w:tcPr>
            <w:tcW w:w="127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6585ED52">
            <w:pPr>
              <w:widowControl w:val="0"/>
              <w:spacing w:before="120" w:after="288" w:afterLines="120" w:line="312" w:lineRule="auto"/>
              <w:jc w:val="center"/>
              <w:rPr>
                <w:rFonts w:eastAsia="Arial" w:cs="Arial"/>
                <w:b/>
                <w:bCs/>
                <w:szCs w:val="20"/>
              </w:rPr>
            </w:pPr>
            <w:r>
              <w:rPr>
                <w:rFonts w:eastAsia="Arial" w:cs="Arial"/>
                <w:b/>
                <w:bCs/>
                <w:szCs w:val="20"/>
              </w:rPr>
              <w:t>VALOR UNITÁRIO</w:t>
            </w:r>
          </w:p>
        </w:tc>
        <w:tc>
          <w:tcPr>
            <w:tcW w:w="98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DEE6157">
            <w:pPr>
              <w:widowControl w:val="0"/>
              <w:spacing w:before="120" w:after="288" w:afterLines="120" w:line="312" w:lineRule="auto"/>
              <w:jc w:val="center"/>
              <w:rPr>
                <w:rFonts w:eastAsia="Arial" w:cs="Arial"/>
                <w:b/>
                <w:bCs/>
                <w:szCs w:val="20"/>
              </w:rPr>
            </w:pPr>
            <w:r>
              <w:rPr>
                <w:rFonts w:eastAsia="Arial" w:cs="Arial"/>
                <w:b/>
                <w:bCs/>
                <w:szCs w:val="20"/>
              </w:rPr>
              <w:t>VALOR TOTAL</w:t>
            </w:r>
          </w:p>
        </w:tc>
      </w:tr>
      <w:tr w14:paraId="0DE4D7F2">
        <w:tblPrEx>
          <w:tblCellMar>
            <w:top w:w="0" w:type="dxa"/>
            <w:left w:w="108" w:type="dxa"/>
            <w:bottom w:w="0" w:type="dxa"/>
            <w:right w:w="108" w:type="dxa"/>
          </w:tblCellMar>
        </w:tblPrEx>
        <w:tc>
          <w:tcPr>
            <w:tcW w:w="70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6C8AB2B5">
            <w:pPr>
              <w:widowControl w:val="0"/>
              <w:spacing w:before="120" w:after="288" w:afterLines="120" w:line="312" w:lineRule="auto"/>
              <w:jc w:val="center"/>
              <w:rPr>
                <w:rFonts w:eastAsia="Arial" w:cs="Arial"/>
                <w:b/>
                <w:bCs/>
                <w:color w:val="000000"/>
                <w:szCs w:val="20"/>
              </w:rPr>
            </w:pPr>
            <w:r>
              <w:rPr>
                <w:rFonts w:eastAsia="Arial" w:cs="Arial"/>
                <w:b/>
                <w:bCs/>
                <w:color w:val="000000" w:themeColor="text1"/>
                <w:szCs w:val="20"/>
                <w14:textFill>
                  <w14:solidFill>
                    <w14:schemeClr w14:val="tx1"/>
                  </w14:solidFill>
                </w14:textFill>
              </w:rPr>
              <w:t>1</w:t>
            </w:r>
          </w:p>
        </w:tc>
        <w:tc>
          <w:tcPr>
            <w:tcW w:w="2554"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1FF6B61A">
            <w:pPr>
              <w:widowControl w:val="0"/>
              <w:spacing w:before="120" w:after="288" w:afterLines="120" w:line="312" w:lineRule="auto"/>
              <w:rPr>
                <w:rFonts w:eastAsia="Arial" w:cs="Arial"/>
                <w:color w:val="000000"/>
                <w:szCs w:val="20"/>
              </w:rPr>
            </w:pPr>
          </w:p>
        </w:tc>
        <w:tc>
          <w:tcPr>
            <w:tcW w:w="127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6B4D019">
            <w:pPr>
              <w:widowControl w:val="0"/>
              <w:spacing w:before="120" w:after="288" w:afterLines="120" w:line="312" w:lineRule="auto"/>
              <w:rPr>
                <w:rFonts w:eastAsia="Arial" w:cs="Arial"/>
                <w:color w:val="000000"/>
                <w:szCs w:val="20"/>
              </w:rPr>
            </w:pPr>
          </w:p>
        </w:tc>
        <w:tc>
          <w:tcPr>
            <w:tcW w:w="1134"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71A021F3">
            <w:pPr>
              <w:widowControl w:val="0"/>
              <w:spacing w:before="120" w:after="288" w:afterLines="120" w:line="312" w:lineRule="auto"/>
              <w:rPr>
                <w:rFonts w:eastAsia="Arial" w:cs="Arial"/>
                <w:color w:val="000000"/>
                <w:szCs w:val="20"/>
              </w:rPr>
            </w:pPr>
          </w:p>
        </w:tc>
        <w:tc>
          <w:tcPr>
            <w:tcW w:w="155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2743636F">
            <w:pPr>
              <w:widowControl w:val="0"/>
              <w:spacing w:before="120" w:after="288" w:afterLines="120" w:line="312" w:lineRule="auto"/>
              <w:rPr>
                <w:rFonts w:eastAsia="Arial" w:cs="Arial"/>
                <w:color w:val="000000"/>
                <w:szCs w:val="20"/>
              </w:rPr>
            </w:pPr>
          </w:p>
        </w:tc>
        <w:tc>
          <w:tcPr>
            <w:tcW w:w="127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F4A726A">
            <w:pPr>
              <w:widowControl w:val="0"/>
              <w:spacing w:before="120" w:after="288" w:afterLines="120" w:line="312" w:lineRule="auto"/>
              <w:rPr>
                <w:rFonts w:eastAsia="Arial" w:cs="Arial"/>
                <w:color w:val="000000"/>
                <w:szCs w:val="20"/>
              </w:rPr>
            </w:pPr>
          </w:p>
        </w:tc>
        <w:tc>
          <w:tcPr>
            <w:tcW w:w="98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46142539">
            <w:pPr>
              <w:widowControl w:val="0"/>
              <w:spacing w:before="120" w:after="288" w:afterLines="120" w:line="312" w:lineRule="auto"/>
              <w:rPr>
                <w:rFonts w:eastAsia="Arial" w:cs="Arial"/>
                <w:color w:val="000000"/>
                <w:szCs w:val="20"/>
              </w:rPr>
            </w:pPr>
          </w:p>
        </w:tc>
      </w:tr>
    </w:tbl>
    <w:p w14:paraId="2EC55432">
      <w:pPr>
        <w:pStyle w:val="99"/>
        <w:numPr>
          <w:ilvl w:val="0"/>
          <w:numId w:val="0"/>
        </w:numPr>
        <w:spacing w:after="288" w:afterLines="120" w:line="312" w:lineRule="auto"/>
        <w:ind w:left="858"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Edital;</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4D258946">
      <w:pPr>
        <w:pStyle w:val="101"/>
        <w:numPr>
          <w:ilvl w:val="2"/>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é o de empreitada por preço unitário.</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05ABFA05">
      <w:pPr>
        <w:pStyle w:val="498"/>
        <w:numPr>
          <w:ilvl w:val="1"/>
          <w:numId w:val="8"/>
        </w:numPr>
        <w:ind w:left="0" w:firstLine="0"/>
        <w:rPr>
          <w:rFonts w:eastAsia="Arial Unicode MS" w:asciiTheme="minorHAnsi" w:hAnsiTheme="minorHAnsi" w:cstheme="minorHAnsi"/>
          <w:i w:val="0"/>
          <w:iCs w:val="0"/>
          <w:color w:val="000000"/>
          <w:sz w:val="22"/>
          <w:szCs w:val="22"/>
        </w:rPr>
      </w:pPr>
      <w:r>
        <w:rPr>
          <w:rFonts w:eastAsia="Arial Unicode MS" w:asciiTheme="minorHAnsi" w:hAnsiTheme="minorHAnsi" w:cstheme="minorHAnsi"/>
          <w:i w:val="0"/>
          <w:iCs w:val="0"/>
          <w:color w:val="000000"/>
          <w:sz w:val="22"/>
          <w:szCs w:val="22"/>
        </w:rPr>
        <w:t>O prazo de vigência da contratação é de 14 (quatorze) meses contados da assinatura pelas partes, na forma do artigo 105 da Lei n° 14.133, de 2021.</w:t>
      </w:r>
    </w:p>
    <w:p w14:paraId="31A34691">
      <w:pPr>
        <w:pStyle w:val="498"/>
        <w:numPr>
          <w:ilvl w:val="1"/>
          <w:numId w:val="8"/>
        </w:numPr>
        <w:ind w:left="0" w:firstLine="0"/>
        <w:rPr>
          <w:rFonts w:eastAsia="Arial Unicode MS" w:asciiTheme="minorHAnsi" w:hAnsiTheme="minorHAnsi" w:cstheme="minorHAnsi"/>
          <w:i w:val="0"/>
          <w:iCs w:val="0"/>
          <w:color w:val="000000"/>
          <w:sz w:val="22"/>
          <w:szCs w:val="22"/>
        </w:rPr>
      </w:pPr>
      <w:r>
        <w:rPr>
          <w:rFonts w:eastAsia="Arial Unicode MS" w:asciiTheme="minorHAnsi" w:hAnsiTheme="minorHAnsi" w:cstheme="minorHAnsi"/>
          <w:i w:val="0"/>
          <w:iCs w:val="0"/>
          <w:color w:val="000000"/>
          <w:sz w:val="22"/>
          <w:szCs w:val="22"/>
        </w:rPr>
        <w:t>O prazo de vigência será automaticamente prorrogado, independentemente de termo aditivo, quando o objeto não for concluído no período firmado acima, ressalvadas as providências cabíveis no caso de culpa do CONTRATADO, previstas neste instrumento.</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9"/>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9"/>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9"/>
        </w:numPr>
        <w:spacing w:after="288" w:afterLines="120" w:line="312" w:lineRule="auto"/>
        <w:ind w:left="426"/>
        <w:contextualSpacing/>
        <w:rPr>
          <w:rFonts w:asciiTheme="minorHAnsi" w:hAnsiTheme="minorHAnsi" w:cstheme="minorHAnsi"/>
          <w:sz w:val="22"/>
          <w:szCs w:val="22"/>
          <w:lang w:eastAsia="en-US"/>
        </w:rPr>
      </w:pPr>
      <w:bookmarkStart w:id="0" w:name="_Hlk182220156"/>
      <w:r>
        <w:rPr>
          <w:rFonts w:asciiTheme="minorHAnsi" w:hAnsiTheme="minorHAnsi" w:cstheme="minorHAnsi"/>
          <w:sz w:val="22"/>
          <w:szCs w:val="22"/>
          <w:lang w:eastAsia="en-US"/>
        </w:rPr>
        <w:t>As regras sobre a subcontratação do objeto são aquelas estabelecidas no Termo de Referência, anexo a este Contrato</w:t>
      </w:r>
      <w:bookmarkEnd w:id="0"/>
      <w:r>
        <w:rPr>
          <w:rFonts w:asciiTheme="minorHAnsi" w:hAnsiTheme="minorHAnsi" w:cstheme="minorHAnsi"/>
          <w:sz w:val="22"/>
          <w:szCs w:val="22"/>
          <w:lang w:eastAsia="en-US"/>
        </w:rPr>
        <w:t>.</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0"/>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total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w:t>
      </w:r>
    </w:p>
    <w:p w14:paraId="5AD579C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0"/>
        </w:numPr>
        <w:ind w:left="567" w:hanging="567"/>
        <w:rPr>
          <w:rFonts w:asciiTheme="minorHAnsi" w:hAnsiTheme="minorHAnsi" w:cstheme="minorHAnsi"/>
          <w:sz w:val="22"/>
          <w:szCs w:val="22"/>
        </w:rPr>
      </w:pPr>
      <w:r>
        <w:rPr>
          <w:rFonts w:asciiTheme="minorHAnsi" w:hAnsiTheme="minorHAnsi" w:cstheme="minorHAnsi"/>
          <w:sz w:val="22"/>
          <w:szCs w:val="22"/>
        </w:rPr>
        <w:t>O prazo para pagamento ao CONTRATADO e demais condições a ele referentes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0"/>
        </w:numPr>
        <w:rPr>
          <w:rFonts w:asciiTheme="minorHAnsi" w:hAnsiTheme="minorHAnsi" w:cstheme="minorHAnsi"/>
          <w:b/>
          <w:bCs/>
          <w:sz w:val="22"/>
          <w:szCs w:val="22"/>
        </w:rPr>
      </w:pPr>
      <w:r>
        <w:rPr>
          <w:rFonts w:asciiTheme="minorHAnsi" w:hAnsiTheme="minorHAnsi" w:cstheme="minorHAnsi"/>
          <w:b/>
          <w:bCs/>
          <w:sz w:val="22"/>
          <w:szCs w:val="22"/>
        </w:rPr>
        <w:t>CLÁUSULA SÉTIMA – REAJUSTE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0"/>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do reajuste dos preços contratados são aquelas definidas no Termo de Referência, anexo a este Contrato.</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6F62845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São obrigações do CONTRATANTE:</w:t>
      </w:r>
    </w:p>
    <w:p w14:paraId="317B4077">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Exigir o cumprimento de todas as obrigações assumidas pelo CONTRATADO, de acordo com o contrato e seus anexos;</w:t>
      </w:r>
    </w:p>
    <w:p w14:paraId="6064E6AD">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Receber o objeto no prazo e condições estabelecidas no Termo de Referência;</w:t>
      </w:r>
    </w:p>
    <w:p w14:paraId="19F265B3">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0334384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Acompanhar e fiscalizar a execução do contrato e o cumprimento das obrigações pelo CONTRATADO;</w:t>
      </w:r>
    </w:p>
    <w:p w14:paraId="055EE03F">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23CD811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Efetuar o pagamento ao CONTRATADO do valor correspondente à execução do objeto, no prazo, forma e condições estabelecidos no presente Contrato e no Termo de Referência;</w:t>
      </w:r>
    </w:p>
    <w:p w14:paraId="1DDD5225">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Aplicar ao CONTRATADO as sanções previstas na lei e neste Contrato;</w:t>
      </w:r>
    </w:p>
    <w:p w14:paraId="4EA50C07">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Não praticar atos de ingerência na administração do CONTRATADO, tais como:</w:t>
      </w:r>
    </w:p>
    <w:p w14:paraId="2CCB3BAD">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indicar pessoas expressamente nominadas para executar direta ou indiretamente o objeto CONTRATADO;</w:t>
      </w:r>
    </w:p>
    <w:p w14:paraId="0BBD36D0">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fixar salário inferior ao definido em lei ou em ato normativo a ser pago pelo CONTRATADO;</w:t>
      </w:r>
    </w:p>
    <w:p w14:paraId="74EC90AB">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 xml:space="preserve"> estabelecer vínculo de subordinação com funcionário do CONTRATADO;</w:t>
      </w:r>
    </w:p>
    <w:p w14:paraId="3276D86C">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definir forma de pagamento mediante exclusivo reembolso dos salários pagos;</w:t>
      </w:r>
    </w:p>
    <w:p w14:paraId="14597B15">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demandar a funcionário do CONTRATADO a execução de tarefas fora do escopo do objeto da contratação; e</w:t>
      </w:r>
    </w:p>
    <w:p w14:paraId="47D391EC">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prever exigências que constituam intervenção indevida da Administração na gestão interna do CONTRATADO.</w:t>
      </w:r>
    </w:p>
    <w:p w14:paraId="1A91D48B">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Cientificar o órgão de representação judicial da Advocacia-Geral da União para adoção das medidas cabíveis quando do descumprimento de obrigações pelo CONTRATADO;</w:t>
      </w:r>
    </w:p>
    <w:p w14:paraId="25E4FED2">
      <w:pPr>
        <w:pStyle w:val="101"/>
        <w:numPr>
          <w:ilvl w:val="2"/>
          <w:numId w:val="4"/>
        </w:numPr>
        <w:spacing w:after="288" w:afterLines="120" w:line="312" w:lineRule="auto"/>
        <w:rPr>
          <w:rFonts w:asciiTheme="minorHAnsi" w:hAnsiTheme="minorHAnsi" w:cstheme="minorHAnsi"/>
          <w:color w:val="auto"/>
          <w:sz w:val="22"/>
          <w:szCs w:val="22"/>
        </w:rPr>
      </w:pPr>
      <w:r>
        <w:rPr>
          <w:rFonts w:asciiTheme="minorHAnsi" w:hAnsiTheme="minorHAnsi" w:cstheme="minorHAnsi"/>
          <w:color w:val="auto"/>
          <w:sz w:val="22"/>
          <w:szCs w:val="22"/>
        </w:rPr>
        <w:t xml:space="preserve">Explicitamente emitir decisão sobre todas as solicitações e reclamações relacionadas à execução do presente Contrato, ressalvados os requerimentos manifestamente impertinentes, meramente protelatórios ou de nenhum interesse para a boa execução do ajuste </w:t>
      </w:r>
      <w:bookmarkStart w:id="1" w:name="_Ref128062899"/>
      <w:r>
        <w:rPr>
          <w:rFonts w:asciiTheme="minorHAnsi" w:hAnsiTheme="minorHAnsi" w:cstheme="minorHAnsi"/>
          <w:color w:val="auto"/>
          <w:sz w:val="22"/>
          <w:szCs w:val="22"/>
        </w:rPr>
        <w:t xml:space="preserve">A Administração terá o prazo de 30 (trinta), a contar da data do protocolo do requerimento para decidir, admitida a prorrogação motivada, por igual período. </w:t>
      </w:r>
      <w:bookmarkEnd w:id="1"/>
    </w:p>
    <w:p w14:paraId="5D1081F3">
      <w:pPr>
        <w:pStyle w:val="99"/>
        <w:numPr>
          <w:ilvl w:val="3"/>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p>
    <w:p w14:paraId="5D5621F0">
      <w:pPr>
        <w:pStyle w:val="498"/>
        <w:numPr>
          <w:ilvl w:val="2"/>
          <w:numId w:val="4"/>
        </w:numPr>
        <w:spacing w:after="288" w:afterLines="120" w:line="312" w:lineRule="auto"/>
        <w:rPr>
          <w:rFonts w:eastAsia="Arial Unicode MS" w:asciiTheme="minorHAnsi" w:hAnsiTheme="minorHAnsi" w:cstheme="minorHAnsi"/>
          <w:i w:val="0"/>
          <w:iCs w:val="0"/>
          <w:color w:val="auto"/>
          <w:sz w:val="22"/>
          <w:szCs w:val="22"/>
        </w:rPr>
      </w:pPr>
      <w:bookmarkStart w:id="2" w:name="_Hlk114499841"/>
      <w:bookmarkEnd w:id="2"/>
      <w:r>
        <w:rPr>
          <w:rFonts w:eastAsia="Arial Unicode MS" w:asciiTheme="minorHAnsi" w:hAnsiTheme="minorHAnsi" w:cstheme="minorHAnsi"/>
          <w:i w:val="0"/>
          <w:iCs w:val="0"/>
          <w:color w:val="auto"/>
          <w:sz w:val="22"/>
          <w:szCs w:val="22"/>
        </w:rPr>
        <w:t>Notificar os emitentes das garantias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Fonts w:eastAsia="Arial Unicode MS"/>
          <w:i w:val="0"/>
          <w:iCs w:val="0"/>
          <w:color w:val="auto"/>
        </w:rPr>
        <w:t>§4º, do art. 137, da Lei nº 14.133, de 2021</w:t>
      </w:r>
      <w:r>
        <w:rPr>
          <w:rFonts w:eastAsia="Arial Unicode MS"/>
          <w:i w:val="0"/>
          <w:iCs w:val="0"/>
          <w:color w:val="auto"/>
        </w:rPr>
        <w:fldChar w:fldCharType="end"/>
      </w:r>
      <w:r>
        <w:rPr>
          <w:rFonts w:eastAsia="Arial Unicode MS" w:asciiTheme="minorHAnsi" w:hAnsiTheme="minorHAnsi" w:cstheme="minorHAnsi"/>
          <w:i w:val="0"/>
          <w:iCs w:val="0"/>
          <w:color w:val="auto"/>
          <w:sz w:val="22"/>
          <w:szCs w:val="22"/>
        </w:rPr>
        <w:t xml:space="preserve">). </w:t>
      </w:r>
    </w:p>
    <w:p w14:paraId="371FD59D">
      <w:pPr>
        <w:pStyle w:val="500"/>
        <w:numPr>
          <w:ilvl w:val="2"/>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Notificar os emitentes das garantias quanto ao início de processo administrativo para apuração de descumprimento de cláusulas contratuais;</w:t>
      </w:r>
    </w:p>
    <w:p w14:paraId="5B52BA15">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Comunicar o CONTRATADO na hipótese de posterior alteração do projeto pelo CONTRATANTE, no caso do art. 93, §2º, da Lei nº 14.133, de 2021;</w:t>
      </w:r>
    </w:p>
    <w:p w14:paraId="0FB98D80">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Fornecer por escrito as informações necessárias para o desenvolvimento dos serviços objeto do contrato;</w:t>
      </w:r>
    </w:p>
    <w:p w14:paraId="5C76211E">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Realizar avaliações periódicas da qualidade dos serviços, após seu recebimento;</w:t>
      </w:r>
    </w:p>
    <w:p w14:paraId="6D5308CF">
      <w:pPr>
        <w:pStyle w:val="101"/>
        <w:numPr>
          <w:ilvl w:val="2"/>
          <w:numId w:val="4"/>
        </w:numPr>
        <w:spacing w:after="288" w:afterLines="120" w:line="312" w:lineRule="auto"/>
        <w:rPr>
          <w:rFonts w:asciiTheme="minorHAnsi" w:hAnsiTheme="minorHAnsi" w:cstheme="minorHAnsi"/>
          <w:color w:val="auto"/>
          <w:sz w:val="22"/>
          <w:szCs w:val="22"/>
        </w:rPr>
      </w:pPr>
      <w:r>
        <w:rPr>
          <w:rFonts w:asciiTheme="minorHAnsi" w:hAnsiTheme="minorHAnsi" w:cstheme="minorHAnsi"/>
          <w:color w:val="auto"/>
          <w:sz w:val="22"/>
          <w:szCs w:val="22"/>
        </w:rPr>
        <w:t xml:space="preserve">Assegurar que o ambiente de trabalho, inclusive seus equipamentos e instalações, apresentem condições adequadas ao cumprimento, pelo CONTRATADO, das normas de segurança e saúde no trabalho, quando o serviço for executado em suas dependências, ou em local por ela designado; </w:t>
      </w:r>
    </w:p>
    <w:p w14:paraId="22F21DD2">
      <w:pPr>
        <w:pStyle w:val="101"/>
        <w:numPr>
          <w:ilvl w:val="2"/>
          <w:numId w:val="4"/>
        </w:numPr>
        <w:spacing w:after="288" w:afterLines="120" w:line="312" w:lineRule="auto"/>
        <w:rPr>
          <w:rFonts w:asciiTheme="minorHAnsi" w:hAnsiTheme="minorHAnsi" w:cstheme="minorHAnsi"/>
          <w:color w:val="auto"/>
          <w:sz w:val="22"/>
          <w:szCs w:val="22"/>
        </w:rPr>
      </w:pPr>
      <w:r>
        <w:rPr>
          <w:rFonts w:asciiTheme="minorHAnsi" w:hAnsiTheme="minorHAnsi" w:cstheme="minorHAnsi"/>
          <w:color w:val="auto"/>
          <w:sz w:val="22"/>
          <w:szCs w:val="22"/>
        </w:rPr>
        <w:t>Previamente à expedição da ordem de serviço, verificar pendências, liberar áreas e/ou adotar providências cabíveis para a regularidade do início da sua execução.</w:t>
      </w:r>
    </w:p>
    <w:p w14:paraId="1345E40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177FD87">
      <w:pPr>
        <w:pStyle w:val="101"/>
        <w:numPr>
          <w:ilvl w:val="0"/>
          <w:numId w:val="0"/>
        </w:numPr>
        <w:spacing w:after="288" w:afterLines="120" w:line="312" w:lineRule="auto"/>
        <w:ind w:left="567"/>
        <w:rPr>
          <w:rFonts w:asciiTheme="minorHAnsi" w:hAnsiTheme="minorHAnsi" w:cstheme="minorHAnsi"/>
          <w:sz w:val="22"/>
          <w:szCs w:val="22"/>
        </w:rPr>
      </w:pP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AC2A38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807A33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ou gestor do contrato ou autoridade superior e prestar todo esclarecimento ou informação por eles solicitados;</w:t>
      </w:r>
    </w:p>
    <w:p w14:paraId="280D71E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26D6E37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CE00E97">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5A9C749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prova de regularidade relativa à Seguridade Social;</w:t>
      </w:r>
    </w:p>
    <w:p w14:paraId="3F31DED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certidão conjunta relativa aos tributos federais e à Dívida Ativa da União;</w:t>
      </w:r>
    </w:p>
    <w:p w14:paraId="773E75A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certidões que comprovem a regularidade perante a Fazenda Municipal ou Distrital do domicílio ou sede do CONTRATADO;</w:t>
      </w:r>
    </w:p>
    <w:p w14:paraId="3233A30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Certidão de Regularidade do FGTS – CRF; e</w:t>
      </w:r>
    </w:p>
    <w:p w14:paraId="020292B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Certidão Negativa de Débitos Trabalhistas – CNDT.</w:t>
      </w:r>
    </w:p>
    <w:p w14:paraId="37C37FC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6208B99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Comunicar ao Fiscal do contrato tempestivamente, observada a urgência da situação, qualquer ocorrência anormal ou acidente que se verifique no local da execução do objeto contratual, não ultrapassando o prazo de 24 (vinte e quatro) horas;</w:t>
      </w:r>
    </w:p>
    <w:p w14:paraId="03C5130E">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3A78A5D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Manter, durante toda a vigência do contrato, em compatibilidade com as obrigações assumidas, todas as condições exigidas para qualificação na contratação direta;</w:t>
      </w:r>
    </w:p>
    <w:p w14:paraId="417F64A7">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w:t>
      </w:r>
    </w:p>
    <w:p w14:paraId="4F4526F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w:t>
      </w:r>
    </w:p>
    <w:p w14:paraId="2AF3E84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6A23E2B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7DBE1D6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017C350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w:t>
      </w:r>
    </w:p>
    <w:p w14:paraId="150BBB7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w:t>
      </w:r>
    </w:p>
    <w:p w14:paraId="7E22ACB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Fornecer todos os materiais, equipamentos, ferramentas e utensílios demandados, em quantidade, qualidade e tecnologia adequadas, com a observância às recomendações aceitas pela boa técnica, normas e legislação de regência;</w:t>
      </w:r>
    </w:p>
    <w:p w14:paraId="1349364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de execução do objeto e nas melhores condições de segurança, higiene e disciplina;</w:t>
      </w:r>
    </w:p>
    <w:p w14:paraId="7AB3DD7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614312D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Cumprir as normas de proteção ao trabalho, inclusive aquelas relativas à segurança e à saúde no trabalho;</w:t>
      </w:r>
    </w:p>
    <w:p w14:paraId="653787D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Não submeter os trabalhadores a condições degradantes de trabalho, jornadas exaustivas, servidão por dívida ou trabalhos forçados;</w:t>
      </w:r>
    </w:p>
    <w:p w14:paraId="1E624D7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de idade, exceto na condição de aprendiz para os maiores de quatorze anos de idade, observada a legislação pertinente;</w:t>
      </w:r>
    </w:p>
    <w:p w14:paraId="3C42C7B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68F395A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Receber e dar o tratamento adequado a denúncias de discriminação, violência e assédio no ambiente de trabalho;</w:t>
      </w:r>
    </w:p>
    <w:p w14:paraId="63C05AD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656AC98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4CC1C91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414D103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contrato;</w:t>
      </w:r>
    </w:p>
    <w:p w14:paraId="4472D32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041C927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Assegurar aos seus trabalhadores ambiente de trabalho e instalações em condições adequadas ao cumprimento das normas de saúde, segurança e bem-estar no trabalho;</w:t>
      </w:r>
    </w:p>
    <w:p w14:paraId="572A766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Fornecer equipamentos de proteção individual (EPI) e equipamentos de proteção coletiva (EPC),quando for o caso;</w:t>
      </w:r>
    </w:p>
    <w:p w14:paraId="130E2617">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contrato;</w:t>
      </w:r>
    </w:p>
    <w:p w14:paraId="20D808D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1AD6DFD8">
      <w:pPr>
        <w:pStyle w:val="99"/>
        <w:numPr>
          <w:ilvl w:val="1"/>
          <w:numId w:val="4"/>
        </w:numPr>
        <w:rPr>
          <w:rFonts w:asciiTheme="minorHAnsi" w:hAnsiTheme="minorHAnsi" w:cstheme="minorHAnsi"/>
          <w:sz w:val="22"/>
          <w:szCs w:val="22"/>
        </w:rPr>
      </w:pPr>
      <w:bookmarkStart w:id="3" w:name="_Ref118293030"/>
      <w:r>
        <w:rPr>
          <w:rFonts w:asciiTheme="minorHAnsi" w:hAnsiTheme="minorHAnsi" w:cstheme="minorHAnsi"/>
          <w:sz w:val="22"/>
          <w:szCs w:val="22"/>
        </w:rPr>
        <w:t>Instruir seus empregados quanto à necessidade de acatar as normas internas da Administração;</w:t>
      </w:r>
    </w:p>
    <w:p w14:paraId="4056118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40EA1F8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Efetuar comunicação ao CONTRATANTE, assim que tiver ciência da impossibilidade de realização ou finalização do serviço no prazo estabelecido, para adoção de ações de contingência cabíveis. </w:t>
      </w:r>
    </w:p>
    <w:bookmarkEnd w:id="3"/>
    <w:p w14:paraId="763E213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Manter os empregados nos horários predeterminados pelo CONTRATANTE;</w:t>
      </w:r>
    </w:p>
    <w:p w14:paraId="488C84A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Apresentar os empregados devidamente identificados por meio de crachá;</w:t>
      </w:r>
    </w:p>
    <w:p w14:paraId="51CA06D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Apresentar ao CONTRATANTE, quando for o caso, a relação nominal dos empregados que adentrarão no órgão para a execução do serviço;</w:t>
      </w:r>
    </w:p>
    <w:p w14:paraId="4E75F9FE">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Observar os preceitos da legislação sobre a jornada de trabalho, conforme a categoria profissional;</w:t>
      </w:r>
    </w:p>
    <w:p w14:paraId="1F04577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049C7A67">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Instruir os seus empregados, quanto à prevenção de incêndios nas áreas do CONTRATANTE;</w:t>
      </w:r>
    </w:p>
    <w:p w14:paraId="021072C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Adotar as providências e precauções necessárias, inclusive consulta nos respectivos órgãos, se necessário for, a fim de que não venham a ser danificadas as redes hidrossanitárias, elétricas e de comunicação;</w:t>
      </w:r>
    </w:p>
    <w:p w14:paraId="4C10CA7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Estar registrada ou inscrita no Conselho Profissional competente, conforme as áreas de atuação previstas no Termo de Referência, em plena validade;</w:t>
      </w:r>
    </w:p>
    <w:p w14:paraId="3B34D0B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Obter junto aos órgãos competentes, conforme o caso, as licenças necessárias e demais documentos e autorizações exigíveis, na forma da legislação aplicável;</w:t>
      </w:r>
    </w:p>
    <w:p w14:paraId="7438BD6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3FC6CA9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4858043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Utilizar somente matéria-prima florestal procedente, nos termos do artigo 11 do Decreto n° 5.975, de 2006, de: </w:t>
      </w:r>
    </w:p>
    <w:p w14:paraId="73A66C4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manejo florestal, realizado por meio de Plano de Manejo Florestal Sustentável - PMFS devidamente aprovado pelo órgão competente do Sistema Nacional do Meio Ambiente - SISNAMA;</w:t>
      </w:r>
    </w:p>
    <w:p w14:paraId="52949F6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supressão da vegetação natural, devidamente autorizada pelo órgão competente do Sistema Nacional do Meio Ambiente - SISNAMA; </w:t>
      </w:r>
    </w:p>
    <w:p w14:paraId="2AB43AD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florestas plantadas; e </w:t>
      </w:r>
    </w:p>
    <w:p w14:paraId="5F43013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outras fontes de biomassa florestal, definidas em normas específicas do órgão ambiental competente.</w:t>
      </w:r>
    </w:p>
    <w:p w14:paraId="28922EB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 </w:t>
      </w:r>
    </w:p>
    <w:p w14:paraId="0B15E70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Cópias autenticadas das notas fiscais de aquisição dos produtos ou subprodutos florestais; </w:t>
      </w:r>
    </w:p>
    <w:p w14:paraId="624C261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artigo 17, inciso II, da Lei n° 6.938, de 1981, e legislação correlata;</w:t>
      </w:r>
    </w:p>
    <w:p w14:paraId="1E5E55E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Documento de Origem Florestal – DOF, instituído pela </w:t>
      </w:r>
      <w:r>
        <w:fldChar w:fldCharType="begin"/>
      </w:r>
      <w:r>
        <w:instrText xml:space="preserve"> HYPERLINK "http://www.ibama.gov.br/component/legislacao/?view=legislacao&amp;legislacao=112647" </w:instrText>
      </w:r>
      <w:r>
        <w:fldChar w:fldCharType="separate"/>
      </w:r>
      <w:r>
        <w:rPr>
          <w:rFonts w:asciiTheme="minorHAnsi" w:hAnsiTheme="minorHAnsi" w:cstheme="minorHAnsi"/>
          <w:sz w:val="22"/>
          <w:szCs w:val="22"/>
        </w:rPr>
        <w:t>Portaria n° 253, de 18/08/2006</w:t>
      </w:r>
      <w:r>
        <w:rPr>
          <w:rFonts w:asciiTheme="minorHAnsi" w:hAnsiTheme="minorHAnsi" w:cstheme="minorHAnsi"/>
          <w:sz w:val="22"/>
          <w:szCs w:val="22"/>
        </w:rPr>
        <w:fldChar w:fldCharType="end"/>
      </w:r>
      <w:r>
        <w:rPr>
          <w:rFonts w:asciiTheme="minorHAnsi" w:hAnsiTheme="minorHAnsi" w:cstheme="minorHAnsi"/>
          <w:sz w:val="22"/>
          <w:szCs w:val="22"/>
        </w:rPr>
        <w:t xml:space="preserve">, do Ministério do Meio Ambiente, e </w:t>
      </w:r>
      <w:r>
        <w:fldChar w:fldCharType="begin"/>
      </w:r>
      <w:r>
        <w:instrText xml:space="preserve"> HYPERLINK "http://www.ibama.gov.br/phocadownload/sinaflor/2018/2018-06-13-Ibama-IN-IBAMA-21-24-12-2014-SINAFLOR-DOF-compilada.pdf" </w:instrText>
      </w:r>
      <w:r>
        <w:fldChar w:fldCharType="separate"/>
      </w:r>
      <w:r>
        <w:rPr>
          <w:rFonts w:asciiTheme="minorHAnsi" w:hAnsiTheme="minorHAnsi" w:cstheme="minorHAnsi"/>
          <w:sz w:val="22"/>
          <w:szCs w:val="22"/>
        </w:rPr>
        <w:t>Instrução Normativa IBAMA n° 21, de 24/12/2014</w:t>
      </w:r>
      <w:r>
        <w:rPr>
          <w:rFonts w:asciiTheme="minorHAnsi" w:hAnsiTheme="minorHAnsi" w:cstheme="minorHAnsi"/>
          <w:sz w:val="22"/>
          <w:szCs w:val="22"/>
        </w:rPr>
        <w:fldChar w:fldCharType="end"/>
      </w:r>
      <w:r>
        <w:rPr>
          <w:rFonts w:asciiTheme="minorHAnsi" w:hAnsiTheme="minorHAnsi" w:cstheme="minorHAnsi"/>
          <w:sz w:val="22"/>
          <w:szCs w:val="22"/>
        </w:rPr>
        <w:t>, quando se tratar de produtos ou subprodutos florestais de origem nativa cujo transporte e armazenamento exijam a emissão de tal licença obrigatória; e</w:t>
      </w:r>
    </w:p>
    <w:p w14:paraId="2412BAC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7D93B2F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2010, nos seguintes termos:</w:t>
      </w:r>
    </w:p>
    <w:p w14:paraId="2646802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79B050AE">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Nos termos dos artigos 3° e 10° da Resolução CONAMA n° 307, de 2002, o CONTRATADO deverá providenciar a destinação ambientalmente adequada dos resíduos da construção civil originários da contratação, obedecendo, no que couber, aos seguintes procedimentos:</w:t>
      </w:r>
    </w:p>
    <w:p w14:paraId="7C14199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resíduos Classe A (reutilizáveis ou recicláveis como agregados): deverão ser reutilizados ou reciclados na forma de agregados, ou encaminhados a aterros de resíduos classe A de preservação de material para usos futuros. </w:t>
      </w:r>
    </w:p>
    <w:p w14:paraId="2A26DC1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resíduos Classe B (recicláveis para outras destinações): deverão ser reutilizados, reciclados ou encaminhados a áreas de armazenamento temporário, sendo dispostos de modo a permitir a sua utilização ou reciclagem futura.</w:t>
      </w:r>
    </w:p>
    <w:p w14:paraId="2FD76D8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769091F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resíduos Classe D (perigosos, contaminados ou prejudiciais à saúde): deverão ser armazenados, transportados, reutilizados e destinados em conformidade com as normas técnicas específicas.</w:t>
      </w:r>
    </w:p>
    <w:p w14:paraId="233D12C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7906A9A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ns. 15.112, 15.113, 15.114, 15.115 e 15.116, de 2004.</w:t>
      </w:r>
    </w:p>
    <w:p w14:paraId="0FA8009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Observar as seguintes diretrizes de caráter ambiental:</w:t>
      </w:r>
    </w:p>
    <w:p w14:paraId="3B2BFAF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2006, e legislação correlata, de acordo com o poluente e o tipo de fonte.</w:t>
      </w:r>
    </w:p>
    <w:p w14:paraId="2147F2E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1990, e legislação correlata.</w:t>
      </w:r>
    </w:p>
    <w:p w14:paraId="603F717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Nos termos do artigo 4°, § 3°, da Instrução Normativa SLTI/MP n° 1, de 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7CF00C3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20115FBE">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5592B3B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0266CEC3">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Será exigida a prestação de garantia na presente contratação, conforme regras constantes do Termo de Referência.</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4" w:name="_Ref169602136"/>
      <w:bookmarkStart w:id="5" w:name="_Ref169601460"/>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4"/>
    <w:bookmarkEnd w:id="5"/>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5D1EBCB">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será extinto quando cumpridas as obrigações de ambas as partes, ainda que isso ocorra antes do prazo estipulado para tanto.</w:t>
      </w:r>
    </w:p>
    <w:p w14:paraId="714FB7FD">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 as obrigações não forem cumpridas no prazo estipulado, a vigência ficará prorrogada até a conclusão do objeto, caso em que deverá a Administração providenciar a readequação do cronograma fixado para o contrato.</w:t>
      </w:r>
    </w:p>
    <w:p w14:paraId="1A525EAC">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Quando a não conclusão do contrato referida no item anterior decorrer de culpa do CONTRATADO:</w:t>
      </w:r>
    </w:p>
    <w:p w14:paraId="6506A667">
      <w:pPr>
        <w:pStyle w:val="500"/>
        <w:numPr>
          <w:ilvl w:val="2"/>
          <w:numId w:val="4"/>
        </w:numPr>
        <w:rPr>
          <w:rFonts w:eastAsia="Times New Roman" w:asciiTheme="minorHAnsi" w:hAnsiTheme="minorHAnsi" w:cstheme="minorHAnsi"/>
          <w:i w:val="0"/>
          <w:iCs w:val="0"/>
          <w:color w:val="auto"/>
          <w:sz w:val="22"/>
          <w:szCs w:val="22"/>
        </w:rPr>
      </w:pPr>
      <w:r>
        <w:rPr>
          <w:rFonts w:eastAsia="Times New Roman" w:asciiTheme="minorHAnsi" w:hAnsiTheme="minorHAnsi" w:cstheme="minorHAnsi"/>
          <w:i w:val="0"/>
          <w:iCs w:val="0"/>
          <w:color w:val="auto"/>
          <w:sz w:val="22"/>
          <w:szCs w:val="22"/>
        </w:rPr>
        <w:t>ficará ele constituído em mora, sendo-lhe aplicáveis as respectivas sanções administrativas; e</w:t>
      </w:r>
    </w:p>
    <w:p w14:paraId="4B2AA6EB">
      <w:pPr>
        <w:pStyle w:val="500"/>
        <w:numPr>
          <w:ilvl w:val="2"/>
          <w:numId w:val="4"/>
        </w:numPr>
        <w:rPr>
          <w:rFonts w:eastAsia="Times New Roman" w:asciiTheme="minorHAnsi" w:hAnsiTheme="minorHAnsi" w:cstheme="minorHAnsi"/>
          <w:i w:val="0"/>
          <w:iCs w:val="0"/>
          <w:color w:val="auto"/>
          <w:sz w:val="22"/>
          <w:szCs w:val="22"/>
        </w:rPr>
      </w:pPr>
      <w:r>
        <w:rPr>
          <w:rFonts w:eastAsia="Times New Roman" w:asciiTheme="minorHAnsi" w:hAnsiTheme="minorHAnsi" w:cstheme="minorHAnsi"/>
          <w:i w:val="0"/>
          <w:iCs w:val="0"/>
          <w:color w:val="auto"/>
          <w:sz w:val="22"/>
          <w:szCs w:val="22"/>
        </w:rPr>
        <w:t>poderá a Administração optar pela extinção do contrato e, nesse caso, adotará as medidas admitidas em lei para a continuidade da execução contratual</w:t>
      </w:r>
    </w:p>
    <w:p w14:paraId="28BAEBC7">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25F3FEB2">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Nesta hipótese, aplicam-se também os artigos 138 e 139 da mesma Lei.</w:t>
      </w:r>
    </w:p>
    <w:p w14:paraId="1C7EBE7E">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455EBAB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Se a operação implicar mudança da pessoa jurídica contratada, deverá ser formalizado termo aditivo para alteração subjetiva.</w:t>
      </w:r>
    </w:p>
    <w:p w14:paraId="5E2E019A">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O termo de extinção, sempre que possível, será precedido:</w:t>
      </w:r>
    </w:p>
    <w:p w14:paraId="26006C34">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Do balanço dos eventos contratuais já cumpridos ou parcialmente cumpridos;</w:t>
      </w:r>
    </w:p>
    <w:p w14:paraId="7943D902">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Da relação dos pagamentos já efetuados e ainda devidos;</w:t>
      </w:r>
    </w:p>
    <w:p w14:paraId="3AE924ED">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Das indenizações e multas.</w:t>
      </w:r>
    </w:p>
    <w:p w14:paraId="1D3A740A">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6682523C">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O CONTRATANTE poderá ainda:</w:t>
      </w:r>
    </w:p>
    <w:p w14:paraId="3099C740">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167DBAF8">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1D03313C">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contratação direta, ou atue na fiscalização ou na gestão do contrato, ou que deles seja cônjuge, companheiro ou parente em linha reta, colateral ou por afinidade, até o terceiro grau.</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Segoe Print"/>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3B8DB841">
    <w:pPr>
      <w:pStyle w:val="33"/>
      <w:rPr>
        <w:rFonts w:cs="Arial"/>
        <w:sz w:val="14"/>
        <w:szCs w:val="14"/>
      </w:rPr>
    </w:pPr>
    <w:r>
      <w:rPr>
        <w:rFonts w:cs="Arial"/>
        <w:sz w:val="14"/>
        <w:szCs w:val="14"/>
      </w:rPr>
      <w:t>Câmara Nacional de Modelos de Licitações e Contratos da Consultoria-Geral da União</w:t>
    </w:r>
  </w:p>
  <w:p w14:paraId="46E262B7">
    <w:pPr>
      <w:pStyle w:val="33"/>
      <w:rPr>
        <w:sz w:val="14"/>
      </w:rPr>
    </w:pPr>
    <w:r>
      <w:rPr>
        <w:rFonts w:cs="Arial"/>
        <w:sz w:val="14"/>
        <w:szCs w:val="14"/>
      </w:rPr>
      <w:t>Modelo de Termo de Contrato – Licitação e Contratação Direta – Obras e Serviços de Engenharia - Lei nº 14.133, de 2021</w:t>
    </w:r>
  </w:p>
  <w:p w14:paraId="75F1DCCB">
    <w:pPr>
      <w:pStyle w:val="33"/>
      <w:rPr>
        <w:rFonts w:cs="Arial"/>
        <w:sz w:val="14"/>
        <w:szCs w:val="14"/>
      </w:rPr>
    </w:pPr>
    <w:r>
      <w:rPr>
        <w:rFonts w:cs="Arial"/>
        <w:sz w:val="14"/>
        <w:szCs w:val="14"/>
      </w:rPr>
      <w:t>Aprovado pela Secretaria de Gestão e Inovação</w:t>
    </w:r>
  </w:p>
  <w:p w14:paraId="5AB0618A">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sz w:val="14"/>
      </w:rPr>
    </w:pPr>
    <w:r>
      <w:rPr>
        <w:rFonts w:cs="Arial"/>
        <w:sz w:val="14"/>
        <w:szCs w:val="14"/>
      </w:rPr>
      <w:t>Atualização: ABR/2025</w:t>
    </w:r>
    <w:r>
      <w:rPr>
        <w:sz w:val="14"/>
      </w:rPr>
      <w:tab/>
    </w:r>
    <w:r>
      <w:rPr>
        <w:sz w:val="14"/>
      </w:rPr>
      <w:tab/>
    </w:r>
    <w:r>
      <w:rPr>
        <w:sz w:val="14"/>
      </w:rPr>
      <w:tab/>
    </w:r>
    <w:r>
      <w:rPr>
        <w:sz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val="0"/>
        <w:bCs/>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6"/>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3668"/>
    <w:rsid w:val="00022E4A"/>
    <w:rsid w:val="00025406"/>
    <w:rsid w:val="0002541E"/>
    <w:rsid w:val="00040D39"/>
    <w:rsid w:val="000425AB"/>
    <w:rsid w:val="00054A82"/>
    <w:rsid w:val="00062AE0"/>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063A6"/>
    <w:rsid w:val="00210941"/>
    <w:rsid w:val="0021344B"/>
    <w:rsid w:val="002154ED"/>
    <w:rsid w:val="0022034C"/>
    <w:rsid w:val="002205F8"/>
    <w:rsid w:val="00225216"/>
    <w:rsid w:val="00230969"/>
    <w:rsid w:val="00230E72"/>
    <w:rsid w:val="002318EE"/>
    <w:rsid w:val="00242E92"/>
    <w:rsid w:val="002444B6"/>
    <w:rsid w:val="00252014"/>
    <w:rsid w:val="00252EE9"/>
    <w:rsid w:val="0025380C"/>
    <w:rsid w:val="00254F46"/>
    <w:rsid w:val="00262670"/>
    <w:rsid w:val="00266078"/>
    <w:rsid w:val="00275798"/>
    <w:rsid w:val="0027641D"/>
    <w:rsid w:val="002A29F6"/>
    <w:rsid w:val="002A48AB"/>
    <w:rsid w:val="002A5A0B"/>
    <w:rsid w:val="002A62F2"/>
    <w:rsid w:val="002B7158"/>
    <w:rsid w:val="002B7D60"/>
    <w:rsid w:val="002D200A"/>
    <w:rsid w:val="002D35D6"/>
    <w:rsid w:val="002D7E78"/>
    <w:rsid w:val="002E549D"/>
    <w:rsid w:val="002E7AB5"/>
    <w:rsid w:val="002F26FA"/>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0F52"/>
    <w:rsid w:val="00351C39"/>
    <w:rsid w:val="003570DA"/>
    <w:rsid w:val="00360FDF"/>
    <w:rsid w:val="0037707D"/>
    <w:rsid w:val="003804AE"/>
    <w:rsid w:val="00391442"/>
    <w:rsid w:val="00394D5F"/>
    <w:rsid w:val="003A2662"/>
    <w:rsid w:val="003A4456"/>
    <w:rsid w:val="003A5295"/>
    <w:rsid w:val="003B11E3"/>
    <w:rsid w:val="003B787E"/>
    <w:rsid w:val="003D2CA2"/>
    <w:rsid w:val="003D4A95"/>
    <w:rsid w:val="003D4DFE"/>
    <w:rsid w:val="003D5227"/>
    <w:rsid w:val="003D72A0"/>
    <w:rsid w:val="003E0C6C"/>
    <w:rsid w:val="003E3EF1"/>
    <w:rsid w:val="003E4D83"/>
    <w:rsid w:val="003E5542"/>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40955"/>
    <w:rsid w:val="00642767"/>
    <w:rsid w:val="00645265"/>
    <w:rsid w:val="006466E1"/>
    <w:rsid w:val="0064716A"/>
    <w:rsid w:val="0064794F"/>
    <w:rsid w:val="00647DA8"/>
    <w:rsid w:val="006506AE"/>
    <w:rsid w:val="00656E9A"/>
    <w:rsid w:val="00661793"/>
    <w:rsid w:val="006620D8"/>
    <w:rsid w:val="00667772"/>
    <w:rsid w:val="006723C3"/>
    <w:rsid w:val="006757D3"/>
    <w:rsid w:val="006866BC"/>
    <w:rsid w:val="0069429E"/>
    <w:rsid w:val="00697869"/>
    <w:rsid w:val="006A50FF"/>
    <w:rsid w:val="006C27E6"/>
    <w:rsid w:val="006D2493"/>
    <w:rsid w:val="006D546C"/>
    <w:rsid w:val="006E2B79"/>
    <w:rsid w:val="006E3D66"/>
    <w:rsid w:val="006E4496"/>
    <w:rsid w:val="006E7396"/>
    <w:rsid w:val="006F29AD"/>
    <w:rsid w:val="0070435E"/>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319DD"/>
    <w:rsid w:val="00843052"/>
    <w:rsid w:val="00844966"/>
    <w:rsid w:val="0084555E"/>
    <w:rsid w:val="008540D8"/>
    <w:rsid w:val="008566DD"/>
    <w:rsid w:val="00866D4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5125D"/>
    <w:rsid w:val="00951AC9"/>
    <w:rsid w:val="009606E9"/>
    <w:rsid w:val="00973203"/>
    <w:rsid w:val="009928C3"/>
    <w:rsid w:val="009937E6"/>
    <w:rsid w:val="009A4E8F"/>
    <w:rsid w:val="009A60CB"/>
    <w:rsid w:val="009C1A02"/>
    <w:rsid w:val="009C4B72"/>
    <w:rsid w:val="009E113C"/>
    <w:rsid w:val="009E650D"/>
    <w:rsid w:val="009F2EB2"/>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3FC6"/>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94EC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D7D5B"/>
    <w:rsid w:val="00DE596B"/>
    <w:rsid w:val="00DF5E89"/>
    <w:rsid w:val="00E03B99"/>
    <w:rsid w:val="00E1163C"/>
    <w:rsid w:val="00E23909"/>
    <w:rsid w:val="00E30FFA"/>
    <w:rsid w:val="00E31561"/>
    <w:rsid w:val="00E43629"/>
    <w:rsid w:val="00E44B0C"/>
    <w:rsid w:val="00E46BDE"/>
    <w:rsid w:val="00E52524"/>
    <w:rsid w:val="00E56541"/>
    <w:rsid w:val="00E578A6"/>
    <w:rsid w:val="00E67DCF"/>
    <w:rsid w:val="00E726A9"/>
    <w:rsid w:val="00E750B1"/>
    <w:rsid w:val="00EA06C5"/>
    <w:rsid w:val="00EB556D"/>
    <w:rsid w:val="00EB6AF5"/>
    <w:rsid w:val="00EB7F69"/>
    <w:rsid w:val="00ED4EB4"/>
    <w:rsid w:val="00ED7983"/>
    <w:rsid w:val="00EE4022"/>
    <w:rsid w:val="00F12161"/>
    <w:rsid w:val="00F12A88"/>
    <w:rsid w:val="00F12CD2"/>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 w:val="654B3894"/>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uiPriority="0" w:semiHidden="0" w:name="Body Text Indent 3"/>
    <w:lsdException w:qFormat="1"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99" w:name="HTML Preformatted"/>
    <w:lsdException w:uiPriority="0" w:name="HTML Sample"/>
    <w:lsdException w:uiPriority="0" w:name="HTML Typewriter"/>
    <w:lsdException w:uiPriority="0" w:name="HTML Variable"/>
    <w:lsdException w:qFormat="1"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uiPriority w:val="0"/>
    <w:rPr>
      <w:rFonts w:cs="Arial"/>
      <w:i/>
      <w:color w:val="FF0000"/>
    </w:rPr>
  </w:style>
  <w:style w:type="character" w:customStyle="1" w:styleId="69">
    <w:name w:val="ListLabel 4"/>
    <w:qFormat/>
    <w:uiPriority w:val="0"/>
    <w:rPr>
      <w:color w:val="0000FF"/>
    </w:rPr>
  </w:style>
  <w:style w:type="character" w:customStyle="1" w:styleId="70">
    <w:name w:val="ListLabel 5"/>
    <w:uiPriority w:val="0"/>
  </w:style>
  <w:style w:type="character" w:customStyle="1" w:styleId="71">
    <w:name w:val="ListLabel 6"/>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uiPriority w:val="0"/>
    <w:rPr>
      <w:sz w:val="18"/>
      <w:szCs w:val="18"/>
    </w:rPr>
  </w:style>
  <w:style w:type="paragraph" w:customStyle="1" w:styleId="77">
    <w:name w:val="Índice"/>
    <w:basedOn w:val="1"/>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14</Pages>
  <Words>5590</Words>
  <Characters>30189</Characters>
  <Lines>251</Lines>
  <Paragraphs>71</Paragraphs>
  <TotalTime>4</TotalTime>
  <ScaleCrop>false</ScaleCrop>
  <LinksUpToDate>false</LinksUpToDate>
  <CharactersWithSpaces>35708</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2025-08-12T00:23:00Z</dcterms:created>
  <dc:creator>Adriano</dc:creator>
  <cp:lastModifiedBy>Juliana Borsoi</cp:lastModifiedBy>
  <cp:lastPrinted>2025-08-12T00:23:00Z</cp:lastPrinted>
  <dcterms:modified xsi:type="dcterms:W3CDTF">2025-08-13T16:12:17Z</dcterms:modified>
  <dc:title>NOTAS EXPLICATIVAS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1046-12.2.0.21931</vt:lpwstr>
  </property>
  <property fmtid="{D5CDD505-2E9C-101B-9397-08002B2CF9AE}" pid="3" name="ICV">
    <vt:lpwstr>036664231ABC4B9F8764A783E1D8C33C_12</vt:lpwstr>
  </property>
</Properties>
</file>