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IV – PE. 90</w:t>
      </w:r>
      <w:r>
        <w:rPr>
          <w:rFonts w:hint="default" w:asciiTheme="minorHAnsi" w:hAnsiTheme="minorHAnsi" w:cstheme="minorHAnsi"/>
          <w:b/>
          <w:bCs/>
          <w:color w:val="FF0000"/>
          <w:sz w:val="22"/>
          <w:szCs w:val="22"/>
          <w:lang w:val="pt-BR"/>
        </w:rPr>
        <w:t>.56</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23069.156585/2025-99)</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23069.156585/2025-99</w:t>
      </w:r>
      <w:r>
        <w:rPr>
          <w:rFonts w:eastAsia="Arial" w:asciiTheme="minorHAnsi" w:hAnsiTheme="minorHAnsi" w:cstheme="minorHAnsi"/>
          <w:bCs/>
          <w:sz w:val="22"/>
          <w:szCs w:val="22"/>
        </w:rPr>
        <w:t xml:space="preserve">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90.056</w:t>
      </w:r>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Arial" w:hAnsi="Arial" w:eastAsia="Times New Roman" w:cs="Tahoma"/>
          <w:szCs w:val="24"/>
        </w:rPr>
        <w:t xml:space="preserve"> </w:t>
      </w:r>
      <w:r>
        <w:rPr>
          <w:rFonts w:asciiTheme="minorHAnsi" w:hAnsiTheme="minorHAnsi" w:cstheme="minorHAnsi"/>
          <w:sz w:val="22"/>
          <w:szCs w:val="22"/>
        </w:rPr>
        <w:t xml:space="preserve">O objeto do presente instrumento é a </w:t>
      </w:r>
      <w:r>
        <w:rPr>
          <w:rFonts w:ascii="Calibri" w:hAnsi="Calibri" w:cs="Calibri"/>
          <w:sz w:val="22"/>
          <w:szCs w:val="22"/>
        </w:rPr>
        <w:t>Contratação de serviços contínuos de locação de veículos, tipo ônibus e micro-ônibus com motoristas, e veículos tipo sedam, sem motorista</w:t>
      </w:r>
      <w:r>
        <w:rPr>
          <w:rFonts w:asciiTheme="minorHAnsi" w:hAnsiTheme="minorHAnsi" w:cstheme="minorHAnsi"/>
          <w:sz w:val="22"/>
          <w:szCs w:val="22"/>
        </w:rPr>
        <w:t>, conforme relação abaixo, nas condições estabelecidas no Termo de Referência.</w:t>
      </w:r>
      <w:r>
        <w:rPr>
          <w:rFonts w:eastAsia="Arial"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1065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99"/>
        <w:gridCol w:w="438"/>
        <w:gridCol w:w="209"/>
        <w:gridCol w:w="960"/>
        <w:gridCol w:w="1120"/>
        <w:gridCol w:w="1376"/>
        <w:gridCol w:w="37"/>
        <w:gridCol w:w="568"/>
        <w:gridCol w:w="469"/>
        <w:gridCol w:w="178"/>
        <w:gridCol w:w="599"/>
        <w:gridCol w:w="361"/>
        <w:gridCol w:w="599"/>
        <w:gridCol w:w="521"/>
        <w:gridCol w:w="599"/>
        <w:gridCol w:w="759"/>
        <w:gridCol w:w="795"/>
        <w:gridCol w:w="411"/>
        <w:gridCol w:w="60"/>
      </w:tblGrid>
      <w:tr w14:paraId="34A267A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615" w:hRule="atLeast"/>
        </w:trPr>
        <w:tc>
          <w:tcPr>
            <w:tcW w:w="599"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noWrap/>
          </w:tcPr>
          <w:p w14:paraId="2B667D4B">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ITEM</w:t>
            </w:r>
          </w:p>
        </w:tc>
        <w:tc>
          <w:tcPr>
            <w:tcW w:w="4708" w:type="dxa"/>
            <w:gridSpan w:val="7"/>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15E16171">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DESCRIÇÃO</w:t>
            </w:r>
          </w:p>
        </w:tc>
        <w:tc>
          <w:tcPr>
            <w:tcW w:w="1246" w:type="dxa"/>
            <w:gridSpan w:val="3"/>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0263F290">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QUANTIDADE</w:t>
            </w:r>
          </w:p>
        </w:tc>
        <w:tc>
          <w:tcPr>
            <w:tcW w:w="960"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4F5D2EDE">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UNIDADE</w:t>
            </w:r>
          </w:p>
        </w:tc>
        <w:tc>
          <w:tcPr>
            <w:tcW w:w="1120"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4DBC91A">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UNITÁRIO</w:t>
            </w:r>
          </w:p>
        </w:tc>
        <w:tc>
          <w:tcPr>
            <w:tcW w:w="1554"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EBEBBBE">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TOTAL</w:t>
            </w:r>
          </w:p>
        </w:tc>
        <w:tc>
          <w:tcPr>
            <w:tcW w:w="41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noWrap/>
          </w:tcPr>
          <w:p w14:paraId="363544EF">
            <w:pPr>
              <w:suppressAutoHyphens w:val="0"/>
              <w:jc w:val="center"/>
              <w:rPr>
                <w:rFonts w:asciiTheme="minorHAnsi" w:hAnsiTheme="minorHAnsi" w:eastAsiaTheme="minorEastAsia" w:cstheme="minorHAnsi"/>
                <w:b/>
                <w:bCs/>
                <w:color w:val="000000"/>
                <w:sz w:val="18"/>
                <w:szCs w:val="18"/>
              </w:rPr>
            </w:pPr>
          </w:p>
        </w:tc>
      </w:tr>
      <w:tr w14:paraId="72AD751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700" w:hRule="atLeast"/>
        </w:trPr>
        <w:tc>
          <w:tcPr>
            <w:tcW w:w="599" w:type="dxa"/>
            <w:shd w:val="clear" w:color="auto" w:fill="DBE5F1" w:themeFill="accent1" w:themeFillTint="33"/>
            <w:noWrap/>
          </w:tcPr>
          <w:p w14:paraId="556F61E9">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1</w:t>
            </w:r>
          </w:p>
        </w:tc>
        <w:tc>
          <w:tcPr>
            <w:tcW w:w="4708" w:type="dxa"/>
            <w:gridSpan w:val="7"/>
            <w:shd w:val="clear" w:color="auto" w:fill="DBE5F1" w:themeFill="accent1" w:themeFillTint="33"/>
          </w:tcPr>
          <w:p w14:paraId="2D0C053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Niterói/RJ</w:t>
            </w:r>
            <w:r>
              <w:rPr>
                <w:rFonts w:asciiTheme="minorHAnsi" w:hAnsiTheme="minorHAnsi" w:eastAsiaTheme="minorEastAsia" w:cstheme="minorHAnsi"/>
                <w:color w:val="000000"/>
                <w:sz w:val="18"/>
                <w:szCs w:val="18"/>
              </w:rPr>
              <w:t>. Veículo tipo: ônibus executivo, com motorista, com capacidade para, no mínimo, 44 passageiros. Características adicionais: Veículo cabinado, com banheiro, bagageiros amplos, som ambiente, sistema de microfone, frigobar, TV, Vídeo-DVD, ar condicionado, poltronas reclináveis em tecido, cinto de segurança para todos os passageiros. Veículo com data de fabricação não superior a 10 anos. A Licitante deverá comprovar que possui pelo menos 5 (cinco) ônibus em sua frota. CATSER 18457</w:t>
            </w:r>
          </w:p>
        </w:tc>
        <w:tc>
          <w:tcPr>
            <w:tcW w:w="1246" w:type="dxa"/>
            <w:gridSpan w:val="3"/>
            <w:shd w:val="clear" w:color="auto" w:fill="DBE5F1" w:themeFill="accent1" w:themeFillTint="33"/>
            <w:noWrap/>
          </w:tcPr>
          <w:p w14:paraId="41317D41">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90000</w:t>
            </w:r>
          </w:p>
        </w:tc>
        <w:tc>
          <w:tcPr>
            <w:tcW w:w="960" w:type="dxa"/>
            <w:gridSpan w:val="2"/>
            <w:shd w:val="clear" w:color="auto" w:fill="DBE5F1" w:themeFill="accent1" w:themeFillTint="33"/>
            <w:noWrap/>
          </w:tcPr>
          <w:p w14:paraId="229EF1C5">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shd w:val="clear" w:color="auto" w:fill="DBE5F1" w:themeFill="accent1" w:themeFillTint="33"/>
            <w:noWrap/>
          </w:tcPr>
          <w:p w14:paraId="46ADCD29">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R$ 9,20</w:t>
            </w:r>
          </w:p>
        </w:tc>
        <w:tc>
          <w:tcPr>
            <w:tcW w:w="1554" w:type="dxa"/>
            <w:gridSpan w:val="2"/>
            <w:shd w:val="clear" w:color="auto" w:fill="DBE5F1" w:themeFill="accent1" w:themeFillTint="33"/>
            <w:noWrap/>
          </w:tcPr>
          <w:p w14:paraId="14A4796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R$ 828.000,00</w:t>
            </w:r>
          </w:p>
        </w:tc>
        <w:tc>
          <w:tcPr>
            <w:tcW w:w="411" w:type="dxa"/>
            <w:shd w:val="clear" w:color="auto" w:fill="DBE5F1" w:themeFill="accent1" w:themeFillTint="33"/>
            <w:noWrap/>
          </w:tcPr>
          <w:p w14:paraId="04D17621">
            <w:pPr>
              <w:suppressAutoHyphens w:val="0"/>
              <w:jc w:val="center"/>
              <w:rPr>
                <w:rFonts w:asciiTheme="minorHAnsi" w:hAnsiTheme="minorHAnsi" w:eastAsiaTheme="minorEastAsia" w:cstheme="minorHAnsi"/>
                <w:color w:val="000000"/>
                <w:sz w:val="18"/>
                <w:szCs w:val="18"/>
              </w:rPr>
            </w:pPr>
          </w:p>
        </w:tc>
      </w:tr>
      <w:tr w14:paraId="41F3016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noWrap/>
          </w:tcPr>
          <w:p w14:paraId="037156BD">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2</w:t>
            </w:r>
          </w:p>
        </w:tc>
        <w:tc>
          <w:tcPr>
            <w:tcW w:w="4708" w:type="dxa"/>
            <w:gridSpan w:val="7"/>
          </w:tcPr>
          <w:p w14:paraId="2E193574">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ônibus tipo semi-leito turismo, modelo executivo ou equivalente, não utilizado (veículo parado) por período de 24 (vinte e quatro) horas.</w:t>
            </w:r>
          </w:p>
        </w:tc>
        <w:tc>
          <w:tcPr>
            <w:tcW w:w="1246" w:type="dxa"/>
            <w:gridSpan w:val="3"/>
            <w:noWrap/>
          </w:tcPr>
          <w:p w14:paraId="18245DBD">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800</w:t>
            </w:r>
          </w:p>
        </w:tc>
        <w:tc>
          <w:tcPr>
            <w:tcW w:w="960" w:type="dxa"/>
            <w:gridSpan w:val="2"/>
            <w:noWrap/>
          </w:tcPr>
          <w:p w14:paraId="462CD0C9">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noWrap/>
          </w:tcPr>
          <w:p w14:paraId="4052808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R$ 1.045,17</w:t>
            </w:r>
          </w:p>
        </w:tc>
        <w:tc>
          <w:tcPr>
            <w:tcW w:w="1554" w:type="dxa"/>
            <w:gridSpan w:val="2"/>
            <w:noWrap/>
          </w:tcPr>
          <w:p w14:paraId="381A1FF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R$ 836.136,00</w:t>
            </w:r>
          </w:p>
        </w:tc>
        <w:tc>
          <w:tcPr>
            <w:tcW w:w="411" w:type="dxa"/>
            <w:noWrap/>
          </w:tcPr>
          <w:p w14:paraId="5D4883BE">
            <w:pPr>
              <w:suppressAutoHyphens w:val="0"/>
              <w:jc w:val="center"/>
              <w:rPr>
                <w:rFonts w:asciiTheme="minorHAnsi" w:hAnsiTheme="minorHAnsi" w:eastAsiaTheme="minorEastAsia" w:cstheme="minorHAnsi"/>
                <w:color w:val="000000"/>
                <w:sz w:val="18"/>
                <w:szCs w:val="18"/>
              </w:rPr>
            </w:pPr>
          </w:p>
        </w:tc>
      </w:tr>
      <w:tr w14:paraId="1DC2A96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shd w:val="clear" w:color="auto" w:fill="DBE5F1" w:themeFill="accent1" w:themeFillTint="33"/>
            <w:noWrap/>
          </w:tcPr>
          <w:p w14:paraId="22892C5A">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shd w:val="clear" w:color="auto" w:fill="DBE5F1" w:themeFill="accent1" w:themeFillTint="33"/>
            <w:noWrap/>
          </w:tcPr>
          <w:p w14:paraId="03773611">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shd w:val="clear" w:color="auto" w:fill="DBE5F1" w:themeFill="accent1" w:themeFillTint="33"/>
            <w:noWrap/>
          </w:tcPr>
          <w:p w14:paraId="0F61D49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shd w:val="clear" w:color="auto" w:fill="DBE5F1" w:themeFill="accent1" w:themeFillTint="33"/>
            <w:noWrap/>
          </w:tcPr>
          <w:p w14:paraId="372550FD">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shd w:val="clear" w:color="auto" w:fill="DBE5F1" w:themeFill="accent1" w:themeFillTint="33"/>
            <w:noWrap/>
          </w:tcPr>
          <w:p w14:paraId="2DA0D33A">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R$ 1.664.136,00</w:t>
            </w:r>
          </w:p>
        </w:tc>
        <w:tc>
          <w:tcPr>
            <w:tcW w:w="411" w:type="dxa"/>
            <w:shd w:val="clear" w:color="auto" w:fill="DBE5F1" w:themeFill="accent1" w:themeFillTint="33"/>
            <w:noWrap/>
          </w:tcPr>
          <w:p w14:paraId="0DD41F55">
            <w:pPr>
              <w:suppressAutoHyphens w:val="0"/>
              <w:jc w:val="center"/>
              <w:rPr>
                <w:rFonts w:asciiTheme="minorHAnsi" w:hAnsiTheme="minorHAnsi" w:eastAsiaTheme="minorEastAsia" w:cstheme="minorHAnsi"/>
                <w:b/>
                <w:bCs/>
                <w:color w:val="000000"/>
                <w:sz w:val="18"/>
                <w:szCs w:val="18"/>
              </w:rPr>
            </w:pPr>
          </w:p>
        </w:tc>
      </w:tr>
      <w:tr w14:paraId="12785F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700" w:hRule="atLeast"/>
        </w:trPr>
        <w:tc>
          <w:tcPr>
            <w:tcW w:w="599" w:type="dxa"/>
            <w:noWrap/>
          </w:tcPr>
          <w:p w14:paraId="4FE92CEE">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3</w:t>
            </w:r>
          </w:p>
        </w:tc>
        <w:tc>
          <w:tcPr>
            <w:tcW w:w="4708" w:type="dxa"/>
            <w:gridSpan w:val="7"/>
          </w:tcPr>
          <w:p w14:paraId="3F6D8ADD">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Volta Redonda ou Angra dos Reis</w:t>
            </w:r>
            <w:r>
              <w:rPr>
                <w:rFonts w:asciiTheme="minorHAnsi" w:hAnsiTheme="minorHAnsi" w:eastAsiaTheme="minorEastAsia" w:cstheme="minorHAnsi"/>
                <w:color w:val="000000"/>
                <w:sz w:val="18"/>
                <w:szCs w:val="18"/>
              </w:rPr>
              <w:t>/RJ. Veículo tipo: ônibus executivo, com motorista, com capacidade para, no mínimo, 44 passageiros. Características adicionais: Veículo cabinado, com banheiro, bagageiros amplos, som ambiente, sistema de microfone, frigobar, TV, Vídeo-DVD, ar condicionado, poltronas reclináveis em tecido, cinto de segurança para todos os passageiros. Veículo com data de fabricação não superior a 10 anos. A Licitante deverá comprovar que possui pelo menos 3 (três) ônibus em sua frota. CATSER 18457</w:t>
            </w:r>
          </w:p>
        </w:tc>
        <w:tc>
          <w:tcPr>
            <w:tcW w:w="1246" w:type="dxa"/>
            <w:gridSpan w:val="3"/>
            <w:noWrap/>
          </w:tcPr>
          <w:p w14:paraId="68752968">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20000</w:t>
            </w:r>
          </w:p>
        </w:tc>
        <w:tc>
          <w:tcPr>
            <w:tcW w:w="960" w:type="dxa"/>
            <w:gridSpan w:val="2"/>
            <w:noWrap/>
          </w:tcPr>
          <w:p w14:paraId="71C274E9">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noWrap/>
          </w:tcPr>
          <w:p w14:paraId="4C0C11B2">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R$ 9,20</w:t>
            </w:r>
          </w:p>
        </w:tc>
        <w:tc>
          <w:tcPr>
            <w:tcW w:w="1554" w:type="dxa"/>
            <w:gridSpan w:val="2"/>
            <w:noWrap/>
          </w:tcPr>
          <w:p w14:paraId="060FA7A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R$ 184.000,00</w:t>
            </w:r>
          </w:p>
        </w:tc>
        <w:tc>
          <w:tcPr>
            <w:tcW w:w="411" w:type="dxa"/>
            <w:noWrap/>
          </w:tcPr>
          <w:p w14:paraId="21A001F9">
            <w:pPr>
              <w:suppressAutoHyphens w:val="0"/>
              <w:jc w:val="center"/>
              <w:rPr>
                <w:rFonts w:asciiTheme="minorHAnsi" w:hAnsiTheme="minorHAnsi" w:eastAsiaTheme="minorEastAsia" w:cstheme="minorHAnsi"/>
                <w:color w:val="000000"/>
                <w:sz w:val="18"/>
                <w:szCs w:val="18"/>
              </w:rPr>
            </w:pPr>
          </w:p>
        </w:tc>
      </w:tr>
      <w:tr w14:paraId="5A5E6EC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shd w:val="clear" w:color="auto" w:fill="DBE5F1" w:themeFill="accent1" w:themeFillTint="33"/>
            <w:noWrap/>
          </w:tcPr>
          <w:p w14:paraId="2EF20515">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4</w:t>
            </w:r>
          </w:p>
        </w:tc>
        <w:tc>
          <w:tcPr>
            <w:tcW w:w="4708" w:type="dxa"/>
            <w:gridSpan w:val="7"/>
            <w:shd w:val="clear" w:color="auto" w:fill="DBE5F1" w:themeFill="accent1" w:themeFillTint="33"/>
          </w:tcPr>
          <w:p w14:paraId="15B9D5B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ônibus tipo semi-leito turismo, modelo executivo ou equivalente, não utilizado (veículo parado) por período de 24 (vinte e quatro) horas.</w:t>
            </w:r>
          </w:p>
        </w:tc>
        <w:tc>
          <w:tcPr>
            <w:tcW w:w="1246" w:type="dxa"/>
            <w:gridSpan w:val="3"/>
            <w:shd w:val="clear" w:color="auto" w:fill="DBE5F1" w:themeFill="accent1" w:themeFillTint="33"/>
            <w:noWrap/>
          </w:tcPr>
          <w:p w14:paraId="15489437">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100</w:t>
            </w:r>
          </w:p>
        </w:tc>
        <w:tc>
          <w:tcPr>
            <w:tcW w:w="960" w:type="dxa"/>
            <w:gridSpan w:val="2"/>
            <w:shd w:val="clear" w:color="auto" w:fill="DBE5F1" w:themeFill="accent1" w:themeFillTint="33"/>
            <w:noWrap/>
          </w:tcPr>
          <w:p w14:paraId="1C6AC77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shd w:val="clear" w:color="auto" w:fill="DBE5F1" w:themeFill="accent1" w:themeFillTint="33"/>
            <w:noWrap/>
          </w:tcPr>
          <w:p w14:paraId="4771FC2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R$ 1.045,17</w:t>
            </w:r>
          </w:p>
        </w:tc>
        <w:tc>
          <w:tcPr>
            <w:tcW w:w="1554" w:type="dxa"/>
            <w:gridSpan w:val="2"/>
            <w:shd w:val="clear" w:color="auto" w:fill="DBE5F1" w:themeFill="accent1" w:themeFillTint="33"/>
            <w:noWrap/>
          </w:tcPr>
          <w:p w14:paraId="7AE2AC7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R$ 104.517,00</w:t>
            </w:r>
          </w:p>
        </w:tc>
        <w:tc>
          <w:tcPr>
            <w:tcW w:w="411" w:type="dxa"/>
            <w:shd w:val="clear" w:color="auto" w:fill="DBE5F1" w:themeFill="accent1" w:themeFillTint="33"/>
            <w:noWrap/>
          </w:tcPr>
          <w:p w14:paraId="65005F8C">
            <w:pPr>
              <w:suppressAutoHyphens w:val="0"/>
              <w:jc w:val="center"/>
              <w:rPr>
                <w:rFonts w:asciiTheme="minorHAnsi" w:hAnsiTheme="minorHAnsi" w:eastAsiaTheme="minorEastAsia" w:cstheme="minorHAnsi"/>
                <w:color w:val="000000"/>
                <w:sz w:val="18"/>
                <w:szCs w:val="18"/>
              </w:rPr>
            </w:pPr>
          </w:p>
        </w:tc>
      </w:tr>
      <w:tr w14:paraId="3ABD5FA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noWrap/>
          </w:tcPr>
          <w:p w14:paraId="73CC97DD">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noWrap/>
          </w:tcPr>
          <w:p w14:paraId="0AEAF5BF">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noWrap/>
          </w:tcPr>
          <w:p w14:paraId="72E2489F">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noWrap/>
          </w:tcPr>
          <w:p w14:paraId="6E08EA5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noWrap/>
          </w:tcPr>
          <w:p w14:paraId="671382CB">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R$ 288.517,00</w:t>
            </w:r>
          </w:p>
        </w:tc>
        <w:tc>
          <w:tcPr>
            <w:tcW w:w="411" w:type="dxa"/>
            <w:noWrap/>
          </w:tcPr>
          <w:p w14:paraId="728D8893">
            <w:pPr>
              <w:suppressAutoHyphens w:val="0"/>
              <w:jc w:val="center"/>
              <w:rPr>
                <w:rFonts w:asciiTheme="minorHAnsi" w:hAnsiTheme="minorHAnsi" w:eastAsiaTheme="minorEastAsia" w:cstheme="minorHAnsi"/>
                <w:b/>
                <w:bCs/>
                <w:color w:val="000000"/>
                <w:sz w:val="18"/>
                <w:szCs w:val="18"/>
              </w:rPr>
            </w:pPr>
          </w:p>
        </w:tc>
      </w:tr>
      <w:tr w14:paraId="180FE3E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700" w:hRule="atLeast"/>
        </w:trPr>
        <w:tc>
          <w:tcPr>
            <w:tcW w:w="599" w:type="dxa"/>
            <w:shd w:val="clear" w:color="auto" w:fill="DBE5F1" w:themeFill="accent1" w:themeFillTint="33"/>
            <w:noWrap/>
          </w:tcPr>
          <w:p w14:paraId="0E0B1AAE">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5</w:t>
            </w:r>
          </w:p>
        </w:tc>
        <w:tc>
          <w:tcPr>
            <w:tcW w:w="4708" w:type="dxa"/>
            <w:gridSpan w:val="7"/>
            <w:shd w:val="clear" w:color="auto" w:fill="DBE5F1" w:themeFill="accent1" w:themeFillTint="33"/>
          </w:tcPr>
          <w:p w14:paraId="5B0B419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Petrópolis e/ou Nova Friburgo/RJ</w:t>
            </w:r>
            <w:r>
              <w:rPr>
                <w:rFonts w:asciiTheme="minorHAnsi" w:hAnsiTheme="minorHAnsi" w:eastAsiaTheme="minorEastAsia" w:cstheme="minorHAnsi"/>
                <w:color w:val="000000"/>
                <w:sz w:val="18"/>
                <w:szCs w:val="18"/>
              </w:rPr>
              <w:t>. Veículo tipo: ônibus executivo, com motorista, com capacidade para, no mínimo, 44 passageiros. Características adicionais: Veículo cabinado, com banheiro, bagageiros amplos, som ambiente, sistema de microfone, frigobar, TV, Vídeo-DVD, ar condicionado, poltronas reclináveis em tecido, cinto de segurança para todos os passageiros. Veículo com data de fabricação não superior a 10 anos. A Licitante deverá comprovar que possui pelo menos 3 (três) ônibus em sua frota. CATSER 18457</w:t>
            </w:r>
          </w:p>
        </w:tc>
        <w:tc>
          <w:tcPr>
            <w:tcW w:w="1246" w:type="dxa"/>
            <w:gridSpan w:val="3"/>
            <w:shd w:val="clear" w:color="auto" w:fill="DBE5F1" w:themeFill="accent1" w:themeFillTint="33"/>
            <w:noWrap/>
          </w:tcPr>
          <w:p w14:paraId="59E09A38">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5000</w:t>
            </w:r>
          </w:p>
        </w:tc>
        <w:tc>
          <w:tcPr>
            <w:tcW w:w="960" w:type="dxa"/>
            <w:gridSpan w:val="2"/>
            <w:shd w:val="clear" w:color="auto" w:fill="DBE5F1" w:themeFill="accent1" w:themeFillTint="33"/>
            <w:noWrap/>
          </w:tcPr>
          <w:p w14:paraId="1889380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shd w:val="clear" w:color="auto" w:fill="DBE5F1" w:themeFill="accent1" w:themeFillTint="33"/>
            <w:noWrap/>
          </w:tcPr>
          <w:p w14:paraId="63381F2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R$ 9,20</w:t>
            </w:r>
          </w:p>
        </w:tc>
        <w:tc>
          <w:tcPr>
            <w:tcW w:w="1554" w:type="dxa"/>
            <w:gridSpan w:val="2"/>
            <w:shd w:val="clear" w:color="auto" w:fill="DBE5F1" w:themeFill="accent1" w:themeFillTint="33"/>
            <w:noWrap/>
          </w:tcPr>
          <w:p w14:paraId="7B10834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R$ 46.000,00</w:t>
            </w:r>
          </w:p>
        </w:tc>
        <w:tc>
          <w:tcPr>
            <w:tcW w:w="411" w:type="dxa"/>
            <w:shd w:val="clear" w:color="auto" w:fill="DBE5F1" w:themeFill="accent1" w:themeFillTint="33"/>
            <w:noWrap/>
          </w:tcPr>
          <w:p w14:paraId="4389C9CF">
            <w:pPr>
              <w:suppressAutoHyphens w:val="0"/>
              <w:jc w:val="center"/>
              <w:rPr>
                <w:rFonts w:asciiTheme="minorHAnsi" w:hAnsiTheme="minorHAnsi" w:eastAsiaTheme="minorEastAsia" w:cstheme="minorHAnsi"/>
                <w:color w:val="000000"/>
                <w:sz w:val="18"/>
                <w:szCs w:val="18"/>
              </w:rPr>
            </w:pPr>
          </w:p>
        </w:tc>
      </w:tr>
      <w:tr w14:paraId="527381D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noWrap/>
          </w:tcPr>
          <w:p w14:paraId="34A66590">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6</w:t>
            </w:r>
          </w:p>
        </w:tc>
        <w:tc>
          <w:tcPr>
            <w:tcW w:w="4708" w:type="dxa"/>
            <w:gridSpan w:val="7"/>
          </w:tcPr>
          <w:p w14:paraId="6E9326F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ônibus tipo semi-leito turismo, modelo executivo ou equivalente, não utilizado (veículo parado) por período de 24 (vinte e quatro) horas.</w:t>
            </w:r>
          </w:p>
        </w:tc>
        <w:tc>
          <w:tcPr>
            <w:tcW w:w="1246" w:type="dxa"/>
            <w:gridSpan w:val="3"/>
            <w:noWrap/>
          </w:tcPr>
          <w:p w14:paraId="1E49DF64">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noWrap/>
          </w:tcPr>
          <w:p w14:paraId="130BD24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noWrap/>
          </w:tcPr>
          <w:p w14:paraId="478EA43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R$ 1.045,17</w:t>
            </w:r>
          </w:p>
        </w:tc>
        <w:tc>
          <w:tcPr>
            <w:tcW w:w="1554" w:type="dxa"/>
            <w:gridSpan w:val="2"/>
            <w:noWrap/>
          </w:tcPr>
          <w:p w14:paraId="463DC0B2">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R$ 52.258,50</w:t>
            </w:r>
          </w:p>
        </w:tc>
        <w:tc>
          <w:tcPr>
            <w:tcW w:w="411" w:type="dxa"/>
            <w:noWrap/>
          </w:tcPr>
          <w:p w14:paraId="4A163EC9">
            <w:pPr>
              <w:suppressAutoHyphens w:val="0"/>
              <w:jc w:val="center"/>
              <w:rPr>
                <w:rFonts w:asciiTheme="minorHAnsi" w:hAnsiTheme="minorHAnsi" w:eastAsiaTheme="minorEastAsia" w:cstheme="minorHAnsi"/>
                <w:color w:val="000000"/>
                <w:sz w:val="18"/>
                <w:szCs w:val="18"/>
              </w:rPr>
            </w:pPr>
          </w:p>
        </w:tc>
      </w:tr>
      <w:tr w14:paraId="26027E6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shd w:val="clear" w:color="auto" w:fill="DBE5F1" w:themeFill="accent1" w:themeFillTint="33"/>
            <w:noWrap/>
          </w:tcPr>
          <w:p w14:paraId="34498A6C">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shd w:val="clear" w:color="auto" w:fill="DBE5F1" w:themeFill="accent1" w:themeFillTint="33"/>
            <w:noWrap/>
          </w:tcPr>
          <w:p w14:paraId="04501F3D">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shd w:val="clear" w:color="auto" w:fill="DBE5F1" w:themeFill="accent1" w:themeFillTint="33"/>
            <w:noWrap/>
          </w:tcPr>
          <w:p w14:paraId="10CB1E0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shd w:val="clear" w:color="auto" w:fill="DBE5F1" w:themeFill="accent1" w:themeFillTint="33"/>
            <w:noWrap/>
          </w:tcPr>
          <w:p w14:paraId="5B4B0B1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shd w:val="clear" w:color="auto" w:fill="DBE5F1" w:themeFill="accent1" w:themeFillTint="33"/>
            <w:noWrap/>
          </w:tcPr>
          <w:p w14:paraId="68F46AEF">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R$ 98.258,50</w:t>
            </w:r>
          </w:p>
        </w:tc>
        <w:tc>
          <w:tcPr>
            <w:tcW w:w="411" w:type="dxa"/>
            <w:shd w:val="clear" w:color="auto" w:fill="DBE5F1" w:themeFill="accent1" w:themeFillTint="33"/>
            <w:noWrap/>
          </w:tcPr>
          <w:p w14:paraId="03B731EA">
            <w:pPr>
              <w:suppressAutoHyphens w:val="0"/>
              <w:jc w:val="center"/>
              <w:rPr>
                <w:rFonts w:asciiTheme="minorHAnsi" w:hAnsiTheme="minorHAnsi" w:eastAsiaTheme="minorEastAsia" w:cstheme="minorHAnsi"/>
                <w:b/>
                <w:bCs/>
                <w:color w:val="000000"/>
                <w:sz w:val="18"/>
                <w:szCs w:val="18"/>
              </w:rPr>
            </w:pPr>
          </w:p>
        </w:tc>
      </w:tr>
      <w:tr w14:paraId="53FBFC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700" w:hRule="atLeast"/>
        </w:trPr>
        <w:tc>
          <w:tcPr>
            <w:tcW w:w="599" w:type="dxa"/>
            <w:noWrap/>
          </w:tcPr>
          <w:p w14:paraId="48B714B2">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7</w:t>
            </w:r>
          </w:p>
        </w:tc>
        <w:tc>
          <w:tcPr>
            <w:tcW w:w="4708" w:type="dxa"/>
            <w:gridSpan w:val="7"/>
          </w:tcPr>
          <w:p w14:paraId="32A1D91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Contratação de Serviços de transporte rodoviário estadual e interestadual, com saída das Unidades de</w:t>
            </w:r>
            <w:r>
              <w:rPr>
                <w:rFonts w:asciiTheme="minorHAnsi" w:hAnsiTheme="minorHAnsi" w:eastAsiaTheme="minorEastAsia" w:cstheme="minorHAnsi"/>
                <w:b/>
                <w:bCs/>
                <w:color w:val="000000"/>
                <w:sz w:val="18"/>
                <w:szCs w:val="18"/>
              </w:rPr>
              <w:t xml:space="preserve"> Rio das Ostras e/ou Macaé/RJ</w:t>
            </w:r>
            <w:r>
              <w:rPr>
                <w:rFonts w:asciiTheme="minorHAnsi" w:hAnsiTheme="minorHAnsi" w:eastAsiaTheme="minorEastAsia" w:cstheme="minorHAnsi"/>
                <w:color w:val="000000"/>
                <w:sz w:val="18"/>
                <w:szCs w:val="18"/>
              </w:rPr>
              <w:t>. Veículo tipo: ônibus executivo, com motorista, com capacidade para, no mínimo, 44 passageiros. Características adicionais: Veículo cabinado, com banheiro, bagageiros amplos, som ambiente, sistema de microfone, frigobar, TV, Vídeo-DVD, ar condicionado, poltronas reclináveis em tecido, cinto de segurança para todos os passageiros. Veículo com data de fabricação não superior a 10 anos. A Licitante deverá comprovar que possui pelo menos 3 (três) ônibus em sua frota. CATSER 18457</w:t>
            </w:r>
          </w:p>
        </w:tc>
        <w:tc>
          <w:tcPr>
            <w:tcW w:w="1246" w:type="dxa"/>
            <w:gridSpan w:val="3"/>
            <w:noWrap/>
          </w:tcPr>
          <w:p w14:paraId="06130F52">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5000</w:t>
            </w:r>
          </w:p>
        </w:tc>
        <w:tc>
          <w:tcPr>
            <w:tcW w:w="960" w:type="dxa"/>
            <w:gridSpan w:val="2"/>
            <w:noWrap/>
          </w:tcPr>
          <w:p w14:paraId="243F71D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noWrap/>
          </w:tcPr>
          <w:p w14:paraId="30FF0FA9">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R$ 9,20</w:t>
            </w:r>
          </w:p>
        </w:tc>
        <w:tc>
          <w:tcPr>
            <w:tcW w:w="1554" w:type="dxa"/>
            <w:gridSpan w:val="2"/>
            <w:noWrap/>
          </w:tcPr>
          <w:p w14:paraId="440895F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R$ 46.000,00</w:t>
            </w:r>
          </w:p>
        </w:tc>
        <w:tc>
          <w:tcPr>
            <w:tcW w:w="411" w:type="dxa"/>
            <w:noWrap/>
          </w:tcPr>
          <w:p w14:paraId="186E2130">
            <w:pPr>
              <w:suppressAutoHyphens w:val="0"/>
              <w:jc w:val="center"/>
              <w:rPr>
                <w:rFonts w:asciiTheme="minorHAnsi" w:hAnsiTheme="minorHAnsi" w:eastAsiaTheme="minorEastAsia" w:cstheme="minorHAnsi"/>
                <w:color w:val="000000"/>
                <w:sz w:val="18"/>
                <w:szCs w:val="18"/>
              </w:rPr>
            </w:pPr>
          </w:p>
        </w:tc>
      </w:tr>
      <w:tr w14:paraId="016B55A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shd w:val="clear" w:color="auto" w:fill="DBE5F1" w:themeFill="accent1" w:themeFillTint="33"/>
            <w:noWrap/>
          </w:tcPr>
          <w:p w14:paraId="052450FF">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8</w:t>
            </w:r>
          </w:p>
        </w:tc>
        <w:tc>
          <w:tcPr>
            <w:tcW w:w="4708" w:type="dxa"/>
            <w:gridSpan w:val="7"/>
            <w:shd w:val="clear" w:color="auto" w:fill="DBE5F1" w:themeFill="accent1" w:themeFillTint="33"/>
          </w:tcPr>
          <w:p w14:paraId="5D44022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ônibus tipo semi-leito turismo, modelo executivo ou equivalente, não utilizado (veículo parado) por período de 24 (vinte e quatro) horas.</w:t>
            </w:r>
          </w:p>
        </w:tc>
        <w:tc>
          <w:tcPr>
            <w:tcW w:w="1246" w:type="dxa"/>
            <w:gridSpan w:val="3"/>
            <w:shd w:val="clear" w:color="auto" w:fill="DBE5F1" w:themeFill="accent1" w:themeFillTint="33"/>
            <w:noWrap/>
          </w:tcPr>
          <w:p w14:paraId="15128E5F">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shd w:val="clear" w:color="auto" w:fill="DBE5F1" w:themeFill="accent1" w:themeFillTint="33"/>
            <w:noWrap/>
          </w:tcPr>
          <w:p w14:paraId="03EC98F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shd w:val="clear" w:color="auto" w:fill="DBE5F1" w:themeFill="accent1" w:themeFillTint="33"/>
            <w:noWrap/>
          </w:tcPr>
          <w:p w14:paraId="26B44BDD">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R$ 1.045,17</w:t>
            </w:r>
          </w:p>
        </w:tc>
        <w:tc>
          <w:tcPr>
            <w:tcW w:w="1554" w:type="dxa"/>
            <w:gridSpan w:val="2"/>
            <w:shd w:val="clear" w:color="auto" w:fill="DBE5F1" w:themeFill="accent1" w:themeFillTint="33"/>
            <w:noWrap/>
          </w:tcPr>
          <w:p w14:paraId="6DCF2FD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R$ 52.258,50</w:t>
            </w:r>
          </w:p>
        </w:tc>
        <w:tc>
          <w:tcPr>
            <w:tcW w:w="411" w:type="dxa"/>
            <w:shd w:val="clear" w:color="auto" w:fill="DBE5F1" w:themeFill="accent1" w:themeFillTint="33"/>
            <w:noWrap/>
          </w:tcPr>
          <w:p w14:paraId="406BC4D7">
            <w:pPr>
              <w:suppressAutoHyphens w:val="0"/>
              <w:jc w:val="center"/>
              <w:rPr>
                <w:rFonts w:asciiTheme="minorHAnsi" w:hAnsiTheme="minorHAnsi" w:eastAsiaTheme="minorEastAsia" w:cstheme="minorHAnsi"/>
                <w:color w:val="000000"/>
                <w:sz w:val="18"/>
                <w:szCs w:val="18"/>
              </w:rPr>
            </w:pPr>
          </w:p>
        </w:tc>
      </w:tr>
      <w:tr w14:paraId="10C2CA4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noWrap/>
          </w:tcPr>
          <w:p w14:paraId="0DC2CB6E">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noWrap/>
          </w:tcPr>
          <w:p w14:paraId="0502FEED">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noWrap/>
          </w:tcPr>
          <w:p w14:paraId="5EFA7F6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noWrap/>
          </w:tcPr>
          <w:p w14:paraId="4AF6AEE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noWrap/>
          </w:tcPr>
          <w:p w14:paraId="74A0CEA6">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R$ 98.258,50</w:t>
            </w:r>
          </w:p>
        </w:tc>
        <w:tc>
          <w:tcPr>
            <w:tcW w:w="411" w:type="dxa"/>
            <w:noWrap/>
          </w:tcPr>
          <w:p w14:paraId="5824A460">
            <w:pPr>
              <w:suppressAutoHyphens w:val="0"/>
              <w:jc w:val="center"/>
              <w:rPr>
                <w:rFonts w:asciiTheme="minorHAnsi" w:hAnsiTheme="minorHAnsi" w:eastAsiaTheme="minorEastAsia" w:cstheme="minorHAnsi"/>
                <w:b/>
                <w:bCs/>
                <w:color w:val="000000"/>
                <w:sz w:val="18"/>
                <w:szCs w:val="18"/>
              </w:rPr>
            </w:pPr>
          </w:p>
        </w:tc>
      </w:tr>
      <w:tr w14:paraId="62171CC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700" w:hRule="atLeast"/>
        </w:trPr>
        <w:tc>
          <w:tcPr>
            <w:tcW w:w="599" w:type="dxa"/>
            <w:shd w:val="clear" w:color="auto" w:fill="DBE5F1" w:themeFill="accent1" w:themeFillTint="33"/>
            <w:noWrap/>
          </w:tcPr>
          <w:p w14:paraId="1BD69947">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9</w:t>
            </w:r>
          </w:p>
        </w:tc>
        <w:tc>
          <w:tcPr>
            <w:tcW w:w="4708" w:type="dxa"/>
            <w:gridSpan w:val="7"/>
            <w:shd w:val="clear" w:color="auto" w:fill="DBE5F1" w:themeFill="accent1" w:themeFillTint="33"/>
          </w:tcPr>
          <w:p w14:paraId="12C2F4F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Campos dos Goytacazes e/ou Santo Antônio de Pádua/RJ</w:t>
            </w:r>
            <w:r>
              <w:rPr>
                <w:rFonts w:asciiTheme="minorHAnsi" w:hAnsiTheme="minorHAnsi" w:eastAsiaTheme="minorEastAsia" w:cstheme="minorHAnsi"/>
                <w:color w:val="000000"/>
                <w:sz w:val="18"/>
                <w:szCs w:val="18"/>
              </w:rPr>
              <w:t>. Veículo tipo: ônibus executivo, com motorista, com capacidade para, no mínimo, 44 passageiros. Características adicionais: Veículo cabinado, com banheiro, bagageiros amplos, som ambiente, sistema de microfone, frigobar, TV, Vídeo-DVD, ar condicionado, poltronas reclináveis em tecido, cinto de segurança para todos os passageiros. Veículo com data de fabricação não superior a 10 anos. A Licitante deverá comprovar que possui pelo menos 3 (três) ônibus em sua frota. CATSER 18457</w:t>
            </w:r>
          </w:p>
        </w:tc>
        <w:tc>
          <w:tcPr>
            <w:tcW w:w="1246" w:type="dxa"/>
            <w:gridSpan w:val="3"/>
            <w:shd w:val="clear" w:color="auto" w:fill="DBE5F1" w:themeFill="accent1" w:themeFillTint="33"/>
            <w:noWrap/>
          </w:tcPr>
          <w:p w14:paraId="5C3C55BC">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30000</w:t>
            </w:r>
          </w:p>
        </w:tc>
        <w:tc>
          <w:tcPr>
            <w:tcW w:w="960" w:type="dxa"/>
            <w:gridSpan w:val="2"/>
            <w:shd w:val="clear" w:color="auto" w:fill="DBE5F1" w:themeFill="accent1" w:themeFillTint="33"/>
            <w:noWrap/>
          </w:tcPr>
          <w:p w14:paraId="11B1FB5F">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shd w:val="clear" w:color="auto" w:fill="DBE5F1" w:themeFill="accent1" w:themeFillTint="33"/>
            <w:noWrap/>
          </w:tcPr>
          <w:p w14:paraId="7405187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R$ 9,20</w:t>
            </w:r>
          </w:p>
        </w:tc>
        <w:tc>
          <w:tcPr>
            <w:tcW w:w="1554" w:type="dxa"/>
            <w:gridSpan w:val="2"/>
            <w:shd w:val="clear" w:color="auto" w:fill="DBE5F1" w:themeFill="accent1" w:themeFillTint="33"/>
            <w:noWrap/>
          </w:tcPr>
          <w:p w14:paraId="02888CD6">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R$ 276.000,00</w:t>
            </w:r>
          </w:p>
        </w:tc>
        <w:tc>
          <w:tcPr>
            <w:tcW w:w="411" w:type="dxa"/>
            <w:shd w:val="clear" w:color="auto" w:fill="DBE5F1" w:themeFill="accent1" w:themeFillTint="33"/>
            <w:noWrap/>
          </w:tcPr>
          <w:p w14:paraId="4B8FAE1B">
            <w:pPr>
              <w:suppressAutoHyphens w:val="0"/>
              <w:jc w:val="center"/>
              <w:rPr>
                <w:rFonts w:asciiTheme="minorHAnsi" w:hAnsiTheme="minorHAnsi" w:eastAsiaTheme="minorEastAsia" w:cstheme="minorHAnsi"/>
                <w:color w:val="000000"/>
                <w:sz w:val="18"/>
                <w:szCs w:val="18"/>
              </w:rPr>
            </w:pPr>
          </w:p>
        </w:tc>
      </w:tr>
      <w:tr w14:paraId="45DB0E2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noWrap/>
          </w:tcPr>
          <w:p w14:paraId="2BB7B60B">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10</w:t>
            </w:r>
          </w:p>
        </w:tc>
        <w:tc>
          <w:tcPr>
            <w:tcW w:w="4708" w:type="dxa"/>
            <w:gridSpan w:val="7"/>
          </w:tcPr>
          <w:p w14:paraId="41CF7CD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ônibus tipo semi-leito turismo, modelo executivo ou equivalente, não utilizado (veículo parado) por período de 24 (vinte e quatro) horas.</w:t>
            </w:r>
          </w:p>
        </w:tc>
        <w:tc>
          <w:tcPr>
            <w:tcW w:w="1246" w:type="dxa"/>
            <w:gridSpan w:val="3"/>
            <w:noWrap/>
          </w:tcPr>
          <w:p w14:paraId="4FF62551">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200</w:t>
            </w:r>
          </w:p>
        </w:tc>
        <w:tc>
          <w:tcPr>
            <w:tcW w:w="960" w:type="dxa"/>
            <w:gridSpan w:val="2"/>
            <w:noWrap/>
          </w:tcPr>
          <w:p w14:paraId="31027802">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noWrap/>
          </w:tcPr>
          <w:p w14:paraId="46C2A790">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R$ 1.045,17</w:t>
            </w:r>
          </w:p>
        </w:tc>
        <w:tc>
          <w:tcPr>
            <w:tcW w:w="1554" w:type="dxa"/>
            <w:gridSpan w:val="2"/>
            <w:noWrap/>
          </w:tcPr>
          <w:p w14:paraId="34A31A0D">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R$ 209.034,00</w:t>
            </w:r>
          </w:p>
        </w:tc>
        <w:tc>
          <w:tcPr>
            <w:tcW w:w="411" w:type="dxa"/>
            <w:noWrap/>
          </w:tcPr>
          <w:p w14:paraId="702B3D49">
            <w:pPr>
              <w:suppressAutoHyphens w:val="0"/>
              <w:jc w:val="center"/>
              <w:rPr>
                <w:rFonts w:asciiTheme="minorHAnsi" w:hAnsiTheme="minorHAnsi" w:eastAsiaTheme="minorEastAsia" w:cstheme="minorHAnsi"/>
                <w:color w:val="000000"/>
                <w:sz w:val="18"/>
                <w:szCs w:val="18"/>
              </w:rPr>
            </w:pPr>
          </w:p>
        </w:tc>
      </w:tr>
      <w:tr w14:paraId="03001A9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shd w:val="clear" w:color="auto" w:fill="DBE5F1" w:themeFill="accent1" w:themeFillTint="33"/>
            <w:noWrap/>
          </w:tcPr>
          <w:p w14:paraId="7FBBF3DE">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shd w:val="clear" w:color="auto" w:fill="DBE5F1" w:themeFill="accent1" w:themeFillTint="33"/>
            <w:noWrap/>
          </w:tcPr>
          <w:p w14:paraId="688780D6">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960" w:type="dxa"/>
            <w:gridSpan w:val="2"/>
            <w:shd w:val="clear" w:color="auto" w:fill="DBE5F1" w:themeFill="accent1" w:themeFillTint="33"/>
            <w:noWrap/>
          </w:tcPr>
          <w:p w14:paraId="31666EE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shd w:val="clear" w:color="auto" w:fill="DBE5F1" w:themeFill="accent1" w:themeFillTint="33"/>
            <w:noWrap/>
          </w:tcPr>
          <w:p w14:paraId="41B87F1C">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shd w:val="clear" w:color="auto" w:fill="DBE5F1" w:themeFill="accent1" w:themeFillTint="33"/>
            <w:noWrap/>
          </w:tcPr>
          <w:p w14:paraId="5DF1390D">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R$ 485.034,00</w:t>
            </w:r>
          </w:p>
        </w:tc>
        <w:tc>
          <w:tcPr>
            <w:tcW w:w="411" w:type="dxa"/>
            <w:shd w:val="clear" w:color="auto" w:fill="DBE5F1" w:themeFill="accent1" w:themeFillTint="33"/>
            <w:noWrap/>
          </w:tcPr>
          <w:p w14:paraId="0A268670">
            <w:pPr>
              <w:suppressAutoHyphens w:val="0"/>
              <w:jc w:val="center"/>
              <w:rPr>
                <w:rFonts w:asciiTheme="minorHAnsi" w:hAnsiTheme="minorHAnsi" w:eastAsiaTheme="minorEastAsia" w:cstheme="minorHAnsi"/>
                <w:b/>
                <w:bCs/>
                <w:color w:val="000000"/>
                <w:sz w:val="18"/>
                <w:szCs w:val="18"/>
              </w:rPr>
            </w:pPr>
          </w:p>
        </w:tc>
      </w:tr>
      <w:tr w14:paraId="5AD9BE5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0"/>
          <w:wAfter w:w="4882" w:type="dxa"/>
          <w:trHeight w:val="315" w:hRule="atLeast"/>
        </w:trPr>
        <w:tc>
          <w:tcPr>
            <w:tcW w:w="1246" w:type="dxa"/>
            <w:gridSpan w:val="3"/>
            <w:noWrap/>
          </w:tcPr>
          <w:p w14:paraId="360879D5">
            <w:pPr>
              <w:suppressAutoHyphens w:val="0"/>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w:t>
            </w:r>
          </w:p>
        </w:tc>
        <w:tc>
          <w:tcPr>
            <w:tcW w:w="960" w:type="dxa"/>
            <w:noWrap/>
          </w:tcPr>
          <w:p w14:paraId="7E36A097">
            <w:pPr>
              <w:suppressAutoHyphens w:val="0"/>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w:t>
            </w:r>
          </w:p>
        </w:tc>
        <w:tc>
          <w:tcPr>
            <w:tcW w:w="1120" w:type="dxa"/>
            <w:noWrap/>
          </w:tcPr>
          <w:p w14:paraId="10BBCB40">
            <w:pPr>
              <w:suppressAutoHyphens w:val="0"/>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w:t>
            </w:r>
          </w:p>
        </w:tc>
        <w:tc>
          <w:tcPr>
            <w:tcW w:w="1413" w:type="dxa"/>
            <w:gridSpan w:val="2"/>
            <w:noWrap/>
          </w:tcPr>
          <w:p w14:paraId="0F711C9C">
            <w:pPr>
              <w:suppressAutoHyphens w:val="0"/>
              <w:jc w:val="right"/>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R$ 2.634.204,00</w:t>
            </w:r>
          </w:p>
        </w:tc>
        <w:tc>
          <w:tcPr>
            <w:tcW w:w="1037" w:type="dxa"/>
            <w:gridSpan w:val="2"/>
            <w:noWrap/>
          </w:tcPr>
          <w:p w14:paraId="016355A8">
            <w:pPr>
              <w:suppressAutoHyphens w:val="0"/>
              <w:jc w:val="right"/>
              <w:rPr>
                <w:rFonts w:asciiTheme="minorHAnsi" w:hAnsiTheme="minorHAnsi" w:eastAsiaTheme="minorEastAsia" w:cstheme="minorHAnsi"/>
                <w:b/>
                <w:bCs/>
                <w:color w:val="000000"/>
                <w:sz w:val="18"/>
                <w:szCs w:val="18"/>
              </w:rPr>
            </w:pPr>
          </w:p>
        </w:tc>
      </w:tr>
      <w:tr w14:paraId="609E624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00" w:hRule="atLeast"/>
        </w:trPr>
        <w:tc>
          <w:tcPr>
            <w:tcW w:w="599" w:type="dxa"/>
            <w:shd w:val="clear" w:color="auto" w:fill="DBE5F1" w:themeFill="accent1" w:themeFillTint="33"/>
            <w:noWrap/>
          </w:tcPr>
          <w:p w14:paraId="6E68AF54">
            <w:pPr>
              <w:suppressAutoHyphens w:val="0"/>
              <w:jc w:val="center"/>
              <w:rPr>
                <w:rFonts w:asciiTheme="minorHAnsi" w:hAnsiTheme="minorHAnsi" w:eastAsiaTheme="minorEastAsia" w:cstheme="minorHAnsi"/>
                <w:b/>
                <w:bCs/>
                <w:sz w:val="18"/>
                <w:szCs w:val="18"/>
              </w:rPr>
            </w:pPr>
          </w:p>
        </w:tc>
        <w:tc>
          <w:tcPr>
            <w:tcW w:w="4708" w:type="dxa"/>
            <w:gridSpan w:val="7"/>
            <w:shd w:val="clear" w:color="auto" w:fill="DBE5F1" w:themeFill="accent1" w:themeFillTint="33"/>
            <w:noWrap/>
          </w:tcPr>
          <w:p w14:paraId="411B2200">
            <w:pPr>
              <w:suppressAutoHyphens w:val="0"/>
              <w:jc w:val="center"/>
              <w:rPr>
                <w:rFonts w:asciiTheme="minorHAnsi" w:hAnsiTheme="minorHAnsi" w:eastAsiaTheme="minorEastAsia" w:cstheme="minorHAnsi"/>
                <w:sz w:val="18"/>
                <w:szCs w:val="18"/>
              </w:rPr>
            </w:pPr>
          </w:p>
        </w:tc>
        <w:tc>
          <w:tcPr>
            <w:tcW w:w="1246" w:type="dxa"/>
            <w:gridSpan w:val="3"/>
            <w:shd w:val="clear" w:color="auto" w:fill="DBE5F1" w:themeFill="accent1" w:themeFillTint="33"/>
            <w:noWrap/>
          </w:tcPr>
          <w:p w14:paraId="48F436D6">
            <w:pPr>
              <w:suppressAutoHyphens w:val="0"/>
              <w:jc w:val="center"/>
              <w:rPr>
                <w:rFonts w:asciiTheme="minorHAnsi" w:hAnsiTheme="minorHAnsi" w:eastAsiaTheme="minorEastAsia" w:cstheme="minorHAnsi"/>
                <w:sz w:val="18"/>
                <w:szCs w:val="18"/>
              </w:rPr>
            </w:pPr>
          </w:p>
        </w:tc>
        <w:tc>
          <w:tcPr>
            <w:tcW w:w="960" w:type="dxa"/>
            <w:gridSpan w:val="2"/>
            <w:shd w:val="clear" w:color="auto" w:fill="DBE5F1" w:themeFill="accent1" w:themeFillTint="33"/>
            <w:noWrap/>
          </w:tcPr>
          <w:p w14:paraId="5BE88B9A">
            <w:pPr>
              <w:suppressAutoHyphens w:val="0"/>
              <w:jc w:val="center"/>
              <w:rPr>
                <w:rFonts w:asciiTheme="minorHAnsi" w:hAnsiTheme="minorHAnsi" w:eastAsiaTheme="minorEastAsia" w:cstheme="minorHAnsi"/>
                <w:sz w:val="18"/>
                <w:szCs w:val="18"/>
              </w:rPr>
            </w:pPr>
          </w:p>
        </w:tc>
        <w:tc>
          <w:tcPr>
            <w:tcW w:w="1120" w:type="dxa"/>
            <w:gridSpan w:val="2"/>
            <w:shd w:val="clear" w:color="auto" w:fill="DBE5F1" w:themeFill="accent1" w:themeFillTint="33"/>
            <w:noWrap/>
          </w:tcPr>
          <w:p w14:paraId="03408750">
            <w:pPr>
              <w:suppressAutoHyphens w:val="0"/>
              <w:jc w:val="center"/>
              <w:rPr>
                <w:rFonts w:asciiTheme="minorHAnsi" w:hAnsiTheme="minorHAnsi" w:eastAsiaTheme="minorEastAsia" w:cstheme="minorHAnsi"/>
                <w:sz w:val="18"/>
                <w:szCs w:val="18"/>
              </w:rPr>
            </w:pPr>
          </w:p>
        </w:tc>
        <w:tc>
          <w:tcPr>
            <w:tcW w:w="1554" w:type="dxa"/>
            <w:gridSpan w:val="2"/>
            <w:shd w:val="clear" w:color="auto" w:fill="DBE5F1" w:themeFill="accent1" w:themeFillTint="33"/>
            <w:noWrap/>
          </w:tcPr>
          <w:p w14:paraId="5D93BEE9">
            <w:pPr>
              <w:suppressAutoHyphens w:val="0"/>
              <w:jc w:val="center"/>
              <w:rPr>
                <w:rFonts w:asciiTheme="minorHAnsi" w:hAnsiTheme="minorHAnsi" w:eastAsiaTheme="minorEastAsia" w:cstheme="minorHAnsi"/>
                <w:sz w:val="18"/>
                <w:szCs w:val="18"/>
              </w:rPr>
            </w:pPr>
          </w:p>
        </w:tc>
        <w:tc>
          <w:tcPr>
            <w:tcW w:w="411" w:type="dxa"/>
            <w:shd w:val="clear" w:color="auto" w:fill="DBE5F1" w:themeFill="accent1" w:themeFillTint="33"/>
            <w:noWrap/>
          </w:tcPr>
          <w:p w14:paraId="080FC8FE">
            <w:pPr>
              <w:suppressAutoHyphens w:val="0"/>
              <w:jc w:val="center"/>
              <w:rPr>
                <w:rFonts w:asciiTheme="minorHAnsi" w:hAnsiTheme="minorHAnsi" w:eastAsiaTheme="minorEastAsia" w:cstheme="minorHAnsi"/>
                <w:sz w:val="18"/>
                <w:szCs w:val="18"/>
              </w:rPr>
            </w:pPr>
          </w:p>
        </w:tc>
      </w:tr>
      <w:tr w14:paraId="149D791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00" w:hRule="atLeast"/>
        </w:trPr>
        <w:tc>
          <w:tcPr>
            <w:tcW w:w="599" w:type="dxa"/>
            <w:noWrap/>
          </w:tcPr>
          <w:p w14:paraId="372E46B8">
            <w:pPr>
              <w:suppressAutoHyphens w:val="0"/>
              <w:jc w:val="center"/>
              <w:rPr>
                <w:rFonts w:asciiTheme="minorHAnsi" w:hAnsiTheme="minorHAnsi" w:eastAsiaTheme="minorEastAsia" w:cstheme="minorHAnsi"/>
                <w:b/>
                <w:bCs/>
                <w:sz w:val="18"/>
                <w:szCs w:val="18"/>
              </w:rPr>
            </w:pPr>
          </w:p>
        </w:tc>
        <w:tc>
          <w:tcPr>
            <w:tcW w:w="4708" w:type="dxa"/>
            <w:gridSpan w:val="7"/>
            <w:noWrap/>
          </w:tcPr>
          <w:p w14:paraId="055BC867">
            <w:pPr>
              <w:suppressAutoHyphens w:val="0"/>
              <w:jc w:val="center"/>
              <w:rPr>
                <w:rFonts w:asciiTheme="minorHAnsi" w:hAnsiTheme="minorHAnsi" w:eastAsiaTheme="minorEastAsia" w:cstheme="minorHAnsi"/>
                <w:sz w:val="18"/>
                <w:szCs w:val="18"/>
              </w:rPr>
            </w:pPr>
          </w:p>
        </w:tc>
        <w:tc>
          <w:tcPr>
            <w:tcW w:w="1246" w:type="dxa"/>
            <w:gridSpan w:val="3"/>
            <w:noWrap/>
          </w:tcPr>
          <w:p w14:paraId="2D23DCCE">
            <w:pPr>
              <w:suppressAutoHyphens w:val="0"/>
              <w:jc w:val="center"/>
              <w:rPr>
                <w:rFonts w:asciiTheme="minorHAnsi" w:hAnsiTheme="minorHAnsi" w:eastAsiaTheme="minorEastAsia" w:cstheme="minorHAnsi"/>
                <w:sz w:val="18"/>
                <w:szCs w:val="18"/>
              </w:rPr>
            </w:pPr>
          </w:p>
        </w:tc>
        <w:tc>
          <w:tcPr>
            <w:tcW w:w="960" w:type="dxa"/>
            <w:gridSpan w:val="2"/>
            <w:noWrap/>
          </w:tcPr>
          <w:p w14:paraId="53DA85F4">
            <w:pPr>
              <w:suppressAutoHyphens w:val="0"/>
              <w:jc w:val="center"/>
              <w:rPr>
                <w:rFonts w:asciiTheme="minorHAnsi" w:hAnsiTheme="minorHAnsi" w:eastAsiaTheme="minorEastAsia" w:cstheme="minorHAnsi"/>
                <w:sz w:val="18"/>
                <w:szCs w:val="18"/>
              </w:rPr>
            </w:pPr>
          </w:p>
        </w:tc>
        <w:tc>
          <w:tcPr>
            <w:tcW w:w="1120" w:type="dxa"/>
            <w:gridSpan w:val="2"/>
            <w:noWrap/>
          </w:tcPr>
          <w:p w14:paraId="0151C78C">
            <w:pPr>
              <w:suppressAutoHyphens w:val="0"/>
              <w:jc w:val="center"/>
              <w:rPr>
                <w:rFonts w:asciiTheme="minorHAnsi" w:hAnsiTheme="minorHAnsi" w:eastAsiaTheme="minorEastAsia" w:cstheme="minorHAnsi"/>
                <w:sz w:val="18"/>
                <w:szCs w:val="18"/>
              </w:rPr>
            </w:pPr>
          </w:p>
        </w:tc>
        <w:tc>
          <w:tcPr>
            <w:tcW w:w="1554" w:type="dxa"/>
            <w:gridSpan w:val="2"/>
            <w:noWrap/>
          </w:tcPr>
          <w:p w14:paraId="3960FA89">
            <w:pPr>
              <w:suppressAutoHyphens w:val="0"/>
              <w:jc w:val="center"/>
              <w:rPr>
                <w:rFonts w:asciiTheme="minorHAnsi" w:hAnsiTheme="minorHAnsi" w:eastAsiaTheme="minorEastAsia" w:cstheme="minorHAnsi"/>
                <w:sz w:val="18"/>
                <w:szCs w:val="18"/>
              </w:rPr>
            </w:pPr>
          </w:p>
        </w:tc>
        <w:tc>
          <w:tcPr>
            <w:tcW w:w="411" w:type="dxa"/>
            <w:noWrap/>
          </w:tcPr>
          <w:p w14:paraId="587827D8">
            <w:pPr>
              <w:suppressAutoHyphens w:val="0"/>
              <w:jc w:val="center"/>
              <w:rPr>
                <w:rFonts w:asciiTheme="minorHAnsi" w:hAnsiTheme="minorHAnsi" w:eastAsiaTheme="minorEastAsia" w:cstheme="minorHAnsi"/>
                <w:sz w:val="18"/>
                <w:szCs w:val="18"/>
              </w:rPr>
            </w:pPr>
          </w:p>
        </w:tc>
      </w:tr>
      <w:tr w14:paraId="34B437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7"/>
          <w:wAfter w:w="9621" w:type="dxa"/>
          <w:trHeight w:val="300" w:hRule="atLeast"/>
        </w:trPr>
        <w:tc>
          <w:tcPr>
            <w:tcW w:w="1037" w:type="dxa"/>
            <w:gridSpan w:val="2"/>
            <w:shd w:val="clear" w:color="auto" w:fill="DBE5F1" w:themeFill="accent1" w:themeFillTint="33"/>
            <w:noWrap/>
          </w:tcPr>
          <w:p w14:paraId="783C19BC">
            <w:pPr>
              <w:suppressAutoHyphens w:val="0"/>
              <w:jc w:val="center"/>
              <w:rPr>
                <w:rFonts w:asciiTheme="minorHAnsi" w:hAnsiTheme="minorHAnsi" w:eastAsiaTheme="minorEastAsia" w:cstheme="minorHAnsi"/>
                <w:b/>
                <w:bCs/>
                <w:color w:val="FF0000"/>
                <w:sz w:val="18"/>
                <w:szCs w:val="18"/>
              </w:rPr>
            </w:pPr>
          </w:p>
        </w:tc>
      </w:tr>
      <w:tr w14:paraId="2BDBE77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90" w:hRule="atLeast"/>
        </w:trPr>
        <w:tc>
          <w:tcPr>
            <w:tcW w:w="599" w:type="dxa"/>
            <w:noWrap/>
          </w:tcPr>
          <w:p w14:paraId="00B20F27">
            <w:pPr>
              <w:suppressAutoHyphens w:val="0"/>
              <w:jc w:val="center"/>
              <w:rPr>
                <w:rFonts w:asciiTheme="minorHAnsi" w:hAnsiTheme="minorHAnsi" w:eastAsiaTheme="minorEastAsia" w:cstheme="minorHAnsi"/>
                <w:b/>
                <w:bCs/>
                <w:sz w:val="18"/>
                <w:szCs w:val="18"/>
              </w:rPr>
            </w:pPr>
          </w:p>
        </w:tc>
        <w:tc>
          <w:tcPr>
            <w:tcW w:w="4708" w:type="dxa"/>
            <w:gridSpan w:val="7"/>
            <w:noWrap/>
          </w:tcPr>
          <w:p w14:paraId="49FBFB92">
            <w:pPr>
              <w:suppressAutoHyphens w:val="0"/>
              <w:jc w:val="center"/>
              <w:rPr>
                <w:rFonts w:asciiTheme="minorHAnsi" w:hAnsiTheme="minorHAnsi" w:eastAsiaTheme="minorEastAsia" w:cstheme="minorHAnsi"/>
                <w:sz w:val="18"/>
                <w:szCs w:val="18"/>
              </w:rPr>
            </w:pPr>
          </w:p>
        </w:tc>
        <w:tc>
          <w:tcPr>
            <w:tcW w:w="1246" w:type="dxa"/>
            <w:gridSpan w:val="3"/>
            <w:noWrap/>
          </w:tcPr>
          <w:p w14:paraId="62EEF6EA">
            <w:pPr>
              <w:suppressAutoHyphens w:val="0"/>
              <w:jc w:val="center"/>
              <w:rPr>
                <w:rFonts w:asciiTheme="minorHAnsi" w:hAnsiTheme="minorHAnsi" w:eastAsiaTheme="minorEastAsia" w:cstheme="minorHAnsi"/>
                <w:sz w:val="18"/>
                <w:szCs w:val="18"/>
              </w:rPr>
            </w:pPr>
          </w:p>
        </w:tc>
        <w:tc>
          <w:tcPr>
            <w:tcW w:w="960" w:type="dxa"/>
            <w:gridSpan w:val="2"/>
            <w:noWrap/>
          </w:tcPr>
          <w:p w14:paraId="04836360">
            <w:pPr>
              <w:suppressAutoHyphens w:val="0"/>
              <w:jc w:val="center"/>
              <w:rPr>
                <w:rFonts w:asciiTheme="minorHAnsi" w:hAnsiTheme="minorHAnsi" w:eastAsiaTheme="minorEastAsia" w:cstheme="minorHAnsi"/>
                <w:sz w:val="18"/>
                <w:szCs w:val="18"/>
              </w:rPr>
            </w:pPr>
          </w:p>
        </w:tc>
        <w:tc>
          <w:tcPr>
            <w:tcW w:w="1120" w:type="dxa"/>
            <w:gridSpan w:val="2"/>
            <w:noWrap/>
          </w:tcPr>
          <w:p w14:paraId="3F8810B9">
            <w:pPr>
              <w:suppressAutoHyphens w:val="0"/>
              <w:jc w:val="center"/>
              <w:rPr>
                <w:rFonts w:asciiTheme="minorHAnsi" w:hAnsiTheme="minorHAnsi" w:eastAsiaTheme="minorEastAsia" w:cstheme="minorHAnsi"/>
                <w:sz w:val="18"/>
                <w:szCs w:val="18"/>
              </w:rPr>
            </w:pPr>
          </w:p>
        </w:tc>
        <w:tc>
          <w:tcPr>
            <w:tcW w:w="1554" w:type="dxa"/>
            <w:gridSpan w:val="2"/>
            <w:noWrap/>
          </w:tcPr>
          <w:p w14:paraId="61F6618C">
            <w:pPr>
              <w:suppressAutoHyphens w:val="0"/>
              <w:jc w:val="center"/>
              <w:rPr>
                <w:rFonts w:asciiTheme="minorHAnsi" w:hAnsiTheme="minorHAnsi" w:eastAsiaTheme="minorEastAsia" w:cstheme="minorHAnsi"/>
                <w:sz w:val="18"/>
                <w:szCs w:val="18"/>
              </w:rPr>
            </w:pPr>
          </w:p>
        </w:tc>
        <w:tc>
          <w:tcPr>
            <w:tcW w:w="411" w:type="dxa"/>
            <w:noWrap/>
          </w:tcPr>
          <w:p w14:paraId="4409179E">
            <w:pPr>
              <w:suppressAutoHyphens w:val="0"/>
              <w:jc w:val="center"/>
              <w:rPr>
                <w:rFonts w:asciiTheme="minorHAnsi" w:hAnsiTheme="minorHAnsi" w:eastAsiaTheme="minorEastAsia" w:cstheme="minorHAnsi"/>
                <w:sz w:val="18"/>
                <w:szCs w:val="18"/>
              </w:rPr>
            </w:pPr>
          </w:p>
        </w:tc>
      </w:tr>
      <w:tr w14:paraId="3DD3661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615" w:hRule="atLeast"/>
        </w:trPr>
        <w:tc>
          <w:tcPr>
            <w:tcW w:w="599" w:type="dxa"/>
            <w:shd w:val="clear" w:color="auto" w:fill="DBE5F1" w:themeFill="accent1" w:themeFillTint="33"/>
            <w:noWrap/>
          </w:tcPr>
          <w:p w14:paraId="2E4C46C8">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ITEM</w:t>
            </w:r>
          </w:p>
        </w:tc>
        <w:tc>
          <w:tcPr>
            <w:tcW w:w="4708" w:type="dxa"/>
            <w:gridSpan w:val="7"/>
            <w:shd w:val="clear" w:color="auto" w:fill="DBE5F1" w:themeFill="accent1" w:themeFillTint="33"/>
            <w:noWrap/>
          </w:tcPr>
          <w:p w14:paraId="3F442C1D">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DESCRIÇÃO</w:t>
            </w:r>
          </w:p>
        </w:tc>
        <w:tc>
          <w:tcPr>
            <w:tcW w:w="1246" w:type="dxa"/>
            <w:gridSpan w:val="3"/>
            <w:shd w:val="clear" w:color="auto" w:fill="DBE5F1" w:themeFill="accent1" w:themeFillTint="33"/>
            <w:noWrap/>
          </w:tcPr>
          <w:p w14:paraId="355D3CFC">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QUANTIDADE</w:t>
            </w:r>
          </w:p>
        </w:tc>
        <w:tc>
          <w:tcPr>
            <w:tcW w:w="960" w:type="dxa"/>
            <w:gridSpan w:val="2"/>
            <w:shd w:val="clear" w:color="auto" w:fill="DBE5F1" w:themeFill="accent1" w:themeFillTint="33"/>
            <w:noWrap/>
          </w:tcPr>
          <w:p w14:paraId="54F97154">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UNIDADE</w:t>
            </w:r>
          </w:p>
        </w:tc>
        <w:tc>
          <w:tcPr>
            <w:tcW w:w="1120" w:type="dxa"/>
            <w:gridSpan w:val="2"/>
            <w:shd w:val="clear" w:color="auto" w:fill="DBE5F1" w:themeFill="accent1" w:themeFillTint="33"/>
          </w:tcPr>
          <w:p w14:paraId="007D7EEF">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UNITÁRIO</w:t>
            </w:r>
          </w:p>
        </w:tc>
        <w:tc>
          <w:tcPr>
            <w:tcW w:w="1554" w:type="dxa"/>
            <w:gridSpan w:val="2"/>
            <w:shd w:val="clear" w:color="auto" w:fill="DBE5F1" w:themeFill="accent1" w:themeFillTint="33"/>
          </w:tcPr>
          <w:p w14:paraId="697B3B03">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TOTAL</w:t>
            </w:r>
          </w:p>
        </w:tc>
        <w:tc>
          <w:tcPr>
            <w:tcW w:w="411" w:type="dxa"/>
            <w:shd w:val="clear" w:color="auto" w:fill="DBE5F1" w:themeFill="accent1" w:themeFillTint="33"/>
            <w:noWrap/>
          </w:tcPr>
          <w:p w14:paraId="3793D807">
            <w:pPr>
              <w:suppressAutoHyphens w:val="0"/>
              <w:jc w:val="center"/>
              <w:rPr>
                <w:rFonts w:asciiTheme="minorHAnsi" w:hAnsiTheme="minorHAnsi" w:eastAsiaTheme="minorEastAsia" w:cstheme="minorHAnsi"/>
                <w:b/>
                <w:bCs/>
                <w:color w:val="000000"/>
                <w:sz w:val="18"/>
                <w:szCs w:val="18"/>
              </w:rPr>
            </w:pPr>
          </w:p>
        </w:tc>
      </w:tr>
      <w:tr w14:paraId="11578EF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400" w:hRule="atLeast"/>
        </w:trPr>
        <w:tc>
          <w:tcPr>
            <w:tcW w:w="599" w:type="dxa"/>
            <w:noWrap/>
          </w:tcPr>
          <w:p w14:paraId="7200B9F3">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11</w:t>
            </w:r>
          </w:p>
        </w:tc>
        <w:tc>
          <w:tcPr>
            <w:tcW w:w="4708" w:type="dxa"/>
            <w:gridSpan w:val="7"/>
          </w:tcPr>
          <w:p w14:paraId="20EA9C8F">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Niterói/RJ</w:t>
            </w:r>
            <w:r>
              <w:rPr>
                <w:rFonts w:asciiTheme="minorHAnsi" w:hAnsiTheme="minorHAnsi" w:eastAsiaTheme="minorEastAsia" w:cstheme="minorHAnsi"/>
                <w:color w:val="000000"/>
                <w:sz w:val="18"/>
                <w:szCs w:val="18"/>
              </w:rPr>
              <w:t xml:space="preserve">. Veículo tipo: Micro-ônibus executivo, com motorista, com capacidade para, no mínimo, 21 passageiros. Características adicionais: Som ambiente, sistema de microfone, ar condicionado, poltronas reclináveis em tecido, cinto de segurança para todos os passageiros. Veículo com data de fabricação não superior a 5 anos. A Licitante deverá comprovar que possui pelo menos 5 (cinco) micro-ônibus em sua frota. </w:t>
            </w:r>
          </w:p>
        </w:tc>
        <w:tc>
          <w:tcPr>
            <w:tcW w:w="1246" w:type="dxa"/>
            <w:gridSpan w:val="3"/>
            <w:noWrap/>
          </w:tcPr>
          <w:p w14:paraId="6384E866">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20000</w:t>
            </w:r>
          </w:p>
        </w:tc>
        <w:tc>
          <w:tcPr>
            <w:tcW w:w="960" w:type="dxa"/>
            <w:gridSpan w:val="2"/>
            <w:noWrap/>
          </w:tcPr>
          <w:p w14:paraId="7CD471B5">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noWrap/>
          </w:tcPr>
          <w:p w14:paraId="7D1B391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R$ 5,58</w:t>
            </w:r>
          </w:p>
        </w:tc>
        <w:tc>
          <w:tcPr>
            <w:tcW w:w="1554" w:type="dxa"/>
            <w:gridSpan w:val="2"/>
            <w:noWrap/>
          </w:tcPr>
          <w:p w14:paraId="186A2FCD">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R$ 111.600,00</w:t>
            </w:r>
          </w:p>
        </w:tc>
        <w:tc>
          <w:tcPr>
            <w:tcW w:w="411" w:type="dxa"/>
            <w:noWrap/>
          </w:tcPr>
          <w:p w14:paraId="3CB89C78">
            <w:pPr>
              <w:suppressAutoHyphens w:val="0"/>
              <w:jc w:val="center"/>
              <w:rPr>
                <w:rFonts w:asciiTheme="minorHAnsi" w:hAnsiTheme="minorHAnsi" w:eastAsiaTheme="minorEastAsia" w:cstheme="minorHAnsi"/>
                <w:color w:val="000000"/>
                <w:sz w:val="18"/>
                <w:szCs w:val="18"/>
              </w:rPr>
            </w:pPr>
          </w:p>
        </w:tc>
      </w:tr>
      <w:tr w14:paraId="43D4B68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shd w:val="clear" w:color="auto" w:fill="DBE5F1" w:themeFill="accent1" w:themeFillTint="33"/>
            <w:noWrap/>
          </w:tcPr>
          <w:p w14:paraId="67159996">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12</w:t>
            </w:r>
          </w:p>
        </w:tc>
        <w:tc>
          <w:tcPr>
            <w:tcW w:w="4708" w:type="dxa"/>
            <w:gridSpan w:val="7"/>
            <w:shd w:val="clear" w:color="auto" w:fill="DBE5F1" w:themeFill="accent1" w:themeFillTint="33"/>
          </w:tcPr>
          <w:p w14:paraId="42B1FE3D">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micro-ônibus, modelo executivo ou equivalente, não utilizado (veículo parado) por período de 24 (vinte e quatro) horas.</w:t>
            </w:r>
          </w:p>
        </w:tc>
        <w:tc>
          <w:tcPr>
            <w:tcW w:w="1246" w:type="dxa"/>
            <w:gridSpan w:val="3"/>
            <w:shd w:val="clear" w:color="auto" w:fill="DBE5F1" w:themeFill="accent1" w:themeFillTint="33"/>
            <w:noWrap/>
          </w:tcPr>
          <w:p w14:paraId="41732F78">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shd w:val="clear" w:color="auto" w:fill="DBE5F1" w:themeFill="accent1" w:themeFillTint="33"/>
            <w:noWrap/>
          </w:tcPr>
          <w:p w14:paraId="7AF0E91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shd w:val="clear" w:color="auto" w:fill="DBE5F1" w:themeFill="accent1" w:themeFillTint="33"/>
            <w:noWrap/>
          </w:tcPr>
          <w:p w14:paraId="072B9AD6">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R$ 567,33</w:t>
            </w:r>
          </w:p>
        </w:tc>
        <w:tc>
          <w:tcPr>
            <w:tcW w:w="1554" w:type="dxa"/>
            <w:gridSpan w:val="2"/>
            <w:shd w:val="clear" w:color="auto" w:fill="DBE5F1" w:themeFill="accent1" w:themeFillTint="33"/>
            <w:noWrap/>
          </w:tcPr>
          <w:p w14:paraId="2EDFB81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R$ 28.366,50</w:t>
            </w:r>
          </w:p>
        </w:tc>
        <w:tc>
          <w:tcPr>
            <w:tcW w:w="411" w:type="dxa"/>
            <w:shd w:val="clear" w:color="auto" w:fill="DBE5F1" w:themeFill="accent1" w:themeFillTint="33"/>
            <w:noWrap/>
          </w:tcPr>
          <w:p w14:paraId="57A72F76">
            <w:pPr>
              <w:suppressAutoHyphens w:val="0"/>
              <w:jc w:val="center"/>
              <w:rPr>
                <w:rFonts w:asciiTheme="minorHAnsi" w:hAnsiTheme="minorHAnsi" w:eastAsiaTheme="minorEastAsia" w:cstheme="minorHAnsi"/>
                <w:color w:val="000000"/>
                <w:sz w:val="18"/>
                <w:szCs w:val="18"/>
              </w:rPr>
            </w:pPr>
          </w:p>
        </w:tc>
      </w:tr>
      <w:tr w14:paraId="5C72412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noWrap/>
          </w:tcPr>
          <w:p w14:paraId="526B5220">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noWrap/>
          </w:tcPr>
          <w:p w14:paraId="7A3A83D7">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noWrap/>
          </w:tcPr>
          <w:p w14:paraId="31E0D6B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noWrap/>
          </w:tcPr>
          <w:p w14:paraId="199A6EB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noWrap/>
          </w:tcPr>
          <w:p w14:paraId="549657D1">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R$ 139.966,50</w:t>
            </w:r>
          </w:p>
        </w:tc>
        <w:tc>
          <w:tcPr>
            <w:tcW w:w="411" w:type="dxa"/>
            <w:noWrap/>
          </w:tcPr>
          <w:p w14:paraId="26B3D800">
            <w:pPr>
              <w:suppressAutoHyphens w:val="0"/>
              <w:jc w:val="center"/>
              <w:rPr>
                <w:rFonts w:asciiTheme="minorHAnsi" w:hAnsiTheme="minorHAnsi" w:eastAsiaTheme="minorEastAsia" w:cstheme="minorHAnsi"/>
                <w:b/>
                <w:bCs/>
                <w:color w:val="000000"/>
                <w:sz w:val="18"/>
                <w:szCs w:val="18"/>
              </w:rPr>
            </w:pPr>
          </w:p>
        </w:tc>
      </w:tr>
      <w:tr w14:paraId="4AD077B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400" w:hRule="atLeast"/>
        </w:trPr>
        <w:tc>
          <w:tcPr>
            <w:tcW w:w="599" w:type="dxa"/>
            <w:shd w:val="clear" w:color="auto" w:fill="DBE5F1" w:themeFill="accent1" w:themeFillTint="33"/>
            <w:noWrap/>
          </w:tcPr>
          <w:p w14:paraId="2639739E">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13</w:t>
            </w:r>
          </w:p>
        </w:tc>
        <w:tc>
          <w:tcPr>
            <w:tcW w:w="4708" w:type="dxa"/>
            <w:gridSpan w:val="7"/>
            <w:shd w:val="clear" w:color="auto" w:fill="DBE5F1" w:themeFill="accent1" w:themeFillTint="33"/>
          </w:tcPr>
          <w:p w14:paraId="05154C12">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Volta Redonda ou Angra dos Reis</w:t>
            </w:r>
            <w:r>
              <w:rPr>
                <w:rFonts w:asciiTheme="minorHAnsi" w:hAnsiTheme="minorHAnsi" w:eastAsiaTheme="minorEastAsia" w:cstheme="minorHAnsi"/>
                <w:color w:val="000000"/>
                <w:sz w:val="18"/>
                <w:szCs w:val="18"/>
              </w:rPr>
              <w:t xml:space="preserve">/RJ. Veículo tipo: Micro-ônibus executivo, com motorista, com capacidade para, no mínimo, 21 passageiros. Características adicionais: Som ambiente, sistema de microfone, ar condicionado, poltronas reclináveis em tecido, cinto de segurança para todos os passageiros. Veículo com data de fabricação não superior a 5 anos. A Licitante deverá comprovar que possui pelo menos 5 (cinco) micro-ônibus em sua frota. </w:t>
            </w:r>
          </w:p>
        </w:tc>
        <w:tc>
          <w:tcPr>
            <w:tcW w:w="1246" w:type="dxa"/>
            <w:gridSpan w:val="3"/>
            <w:shd w:val="clear" w:color="auto" w:fill="DBE5F1" w:themeFill="accent1" w:themeFillTint="33"/>
            <w:noWrap/>
          </w:tcPr>
          <w:p w14:paraId="1D13EF96">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10000</w:t>
            </w:r>
          </w:p>
        </w:tc>
        <w:tc>
          <w:tcPr>
            <w:tcW w:w="960" w:type="dxa"/>
            <w:gridSpan w:val="2"/>
            <w:shd w:val="clear" w:color="auto" w:fill="DBE5F1" w:themeFill="accent1" w:themeFillTint="33"/>
            <w:noWrap/>
          </w:tcPr>
          <w:p w14:paraId="20DB04F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shd w:val="clear" w:color="auto" w:fill="DBE5F1" w:themeFill="accent1" w:themeFillTint="33"/>
            <w:noWrap/>
          </w:tcPr>
          <w:p w14:paraId="0D5954E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R$ 5,58</w:t>
            </w:r>
          </w:p>
        </w:tc>
        <w:tc>
          <w:tcPr>
            <w:tcW w:w="1554" w:type="dxa"/>
            <w:gridSpan w:val="2"/>
            <w:shd w:val="clear" w:color="auto" w:fill="DBE5F1" w:themeFill="accent1" w:themeFillTint="33"/>
            <w:noWrap/>
          </w:tcPr>
          <w:p w14:paraId="371B53CC">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R$ 55.800,00</w:t>
            </w:r>
          </w:p>
        </w:tc>
        <w:tc>
          <w:tcPr>
            <w:tcW w:w="411" w:type="dxa"/>
            <w:shd w:val="clear" w:color="auto" w:fill="DBE5F1" w:themeFill="accent1" w:themeFillTint="33"/>
            <w:noWrap/>
          </w:tcPr>
          <w:p w14:paraId="2E6A9B31">
            <w:pPr>
              <w:suppressAutoHyphens w:val="0"/>
              <w:jc w:val="center"/>
              <w:rPr>
                <w:rFonts w:asciiTheme="minorHAnsi" w:hAnsiTheme="minorHAnsi" w:eastAsiaTheme="minorEastAsia" w:cstheme="minorHAnsi"/>
                <w:color w:val="000000"/>
                <w:sz w:val="18"/>
                <w:szCs w:val="18"/>
              </w:rPr>
            </w:pPr>
          </w:p>
        </w:tc>
      </w:tr>
      <w:tr w14:paraId="302C10F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noWrap/>
          </w:tcPr>
          <w:p w14:paraId="3A8DD4A4">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14</w:t>
            </w:r>
          </w:p>
        </w:tc>
        <w:tc>
          <w:tcPr>
            <w:tcW w:w="4708" w:type="dxa"/>
            <w:gridSpan w:val="7"/>
          </w:tcPr>
          <w:p w14:paraId="6E2368A6">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micro-ônibus, modelo executivo ou equivalente, não utilizado (veículo parado) por período de 24 (vinte e quatro) horas.</w:t>
            </w:r>
          </w:p>
        </w:tc>
        <w:tc>
          <w:tcPr>
            <w:tcW w:w="1246" w:type="dxa"/>
            <w:gridSpan w:val="3"/>
            <w:noWrap/>
          </w:tcPr>
          <w:p w14:paraId="5F7296AC">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noWrap/>
          </w:tcPr>
          <w:p w14:paraId="4A0B33C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noWrap/>
          </w:tcPr>
          <w:p w14:paraId="2ACD42D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R$ 567,33</w:t>
            </w:r>
          </w:p>
        </w:tc>
        <w:tc>
          <w:tcPr>
            <w:tcW w:w="1554" w:type="dxa"/>
            <w:gridSpan w:val="2"/>
            <w:noWrap/>
          </w:tcPr>
          <w:p w14:paraId="1F89EFC6">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R$ 28.366,50</w:t>
            </w:r>
          </w:p>
        </w:tc>
        <w:tc>
          <w:tcPr>
            <w:tcW w:w="411" w:type="dxa"/>
            <w:noWrap/>
          </w:tcPr>
          <w:p w14:paraId="09C04537">
            <w:pPr>
              <w:suppressAutoHyphens w:val="0"/>
              <w:jc w:val="center"/>
              <w:rPr>
                <w:rFonts w:asciiTheme="minorHAnsi" w:hAnsiTheme="minorHAnsi" w:eastAsiaTheme="minorEastAsia" w:cstheme="minorHAnsi"/>
                <w:color w:val="000000"/>
                <w:sz w:val="18"/>
                <w:szCs w:val="18"/>
              </w:rPr>
            </w:pPr>
          </w:p>
        </w:tc>
      </w:tr>
      <w:tr w14:paraId="3BAF87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shd w:val="clear" w:color="auto" w:fill="DBE5F1" w:themeFill="accent1" w:themeFillTint="33"/>
            <w:noWrap/>
          </w:tcPr>
          <w:p w14:paraId="2594BB17">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TOTAL</w:t>
            </w:r>
          </w:p>
        </w:tc>
        <w:tc>
          <w:tcPr>
            <w:tcW w:w="1246" w:type="dxa"/>
            <w:gridSpan w:val="3"/>
            <w:shd w:val="clear" w:color="auto" w:fill="DBE5F1" w:themeFill="accent1" w:themeFillTint="33"/>
            <w:noWrap/>
          </w:tcPr>
          <w:p w14:paraId="55DA1A86">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shd w:val="clear" w:color="auto" w:fill="DBE5F1" w:themeFill="accent1" w:themeFillTint="33"/>
            <w:noWrap/>
          </w:tcPr>
          <w:p w14:paraId="2B387739">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shd w:val="clear" w:color="auto" w:fill="DBE5F1" w:themeFill="accent1" w:themeFillTint="33"/>
            <w:noWrap/>
          </w:tcPr>
          <w:p w14:paraId="304298C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shd w:val="clear" w:color="auto" w:fill="DBE5F1" w:themeFill="accent1" w:themeFillTint="33"/>
            <w:noWrap/>
          </w:tcPr>
          <w:p w14:paraId="05ECDB2D">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R$ 84.166,50</w:t>
            </w:r>
          </w:p>
        </w:tc>
        <w:tc>
          <w:tcPr>
            <w:tcW w:w="411" w:type="dxa"/>
            <w:shd w:val="clear" w:color="auto" w:fill="DBE5F1" w:themeFill="accent1" w:themeFillTint="33"/>
            <w:noWrap/>
          </w:tcPr>
          <w:p w14:paraId="6AA0F3A2">
            <w:pPr>
              <w:suppressAutoHyphens w:val="0"/>
              <w:jc w:val="center"/>
              <w:rPr>
                <w:rFonts w:asciiTheme="minorHAnsi" w:hAnsiTheme="minorHAnsi" w:eastAsiaTheme="minorEastAsia" w:cstheme="minorHAnsi"/>
                <w:b/>
                <w:bCs/>
                <w:color w:val="000000"/>
                <w:sz w:val="18"/>
                <w:szCs w:val="18"/>
              </w:rPr>
            </w:pPr>
          </w:p>
        </w:tc>
      </w:tr>
      <w:tr w14:paraId="0CAE173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400" w:hRule="atLeast"/>
        </w:trPr>
        <w:tc>
          <w:tcPr>
            <w:tcW w:w="599" w:type="dxa"/>
            <w:noWrap/>
          </w:tcPr>
          <w:p w14:paraId="57DE2CC9">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15</w:t>
            </w:r>
          </w:p>
        </w:tc>
        <w:tc>
          <w:tcPr>
            <w:tcW w:w="4708" w:type="dxa"/>
            <w:gridSpan w:val="7"/>
          </w:tcPr>
          <w:p w14:paraId="0168F40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Petrópolis e/ou Nova Friburgo/RJ</w:t>
            </w:r>
            <w:r>
              <w:rPr>
                <w:rFonts w:asciiTheme="minorHAnsi" w:hAnsiTheme="minorHAnsi" w:eastAsiaTheme="minorEastAsia" w:cstheme="minorHAnsi"/>
                <w:color w:val="000000"/>
                <w:sz w:val="18"/>
                <w:szCs w:val="18"/>
              </w:rPr>
              <w:t xml:space="preserve">. Veículo tipo: Micro-ônibus executivo, com motorista, com capacidade para, no mínimo, 21 passageiros. Características adicionais: Som ambiente, sistema de microfone, ar condicionado, poltronas reclináveis em tecido, cinto de segurança para todos os passageiros. Veículo com data de fabricação não superior a 5 anos. A Licitante deverá comprovar que possui pelo menos 5 (cinco) micro-ônibus em sua frota. </w:t>
            </w:r>
          </w:p>
        </w:tc>
        <w:tc>
          <w:tcPr>
            <w:tcW w:w="1246" w:type="dxa"/>
            <w:gridSpan w:val="3"/>
            <w:noWrap/>
          </w:tcPr>
          <w:p w14:paraId="3266CF04">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5000</w:t>
            </w:r>
          </w:p>
        </w:tc>
        <w:tc>
          <w:tcPr>
            <w:tcW w:w="960" w:type="dxa"/>
            <w:gridSpan w:val="2"/>
            <w:noWrap/>
          </w:tcPr>
          <w:p w14:paraId="2D20ACD0">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noWrap/>
          </w:tcPr>
          <w:p w14:paraId="59927D2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R$ 5,58</w:t>
            </w:r>
          </w:p>
        </w:tc>
        <w:tc>
          <w:tcPr>
            <w:tcW w:w="1554" w:type="dxa"/>
            <w:gridSpan w:val="2"/>
            <w:noWrap/>
          </w:tcPr>
          <w:p w14:paraId="63D8B565">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R$ 27.900,00</w:t>
            </w:r>
          </w:p>
        </w:tc>
        <w:tc>
          <w:tcPr>
            <w:tcW w:w="411" w:type="dxa"/>
            <w:noWrap/>
          </w:tcPr>
          <w:p w14:paraId="0BB3D2E3">
            <w:pPr>
              <w:suppressAutoHyphens w:val="0"/>
              <w:jc w:val="center"/>
              <w:rPr>
                <w:rFonts w:asciiTheme="minorHAnsi" w:hAnsiTheme="minorHAnsi" w:eastAsiaTheme="minorEastAsia" w:cstheme="minorHAnsi"/>
                <w:color w:val="000000"/>
                <w:sz w:val="18"/>
                <w:szCs w:val="18"/>
              </w:rPr>
            </w:pPr>
          </w:p>
        </w:tc>
      </w:tr>
      <w:tr w14:paraId="1BF5439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shd w:val="clear" w:color="auto" w:fill="DBE5F1" w:themeFill="accent1" w:themeFillTint="33"/>
            <w:noWrap/>
          </w:tcPr>
          <w:p w14:paraId="0DBDA77F">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16</w:t>
            </w:r>
          </w:p>
        </w:tc>
        <w:tc>
          <w:tcPr>
            <w:tcW w:w="4708" w:type="dxa"/>
            <w:gridSpan w:val="7"/>
            <w:shd w:val="clear" w:color="auto" w:fill="DBE5F1" w:themeFill="accent1" w:themeFillTint="33"/>
          </w:tcPr>
          <w:p w14:paraId="3FCF790C">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ônibus tipo semi-leito turismo, modelo executivo ou equivalente, não utilizado (veículo parado) por período de 24 (vinte e quatro) horas.</w:t>
            </w:r>
          </w:p>
        </w:tc>
        <w:tc>
          <w:tcPr>
            <w:tcW w:w="1246" w:type="dxa"/>
            <w:gridSpan w:val="3"/>
            <w:shd w:val="clear" w:color="auto" w:fill="DBE5F1" w:themeFill="accent1" w:themeFillTint="33"/>
            <w:noWrap/>
          </w:tcPr>
          <w:p w14:paraId="156386E5">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shd w:val="clear" w:color="auto" w:fill="DBE5F1" w:themeFill="accent1" w:themeFillTint="33"/>
            <w:noWrap/>
          </w:tcPr>
          <w:p w14:paraId="263AC840">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shd w:val="clear" w:color="auto" w:fill="DBE5F1" w:themeFill="accent1" w:themeFillTint="33"/>
            <w:noWrap/>
          </w:tcPr>
          <w:p w14:paraId="3820F68C">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R$ 567,33</w:t>
            </w:r>
          </w:p>
        </w:tc>
        <w:tc>
          <w:tcPr>
            <w:tcW w:w="1554" w:type="dxa"/>
            <w:gridSpan w:val="2"/>
            <w:shd w:val="clear" w:color="auto" w:fill="DBE5F1" w:themeFill="accent1" w:themeFillTint="33"/>
            <w:noWrap/>
          </w:tcPr>
          <w:p w14:paraId="639F34A5">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R$ 28.366,50</w:t>
            </w:r>
          </w:p>
        </w:tc>
        <w:tc>
          <w:tcPr>
            <w:tcW w:w="411" w:type="dxa"/>
            <w:shd w:val="clear" w:color="auto" w:fill="DBE5F1" w:themeFill="accent1" w:themeFillTint="33"/>
            <w:noWrap/>
          </w:tcPr>
          <w:p w14:paraId="6DB38B56">
            <w:pPr>
              <w:suppressAutoHyphens w:val="0"/>
              <w:jc w:val="center"/>
              <w:rPr>
                <w:rFonts w:asciiTheme="minorHAnsi" w:hAnsiTheme="minorHAnsi" w:eastAsiaTheme="minorEastAsia" w:cstheme="minorHAnsi"/>
                <w:color w:val="000000"/>
                <w:sz w:val="18"/>
                <w:szCs w:val="18"/>
              </w:rPr>
            </w:pPr>
          </w:p>
        </w:tc>
      </w:tr>
      <w:tr w14:paraId="074CE29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noWrap/>
          </w:tcPr>
          <w:p w14:paraId="2B2E3672">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noWrap/>
          </w:tcPr>
          <w:p w14:paraId="26EB774D">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noWrap/>
          </w:tcPr>
          <w:p w14:paraId="324C8E2E">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noWrap/>
          </w:tcPr>
          <w:p w14:paraId="3DF73FF2">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noWrap/>
          </w:tcPr>
          <w:p w14:paraId="515CFA75">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R$ 56.266,50</w:t>
            </w:r>
          </w:p>
        </w:tc>
        <w:tc>
          <w:tcPr>
            <w:tcW w:w="411" w:type="dxa"/>
            <w:noWrap/>
          </w:tcPr>
          <w:p w14:paraId="770148A5">
            <w:pPr>
              <w:suppressAutoHyphens w:val="0"/>
              <w:jc w:val="center"/>
              <w:rPr>
                <w:rFonts w:asciiTheme="minorHAnsi" w:hAnsiTheme="minorHAnsi" w:eastAsiaTheme="minorEastAsia" w:cstheme="minorHAnsi"/>
                <w:b/>
                <w:bCs/>
                <w:color w:val="000000"/>
                <w:sz w:val="18"/>
                <w:szCs w:val="18"/>
              </w:rPr>
            </w:pPr>
          </w:p>
        </w:tc>
      </w:tr>
      <w:tr w14:paraId="4994AF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400" w:hRule="atLeast"/>
        </w:trPr>
        <w:tc>
          <w:tcPr>
            <w:tcW w:w="599" w:type="dxa"/>
            <w:shd w:val="clear" w:color="auto" w:fill="DBE5F1" w:themeFill="accent1" w:themeFillTint="33"/>
            <w:noWrap/>
          </w:tcPr>
          <w:p w14:paraId="2B9DB66A">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17</w:t>
            </w:r>
          </w:p>
        </w:tc>
        <w:tc>
          <w:tcPr>
            <w:tcW w:w="4708" w:type="dxa"/>
            <w:gridSpan w:val="7"/>
            <w:shd w:val="clear" w:color="auto" w:fill="DBE5F1" w:themeFill="accent1" w:themeFillTint="33"/>
          </w:tcPr>
          <w:p w14:paraId="5C6BC82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Contratação de Serviços de transporte rodoviário estadual e interestadual, com saída das Unidades de</w:t>
            </w:r>
            <w:r>
              <w:rPr>
                <w:rFonts w:asciiTheme="minorHAnsi" w:hAnsiTheme="minorHAnsi" w:eastAsiaTheme="minorEastAsia" w:cstheme="minorHAnsi"/>
                <w:b/>
                <w:bCs/>
                <w:color w:val="000000"/>
                <w:sz w:val="18"/>
                <w:szCs w:val="18"/>
              </w:rPr>
              <w:t xml:space="preserve"> Rio das Ostras e/ou Macaé/RJ</w:t>
            </w:r>
            <w:r>
              <w:rPr>
                <w:rFonts w:asciiTheme="minorHAnsi" w:hAnsiTheme="minorHAnsi" w:eastAsiaTheme="minorEastAsia" w:cstheme="minorHAnsi"/>
                <w:color w:val="000000"/>
                <w:sz w:val="18"/>
                <w:szCs w:val="18"/>
              </w:rPr>
              <w:t xml:space="preserve">. Veículo tipo: Micro-ônibus executivo, com motorista, com capacidade para, no mínimo, 21 passageiros. Características adicionais: Som ambiente, sistema de microfone, ar condicionado, poltronas reclináveis em tecido, cinto de segurança para todos os passageiros. Veículo com data de fabricação não superior a 5 anos. A Licitante deverá comprovar que possui pelo menos 5 (cinco) micro-ônibus em sua frota. </w:t>
            </w:r>
          </w:p>
        </w:tc>
        <w:tc>
          <w:tcPr>
            <w:tcW w:w="1246" w:type="dxa"/>
            <w:gridSpan w:val="3"/>
            <w:shd w:val="clear" w:color="auto" w:fill="DBE5F1" w:themeFill="accent1" w:themeFillTint="33"/>
            <w:noWrap/>
          </w:tcPr>
          <w:p w14:paraId="2DE9D96E">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5000</w:t>
            </w:r>
          </w:p>
        </w:tc>
        <w:tc>
          <w:tcPr>
            <w:tcW w:w="960" w:type="dxa"/>
            <w:gridSpan w:val="2"/>
            <w:shd w:val="clear" w:color="auto" w:fill="DBE5F1" w:themeFill="accent1" w:themeFillTint="33"/>
            <w:noWrap/>
          </w:tcPr>
          <w:p w14:paraId="7F472E5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shd w:val="clear" w:color="auto" w:fill="DBE5F1" w:themeFill="accent1" w:themeFillTint="33"/>
            <w:noWrap/>
          </w:tcPr>
          <w:p w14:paraId="68C8E610">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R$ 5,58</w:t>
            </w:r>
          </w:p>
        </w:tc>
        <w:tc>
          <w:tcPr>
            <w:tcW w:w="1554" w:type="dxa"/>
            <w:gridSpan w:val="2"/>
            <w:shd w:val="clear" w:color="auto" w:fill="DBE5F1" w:themeFill="accent1" w:themeFillTint="33"/>
            <w:noWrap/>
          </w:tcPr>
          <w:p w14:paraId="7E2EF1C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R$ 27.900,00</w:t>
            </w:r>
          </w:p>
        </w:tc>
        <w:tc>
          <w:tcPr>
            <w:tcW w:w="411" w:type="dxa"/>
            <w:shd w:val="clear" w:color="auto" w:fill="DBE5F1" w:themeFill="accent1" w:themeFillTint="33"/>
            <w:noWrap/>
          </w:tcPr>
          <w:p w14:paraId="69FDD301">
            <w:pPr>
              <w:suppressAutoHyphens w:val="0"/>
              <w:jc w:val="center"/>
              <w:rPr>
                <w:rFonts w:asciiTheme="minorHAnsi" w:hAnsiTheme="minorHAnsi" w:eastAsiaTheme="minorEastAsia" w:cstheme="minorHAnsi"/>
                <w:color w:val="000000"/>
                <w:sz w:val="18"/>
                <w:szCs w:val="18"/>
              </w:rPr>
            </w:pPr>
          </w:p>
        </w:tc>
      </w:tr>
      <w:tr w14:paraId="55E0BE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noWrap/>
          </w:tcPr>
          <w:p w14:paraId="6815B998">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18</w:t>
            </w:r>
          </w:p>
        </w:tc>
        <w:tc>
          <w:tcPr>
            <w:tcW w:w="4708" w:type="dxa"/>
            <w:gridSpan w:val="7"/>
          </w:tcPr>
          <w:p w14:paraId="247DE4E5">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micro-ônibus, modelo executivo ou equivalente, não utilizado (veículo parado) por período de 24 (vinte e quatro) horas.</w:t>
            </w:r>
          </w:p>
        </w:tc>
        <w:tc>
          <w:tcPr>
            <w:tcW w:w="1246" w:type="dxa"/>
            <w:gridSpan w:val="3"/>
            <w:noWrap/>
          </w:tcPr>
          <w:p w14:paraId="0CC2F585">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noWrap/>
          </w:tcPr>
          <w:p w14:paraId="2E51980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noWrap/>
          </w:tcPr>
          <w:p w14:paraId="0B412A0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R$ 567,33</w:t>
            </w:r>
          </w:p>
        </w:tc>
        <w:tc>
          <w:tcPr>
            <w:tcW w:w="1554" w:type="dxa"/>
            <w:gridSpan w:val="2"/>
            <w:noWrap/>
          </w:tcPr>
          <w:p w14:paraId="5DF6AD0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R$ 28.366,50</w:t>
            </w:r>
          </w:p>
        </w:tc>
        <w:tc>
          <w:tcPr>
            <w:tcW w:w="411" w:type="dxa"/>
            <w:noWrap/>
          </w:tcPr>
          <w:p w14:paraId="5B57E45E">
            <w:pPr>
              <w:suppressAutoHyphens w:val="0"/>
              <w:jc w:val="center"/>
              <w:rPr>
                <w:rFonts w:asciiTheme="minorHAnsi" w:hAnsiTheme="minorHAnsi" w:eastAsiaTheme="minorEastAsia" w:cstheme="minorHAnsi"/>
                <w:color w:val="000000"/>
                <w:sz w:val="18"/>
                <w:szCs w:val="18"/>
              </w:rPr>
            </w:pPr>
          </w:p>
        </w:tc>
      </w:tr>
      <w:tr w14:paraId="7CB3FE0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shd w:val="clear" w:color="auto" w:fill="DBE5F1" w:themeFill="accent1" w:themeFillTint="33"/>
            <w:noWrap/>
          </w:tcPr>
          <w:p w14:paraId="29F11C6A">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p>
        </w:tc>
        <w:tc>
          <w:tcPr>
            <w:tcW w:w="1246" w:type="dxa"/>
            <w:gridSpan w:val="3"/>
            <w:shd w:val="clear" w:color="auto" w:fill="DBE5F1" w:themeFill="accent1" w:themeFillTint="33"/>
            <w:noWrap/>
          </w:tcPr>
          <w:p w14:paraId="21DBC7D5">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 </w:t>
            </w:r>
          </w:p>
        </w:tc>
        <w:tc>
          <w:tcPr>
            <w:tcW w:w="960" w:type="dxa"/>
            <w:gridSpan w:val="2"/>
            <w:shd w:val="clear" w:color="auto" w:fill="DBE5F1" w:themeFill="accent1" w:themeFillTint="33"/>
            <w:noWrap/>
          </w:tcPr>
          <w:p w14:paraId="078DE823">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shd w:val="clear" w:color="auto" w:fill="DBE5F1" w:themeFill="accent1" w:themeFillTint="33"/>
            <w:noWrap/>
          </w:tcPr>
          <w:p w14:paraId="6A0F2B34">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shd w:val="clear" w:color="auto" w:fill="DBE5F1" w:themeFill="accent1" w:themeFillTint="33"/>
            <w:noWrap/>
          </w:tcPr>
          <w:p w14:paraId="62F95556">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R$ 56.266,50</w:t>
            </w:r>
          </w:p>
        </w:tc>
        <w:tc>
          <w:tcPr>
            <w:tcW w:w="411" w:type="dxa"/>
            <w:shd w:val="clear" w:color="auto" w:fill="DBE5F1" w:themeFill="accent1" w:themeFillTint="33"/>
            <w:noWrap/>
          </w:tcPr>
          <w:p w14:paraId="124BB038">
            <w:pPr>
              <w:suppressAutoHyphens w:val="0"/>
              <w:jc w:val="center"/>
              <w:rPr>
                <w:rFonts w:asciiTheme="minorHAnsi" w:hAnsiTheme="minorHAnsi" w:eastAsiaTheme="minorEastAsia" w:cstheme="minorHAnsi"/>
                <w:b/>
                <w:bCs/>
                <w:color w:val="000000"/>
                <w:sz w:val="18"/>
                <w:szCs w:val="18"/>
              </w:rPr>
            </w:pPr>
          </w:p>
        </w:tc>
      </w:tr>
      <w:tr w14:paraId="6B6A082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2400" w:hRule="atLeast"/>
        </w:trPr>
        <w:tc>
          <w:tcPr>
            <w:tcW w:w="599" w:type="dxa"/>
            <w:noWrap/>
          </w:tcPr>
          <w:p w14:paraId="202445E8">
            <w:pPr>
              <w:suppressAutoHyphens w:val="0"/>
              <w:jc w:val="center"/>
              <w:rPr>
                <w:rFonts w:hint="default" w:asciiTheme="minorHAnsi" w:hAnsiTheme="minorHAnsi" w:eastAsiaTheme="minorEastAsia" w:cstheme="minorHAnsi"/>
                <w:b/>
                <w:bCs/>
                <w:color w:val="000000"/>
                <w:sz w:val="18"/>
                <w:szCs w:val="18"/>
                <w:lang w:val="pt-BR"/>
              </w:rPr>
            </w:pPr>
            <w:r>
              <w:rPr>
                <w:rFonts w:asciiTheme="minorHAnsi" w:hAnsiTheme="minorHAnsi" w:eastAsiaTheme="minorEastAsia" w:cstheme="minorHAnsi"/>
                <w:b/>
                <w:bCs/>
                <w:color w:val="000000"/>
                <w:sz w:val="18"/>
                <w:szCs w:val="18"/>
              </w:rPr>
              <w:t>1</w:t>
            </w:r>
            <w:r>
              <w:rPr>
                <w:rFonts w:hint="default" w:asciiTheme="minorHAnsi" w:hAnsiTheme="minorHAnsi" w:eastAsiaTheme="minorEastAsia" w:cstheme="minorHAnsi"/>
                <w:b/>
                <w:bCs/>
                <w:color w:val="000000"/>
                <w:sz w:val="18"/>
                <w:szCs w:val="18"/>
                <w:lang w:val="pt-BR"/>
              </w:rPr>
              <w:t>9</w:t>
            </w:r>
          </w:p>
        </w:tc>
        <w:tc>
          <w:tcPr>
            <w:tcW w:w="4708" w:type="dxa"/>
            <w:gridSpan w:val="7"/>
          </w:tcPr>
          <w:p w14:paraId="2A9A8B2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xml:space="preserve">Contratação de Serviços de transporte rodoviário estadual e interestadual, com saída das Unidades de </w:t>
            </w:r>
            <w:r>
              <w:rPr>
                <w:rFonts w:asciiTheme="minorHAnsi" w:hAnsiTheme="minorHAnsi" w:eastAsiaTheme="minorEastAsia" w:cstheme="minorHAnsi"/>
                <w:b/>
                <w:bCs/>
                <w:color w:val="000000"/>
                <w:sz w:val="18"/>
                <w:szCs w:val="18"/>
              </w:rPr>
              <w:t>Campos dos Goytacazes e/ou Santo Antônio de Pádua/RJ</w:t>
            </w:r>
            <w:r>
              <w:rPr>
                <w:rFonts w:asciiTheme="minorHAnsi" w:hAnsiTheme="minorHAnsi" w:eastAsiaTheme="minorEastAsia" w:cstheme="minorHAnsi"/>
                <w:color w:val="000000"/>
                <w:sz w:val="18"/>
                <w:szCs w:val="18"/>
              </w:rPr>
              <w:t xml:space="preserve">. Veículo tipo: Micro-ônibus executivo, com motorista, com capacidade para, no mínimo, 21 passageiros. Características adicionais: Som ambiente, sistema de microfone, ar condicionado, poltronas reclináveis em tecido, cinto de segurança para todos os passageiros. Veículo com data de fabricação não superior a 5 anos. A Licitante deverá comprovar que possui pelo menos 5 (cinco) micro-ônibus em sua frota. </w:t>
            </w:r>
          </w:p>
        </w:tc>
        <w:tc>
          <w:tcPr>
            <w:tcW w:w="1246" w:type="dxa"/>
            <w:gridSpan w:val="3"/>
            <w:noWrap/>
          </w:tcPr>
          <w:p w14:paraId="05D94804">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8000</w:t>
            </w:r>
          </w:p>
        </w:tc>
        <w:tc>
          <w:tcPr>
            <w:tcW w:w="960" w:type="dxa"/>
            <w:gridSpan w:val="2"/>
            <w:noWrap/>
          </w:tcPr>
          <w:p w14:paraId="7BAC63B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KM</w:t>
            </w:r>
          </w:p>
        </w:tc>
        <w:tc>
          <w:tcPr>
            <w:tcW w:w="1120" w:type="dxa"/>
            <w:gridSpan w:val="2"/>
            <w:noWrap/>
          </w:tcPr>
          <w:p w14:paraId="1F797DE1">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R$ 5,58</w:t>
            </w:r>
          </w:p>
        </w:tc>
        <w:tc>
          <w:tcPr>
            <w:tcW w:w="1554" w:type="dxa"/>
            <w:gridSpan w:val="2"/>
            <w:noWrap/>
          </w:tcPr>
          <w:p w14:paraId="12DEEEE4">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R$ 44.640,00</w:t>
            </w:r>
          </w:p>
        </w:tc>
        <w:tc>
          <w:tcPr>
            <w:tcW w:w="411" w:type="dxa"/>
            <w:noWrap/>
          </w:tcPr>
          <w:p w14:paraId="0D7F659E">
            <w:pPr>
              <w:suppressAutoHyphens w:val="0"/>
              <w:jc w:val="center"/>
              <w:rPr>
                <w:rFonts w:asciiTheme="minorHAnsi" w:hAnsiTheme="minorHAnsi" w:eastAsiaTheme="minorEastAsia" w:cstheme="minorHAnsi"/>
                <w:color w:val="000000"/>
                <w:sz w:val="18"/>
                <w:szCs w:val="18"/>
              </w:rPr>
            </w:pPr>
          </w:p>
        </w:tc>
      </w:tr>
      <w:tr w14:paraId="728B307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900" w:hRule="atLeast"/>
        </w:trPr>
        <w:tc>
          <w:tcPr>
            <w:tcW w:w="599" w:type="dxa"/>
            <w:shd w:val="clear" w:color="auto" w:fill="DBE5F1" w:themeFill="accent1" w:themeFillTint="33"/>
            <w:noWrap/>
          </w:tcPr>
          <w:p w14:paraId="5DC6E0DC">
            <w:pPr>
              <w:suppressAutoHyphens w:val="0"/>
              <w:jc w:val="center"/>
              <w:rPr>
                <w:rFonts w:hint="default" w:asciiTheme="minorHAnsi" w:hAnsiTheme="minorHAnsi" w:eastAsiaTheme="minorEastAsia" w:cstheme="minorHAnsi"/>
                <w:b/>
                <w:bCs/>
                <w:color w:val="000000"/>
                <w:sz w:val="18"/>
                <w:szCs w:val="18"/>
                <w:lang w:val="pt-BR"/>
              </w:rPr>
            </w:pPr>
            <w:r>
              <w:rPr>
                <w:rFonts w:hint="default" w:asciiTheme="minorHAnsi" w:hAnsiTheme="minorHAnsi" w:eastAsiaTheme="minorEastAsia" w:cstheme="minorHAnsi"/>
                <w:b/>
                <w:bCs/>
                <w:color w:val="000000"/>
                <w:sz w:val="18"/>
                <w:szCs w:val="18"/>
                <w:lang w:val="pt-BR"/>
              </w:rPr>
              <w:t>20</w:t>
            </w:r>
          </w:p>
        </w:tc>
        <w:tc>
          <w:tcPr>
            <w:tcW w:w="4708" w:type="dxa"/>
            <w:gridSpan w:val="7"/>
            <w:shd w:val="clear" w:color="auto" w:fill="DBE5F1" w:themeFill="accent1" w:themeFillTint="33"/>
          </w:tcPr>
          <w:p w14:paraId="31AD2FF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 de permanência de micro-ônibus, modelo executivo ou equivalente, não utilizado (veículo parado) por período de 24 (vinte e quatro) horas.</w:t>
            </w:r>
          </w:p>
        </w:tc>
        <w:tc>
          <w:tcPr>
            <w:tcW w:w="1246" w:type="dxa"/>
            <w:gridSpan w:val="3"/>
            <w:shd w:val="clear" w:color="auto" w:fill="DBE5F1" w:themeFill="accent1" w:themeFillTint="33"/>
            <w:noWrap/>
          </w:tcPr>
          <w:p w14:paraId="5C15DA9D">
            <w:pPr>
              <w:suppressAutoHyphens w:val="0"/>
              <w:jc w:val="center"/>
              <w:rPr>
                <w:rFonts w:asciiTheme="minorHAnsi" w:hAnsiTheme="minorHAnsi" w:eastAsiaTheme="minorEastAsia" w:cstheme="minorHAnsi"/>
                <w:color w:val="FF0000"/>
                <w:sz w:val="18"/>
                <w:szCs w:val="18"/>
              </w:rPr>
            </w:pPr>
            <w:r>
              <w:rPr>
                <w:rFonts w:asciiTheme="minorHAnsi" w:hAnsiTheme="minorHAnsi" w:eastAsiaTheme="minorEastAsia" w:cstheme="minorHAnsi"/>
                <w:color w:val="FF0000"/>
                <w:sz w:val="18"/>
                <w:szCs w:val="18"/>
              </w:rPr>
              <w:t>50</w:t>
            </w:r>
          </w:p>
        </w:tc>
        <w:tc>
          <w:tcPr>
            <w:tcW w:w="960" w:type="dxa"/>
            <w:gridSpan w:val="2"/>
            <w:shd w:val="clear" w:color="auto" w:fill="DBE5F1" w:themeFill="accent1" w:themeFillTint="33"/>
            <w:noWrap/>
          </w:tcPr>
          <w:p w14:paraId="4D70A89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DIÁRIA</w:t>
            </w:r>
          </w:p>
        </w:tc>
        <w:tc>
          <w:tcPr>
            <w:tcW w:w="1120" w:type="dxa"/>
            <w:gridSpan w:val="2"/>
            <w:shd w:val="clear" w:color="auto" w:fill="DBE5F1" w:themeFill="accent1" w:themeFillTint="33"/>
            <w:noWrap/>
          </w:tcPr>
          <w:p w14:paraId="7601078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R$ 567,33</w:t>
            </w:r>
          </w:p>
        </w:tc>
        <w:tc>
          <w:tcPr>
            <w:tcW w:w="1554" w:type="dxa"/>
            <w:gridSpan w:val="2"/>
            <w:shd w:val="clear" w:color="auto" w:fill="DBE5F1" w:themeFill="accent1" w:themeFillTint="33"/>
            <w:noWrap/>
          </w:tcPr>
          <w:p w14:paraId="208B330B">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R$ 28.366,50</w:t>
            </w:r>
          </w:p>
        </w:tc>
        <w:tc>
          <w:tcPr>
            <w:tcW w:w="411" w:type="dxa"/>
            <w:shd w:val="clear" w:color="auto" w:fill="DBE5F1" w:themeFill="accent1" w:themeFillTint="33"/>
            <w:noWrap/>
          </w:tcPr>
          <w:p w14:paraId="1731F4DB">
            <w:pPr>
              <w:suppressAutoHyphens w:val="0"/>
              <w:jc w:val="center"/>
              <w:rPr>
                <w:rFonts w:asciiTheme="minorHAnsi" w:hAnsiTheme="minorHAnsi" w:eastAsiaTheme="minorEastAsia" w:cstheme="minorHAnsi"/>
                <w:color w:val="000000"/>
                <w:sz w:val="18"/>
                <w:szCs w:val="18"/>
              </w:rPr>
            </w:pPr>
          </w:p>
        </w:tc>
      </w:tr>
      <w:tr w14:paraId="75FA746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15" w:hRule="atLeast"/>
        </w:trPr>
        <w:tc>
          <w:tcPr>
            <w:tcW w:w="5307" w:type="dxa"/>
            <w:gridSpan w:val="8"/>
            <w:noWrap/>
          </w:tcPr>
          <w:p w14:paraId="60CEA323">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xml:space="preserve">VALOR TOTAL </w:t>
            </w:r>
            <w:bookmarkStart w:id="8" w:name="_GoBack"/>
            <w:bookmarkEnd w:id="8"/>
          </w:p>
        </w:tc>
        <w:tc>
          <w:tcPr>
            <w:tcW w:w="1246" w:type="dxa"/>
            <w:gridSpan w:val="3"/>
            <w:noWrap/>
          </w:tcPr>
          <w:p w14:paraId="72555D30">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960" w:type="dxa"/>
            <w:gridSpan w:val="2"/>
            <w:noWrap/>
          </w:tcPr>
          <w:p w14:paraId="4FE4F4B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120" w:type="dxa"/>
            <w:gridSpan w:val="2"/>
            <w:noWrap/>
          </w:tcPr>
          <w:p w14:paraId="1D8D2178">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 </w:t>
            </w:r>
          </w:p>
        </w:tc>
        <w:tc>
          <w:tcPr>
            <w:tcW w:w="1554" w:type="dxa"/>
            <w:gridSpan w:val="2"/>
            <w:noWrap/>
          </w:tcPr>
          <w:p w14:paraId="4A49BE47">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R$ 73.006,50</w:t>
            </w:r>
          </w:p>
        </w:tc>
        <w:tc>
          <w:tcPr>
            <w:tcW w:w="411" w:type="dxa"/>
            <w:noWrap/>
          </w:tcPr>
          <w:p w14:paraId="0A1580CA">
            <w:pPr>
              <w:suppressAutoHyphens w:val="0"/>
              <w:jc w:val="center"/>
              <w:rPr>
                <w:rFonts w:asciiTheme="minorHAnsi" w:hAnsiTheme="minorHAnsi" w:eastAsiaTheme="minorEastAsia" w:cstheme="minorHAnsi"/>
                <w:b/>
                <w:bCs/>
                <w:color w:val="000000"/>
                <w:sz w:val="18"/>
                <w:szCs w:val="18"/>
              </w:rPr>
            </w:pPr>
          </w:p>
        </w:tc>
      </w:tr>
      <w:tr w14:paraId="532FD7A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0"/>
          <w:wAfter w:w="4882" w:type="dxa"/>
          <w:trHeight w:val="315" w:hRule="atLeast"/>
        </w:trPr>
        <w:tc>
          <w:tcPr>
            <w:tcW w:w="1246" w:type="dxa"/>
            <w:gridSpan w:val="3"/>
            <w:shd w:val="clear" w:color="auto" w:fill="DBE5F1" w:themeFill="accent1" w:themeFillTint="33"/>
            <w:noWrap/>
          </w:tcPr>
          <w:p w14:paraId="2451C93A">
            <w:pPr>
              <w:suppressAutoHyphens w:val="0"/>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w:t>
            </w:r>
          </w:p>
        </w:tc>
        <w:tc>
          <w:tcPr>
            <w:tcW w:w="960" w:type="dxa"/>
            <w:shd w:val="clear" w:color="auto" w:fill="DBE5F1" w:themeFill="accent1" w:themeFillTint="33"/>
            <w:noWrap/>
          </w:tcPr>
          <w:p w14:paraId="70A17622">
            <w:pPr>
              <w:suppressAutoHyphens w:val="0"/>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w:t>
            </w:r>
          </w:p>
        </w:tc>
        <w:tc>
          <w:tcPr>
            <w:tcW w:w="1120" w:type="dxa"/>
            <w:shd w:val="clear" w:color="auto" w:fill="DBE5F1" w:themeFill="accent1" w:themeFillTint="33"/>
            <w:noWrap/>
          </w:tcPr>
          <w:p w14:paraId="7D3DDBCD">
            <w:pPr>
              <w:suppressAutoHyphens w:val="0"/>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 </w:t>
            </w:r>
          </w:p>
        </w:tc>
        <w:tc>
          <w:tcPr>
            <w:tcW w:w="1413" w:type="dxa"/>
            <w:gridSpan w:val="2"/>
            <w:shd w:val="clear" w:color="auto" w:fill="DBE5F1" w:themeFill="accent1" w:themeFillTint="33"/>
            <w:noWrap/>
          </w:tcPr>
          <w:p w14:paraId="49264594">
            <w:pPr>
              <w:suppressAutoHyphens w:val="0"/>
              <w:jc w:val="right"/>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R$ 409.672,50</w:t>
            </w:r>
          </w:p>
        </w:tc>
        <w:tc>
          <w:tcPr>
            <w:tcW w:w="1037" w:type="dxa"/>
            <w:gridSpan w:val="2"/>
            <w:shd w:val="clear" w:color="auto" w:fill="DBE5F1" w:themeFill="accent1" w:themeFillTint="33"/>
            <w:noWrap/>
          </w:tcPr>
          <w:p w14:paraId="5C480D37">
            <w:pPr>
              <w:suppressAutoHyphens w:val="0"/>
              <w:jc w:val="right"/>
              <w:rPr>
                <w:rFonts w:asciiTheme="minorHAnsi" w:hAnsiTheme="minorHAnsi" w:eastAsiaTheme="minorEastAsia" w:cstheme="minorHAnsi"/>
                <w:b/>
                <w:bCs/>
                <w:color w:val="000000"/>
                <w:sz w:val="18"/>
                <w:szCs w:val="18"/>
              </w:rPr>
            </w:pPr>
          </w:p>
        </w:tc>
      </w:tr>
      <w:tr w14:paraId="4DF4583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00" w:hRule="atLeast"/>
        </w:trPr>
        <w:tc>
          <w:tcPr>
            <w:tcW w:w="599" w:type="dxa"/>
            <w:noWrap/>
          </w:tcPr>
          <w:p w14:paraId="6D706E31">
            <w:pPr>
              <w:suppressAutoHyphens w:val="0"/>
              <w:jc w:val="center"/>
              <w:rPr>
                <w:rFonts w:asciiTheme="minorHAnsi" w:hAnsiTheme="minorHAnsi" w:eastAsiaTheme="minorEastAsia" w:cstheme="minorHAnsi"/>
                <w:b/>
                <w:bCs/>
                <w:sz w:val="18"/>
                <w:szCs w:val="18"/>
              </w:rPr>
            </w:pPr>
          </w:p>
        </w:tc>
        <w:tc>
          <w:tcPr>
            <w:tcW w:w="4708" w:type="dxa"/>
            <w:gridSpan w:val="7"/>
            <w:noWrap/>
          </w:tcPr>
          <w:p w14:paraId="0D402FCF">
            <w:pPr>
              <w:suppressAutoHyphens w:val="0"/>
              <w:jc w:val="center"/>
              <w:rPr>
                <w:rFonts w:asciiTheme="minorHAnsi" w:hAnsiTheme="minorHAnsi" w:eastAsiaTheme="minorEastAsia" w:cstheme="minorHAnsi"/>
                <w:sz w:val="18"/>
                <w:szCs w:val="18"/>
              </w:rPr>
            </w:pPr>
          </w:p>
        </w:tc>
        <w:tc>
          <w:tcPr>
            <w:tcW w:w="1246" w:type="dxa"/>
            <w:gridSpan w:val="3"/>
            <w:noWrap/>
          </w:tcPr>
          <w:p w14:paraId="7276E227">
            <w:pPr>
              <w:suppressAutoHyphens w:val="0"/>
              <w:jc w:val="center"/>
              <w:rPr>
                <w:rFonts w:asciiTheme="minorHAnsi" w:hAnsiTheme="minorHAnsi" w:eastAsiaTheme="minorEastAsia" w:cstheme="minorHAnsi"/>
                <w:sz w:val="18"/>
                <w:szCs w:val="18"/>
              </w:rPr>
            </w:pPr>
          </w:p>
        </w:tc>
        <w:tc>
          <w:tcPr>
            <w:tcW w:w="960" w:type="dxa"/>
            <w:gridSpan w:val="2"/>
            <w:noWrap/>
          </w:tcPr>
          <w:p w14:paraId="55CED6B9">
            <w:pPr>
              <w:suppressAutoHyphens w:val="0"/>
              <w:jc w:val="center"/>
              <w:rPr>
                <w:rFonts w:asciiTheme="minorHAnsi" w:hAnsiTheme="minorHAnsi" w:eastAsiaTheme="minorEastAsia" w:cstheme="minorHAnsi"/>
                <w:sz w:val="18"/>
                <w:szCs w:val="18"/>
              </w:rPr>
            </w:pPr>
          </w:p>
        </w:tc>
        <w:tc>
          <w:tcPr>
            <w:tcW w:w="1120" w:type="dxa"/>
            <w:gridSpan w:val="2"/>
            <w:noWrap/>
          </w:tcPr>
          <w:p w14:paraId="7B10480D">
            <w:pPr>
              <w:suppressAutoHyphens w:val="0"/>
              <w:jc w:val="center"/>
              <w:rPr>
                <w:rFonts w:asciiTheme="minorHAnsi" w:hAnsiTheme="minorHAnsi" w:eastAsiaTheme="minorEastAsia" w:cstheme="minorHAnsi"/>
                <w:sz w:val="18"/>
                <w:szCs w:val="18"/>
              </w:rPr>
            </w:pPr>
          </w:p>
        </w:tc>
        <w:tc>
          <w:tcPr>
            <w:tcW w:w="1554" w:type="dxa"/>
            <w:gridSpan w:val="2"/>
            <w:noWrap/>
          </w:tcPr>
          <w:p w14:paraId="3AA91A8D">
            <w:pPr>
              <w:suppressAutoHyphens w:val="0"/>
              <w:jc w:val="center"/>
              <w:rPr>
                <w:rFonts w:asciiTheme="minorHAnsi" w:hAnsiTheme="minorHAnsi" w:eastAsiaTheme="minorEastAsia" w:cstheme="minorHAnsi"/>
                <w:sz w:val="18"/>
                <w:szCs w:val="18"/>
              </w:rPr>
            </w:pPr>
          </w:p>
        </w:tc>
        <w:tc>
          <w:tcPr>
            <w:tcW w:w="411" w:type="dxa"/>
            <w:noWrap/>
          </w:tcPr>
          <w:p w14:paraId="046C6892">
            <w:pPr>
              <w:suppressAutoHyphens w:val="0"/>
              <w:jc w:val="center"/>
              <w:rPr>
                <w:rFonts w:asciiTheme="minorHAnsi" w:hAnsiTheme="minorHAnsi" w:eastAsiaTheme="minorEastAsia" w:cstheme="minorHAnsi"/>
                <w:sz w:val="18"/>
                <w:szCs w:val="18"/>
              </w:rPr>
            </w:pPr>
          </w:p>
        </w:tc>
      </w:tr>
      <w:tr w14:paraId="65EA508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00" w:hRule="atLeast"/>
        </w:trPr>
        <w:tc>
          <w:tcPr>
            <w:tcW w:w="599" w:type="dxa"/>
            <w:shd w:val="clear" w:color="auto" w:fill="DBE5F1" w:themeFill="accent1" w:themeFillTint="33"/>
            <w:noWrap/>
          </w:tcPr>
          <w:p w14:paraId="31EA2CFF">
            <w:pPr>
              <w:suppressAutoHyphens w:val="0"/>
              <w:jc w:val="center"/>
              <w:rPr>
                <w:rFonts w:asciiTheme="minorHAnsi" w:hAnsiTheme="minorHAnsi" w:eastAsiaTheme="minorEastAsia" w:cstheme="minorHAnsi"/>
                <w:b/>
                <w:bCs/>
                <w:sz w:val="18"/>
                <w:szCs w:val="18"/>
              </w:rPr>
            </w:pPr>
          </w:p>
        </w:tc>
        <w:tc>
          <w:tcPr>
            <w:tcW w:w="4708" w:type="dxa"/>
            <w:gridSpan w:val="7"/>
            <w:shd w:val="clear" w:color="auto" w:fill="DBE5F1" w:themeFill="accent1" w:themeFillTint="33"/>
            <w:noWrap/>
          </w:tcPr>
          <w:p w14:paraId="7FCD10BE">
            <w:pPr>
              <w:suppressAutoHyphens w:val="0"/>
              <w:jc w:val="center"/>
              <w:rPr>
                <w:rFonts w:asciiTheme="minorHAnsi" w:hAnsiTheme="minorHAnsi" w:eastAsiaTheme="minorEastAsia" w:cstheme="minorHAnsi"/>
                <w:sz w:val="18"/>
                <w:szCs w:val="18"/>
              </w:rPr>
            </w:pPr>
          </w:p>
        </w:tc>
        <w:tc>
          <w:tcPr>
            <w:tcW w:w="1246" w:type="dxa"/>
            <w:gridSpan w:val="3"/>
            <w:shd w:val="clear" w:color="auto" w:fill="DBE5F1" w:themeFill="accent1" w:themeFillTint="33"/>
            <w:noWrap/>
          </w:tcPr>
          <w:p w14:paraId="79084E9E">
            <w:pPr>
              <w:suppressAutoHyphens w:val="0"/>
              <w:jc w:val="center"/>
              <w:rPr>
                <w:rFonts w:asciiTheme="minorHAnsi" w:hAnsiTheme="minorHAnsi" w:eastAsiaTheme="minorEastAsia" w:cstheme="minorHAnsi"/>
                <w:sz w:val="18"/>
                <w:szCs w:val="18"/>
              </w:rPr>
            </w:pPr>
          </w:p>
        </w:tc>
        <w:tc>
          <w:tcPr>
            <w:tcW w:w="960" w:type="dxa"/>
            <w:gridSpan w:val="2"/>
            <w:shd w:val="clear" w:color="auto" w:fill="DBE5F1" w:themeFill="accent1" w:themeFillTint="33"/>
            <w:noWrap/>
          </w:tcPr>
          <w:p w14:paraId="4EBCFE81">
            <w:pPr>
              <w:suppressAutoHyphens w:val="0"/>
              <w:jc w:val="center"/>
              <w:rPr>
                <w:rFonts w:asciiTheme="minorHAnsi" w:hAnsiTheme="minorHAnsi" w:eastAsiaTheme="minorEastAsia" w:cstheme="minorHAnsi"/>
                <w:sz w:val="18"/>
                <w:szCs w:val="18"/>
              </w:rPr>
            </w:pPr>
          </w:p>
        </w:tc>
        <w:tc>
          <w:tcPr>
            <w:tcW w:w="1120" w:type="dxa"/>
            <w:gridSpan w:val="2"/>
            <w:shd w:val="clear" w:color="auto" w:fill="DBE5F1" w:themeFill="accent1" w:themeFillTint="33"/>
            <w:noWrap/>
          </w:tcPr>
          <w:p w14:paraId="437C857D">
            <w:pPr>
              <w:suppressAutoHyphens w:val="0"/>
              <w:jc w:val="center"/>
              <w:rPr>
                <w:rFonts w:asciiTheme="minorHAnsi" w:hAnsiTheme="minorHAnsi" w:eastAsiaTheme="minorEastAsia" w:cstheme="minorHAnsi"/>
                <w:sz w:val="18"/>
                <w:szCs w:val="18"/>
              </w:rPr>
            </w:pPr>
          </w:p>
        </w:tc>
        <w:tc>
          <w:tcPr>
            <w:tcW w:w="1554" w:type="dxa"/>
            <w:gridSpan w:val="2"/>
            <w:shd w:val="clear" w:color="auto" w:fill="DBE5F1" w:themeFill="accent1" w:themeFillTint="33"/>
            <w:noWrap/>
          </w:tcPr>
          <w:p w14:paraId="1B19D219">
            <w:pPr>
              <w:suppressAutoHyphens w:val="0"/>
              <w:jc w:val="center"/>
              <w:rPr>
                <w:rFonts w:asciiTheme="minorHAnsi" w:hAnsiTheme="minorHAnsi" w:eastAsiaTheme="minorEastAsia" w:cstheme="minorHAnsi"/>
                <w:sz w:val="18"/>
                <w:szCs w:val="18"/>
              </w:rPr>
            </w:pPr>
          </w:p>
        </w:tc>
        <w:tc>
          <w:tcPr>
            <w:tcW w:w="411" w:type="dxa"/>
            <w:shd w:val="clear" w:color="auto" w:fill="DBE5F1" w:themeFill="accent1" w:themeFillTint="33"/>
            <w:noWrap/>
          </w:tcPr>
          <w:p w14:paraId="489DB9B6">
            <w:pPr>
              <w:suppressAutoHyphens w:val="0"/>
              <w:jc w:val="center"/>
              <w:rPr>
                <w:rFonts w:asciiTheme="minorHAnsi" w:hAnsiTheme="minorHAnsi" w:eastAsiaTheme="minorEastAsia" w:cstheme="minorHAnsi"/>
                <w:sz w:val="18"/>
                <w:szCs w:val="18"/>
              </w:rPr>
            </w:pPr>
          </w:p>
        </w:tc>
      </w:tr>
      <w:tr w14:paraId="54DCF46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60" w:type="dxa"/>
          <w:trHeight w:val="390" w:hRule="atLeast"/>
        </w:trPr>
        <w:tc>
          <w:tcPr>
            <w:tcW w:w="599" w:type="dxa"/>
            <w:noWrap/>
          </w:tcPr>
          <w:p w14:paraId="6920744E">
            <w:pPr>
              <w:suppressAutoHyphens w:val="0"/>
              <w:jc w:val="center"/>
              <w:rPr>
                <w:rFonts w:asciiTheme="minorHAnsi" w:hAnsiTheme="minorHAnsi" w:eastAsiaTheme="minorEastAsia" w:cstheme="minorHAnsi"/>
                <w:b/>
                <w:bCs/>
                <w:sz w:val="18"/>
                <w:szCs w:val="18"/>
              </w:rPr>
            </w:pPr>
          </w:p>
        </w:tc>
        <w:tc>
          <w:tcPr>
            <w:tcW w:w="4708" w:type="dxa"/>
            <w:gridSpan w:val="7"/>
            <w:noWrap/>
          </w:tcPr>
          <w:p w14:paraId="1D1ABAB1">
            <w:pPr>
              <w:suppressAutoHyphens w:val="0"/>
              <w:jc w:val="center"/>
              <w:rPr>
                <w:rFonts w:asciiTheme="minorHAnsi" w:hAnsiTheme="minorHAnsi" w:eastAsiaTheme="minorEastAsia" w:cstheme="minorHAnsi"/>
                <w:sz w:val="18"/>
                <w:szCs w:val="18"/>
              </w:rPr>
            </w:pPr>
          </w:p>
        </w:tc>
        <w:tc>
          <w:tcPr>
            <w:tcW w:w="1246" w:type="dxa"/>
            <w:gridSpan w:val="3"/>
            <w:noWrap/>
          </w:tcPr>
          <w:p w14:paraId="2578D06D">
            <w:pPr>
              <w:suppressAutoHyphens w:val="0"/>
              <w:jc w:val="center"/>
              <w:rPr>
                <w:rFonts w:asciiTheme="minorHAnsi" w:hAnsiTheme="minorHAnsi" w:eastAsiaTheme="minorEastAsia" w:cstheme="minorHAnsi"/>
                <w:sz w:val="18"/>
                <w:szCs w:val="18"/>
              </w:rPr>
            </w:pPr>
          </w:p>
        </w:tc>
        <w:tc>
          <w:tcPr>
            <w:tcW w:w="960" w:type="dxa"/>
            <w:gridSpan w:val="2"/>
            <w:noWrap/>
          </w:tcPr>
          <w:p w14:paraId="26E09AF3">
            <w:pPr>
              <w:suppressAutoHyphens w:val="0"/>
              <w:jc w:val="center"/>
              <w:rPr>
                <w:rFonts w:asciiTheme="minorHAnsi" w:hAnsiTheme="minorHAnsi" w:eastAsiaTheme="minorEastAsia" w:cstheme="minorHAnsi"/>
                <w:sz w:val="18"/>
                <w:szCs w:val="18"/>
              </w:rPr>
            </w:pPr>
          </w:p>
        </w:tc>
        <w:tc>
          <w:tcPr>
            <w:tcW w:w="1120" w:type="dxa"/>
            <w:gridSpan w:val="2"/>
            <w:noWrap/>
          </w:tcPr>
          <w:p w14:paraId="11A51C58">
            <w:pPr>
              <w:suppressAutoHyphens w:val="0"/>
              <w:jc w:val="center"/>
              <w:rPr>
                <w:rFonts w:asciiTheme="minorHAnsi" w:hAnsiTheme="minorHAnsi" w:eastAsiaTheme="minorEastAsia" w:cstheme="minorHAnsi"/>
                <w:sz w:val="18"/>
                <w:szCs w:val="18"/>
              </w:rPr>
            </w:pPr>
          </w:p>
        </w:tc>
        <w:tc>
          <w:tcPr>
            <w:tcW w:w="1554" w:type="dxa"/>
            <w:gridSpan w:val="2"/>
            <w:noWrap/>
          </w:tcPr>
          <w:p w14:paraId="063D1B10">
            <w:pPr>
              <w:suppressAutoHyphens w:val="0"/>
              <w:jc w:val="center"/>
              <w:rPr>
                <w:rFonts w:asciiTheme="minorHAnsi" w:hAnsiTheme="minorHAnsi" w:eastAsiaTheme="minorEastAsia" w:cstheme="minorHAnsi"/>
                <w:sz w:val="18"/>
                <w:szCs w:val="18"/>
              </w:rPr>
            </w:pPr>
          </w:p>
        </w:tc>
        <w:tc>
          <w:tcPr>
            <w:tcW w:w="411" w:type="dxa"/>
            <w:noWrap/>
          </w:tcPr>
          <w:p w14:paraId="7143E60A">
            <w:pPr>
              <w:suppressAutoHyphens w:val="0"/>
              <w:jc w:val="center"/>
              <w:rPr>
                <w:rFonts w:asciiTheme="minorHAnsi" w:hAnsiTheme="minorHAnsi" w:eastAsiaTheme="minorEastAsia" w:cstheme="minorHAnsi"/>
                <w:sz w:val="18"/>
                <w:szCs w:val="18"/>
              </w:rPr>
            </w:pPr>
          </w:p>
        </w:tc>
      </w:tr>
      <w:tr w14:paraId="52955D0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15" w:hRule="atLeast"/>
        </w:trPr>
        <w:tc>
          <w:tcPr>
            <w:tcW w:w="4702" w:type="dxa"/>
            <w:gridSpan w:val="6"/>
            <w:shd w:val="clear" w:color="auto" w:fill="DBE5F1" w:themeFill="accent1" w:themeFillTint="33"/>
            <w:noWrap/>
          </w:tcPr>
          <w:p w14:paraId="3B9A2842">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DESCRIÇÃO</w:t>
            </w:r>
          </w:p>
        </w:tc>
        <w:tc>
          <w:tcPr>
            <w:tcW w:w="1252" w:type="dxa"/>
            <w:gridSpan w:val="4"/>
            <w:shd w:val="clear" w:color="auto" w:fill="DBE5F1" w:themeFill="accent1" w:themeFillTint="33"/>
          </w:tcPr>
          <w:p w14:paraId="24072EF7">
            <w:pPr>
              <w:suppressAutoHyphens w:val="0"/>
              <w:jc w:val="center"/>
              <w:rPr>
                <w:rFonts w:asciiTheme="minorHAnsi" w:hAnsiTheme="minorHAnsi" w:eastAsiaTheme="minorEastAsia" w:cstheme="minorHAnsi"/>
                <w:b/>
                <w:bCs/>
                <w:color w:val="FF0000"/>
                <w:sz w:val="18"/>
                <w:szCs w:val="18"/>
              </w:rPr>
            </w:pPr>
            <w:r>
              <w:rPr>
                <w:rFonts w:asciiTheme="minorHAnsi" w:hAnsiTheme="minorHAnsi" w:eastAsiaTheme="minorEastAsia" w:cstheme="minorHAnsi"/>
                <w:b/>
                <w:bCs/>
                <w:color w:val="FF0000"/>
                <w:sz w:val="18"/>
                <w:szCs w:val="18"/>
              </w:rPr>
              <w:t>QUANTIDADE DE VEÍCULOS</w:t>
            </w:r>
          </w:p>
        </w:tc>
        <w:tc>
          <w:tcPr>
            <w:tcW w:w="960" w:type="dxa"/>
            <w:gridSpan w:val="2"/>
            <w:shd w:val="clear" w:color="auto" w:fill="DBE5F1" w:themeFill="accent1" w:themeFillTint="33"/>
            <w:noWrap/>
          </w:tcPr>
          <w:p w14:paraId="42A17C0B">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UNIDADE</w:t>
            </w:r>
          </w:p>
        </w:tc>
        <w:tc>
          <w:tcPr>
            <w:tcW w:w="1120" w:type="dxa"/>
            <w:gridSpan w:val="2"/>
            <w:shd w:val="clear" w:color="auto" w:fill="DBE5F1" w:themeFill="accent1" w:themeFillTint="33"/>
          </w:tcPr>
          <w:p w14:paraId="48208252">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UNITÁRIO</w:t>
            </w:r>
          </w:p>
        </w:tc>
        <w:tc>
          <w:tcPr>
            <w:tcW w:w="1358" w:type="dxa"/>
            <w:gridSpan w:val="2"/>
            <w:shd w:val="clear" w:color="auto" w:fill="DBE5F1" w:themeFill="accent1" w:themeFillTint="33"/>
          </w:tcPr>
          <w:p w14:paraId="223452D7">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MENSAL</w:t>
            </w:r>
          </w:p>
        </w:tc>
        <w:tc>
          <w:tcPr>
            <w:tcW w:w="1266" w:type="dxa"/>
            <w:gridSpan w:val="3"/>
            <w:shd w:val="clear" w:color="auto" w:fill="DBE5F1" w:themeFill="accent1" w:themeFillTint="33"/>
          </w:tcPr>
          <w:p w14:paraId="4C5ACDC8">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VALOR ANUAL</w:t>
            </w:r>
          </w:p>
        </w:tc>
      </w:tr>
      <w:tr w14:paraId="4D64E91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700" w:hRule="atLeast"/>
        </w:trPr>
        <w:tc>
          <w:tcPr>
            <w:tcW w:w="4702" w:type="dxa"/>
            <w:gridSpan w:val="6"/>
          </w:tcPr>
          <w:p w14:paraId="471EBA8C">
            <w:pPr>
              <w:suppressAutoHyphens w:val="0"/>
              <w:jc w:val="center"/>
              <w:rPr>
                <w:rFonts w:asciiTheme="minorHAnsi" w:hAnsiTheme="minorHAnsi" w:eastAsiaTheme="minorEastAsia" w:cstheme="minorHAnsi"/>
                <w:b/>
                <w:bCs/>
                <w:color w:val="000000"/>
                <w:sz w:val="18"/>
                <w:szCs w:val="18"/>
              </w:rPr>
            </w:pPr>
            <w:r>
              <w:rPr>
                <w:rFonts w:asciiTheme="minorHAnsi" w:hAnsiTheme="minorHAnsi" w:eastAsiaTheme="minorEastAsia" w:cstheme="minorHAnsi"/>
                <w:b/>
                <w:bCs/>
                <w:color w:val="000000"/>
                <w:sz w:val="18"/>
                <w:szCs w:val="18"/>
              </w:rPr>
              <w:t>VEÍCULO para transporte dos servidores a serviço da UFF - 24h/dia, 7 dias da semana, por 12 (DOZE) meses, automático - Cor Branca, modelo sedan, que deverá ser trocado quando atingir quilometragem de 30.000 km ou a cada 01 (UM) ano, contados da data de fabricação, o que ocorrer primeiro - sem motorista - com seguro total - compreendendo danos materiais e pessoais no veículo locado e danos materiais e pessoais a terceiros, sem co-participação no seguro, rastreador GPS para monitoramento, documentação regularizada em  conformidades com as Leis de trânsito. Incluindo manutenção preventiva e corretiva por conta da Contratada. Modelo de referência: Toyota - Yaris; Nissan - Versa; Honda - City. Referência Bicombustível (gasolina/álcool) - Potência 1.6 ou superior completo - ar condicionado, direção hidráulica ou elétrica, som automotivo, trio elétrico, veículo 0km, fabricação/modelo do ano; modelo tipo sedan, com 05 (cinco) portas, capacidade para 05 (cinco) passageiros; com distância mínima entre-eixos de 2600 (mm), desembaçador (dianteiro e traseiro), motor com potência mínima de 110 cavalos, trio elétrico, ar-condicionado, sonorização AM/FM/CD/ USB, películas automotivas escuras, direção hidráulica e todos os acessórios obrigatórios exigidos pelo CONTRAN; Ano de fabricação 2023 ou superior.</w:t>
            </w:r>
          </w:p>
        </w:tc>
        <w:tc>
          <w:tcPr>
            <w:tcW w:w="1252" w:type="dxa"/>
            <w:gridSpan w:val="4"/>
            <w:noWrap/>
          </w:tcPr>
          <w:p w14:paraId="00E76102">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20</w:t>
            </w:r>
          </w:p>
        </w:tc>
        <w:tc>
          <w:tcPr>
            <w:tcW w:w="960" w:type="dxa"/>
            <w:gridSpan w:val="2"/>
            <w:noWrap/>
          </w:tcPr>
          <w:p w14:paraId="47813C8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Mês</w:t>
            </w:r>
          </w:p>
        </w:tc>
        <w:tc>
          <w:tcPr>
            <w:tcW w:w="1120" w:type="dxa"/>
            <w:gridSpan w:val="2"/>
            <w:noWrap/>
          </w:tcPr>
          <w:p w14:paraId="43FBE6BA">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R$ 3.513,00</w:t>
            </w:r>
          </w:p>
        </w:tc>
        <w:tc>
          <w:tcPr>
            <w:tcW w:w="1358" w:type="dxa"/>
            <w:gridSpan w:val="2"/>
            <w:noWrap/>
          </w:tcPr>
          <w:p w14:paraId="31CF5127">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R$ 70.260,00</w:t>
            </w:r>
          </w:p>
        </w:tc>
        <w:tc>
          <w:tcPr>
            <w:tcW w:w="1266" w:type="dxa"/>
            <w:gridSpan w:val="3"/>
            <w:noWrap/>
          </w:tcPr>
          <w:p w14:paraId="79690800">
            <w:pPr>
              <w:suppressAutoHyphens w:val="0"/>
              <w:jc w:val="center"/>
              <w:rPr>
                <w:rFonts w:asciiTheme="minorHAnsi" w:hAnsiTheme="minorHAnsi" w:eastAsiaTheme="minorEastAsia" w:cstheme="minorHAnsi"/>
                <w:color w:val="000000"/>
                <w:sz w:val="18"/>
                <w:szCs w:val="18"/>
              </w:rPr>
            </w:pPr>
            <w:r>
              <w:rPr>
                <w:rFonts w:asciiTheme="minorHAnsi" w:hAnsiTheme="minorHAnsi" w:eastAsiaTheme="minorEastAsia" w:cstheme="minorHAnsi"/>
                <w:color w:val="000000"/>
                <w:sz w:val="18"/>
                <w:szCs w:val="18"/>
              </w:rPr>
              <w:t>R$ 843.120,00</w:t>
            </w: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0CA21300">
      <w:pPr>
        <w:pStyle w:val="99"/>
        <w:numPr>
          <w:ilvl w:val="1"/>
          <w:numId w:val="4"/>
        </w:numPr>
        <w:rPr>
          <w:bCs/>
        </w:rPr>
      </w:pPr>
      <w:r>
        <w:t>São obrigações do CONTRATANTE:</w:t>
      </w:r>
    </w:p>
    <w:p w14:paraId="40BF90F6">
      <w:pPr>
        <w:pStyle w:val="101"/>
        <w:numPr>
          <w:ilvl w:val="2"/>
          <w:numId w:val="4"/>
        </w:numPr>
      </w:pPr>
      <w:r>
        <w:t>Exigir o cumprimento de todas as obrigações assumidas pelo CONTRATADO, de acordo com o contrato e seus anexos;</w:t>
      </w:r>
    </w:p>
    <w:p w14:paraId="1028FC6B">
      <w:pPr>
        <w:pStyle w:val="101"/>
        <w:numPr>
          <w:ilvl w:val="2"/>
          <w:numId w:val="4"/>
        </w:numPr>
      </w:pPr>
      <w:r>
        <w:t>Receber o objeto no prazo e condições estabelecidas no Termo de Referência;</w:t>
      </w:r>
    </w:p>
    <w:p w14:paraId="0F68608D">
      <w:pPr>
        <w:pStyle w:val="101"/>
        <w:numPr>
          <w:ilvl w:val="2"/>
          <w:numId w:val="4"/>
        </w:numPr>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24CC63C">
      <w:pPr>
        <w:pStyle w:val="101"/>
        <w:numPr>
          <w:ilvl w:val="2"/>
          <w:numId w:val="4"/>
        </w:numPr>
      </w:pPr>
      <w:r>
        <w:t>Acompanhar e fiscalizar a execução do contrato e o cumprimento das obrigações pelo CONTRATADO;</w:t>
      </w:r>
    </w:p>
    <w:p w14:paraId="465DAA70">
      <w:pPr>
        <w:pStyle w:val="101"/>
        <w:numPr>
          <w:ilvl w:val="2"/>
          <w:numId w:val="4"/>
        </w:numPr>
      </w:pPr>
      <w: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12605ED6">
      <w:pPr>
        <w:pStyle w:val="101"/>
        <w:numPr>
          <w:ilvl w:val="2"/>
          <w:numId w:val="4"/>
        </w:numPr>
      </w:pPr>
      <w:r>
        <w:t>Efetuar o pagamento ao CONTRATADO do valor correspondente à execução do objeto, no prazo, forma e condições estabelecidos no presente Contrato e no Termo de Referência;</w:t>
      </w:r>
    </w:p>
    <w:p w14:paraId="1622EA8C">
      <w:pPr>
        <w:pStyle w:val="101"/>
        <w:numPr>
          <w:ilvl w:val="2"/>
          <w:numId w:val="4"/>
        </w:numPr>
      </w:pPr>
      <w:r>
        <w:t>Aplicar ao CONTRATADO as sanções previstas na lei e neste Contrato;</w:t>
      </w:r>
    </w:p>
    <w:p w14:paraId="548CB62E">
      <w:pPr>
        <w:pStyle w:val="101"/>
        <w:numPr>
          <w:ilvl w:val="2"/>
          <w:numId w:val="4"/>
        </w:numPr>
      </w:pPr>
      <w:r>
        <w:t>Não praticar atos de ingerência na administração do CONTRATADO, tais como:</w:t>
      </w:r>
    </w:p>
    <w:p w14:paraId="3535DAD4">
      <w:pPr>
        <w:pStyle w:val="102"/>
        <w:numPr>
          <w:ilvl w:val="3"/>
          <w:numId w:val="4"/>
        </w:numPr>
      </w:pPr>
      <w:r>
        <w:t>indicar pessoas expressamente nominadas para executar direta ou indiretamente o objeto contratado;</w:t>
      </w:r>
    </w:p>
    <w:p w14:paraId="6E18C1DE">
      <w:pPr>
        <w:pStyle w:val="102"/>
        <w:numPr>
          <w:ilvl w:val="3"/>
          <w:numId w:val="4"/>
        </w:numPr>
      </w:pPr>
      <w:r>
        <w:t>fixar salário inferior ao definido em lei ou em ato normativo a ser pago pelo CONTRATADO;</w:t>
      </w:r>
    </w:p>
    <w:p w14:paraId="46D24D18">
      <w:pPr>
        <w:pStyle w:val="102"/>
        <w:numPr>
          <w:ilvl w:val="3"/>
          <w:numId w:val="4"/>
        </w:numPr>
      </w:pPr>
      <w:r>
        <w:t xml:space="preserve"> estabelecer vínculo de subordinação com funcionário do CONTRATADO;</w:t>
      </w:r>
    </w:p>
    <w:p w14:paraId="0CE47DD8">
      <w:pPr>
        <w:pStyle w:val="102"/>
        <w:numPr>
          <w:ilvl w:val="3"/>
          <w:numId w:val="4"/>
        </w:numPr>
      </w:pPr>
      <w:r>
        <w:t>definir forma de pagamento mediante exclusivo reembolso dos salários pagos;</w:t>
      </w:r>
    </w:p>
    <w:p w14:paraId="34BC7F11">
      <w:pPr>
        <w:pStyle w:val="102"/>
        <w:numPr>
          <w:ilvl w:val="3"/>
          <w:numId w:val="4"/>
        </w:numPr>
      </w:pPr>
      <w:r>
        <w:t>demandar a funcionário do CONTRATADO a execução de tarefas fora do escopo do objeto da contratação; e</w:t>
      </w:r>
    </w:p>
    <w:p w14:paraId="3E638079">
      <w:pPr>
        <w:pStyle w:val="102"/>
        <w:numPr>
          <w:ilvl w:val="3"/>
          <w:numId w:val="4"/>
        </w:numPr>
      </w:pPr>
      <w:r>
        <w:t>prever exigências que constituam intervenção indevida da Administração na gestão interna do CONTRATADO.</w:t>
      </w:r>
    </w:p>
    <w:p w14:paraId="0A447EDF">
      <w:pPr>
        <w:pStyle w:val="101"/>
        <w:numPr>
          <w:ilvl w:val="2"/>
          <w:numId w:val="4"/>
        </w:numPr>
      </w:pPr>
      <w:r>
        <w:t>Cientificar o órgão de representação judicial da Advocacia-Geral da União para adoção das medidas cabíveis quando do descumprimento de obrigações pelo CONTRATADO;</w:t>
      </w:r>
    </w:p>
    <w:p w14:paraId="00C3ED7C">
      <w:pPr>
        <w:pStyle w:val="101"/>
        <w:numPr>
          <w:ilvl w:val="2"/>
          <w:numId w:val="4"/>
        </w:numPr>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77A518F">
      <w:pPr>
        <w:pStyle w:val="102"/>
        <w:numPr>
          <w:ilvl w:val="3"/>
          <w:numId w:val="4"/>
        </w:numPr>
      </w:pPr>
      <w:r>
        <w:t xml:space="preserve"> </w:t>
      </w:r>
      <w:bookmarkStart w:id="2" w:name="_Ref128062899"/>
      <w:r>
        <w:t>A Administração terá o prazo de</w:t>
      </w:r>
      <w:r>
        <w:rPr>
          <w:i/>
          <w:iCs/>
          <w:color w:val="FF0000"/>
        </w:rPr>
        <w:t xml:space="preserve"> 30 dias</w:t>
      </w:r>
      <w:r>
        <w:t>, a contar da data do protocolo do requerimento para decidir, admitida a prorrogação motivada, por igual período.</w:t>
      </w:r>
      <w:bookmarkEnd w:id="2"/>
    </w:p>
    <w:p w14:paraId="2A97DEE7">
      <w:pPr>
        <w:pStyle w:val="101"/>
        <w:numPr>
          <w:ilvl w:val="2"/>
          <w:numId w:val="4"/>
        </w:numPr>
        <w:rPr>
          <w:color w:val="auto"/>
        </w:rPr>
      </w:pPr>
      <w:r>
        <w:t xml:space="preserve">Responder eventuais pedidos de reestabelecimento do equilíbrio econômico-financeiro feitos pelo CONTRATADO no prazo máximo de </w:t>
      </w:r>
      <w:r>
        <w:rPr>
          <w:i/>
          <w:color w:val="FF0000"/>
        </w:rPr>
        <w:t>30 dias</w:t>
      </w:r>
      <w:r>
        <w:rPr>
          <w:color w:val="auto"/>
        </w:rPr>
        <w:t>;</w:t>
      </w:r>
    </w:p>
    <w:p w14:paraId="3472A3FC">
      <w:pPr>
        <w:pStyle w:val="101"/>
        <w:numPr>
          <w:ilvl w:val="2"/>
          <w:numId w:val="4"/>
        </w:numPr>
      </w:pPr>
      <w:bookmarkStart w:id="3" w:name="_Hlk114499841"/>
      <w:bookmarkEnd w:id="3"/>
      <w:r>
        <w:t>Comunicar o CONTRATADO na hipótese de posterior alteração do projeto pelo CONTRATANTE, no caso do art. 93, §2º, da Lei nº 14.133, de 2021.</w:t>
      </w:r>
    </w:p>
    <w:p w14:paraId="22F21DD2">
      <w:pPr>
        <w:pStyle w:val="99"/>
        <w:numPr>
          <w:ilvl w:val="1"/>
          <w:numId w:val="4"/>
        </w:numPr>
        <w:spacing w:after="288" w:afterLines="120" w:line="312" w:lineRule="auto"/>
        <w:rPr>
          <w:rFonts w:asciiTheme="minorHAnsi" w:hAnsiTheme="minorHAnsi" w:cstheme="minorHAnsi"/>
          <w:sz w:val="22"/>
          <w:szCs w:val="22"/>
        </w:rPr>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9E8A81">
      <w:pPr>
        <w:pStyle w:val="99"/>
        <w:numPr>
          <w:ilvl w:val="1"/>
          <w:numId w:val="4"/>
        </w:numPr>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63343CD8">
      <w:pPr>
        <w:pStyle w:val="99"/>
        <w:numPr>
          <w:ilvl w:val="1"/>
          <w:numId w:val="4"/>
        </w:numPr>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660F1D55">
      <w:pPr>
        <w:pStyle w:val="99"/>
        <w:numPr>
          <w:ilvl w:val="1"/>
          <w:numId w:val="4"/>
        </w:numPr>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CE5312C">
      <w:pPr>
        <w:pStyle w:val="99"/>
        <w:numPr>
          <w:ilvl w:val="1"/>
          <w:numId w:val="4"/>
        </w:numPr>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2F9C6962">
      <w:pPr>
        <w:pStyle w:val="99"/>
        <w:numPr>
          <w:ilvl w:val="1"/>
          <w:numId w:val="4"/>
        </w:numPr>
      </w:pPr>
      <w: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1E83ACF2">
      <w:pPr>
        <w:pStyle w:val="101"/>
        <w:numPr>
          <w:ilvl w:val="2"/>
          <w:numId w:val="4"/>
        </w:numPr>
      </w:pPr>
      <w:r>
        <w:t>prova de regularidade relativa à Seguridade Social;</w:t>
      </w:r>
    </w:p>
    <w:p w14:paraId="3C8E794F">
      <w:pPr>
        <w:pStyle w:val="101"/>
        <w:numPr>
          <w:ilvl w:val="2"/>
          <w:numId w:val="4"/>
        </w:numPr>
      </w:pPr>
      <w:r>
        <w:t>certidão conjunta relativa aos tributos federais e à Dívida Ativa da União;</w:t>
      </w:r>
    </w:p>
    <w:p w14:paraId="40D0AAC9">
      <w:pPr>
        <w:pStyle w:val="101"/>
        <w:numPr>
          <w:ilvl w:val="2"/>
          <w:numId w:val="4"/>
        </w:numPr>
      </w:pPr>
      <w:r>
        <w:t>certidões que comprovem a regularidade perante a Fazenda Municipal ou Distrital do domicílio ou sede do CONTRATADO;</w:t>
      </w:r>
    </w:p>
    <w:p w14:paraId="2034A7C1">
      <w:pPr>
        <w:pStyle w:val="101"/>
        <w:numPr>
          <w:ilvl w:val="2"/>
          <w:numId w:val="4"/>
        </w:numPr>
      </w:pPr>
      <w:r>
        <w:t>Certidão de Regularidade do FGTS – CRF; e</w:t>
      </w:r>
    </w:p>
    <w:p w14:paraId="1F145C93">
      <w:pPr>
        <w:pStyle w:val="101"/>
        <w:numPr>
          <w:ilvl w:val="2"/>
          <w:numId w:val="4"/>
        </w:numPr>
      </w:pPr>
      <w:r>
        <w:t>Certidão Negativa de Débitos Trabalhistas – CNDT.</w:t>
      </w:r>
    </w:p>
    <w:p w14:paraId="6B30357D">
      <w:pPr>
        <w:pStyle w:val="99"/>
        <w:numPr>
          <w:ilvl w:val="1"/>
          <w:numId w:val="4"/>
        </w:numPr>
      </w:pPr>
      <w: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3380DE31">
      <w:pPr>
        <w:pStyle w:val="99"/>
        <w:numPr>
          <w:ilvl w:val="1"/>
          <w:numId w:val="4"/>
        </w:numPr>
      </w:pPr>
      <w:r>
        <w:t>Comunicar ao Fiscal do contrato tempestivamente, observada a urgência da situação, qualquer ocorrência anormal ou acidente que se verifique no local da execução do objeto contratual, não ultrapassando o prazo de 24 (vinte e quatro) horas;</w:t>
      </w:r>
    </w:p>
    <w:p w14:paraId="71D8D949">
      <w:pPr>
        <w:pStyle w:val="99"/>
        <w:numPr>
          <w:ilvl w:val="1"/>
          <w:numId w:val="4"/>
        </w:numPr>
      </w:pPr>
      <w:r>
        <w:t>Paralisar, por determinação do CONTRATANTE, qualquer atividade que não esteja sendo executada de acordo com a boa técnica ou que ponha em risco a segurança de pessoas ou bens de terceiros;</w:t>
      </w:r>
    </w:p>
    <w:p w14:paraId="2714BD68">
      <w:pPr>
        <w:pStyle w:val="99"/>
        <w:numPr>
          <w:ilvl w:val="1"/>
          <w:numId w:val="4"/>
        </w:numPr>
        <w:rPr>
          <w:highlight w:val="yellow"/>
        </w:rPr>
      </w:pPr>
      <w:r>
        <w:t>Manter, durante toda a vigência do contrato, em compatibilidade com as obrigações assumidas, todas as condições exigidas para habilitação na licitação</w:t>
      </w:r>
      <w:bookmarkStart w:id="4" w:name="_Hlk191049891"/>
      <w:r>
        <w:t>.</w:t>
      </w:r>
    </w:p>
    <w:bookmarkEnd w:id="4"/>
    <w:p w14:paraId="61B30A3B">
      <w:pPr>
        <w:pStyle w:val="99"/>
        <w:numPr>
          <w:ilvl w:val="1"/>
          <w:numId w:val="4"/>
        </w:numPr>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2C9C7644">
      <w:pPr>
        <w:pStyle w:val="99"/>
        <w:numPr>
          <w:ilvl w:val="1"/>
          <w:numId w:val="4"/>
        </w:numPr>
      </w:pPr>
      <w:r>
        <w:t>Comprovar a reserva de cargos a que se refere a cláusula acima, no prazo fixado pelo fiscal do contrato, com a indicação dos empregados que preencheram as referidas vagas;</w:t>
      </w:r>
    </w:p>
    <w:p w14:paraId="0971D9B6">
      <w:pPr>
        <w:pStyle w:val="99"/>
        <w:numPr>
          <w:ilvl w:val="1"/>
          <w:numId w:val="4"/>
        </w:numPr>
      </w:pPr>
      <w:r>
        <w:t>Guardar sigilo sobre todas as informações obtidas em decorrência do cumprimento do contrato;</w:t>
      </w:r>
    </w:p>
    <w:p w14:paraId="6FB9C7C6">
      <w:pPr>
        <w:pStyle w:val="99"/>
        <w:numPr>
          <w:ilvl w:val="1"/>
          <w:numId w:val="4"/>
        </w:numPr>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531DAA9">
      <w:pPr>
        <w:pStyle w:val="99"/>
        <w:numPr>
          <w:ilvl w:val="1"/>
          <w:numId w:val="4"/>
        </w:numPr>
      </w:pPr>
      <w:r>
        <w:t>Cumprir, além dos postulados legais vigentes de âmbito federal, estadual ou municipal, as normas de segurança do CONTRATANTE;</w:t>
      </w:r>
    </w:p>
    <w:p w14:paraId="249E563F">
      <w:pPr>
        <w:pStyle w:val="99"/>
        <w:numPr>
          <w:ilvl w:val="1"/>
          <w:numId w:val="4"/>
        </w:numPr>
      </w:pPr>
      <w:r>
        <w:t>Alocar os empregados necessários ao perfeito cumprimento das cláusulas deste contrato, com habilitação e conhecimento adequados;</w:t>
      </w:r>
    </w:p>
    <w:p w14:paraId="695F61FC">
      <w:pPr>
        <w:pStyle w:val="99"/>
        <w:numPr>
          <w:ilvl w:val="1"/>
          <w:numId w:val="4"/>
        </w:numPr>
      </w:pPr>
      <w:r>
        <w:t>Prestar os serviços dentro dos parâmetros e rotinas estabelecidos;</w:t>
      </w:r>
    </w:p>
    <w:p w14:paraId="0B3EFC1B">
      <w:pPr>
        <w:pStyle w:val="99"/>
        <w:numPr>
          <w:ilvl w:val="1"/>
          <w:numId w:val="4"/>
        </w:numPr>
      </w:pPr>
      <w:r>
        <w:t>Fornecer todos os materiais, equipamentos, ferramentas e utensílios demandados, em quantidade, qualidade e tecnologia adequadas, com a observância às recomendações aceitas pela boa técnica, normas e legislação de regência;</w:t>
      </w:r>
    </w:p>
    <w:p w14:paraId="0A5A5F72">
      <w:pPr>
        <w:pStyle w:val="99"/>
        <w:numPr>
          <w:ilvl w:val="1"/>
          <w:numId w:val="4"/>
        </w:numPr>
      </w:pPr>
      <w:r>
        <w:t>Conduzir os trabalhos com estrita observância às normas da legislação pertinente, cumprindo as determinações dos Poderes Públicos, mantendo sempre limpo o local de execução do objeto e nas melhores condições de segurança, higiene e disciplina;</w:t>
      </w:r>
    </w:p>
    <w:p w14:paraId="480C3E67">
      <w:pPr>
        <w:pStyle w:val="99"/>
        <w:numPr>
          <w:ilvl w:val="1"/>
          <w:numId w:val="4"/>
        </w:numPr>
      </w:pPr>
      <w:r>
        <w:t>Submeter previamente, por escrito, ao CONTRATANTE, para análise e aprovação, quaisquer mudanças nos métodos executivos que fujam às especificações do memorial descritivo ou instrumento congênere;</w:t>
      </w:r>
    </w:p>
    <w:p w14:paraId="18C2D2C8">
      <w:pPr>
        <w:pStyle w:val="99"/>
        <w:numPr>
          <w:ilvl w:val="1"/>
          <w:numId w:val="4"/>
        </w:numPr>
      </w:pPr>
      <w:r>
        <w:t>Cumprir as normas de proteção ao trabalho, inclusive aquelas relativas à segurança e à saúde no trabalho;</w:t>
      </w:r>
    </w:p>
    <w:p w14:paraId="051D0293">
      <w:pPr>
        <w:pStyle w:val="99"/>
        <w:numPr>
          <w:ilvl w:val="1"/>
          <w:numId w:val="4"/>
        </w:numPr>
      </w:pPr>
      <w:r>
        <w:t>Não submeter os trabalhadores a condições degradantes de trabalho, jornadas exaustivas, servidão por dívida ou trabalhos forçados;</w:t>
      </w:r>
    </w:p>
    <w:p w14:paraId="44F8728E">
      <w:pPr>
        <w:pStyle w:val="99"/>
        <w:numPr>
          <w:ilvl w:val="1"/>
          <w:numId w:val="4"/>
        </w:numPr>
      </w:pPr>
      <w:r>
        <w:t>Não permitir a utilização de qualquer trabalho do menor de dezesseis anos de idade, exceto na condição de aprendiz para os maiores de quatorze anos de idade, observada a legislação pertinente;</w:t>
      </w:r>
    </w:p>
    <w:p w14:paraId="0A4F916C">
      <w:pPr>
        <w:pStyle w:val="99"/>
        <w:numPr>
          <w:ilvl w:val="1"/>
          <w:numId w:val="4"/>
        </w:numPr>
      </w:pPr>
      <w: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98A9BED">
      <w:pPr>
        <w:pStyle w:val="99"/>
        <w:numPr>
          <w:ilvl w:val="1"/>
          <w:numId w:val="4"/>
        </w:numPr>
      </w:pPr>
      <w:r>
        <w:t>Receber e dar o tratamento adequado a denúncias de discriminação, violência e assédio no ambiente de trabalho;</w:t>
      </w:r>
    </w:p>
    <w:p w14:paraId="458C95B5">
      <w:pPr>
        <w:pStyle w:val="99"/>
        <w:numPr>
          <w:ilvl w:val="1"/>
          <w:numId w:val="4"/>
        </w:numPr>
      </w:pPr>
      <w:r>
        <w:t>Manter preposto aceito pela Administração no local da obra ou do serviço para representá-lo na execução do contrato;</w:t>
      </w:r>
    </w:p>
    <w:p w14:paraId="3D582CF3">
      <w:pPr>
        <w:pStyle w:val="101"/>
        <w:numPr>
          <w:ilvl w:val="2"/>
          <w:numId w:val="4"/>
        </w:numPr>
      </w:pPr>
      <w:r>
        <w:t>A indicação ou a manutenção do preposto da empresa poderá ser recusada pelo órgão ou entidade, desde que devidamente justificada, devendo a empresa designar outro para o exercício da atividade.</w:t>
      </w:r>
    </w:p>
    <w:p w14:paraId="7AC14B34">
      <w:pPr>
        <w:pStyle w:val="99"/>
        <w:numPr>
          <w:ilvl w:val="1"/>
          <w:numId w:val="4"/>
        </w:numPr>
      </w:pPr>
      <w: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46EFD6E">
      <w:pPr>
        <w:pStyle w:val="99"/>
        <w:numPr>
          <w:ilvl w:val="1"/>
          <w:numId w:val="4"/>
        </w:numPr>
      </w:pPr>
      <w:r>
        <w:t>Prestar todo esclarecimento ou informação solicitada pelo CONTRATANTE ou por seus prepostos, garantindo-lhes o acesso, a qualquer tempo, ao local dos trabalhos, bem como aos documentos relativos à execução do contrato;</w:t>
      </w:r>
    </w:p>
    <w:p w14:paraId="10FD4266">
      <w:pPr>
        <w:pStyle w:val="99"/>
        <w:numPr>
          <w:ilvl w:val="1"/>
          <w:numId w:val="4"/>
        </w:numPr>
      </w:pPr>
      <w:r>
        <w:t>Promover a guarda, manutenção e vigilância de materiais, ferramentas, e tudo o que for necessário à execução do objeto, durante a vigência do contrato;</w:t>
      </w:r>
    </w:p>
    <w:p w14:paraId="5EE909EF">
      <w:pPr>
        <w:pStyle w:val="99"/>
        <w:numPr>
          <w:ilvl w:val="1"/>
          <w:numId w:val="4"/>
        </w:numPr>
      </w:pPr>
      <w:r>
        <w:t>Assegurar aos seus trabalhadores ambiente de trabalho e instalações em condições adequadas ao cumprimento das normas de saúde, segurança e bem-estar no trabalho;</w:t>
      </w:r>
    </w:p>
    <w:p w14:paraId="2D2F0F96">
      <w:pPr>
        <w:pStyle w:val="99"/>
        <w:numPr>
          <w:ilvl w:val="1"/>
          <w:numId w:val="4"/>
        </w:numPr>
      </w:pPr>
      <w:r>
        <w:t>Fornecer equipamentos de proteção individual (EPI) e equipamentos de proteção coletiva (EPC),quando for o caso;</w:t>
      </w:r>
    </w:p>
    <w:p w14:paraId="0175A757">
      <w:pPr>
        <w:pStyle w:val="99"/>
        <w:numPr>
          <w:ilvl w:val="1"/>
          <w:numId w:val="4"/>
        </w:numPr>
      </w:pPr>
      <w:r>
        <w:t>Garantir o acesso do CONTRATANTE, a qualquer tempo, ao local dos trabalhos, bem como aos documentos relativos à execução do contrato;</w:t>
      </w:r>
    </w:p>
    <w:p w14:paraId="19A170C7">
      <w:pPr>
        <w:pStyle w:val="99"/>
        <w:numPr>
          <w:ilvl w:val="1"/>
          <w:numId w:val="4"/>
        </w:numPr>
      </w:pPr>
      <w:r>
        <w:t>Promover a organização técnica e administrativa dos serviços, de modo a conduzi-los eficaz e eficientemente, de acordo com os documentos e especificações que integram o Termo de Referência, no prazo determinado;</w:t>
      </w:r>
    </w:p>
    <w:p w14:paraId="6170304C">
      <w:pPr>
        <w:pStyle w:val="99"/>
        <w:numPr>
          <w:ilvl w:val="1"/>
          <w:numId w:val="4"/>
        </w:numPr>
      </w:pPr>
      <w:bookmarkStart w:id="5" w:name="_Ref118293030"/>
      <w:r>
        <w:t>Instruir seus empregados quanto à necessidade de acatar as normas internas da Administração;</w:t>
      </w:r>
    </w:p>
    <w:p w14:paraId="27F9CD2F">
      <w:pPr>
        <w:pStyle w:val="99"/>
        <w:numPr>
          <w:ilvl w:val="1"/>
          <w:numId w:val="4"/>
        </w:numPr>
      </w:pPr>
      <w:r>
        <w:t>Instruir seus empregados a respeito das atividades a serem desempenhadas, alertando-os a não executar atividades não abrangidas pelo contrato, devendo o CONTRATADO relatar ao CONTRATANTE toda e qualquer ocorrência neste sentido, a fim de evitar desvio de função;</w:t>
      </w:r>
    </w:p>
    <w:bookmarkEnd w:id="5"/>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6" w:name="_Ref169602136"/>
      <w:bookmarkStart w:id="7"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6"/>
    <w:bookmarkEnd w:id="7"/>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3"/>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Segoe Print"/>
    <w:panose1 w:val="00000000000000000000"/>
    <w:charset w:val="02"/>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1915B40B">
    <w:pPr>
      <w:pStyle w:val="33"/>
      <w:rPr>
        <w:rFonts w:cs="Arial"/>
        <w:sz w:val="14"/>
        <w:szCs w:val="14"/>
      </w:rPr>
    </w:pPr>
    <w:r>
      <w:rPr>
        <w:rFonts w:cs="Arial"/>
        <w:sz w:val="14"/>
        <w:szCs w:val="14"/>
      </w:rPr>
      <w:t>Câmara Nacional de Modelos de Licitações e Contratos da Consultoria-Geral da União</w:t>
    </w:r>
  </w:p>
  <w:p w14:paraId="70A8C44A">
    <w:pPr>
      <w:pStyle w:val="33"/>
      <w:rPr>
        <w:sz w:val="14"/>
      </w:rPr>
    </w:pPr>
    <w:r>
      <w:rPr>
        <w:rFonts w:cs="Arial"/>
        <w:sz w:val="14"/>
        <w:szCs w:val="14"/>
      </w:rPr>
      <w:t>Modelo de Termo de Contrato - Licitação e Contratação Direta - Serviços sem regime de dedicação exclusiva de mão de obra - Lei nº 14.133, de 2021</w:t>
    </w:r>
  </w:p>
  <w:p w14:paraId="157F30DD">
    <w:pPr>
      <w:pStyle w:val="33"/>
      <w:rPr>
        <w:rFonts w:cs="Arial"/>
        <w:sz w:val="14"/>
        <w:szCs w:val="14"/>
      </w:rPr>
    </w:pPr>
    <w:r>
      <w:rPr>
        <w:rFonts w:cs="Arial"/>
        <w:sz w:val="14"/>
        <w:szCs w:val="14"/>
      </w:rPr>
      <w:t>Aprovado pela Secretaria de Gestão e Inovação</w:t>
    </w:r>
  </w:p>
  <w:p w14:paraId="4B824A01">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ABR/2025</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1"/>
  </w:num>
  <w:num w:numId="10">
    <w:abstractNumId w:val="6"/>
  </w:num>
  <w:num w:numId="11">
    <w:abstractNumId w:val="1"/>
  </w:num>
  <w:num w:numId="12">
    <w:abstractNumId w:val="0"/>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063A6"/>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640"/>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73B2"/>
    <w:rsid w:val="003B787E"/>
    <w:rsid w:val="003D2CA2"/>
    <w:rsid w:val="003D4A95"/>
    <w:rsid w:val="003D5227"/>
    <w:rsid w:val="003D72A0"/>
    <w:rsid w:val="003E0C6C"/>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A6E27"/>
    <w:rsid w:val="005B345F"/>
    <w:rsid w:val="005B3CB4"/>
    <w:rsid w:val="005C41B6"/>
    <w:rsid w:val="005D7737"/>
    <w:rsid w:val="005F39EB"/>
    <w:rsid w:val="005F6D6E"/>
    <w:rsid w:val="00602349"/>
    <w:rsid w:val="0061397F"/>
    <w:rsid w:val="006146CF"/>
    <w:rsid w:val="006151BA"/>
    <w:rsid w:val="00617698"/>
    <w:rsid w:val="00627947"/>
    <w:rsid w:val="0063030D"/>
    <w:rsid w:val="006314E9"/>
    <w:rsid w:val="00640955"/>
    <w:rsid w:val="00642767"/>
    <w:rsid w:val="00645265"/>
    <w:rsid w:val="006466E1"/>
    <w:rsid w:val="0064716A"/>
    <w:rsid w:val="00647DA8"/>
    <w:rsid w:val="006506AE"/>
    <w:rsid w:val="00656E9A"/>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3753"/>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93C43"/>
    <w:rsid w:val="009A4E8F"/>
    <w:rsid w:val="009A60CB"/>
    <w:rsid w:val="009C1A02"/>
    <w:rsid w:val="009C4B72"/>
    <w:rsid w:val="009E113C"/>
    <w:rsid w:val="009E650D"/>
    <w:rsid w:val="009F2EB2"/>
    <w:rsid w:val="00A045A3"/>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0427"/>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334C0"/>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A8D"/>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52524"/>
    <w:rsid w:val="00E56541"/>
    <w:rsid w:val="00E578A6"/>
    <w:rsid w:val="00E67DCF"/>
    <w:rsid w:val="00E726A9"/>
    <w:rsid w:val="00E750B1"/>
    <w:rsid w:val="00EA06C5"/>
    <w:rsid w:val="00EB556D"/>
    <w:rsid w:val="00EB6AF5"/>
    <w:rsid w:val="00EB7F69"/>
    <w:rsid w:val="00ED4EB4"/>
    <w:rsid w:val="00ED7983"/>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5EEB1648"/>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uiPriority w:val="0"/>
  </w:style>
  <w:style w:type="character" w:customStyle="1" w:styleId="118">
    <w:name w:val="WW8Num3z3"/>
    <w:qFormat/>
    <w:uiPriority w:val="0"/>
  </w:style>
  <w:style w:type="character" w:customStyle="1" w:styleId="119">
    <w:name w:val="WW8Num3z4"/>
    <w:uiPriority w:val="0"/>
  </w:style>
  <w:style w:type="character" w:customStyle="1" w:styleId="120">
    <w:name w:val="WW8Num3z5"/>
    <w:qFormat/>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qFormat/>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qFormat/>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qFormat/>
    <w:uiPriority w:val="0"/>
  </w:style>
  <w:style w:type="character" w:customStyle="1" w:styleId="204">
    <w:name w:val="WW8Num19z1"/>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qFormat/>
    <w:uiPriority w:val="0"/>
  </w:style>
  <w:style w:type="character" w:customStyle="1" w:styleId="211">
    <w:name w:val="WW8Num19z8"/>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uiPriority w:val="0"/>
  </w:style>
  <w:style w:type="character" w:customStyle="1" w:styleId="215">
    <w:name w:val="WW8Num22z2"/>
    <w:qFormat/>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qFormat/>
    <w:uiPriority w:val="0"/>
  </w:style>
  <w:style w:type="character" w:customStyle="1" w:styleId="224">
    <w:name w:val="WW8Num23z2"/>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qFormat/>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qFormat/>
    <w:uiPriority w:val="0"/>
  </w:style>
  <w:style w:type="character" w:customStyle="1" w:styleId="240">
    <w:name w:val="WW8Num25z0"/>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qFormat/>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qFormat/>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qFormat/>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qFormat/>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qFormat/>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15</Pages>
  <Words>6172</Words>
  <Characters>33334</Characters>
  <Lines>277</Lines>
  <Paragraphs>78</Paragraphs>
  <TotalTime>4</TotalTime>
  <ScaleCrop>false</ScaleCrop>
  <LinksUpToDate>false</LinksUpToDate>
  <CharactersWithSpaces>39428</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2025-07-21T00:33:00Z</dcterms:created>
  <dc:creator>Adriano</dc:creator>
  <cp:lastModifiedBy>Hellen Medeiros</cp:lastModifiedBy>
  <cp:lastPrinted>2025-06-29T00:02:00Z</cp:lastPrinted>
  <dcterms:modified xsi:type="dcterms:W3CDTF">2025-07-25T00:42:01Z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3009BF56CFBA4EC69A3740964B7E0FB5_12</vt:lpwstr>
  </property>
</Properties>
</file>