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5D7385C1" w:rsidR="006E4496" w:rsidRPr="006D546C" w:rsidRDefault="0023324D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35DC9489" wp14:editId="3D7788C0">
            <wp:simplePos x="0" y="0"/>
            <wp:positionH relativeFrom="margin">
              <wp:align>center</wp:align>
            </wp:positionH>
            <wp:positionV relativeFrom="paragraph">
              <wp:posOffset>-387977</wp:posOffset>
            </wp:positionV>
            <wp:extent cx="1333500" cy="746760"/>
            <wp:effectExtent l="0" t="0" r="0" b="0"/>
            <wp:wrapNone/>
            <wp:docPr id="170587678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7E71"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E0087D0" w14:textId="77777777" w:rsidR="009C04D6" w:rsidRDefault="009C04D6" w:rsidP="00D43BAF">
      <w:pPr>
        <w:spacing w:after="120" w:line="276" w:lineRule="auto"/>
        <w:ind w:right="-15"/>
        <w:rPr>
          <w:rFonts w:cstheme="minorHAnsi"/>
          <w:b/>
          <w:bCs/>
          <w:szCs w:val="20"/>
        </w:rPr>
      </w:pPr>
    </w:p>
    <w:p w14:paraId="56C392D9" w14:textId="561FB8CD" w:rsidR="006E4496" w:rsidRDefault="009C04D6" w:rsidP="009C04D6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cstheme="minorHAnsi"/>
          <w:b/>
          <w:bCs/>
          <w:szCs w:val="20"/>
        </w:rPr>
        <w:t>Anexo III – Instrumento de Medição dos Resultados</w:t>
      </w:r>
    </w:p>
    <w:p w14:paraId="588FCE49" w14:textId="77777777" w:rsidR="009C04D6" w:rsidRDefault="009C04D6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27D3100" w14:textId="77777777" w:rsidR="009C04D6" w:rsidRPr="009C04D6" w:rsidRDefault="009C04D6" w:rsidP="009C04D6">
      <w:pPr>
        <w:pStyle w:val="itemnivel2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avaliação da execução do objeto utilizará </w:t>
      </w:r>
      <w:r w:rsidRPr="009C04D6">
        <w:rPr>
          <w:rStyle w:val="nfase"/>
          <w:rFonts w:asciiTheme="minorHAnsi" w:eastAsia="Calibri" w:hAnsiTheme="minorHAnsi" w:cstheme="minorHAnsi"/>
          <w:sz w:val="22"/>
          <w:szCs w:val="22"/>
        </w:rPr>
        <w:t>o </w:t>
      </w:r>
      <w:r w:rsidRPr="009C04D6">
        <w:rPr>
          <w:rFonts w:asciiTheme="minorHAnsi" w:hAnsiTheme="minorHAnsi" w:cstheme="minorHAnsi"/>
          <w:color w:val="000000"/>
          <w:sz w:val="22"/>
          <w:szCs w:val="22"/>
        </w:rPr>
        <w:t>Instrumento de Medição de Resultado (IMR), conforme previsto</w:t>
      </w:r>
      <w:r w:rsidRPr="009C04D6">
        <w:rPr>
          <w:rStyle w:val="Forte"/>
          <w:rFonts w:asciiTheme="minorHAnsi" w:hAnsiTheme="minorHAnsi" w:cstheme="minorHAnsi"/>
          <w:sz w:val="22"/>
          <w:szCs w:val="22"/>
        </w:rPr>
        <w:t> </w:t>
      </w:r>
      <w:r w:rsidRPr="009C04D6">
        <w:rPr>
          <w:rFonts w:asciiTheme="minorHAnsi" w:hAnsiTheme="minorHAnsi" w:cstheme="minorHAnsi"/>
          <w:color w:val="000000"/>
          <w:sz w:val="22"/>
          <w:szCs w:val="22"/>
        </w:rPr>
        <w:t>neste item, devendo haver o redimensionamento no pagamento com base nos indicadores estabelecidos, sempre que a CONTRATADA:</w:t>
      </w:r>
    </w:p>
    <w:p w14:paraId="07CDA44C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não produzir os resultados, deixar de executar ou não executar com a qualidade mínima exigida as atividades contratadas ou;</w:t>
      </w:r>
    </w:p>
    <w:p w14:paraId="77249C2C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deixar de utilizar materiais e recursos humanos exigidos para a execução do serviço ou utilizá-los com qualidade ou quantidade inferior à demandada.</w:t>
      </w:r>
    </w:p>
    <w:p w14:paraId="52883666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utilização do IMR não impede a aplicação concomitante de outros mecanismos para a avaliação da prestação dos serviços.</w:t>
      </w:r>
    </w:p>
    <w:p w14:paraId="4E9BCEFB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aferição da execução contratual para fins de pagamento considerará os seguintes critérios:</w:t>
      </w:r>
    </w:p>
    <w:tbl>
      <w:tblPr>
        <w:tblW w:w="9072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2"/>
        <w:gridCol w:w="7060"/>
      </w:tblGrid>
      <w:tr w:rsidR="009C04D6" w:rsidRPr="009C04D6" w14:paraId="6B18D51E" w14:textId="77777777" w:rsidTr="0076396B">
        <w:trPr>
          <w:tblCellSpacing w:w="22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04A8D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INDICADOR Nº 1:  </w:t>
            </w: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DISPONIBILIDADE DOS SERVIÇOS CONTRATADOS - VEÍCULOS</w:t>
            </w:r>
          </w:p>
        </w:tc>
      </w:tr>
      <w:tr w:rsidR="009C04D6" w:rsidRPr="009C04D6" w14:paraId="70F4D76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4CE32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71606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</w:t>
            </w:r>
          </w:p>
        </w:tc>
      </w:tr>
      <w:tr w:rsidR="009C04D6" w:rsidRPr="009C04D6" w14:paraId="7798EE61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90BA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Finalidade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0A8D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Garantir a prestação contínua dos serviços contratados por meio da disponibilidade dos veículos</w:t>
            </w:r>
          </w:p>
        </w:tc>
      </w:tr>
      <w:tr w:rsidR="009C04D6" w:rsidRPr="009C04D6" w14:paraId="491E42A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DEFA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Meta a cumprir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EDF0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Disponibilidade de referência = 100% disponibilidade dos veículos para a prestação dos serviços, 24 horas diárias.</w:t>
            </w:r>
          </w:p>
        </w:tc>
      </w:tr>
      <w:tr w:rsidR="009C04D6" w:rsidRPr="009C04D6" w14:paraId="339D475C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0660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Instrumento de medição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6CE1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Relatório mensal</w:t>
            </w:r>
          </w:p>
        </w:tc>
      </w:tr>
      <w:tr w:rsidR="009C04D6" w:rsidRPr="009C04D6" w14:paraId="06075B27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769B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 de acompanhamento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E79E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Pela documentação comprobatória da prestação de serviços realizada, apresentada mensalmente</w:t>
            </w:r>
          </w:p>
        </w:tc>
      </w:tr>
      <w:tr w:rsidR="009C04D6" w:rsidRPr="009C04D6" w14:paraId="76224BBC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09E8A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Periodicidade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EF6E3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Mensal</w:t>
            </w:r>
          </w:p>
        </w:tc>
      </w:tr>
      <w:tr w:rsidR="009C04D6" w:rsidRPr="009C04D6" w14:paraId="26F8580A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0735E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Mecanismo de cálculo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6B19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DSC (%) = HT / HPR</w:t>
            </w:r>
          </w:p>
          <w:p w14:paraId="67A7E2E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DSC = Disponibilidade dos serviços contratados – Veículos</w:t>
            </w:r>
          </w:p>
          <w:p w14:paraId="2EB83A6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HT = Número de horas que os veículos ficaram disponíveis durante o mês de referência </w:t>
            </w:r>
          </w:p>
          <w:p w14:paraId="6CA4E7F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HPR = Número de horas da disponibilidade de referência no mês</w:t>
            </w:r>
          </w:p>
          <w:p w14:paraId="0D62EBAF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Obs</w:t>
            </w:r>
            <w:proofErr w:type="spellEnd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: No "HT" deverá ser desconsiderada as horas em que os veículos estiverem em abastecimento, lavagem e o período de tolerância de 2 duas horas de ausência nos casos previstos no item 7 desse Termo de Referência, ou seja, nessas situações essas horas de ausência dos veículos não serão contabilizadas.</w:t>
            </w:r>
          </w:p>
        </w:tc>
      </w:tr>
      <w:tr w:rsidR="009C04D6" w:rsidRPr="009C04D6" w14:paraId="6EDA004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64BB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Início da vigência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30A97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Data da assinatura do contrato</w:t>
            </w:r>
          </w:p>
        </w:tc>
      </w:tr>
      <w:tr w:rsidR="009C04D6" w:rsidRPr="009C04D6" w14:paraId="45D2D275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A3B5A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Faixas de ajuste no pagamento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3BA26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a) Sem atraso: 100% do valor contratado;</w:t>
            </w:r>
          </w:p>
          <w:p w14:paraId="0398FE1A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b) Atraso entre 01 a 10 dias: 90% do valor contratado;</w:t>
            </w:r>
          </w:p>
          <w:p w14:paraId="1F58EB10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c) Atraso entre 11 a 30 dias: 80% do valor contratado;</w:t>
            </w:r>
          </w:p>
          <w:p w14:paraId="313E8075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c) Atraso acima de 30 dias: 70% do valor contratado.</w:t>
            </w:r>
          </w:p>
        </w:tc>
      </w:tr>
      <w:tr w:rsidR="009C04D6" w:rsidRPr="009C04D6" w14:paraId="1FDB8219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0B70F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Sanções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B8B2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De acordo com a média de Disponibilidade dos serviços contratados - DSC (%) mensal:</w:t>
            </w:r>
          </w:p>
          <w:p w14:paraId="6775FC5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abaixo de 95%, glosa de 2% sobre o valor mensal do contrato;</w:t>
            </w:r>
          </w:p>
          <w:p w14:paraId="345E265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abaixo de 90%, glosa de 5% sobre o valor mensal do contrato; e</w:t>
            </w:r>
          </w:p>
          <w:p w14:paraId="1AF0B84F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abaixo de 80%, glosa de 10% sobre o valor mensal do contrato + rescisão contratual.</w:t>
            </w:r>
          </w:p>
        </w:tc>
      </w:tr>
      <w:tr w:rsidR="009C04D6" w:rsidRPr="009C04D6" w14:paraId="1279C43A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AB2E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Observações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F10A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As faixas de ajuste no pagamento indicam a realização de glosa diretamente na Nota Fiscal/Fatura, não sendo necessária a abertura de processo de apuração de irregularidade na execução contratual para efetuar esse desconto.</w:t>
            </w:r>
          </w:p>
          <w:p w14:paraId="5E3DC4DB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Eventuais atrasos justificados pela empresa contratada e aceitos pela equipe de fiscalização do contrato não serão contabilizados no IMR, ou seja, não serão objeto de ajuste no pagamento para a realização de glosa.</w:t>
            </w:r>
          </w:p>
          <w:p w14:paraId="02B5F3C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 situação de emergência deverá ampliar os critérios de razoabilidade e de proporcionalidade na avaliação sobre eventual penalização, considerando que as causas de eventuais atrasos podem fugir da governabilidade dos fornecedores.</w:t>
            </w:r>
          </w:p>
          <w:p w14:paraId="1955FA8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É possível a checagem das informações registradas no relatório mensal através dos relatórios do sistema de monitoramento (GPS).</w:t>
            </w:r>
          </w:p>
        </w:tc>
      </w:tr>
    </w:tbl>
    <w:p w14:paraId="646996BF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tbl>
      <w:tblPr>
        <w:tblW w:w="9072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7048"/>
      </w:tblGrid>
      <w:tr w:rsidR="009C04D6" w:rsidRPr="009C04D6" w14:paraId="5836C16B" w14:textId="77777777" w:rsidTr="0076396B">
        <w:trPr>
          <w:tblCellSpacing w:w="22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907A3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INDICADOR Nº 2:  </w:t>
            </w: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NÍVEL DE EFICIÊNCIA NO ATENDIMENTO DAS SOLICITAÇÕES ENVIADAS PELA EQUIPE DE FISCALIZAÇÃO DA CONTRATANTE</w:t>
            </w:r>
          </w:p>
        </w:tc>
      </w:tr>
      <w:tr w:rsidR="009C04D6" w:rsidRPr="009C04D6" w14:paraId="50B6B8DC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71178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5FC23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</w:t>
            </w:r>
          </w:p>
        </w:tc>
      </w:tr>
      <w:tr w:rsidR="009C04D6" w:rsidRPr="009C04D6" w14:paraId="3DAD1D1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EAA5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Finalidade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A6E7A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Garantir o cumprimento dos itens previstos no Termo de Referência e a boa execução dos serviços.</w:t>
            </w:r>
          </w:p>
        </w:tc>
      </w:tr>
      <w:tr w:rsidR="009C04D6" w:rsidRPr="009C04D6" w14:paraId="74E669C8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2660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Meta a cumprir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116D9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100%</w:t>
            </w:r>
          </w:p>
        </w:tc>
      </w:tr>
      <w:tr w:rsidR="009C04D6" w:rsidRPr="009C04D6" w14:paraId="4A051E50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50D8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Instrumento de medição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4AED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Relatório mensal</w:t>
            </w:r>
          </w:p>
        </w:tc>
      </w:tr>
      <w:tr w:rsidR="009C04D6" w:rsidRPr="009C04D6" w14:paraId="20CA0772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8CE9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 de acompanhamento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A1D1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Ofício e correio eletrônico</w:t>
            </w:r>
          </w:p>
        </w:tc>
      </w:tr>
      <w:tr w:rsidR="009C04D6" w:rsidRPr="009C04D6" w14:paraId="0E9A92AD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C540B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Periodicidade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0E33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Mensalmente</w:t>
            </w:r>
          </w:p>
        </w:tc>
      </w:tr>
      <w:tr w:rsidR="009C04D6" w:rsidRPr="009C04D6" w14:paraId="1847B1F4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9AB1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Mecanismo de cálculo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4C28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Nº de solicitações atendidas / nº total de solicitações enviadas pela equipe de fiscalização do contrato*100</w:t>
            </w:r>
          </w:p>
        </w:tc>
      </w:tr>
      <w:tr w:rsidR="009C04D6" w:rsidRPr="009C04D6" w14:paraId="1AFC34E9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2894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Início da vigência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82B2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30 dias após o início da prestação do serviço</w:t>
            </w:r>
          </w:p>
        </w:tc>
      </w:tr>
      <w:tr w:rsidR="009C04D6" w:rsidRPr="009C04D6" w14:paraId="0440E49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69BE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Faixas de ajuste no pagamento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78472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 xml:space="preserve">Faixa A: 100% </w:t>
            </w:r>
            <w:proofErr w:type="gramStart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-  100</w:t>
            </w:r>
            <w:proofErr w:type="gramEnd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% do valor contratado;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Faixa B: &lt;100% - 90% do valor contratado;</w:t>
            </w:r>
          </w:p>
        </w:tc>
      </w:tr>
      <w:tr w:rsidR="009C04D6" w:rsidRPr="009C04D6" w14:paraId="32ED1785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EC3F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Sanções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069F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Faixa A: não há aplicação de multa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Faixa B: 0,10% * nº de solicitações não atendidas* valor global do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contrato</w:t>
            </w:r>
          </w:p>
        </w:tc>
      </w:tr>
      <w:tr w:rsidR="009C04D6" w:rsidRPr="009C04D6" w14:paraId="53088C5F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C226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Observações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0C88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 CONTRATADA deverá atender às solicitações enviadas pela equipe de fiscalização do contrato no período estipulado no documento (ofício e/ou correio eletrônico).</w:t>
            </w:r>
          </w:p>
        </w:tc>
      </w:tr>
    </w:tbl>
    <w:p w14:paraId="09FE095C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tbl>
      <w:tblPr>
        <w:tblW w:w="9072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6"/>
        <w:gridCol w:w="7056"/>
      </w:tblGrid>
      <w:tr w:rsidR="009C04D6" w:rsidRPr="009C04D6" w14:paraId="7F2DBC44" w14:textId="77777777" w:rsidTr="0076396B">
        <w:trPr>
          <w:tblCellSpacing w:w="22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9C7AA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INDICADOR Nº 3:  </w:t>
            </w: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ATENDIMENTO DA SOLICITAÇÃO DO SERVIÇO DE MANUTENÇÃO PREVENTIVA E CORRETIVA</w:t>
            </w:r>
          </w:p>
        </w:tc>
      </w:tr>
      <w:tr w:rsidR="009C04D6" w:rsidRPr="009C04D6" w14:paraId="626936A5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C721E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2B4A7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</w:t>
            </w:r>
          </w:p>
        </w:tc>
      </w:tr>
      <w:tr w:rsidR="009C04D6" w:rsidRPr="009C04D6" w14:paraId="2CC12CA1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238D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Finalidade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ACB2C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Atendimento de todas as solicitações de serviço</w:t>
            </w:r>
          </w:p>
        </w:tc>
      </w:tr>
      <w:tr w:rsidR="009C04D6" w:rsidRPr="009C04D6" w14:paraId="0D4F7C5F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9E79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Meta a cumprir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57FAB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99,5% das solicitações de serviço realizadas</w:t>
            </w:r>
          </w:p>
        </w:tc>
      </w:tr>
      <w:tr w:rsidR="009C04D6" w:rsidRPr="009C04D6" w14:paraId="17713434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2F34C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Instrumento de medição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C799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Relatório mensal</w:t>
            </w:r>
          </w:p>
        </w:tc>
      </w:tr>
      <w:tr w:rsidR="009C04D6" w:rsidRPr="009C04D6" w14:paraId="17ACB928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C780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 de acompanhamento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53C7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Cumprimento das manutenções preventivas e corretivas, nas datas agendadas e disponibilizadas em planilhas pela CONTRATADA</w:t>
            </w:r>
          </w:p>
        </w:tc>
      </w:tr>
      <w:tr w:rsidR="009C04D6" w:rsidRPr="009C04D6" w14:paraId="4511E631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801E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Periodicidade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DFAF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Mensalmente</w:t>
            </w:r>
          </w:p>
        </w:tc>
      </w:tr>
      <w:tr w:rsidR="009C04D6" w:rsidRPr="009C04D6" w14:paraId="5E1E1DE8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8C76E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Mecanismo de cálculo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7BACC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Será calculado a porcentagem de solicitações de atendimentos que foram canceladas após transcorridos mais de 15 (quinze) minutos da hora da solicitação do serviço.</w:t>
            </w:r>
          </w:p>
          <w:p w14:paraId="72561D4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Parâmetro: % de solicitações de atendimentos canceladas</w:t>
            </w:r>
          </w:p>
          <w:p w14:paraId="6CADAEF7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X = (solicitações de atendimentos canceladas/Total de atendimentos no mês) *100%.</w:t>
            </w:r>
          </w:p>
        </w:tc>
      </w:tr>
      <w:tr w:rsidR="009C04D6" w:rsidRPr="009C04D6" w14:paraId="5ACD5353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E47F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Início da vigência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AA94A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Data de início da vigência do contrato</w:t>
            </w:r>
          </w:p>
        </w:tc>
      </w:tr>
      <w:tr w:rsidR="009C04D6" w:rsidRPr="009C04D6" w14:paraId="1AEA022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2700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Faixas de ajuste no pagamento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033A1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Até 0,5% de solicitações de atendimentos não realizado no prazo</w:t>
            </w:r>
          </w:p>
          <w:p w14:paraId="711969B9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0,5% e até 1% de solicitações de atendimentos não realizado no prazo</w:t>
            </w:r>
          </w:p>
          <w:p w14:paraId="76F9CDED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1 % e até 1,5% de solicitações de atendimentos não realizado no prazo</w:t>
            </w:r>
          </w:p>
          <w:p w14:paraId="685DE745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1,5% e até 2% de solicitações de atendimentos não realizado no prazo</w:t>
            </w:r>
          </w:p>
          <w:p w14:paraId="757E2ABD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2% e até 3% de solicitações de atendimentos não realizado no prazo</w:t>
            </w:r>
          </w:p>
          <w:p w14:paraId="043A8B5A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3% e até 4% de solicitações de atendimentos não realizado no prazo</w:t>
            </w:r>
          </w:p>
          <w:p w14:paraId="5500A461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4% e até 5% de solicitações de atendimentos não realizado no prazo</w:t>
            </w:r>
          </w:p>
          <w:p w14:paraId="14AF0F48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5% de solicitações de atendimentos não realizado no prazo</w:t>
            </w:r>
          </w:p>
        </w:tc>
      </w:tr>
      <w:tr w:rsidR="009C04D6" w:rsidRPr="009C04D6" w14:paraId="6A347C93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1EA43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Sanções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4E07C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Até 0,5% de solicitações de atendimentos não realizado no prazo - 100%</w:t>
            </w:r>
          </w:p>
          <w:p w14:paraId="1204CE37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0,5% e até 1% de solicitações de atendimentos não realizado no prazo –99,43%</w:t>
            </w:r>
          </w:p>
          <w:p w14:paraId="5D67CD4D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1 % e até 1,5% de solicitações de atendimentos não realizado no prazo –99,21%</w:t>
            </w:r>
          </w:p>
          <w:p w14:paraId="723BDB16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1,5% e até 2% de solicitações de atendimentos não realizado no prazo –98,94%</w:t>
            </w:r>
          </w:p>
          <w:p w14:paraId="7D50CC35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Acima de 2% e até 3% de solicitações de atendimentos não realizado no prazo – 98,62%</w:t>
            </w:r>
          </w:p>
          <w:p w14:paraId="1FB6F8C7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3% e até 4% de solicitações de atendimentos não realizado no prazo – 98,07%</w:t>
            </w:r>
          </w:p>
          <w:p w14:paraId="4972B6F2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4% e até 5% de solicitações de atendimentos não realizado no prazo – 97,34%</w:t>
            </w:r>
          </w:p>
          <w:p w14:paraId="50E134C9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Acima de 5% de solicitações de atendimentos não realizado no prazo– 96,57%</w:t>
            </w:r>
          </w:p>
          <w:p w14:paraId="6AB2D8CF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Aplicáveis ao valor mensal da fatura do ÓRGÃO/ENTIDADE</w:t>
            </w:r>
          </w:p>
        </w:tc>
      </w:tr>
      <w:tr w:rsidR="009C04D6" w:rsidRPr="009C04D6" w14:paraId="76C9B487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C0B8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Observações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280F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Em todos os cálculos, deverá ser sempre desprezada a fração, se inferior a meio, e igualada a um, se igual ou superior.</w:t>
            </w:r>
          </w:p>
        </w:tc>
      </w:tr>
    </w:tbl>
    <w:p w14:paraId="331F9F79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tbl>
      <w:tblPr>
        <w:tblW w:w="9072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1"/>
        <w:gridCol w:w="7051"/>
      </w:tblGrid>
      <w:tr w:rsidR="009C04D6" w:rsidRPr="009C04D6" w14:paraId="281415C1" w14:textId="77777777" w:rsidTr="0076396B">
        <w:trPr>
          <w:tblCellSpacing w:w="22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5A552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INDICADOR Nº 4:  </w:t>
            </w: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QUALIDADE DO ATENDIMENTO</w:t>
            </w:r>
          </w:p>
        </w:tc>
      </w:tr>
      <w:tr w:rsidR="009C04D6" w:rsidRPr="009C04D6" w14:paraId="0CDB1DCA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35439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2D0A5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</w:t>
            </w:r>
          </w:p>
        </w:tc>
      </w:tr>
      <w:tr w:rsidR="009C04D6" w:rsidRPr="009C04D6" w14:paraId="20681E4A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28BAC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Finalidade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535A7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Garantir a qualidade do serviço prestado</w:t>
            </w:r>
          </w:p>
        </w:tc>
      </w:tr>
      <w:tr w:rsidR="009C04D6" w:rsidRPr="009C04D6" w14:paraId="7AB7FA6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EAF7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Meta a cumprir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E0CA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Avaliação do serviço nas gradações “bom” ou “ótimo” e atendimento dentro do prazo.</w:t>
            </w:r>
          </w:p>
        </w:tc>
      </w:tr>
      <w:tr w:rsidR="009C04D6" w:rsidRPr="009C04D6" w14:paraId="4545A760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ECAF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Instrumento de medição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D356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Relatório mensal</w:t>
            </w:r>
          </w:p>
        </w:tc>
      </w:tr>
      <w:tr w:rsidR="009C04D6" w:rsidRPr="009C04D6" w14:paraId="449942CE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2DF53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 de acompanhamento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E37A3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VEÍCULO utilizado no atendimento em perfeitas condições de segurança, conforto e higiene e equipamentos necessários ao bom funcionamento do veículo para atender o serviço com qualidade.</w:t>
            </w:r>
          </w:p>
        </w:tc>
      </w:tr>
      <w:tr w:rsidR="009C04D6" w:rsidRPr="009C04D6" w14:paraId="234B97E7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4A377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Periodicidade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FE2C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Mensalmente</w:t>
            </w:r>
          </w:p>
        </w:tc>
      </w:tr>
      <w:tr w:rsidR="009C04D6" w:rsidRPr="009C04D6" w14:paraId="2C8B5D29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F47D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Mecanismo de cálculo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3010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 xml:space="preserve">Será calculado o desconto sobre o valor da fatura correspondente ao veículo </w:t>
            </w:r>
            <w:proofErr w:type="gramStart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que  ver</w:t>
            </w:r>
            <w:proofErr w:type="gramEnd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 xml:space="preserve"> as gradações “péssimo” ou “ruim” avaliados pelo gestor do contrato e usuário.</w:t>
            </w:r>
          </w:p>
        </w:tc>
      </w:tr>
      <w:tr w:rsidR="009C04D6" w:rsidRPr="009C04D6" w14:paraId="11DBE258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1ABC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Início da vigência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8193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Data de início da vigência do contrato</w:t>
            </w:r>
          </w:p>
        </w:tc>
      </w:tr>
      <w:tr w:rsidR="009C04D6" w:rsidRPr="009C04D6" w14:paraId="51AC3221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7069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Faixas de ajuste no pagamento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4804F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Ótimo: 100% do valor contratado;</w:t>
            </w:r>
          </w:p>
          <w:p w14:paraId="1B8B2C0C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Bom: 100% do valor contratado;</w:t>
            </w:r>
          </w:p>
          <w:p w14:paraId="45257790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Ruim: 96,5% do valor contratado;</w:t>
            </w:r>
          </w:p>
          <w:p w14:paraId="4968B9C9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Péssimo: 96% do valor contratado;</w:t>
            </w:r>
          </w:p>
        </w:tc>
      </w:tr>
      <w:tr w:rsidR="009C04D6" w:rsidRPr="009C04D6" w14:paraId="57A93757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BFB39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Sanções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18E6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 xml:space="preserve">Péssimo – desconto de 4% do valor da fatura.                          </w:t>
            </w:r>
          </w:p>
          <w:p w14:paraId="4AAFDC74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Ruim – desconto de 3,5 % do valor da fatura.</w:t>
            </w:r>
          </w:p>
        </w:tc>
      </w:tr>
      <w:tr w:rsidR="009C04D6" w:rsidRPr="009C04D6" w14:paraId="0FB45513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CDF59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Observações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10B89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4306643" w14:textId="77777777" w:rsidR="009C04D6" w:rsidRPr="009C04D6" w:rsidRDefault="009C04D6" w:rsidP="009C04D6">
      <w:pPr>
        <w:pStyle w:val="itemnivel2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Nos termos do item 1, do Anexo VIII-A da Instrução Normativa SEGES/MP nº 05, de 2017, será indicada a retenção ou glosa no pagamento, proporcional à irregularidade verificada, sem prejuízo das sanções cabíveis, caso se constate que a Contratada:</w:t>
      </w:r>
    </w:p>
    <w:p w14:paraId="1FCFE033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não produziu os resultados acordados;</w:t>
      </w:r>
    </w:p>
    <w:p w14:paraId="04D8BF6D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deixou de executar as atividades contratadas, ou não as executou com a qualidade mínima exigida;</w:t>
      </w:r>
    </w:p>
    <w:p w14:paraId="0A34633C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deixou de utilizar os materiais e recursos humanos exigidos para a execução do serviço, ou utilizou-os com qualidade ou quantidade inferior à demandada.</w:t>
      </w:r>
    </w:p>
    <w:p w14:paraId="633ABE41" w14:textId="77777777" w:rsidR="009C04D6" w:rsidRDefault="009C04D6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9C04D6" w:rsidSect="0054468A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0818A" w14:textId="77777777" w:rsidR="00E47A8F" w:rsidRDefault="00E47A8F" w:rsidP="00195787">
      <w:r>
        <w:separator/>
      </w:r>
    </w:p>
  </w:endnote>
  <w:endnote w:type="continuationSeparator" w:id="0">
    <w:p w14:paraId="6402CF1A" w14:textId="77777777" w:rsidR="00E47A8F" w:rsidRDefault="00E47A8F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Pr="00BB6E89" w:rsidRDefault="000A58EF" w:rsidP="00BB6E89">
    <w:pPr>
      <w:pStyle w:val="Rodap"/>
      <w:rPr>
        <w:rFonts w:asciiTheme="minorHAnsi" w:hAnsiTheme="minorHAnsi" w:cstheme="minorHAnsi"/>
        <w:sz w:val="16"/>
        <w:szCs w:val="16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57084CC1" w:rsidR="000A58EF" w:rsidRPr="007D1C2C" w:rsidRDefault="000A58EF" w:rsidP="00BB598F">
    <w:pPr>
      <w:pStyle w:val="Rodap"/>
      <w:jc w:val="center"/>
      <w:rPr>
        <w:i/>
      </w:rPr>
    </w:pP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noProof/>
        <w:sz w:val="16"/>
        <w:szCs w:val="16"/>
      </w:rPr>
      <w:t>14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noProof/>
        <w:sz w:val="16"/>
        <w:szCs w:val="16"/>
      </w:rPr>
      <w:t>39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1FFE4" w14:textId="77777777" w:rsidR="00E47A8F" w:rsidRDefault="00E47A8F" w:rsidP="00195787">
      <w:r>
        <w:separator/>
      </w:r>
    </w:p>
  </w:footnote>
  <w:footnote w:type="continuationSeparator" w:id="0">
    <w:p w14:paraId="1A01D52F" w14:textId="77777777" w:rsidR="00E47A8F" w:rsidRDefault="00E47A8F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2C26E5B4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1BC9967D" w:rsidR="000A58EF" w:rsidRDefault="0054468A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05A81A09">
          <wp:simplePos x="0" y="0"/>
          <wp:positionH relativeFrom="margin">
            <wp:posOffset>-334645</wp:posOffset>
          </wp:positionH>
          <wp:positionV relativeFrom="paragraph">
            <wp:posOffset>126365</wp:posOffset>
          </wp:positionV>
          <wp:extent cx="685800" cy="370840"/>
          <wp:effectExtent l="0" t="0" r="0" b="0"/>
          <wp:wrapNone/>
          <wp:docPr id="1268754057" name="Imagem 1268754057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75F797CC">
          <wp:simplePos x="0" y="0"/>
          <wp:positionH relativeFrom="column">
            <wp:posOffset>5373370</wp:posOffset>
          </wp:positionH>
          <wp:positionV relativeFrom="paragraph">
            <wp:posOffset>117475</wp:posOffset>
          </wp:positionV>
          <wp:extent cx="1120140" cy="383298"/>
          <wp:effectExtent l="0" t="0" r="0" b="0"/>
          <wp:wrapNone/>
          <wp:docPr id="1379240979" name="Imagem 13792409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534C64" w14:textId="29F28454" w:rsidR="000A58EF" w:rsidRDefault="000A58EF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0AB8537D"/>
    <w:multiLevelType w:val="hybridMultilevel"/>
    <w:tmpl w:val="429491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5C100D"/>
    <w:multiLevelType w:val="multilevel"/>
    <w:tmpl w:val="7B4A411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5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6" w15:restartNumberingAfterBreak="0">
    <w:nsid w:val="2D0E38B7"/>
    <w:multiLevelType w:val="hybridMultilevel"/>
    <w:tmpl w:val="2E9676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497F4F9B"/>
    <w:multiLevelType w:val="hybridMultilevel"/>
    <w:tmpl w:val="F40CF162"/>
    <w:lvl w:ilvl="0" w:tplc="E24AD774">
      <w:start w:val="1"/>
      <w:numFmt w:val="upperRoman"/>
      <w:lvlText w:val="%1)"/>
      <w:lvlJc w:val="left"/>
      <w:pPr>
        <w:ind w:left="213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7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 w15:restartNumberingAfterBreak="0">
    <w:nsid w:val="7C1C2044"/>
    <w:multiLevelType w:val="hybridMultilevel"/>
    <w:tmpl w:val="A93C00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767839">
    <w:abstractNumId w:val="29"/>
  </w:num>
  <w:num w:numId="2" w16cid:durableId="1032851531">
    <w:abstractNumId w:val="32"/>
  </w:num>
  <w:num w:numId="3" w16cid:durableId="496651781">
    <w:abstractNumId w:val="33"/>
  </w:num>
  <w:num w:numId="4" w16cid:durableId="149248634">
    <w:abstractNumId w:val="28"/>
  </w:num>
  <w:num w:numId="5" w16cid:durableId="1410008166">
    <w:abstractNumId w:val="24"/>
  </w:num>
  <w:num w:numId="6" w16cid:durableId="11792751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4"/>
  </w:num>
  <w:num w:numId="9" w16cid:durableId="805396840">
    <w:abstractNumId w:val="27"/>
  </w:num>
  <w:num w:numId="10" w16cid:durableId="606891016">
    <w:abstractNumId w:val="35"/>
  </w:num>
  <w:num w:numId="11" w16cid:durableId="892619033">
    <w:abstractNumId w:val="36"/>
  </w:num>
  <w:num w:numId="12" w16cid:durableId="75178389">
    <w:abstractNumId w:val="21"/>
  </w:num>
  <w:num w:numId="13" w16cid:durableId="304942186">
    <w:abstractNumId w:val="25"/>
  </w:num>
  <w:num w:numId="14" w16cid:durableId="669333126">
    <w:abstractNumId w:val="3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5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30616946">
    <w:abstractNumId w:val="30"/>
  </w:num>
  <w:num w:numId="18" w16cid:durableId="52887698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36785609">
    <w:abstractNumId w:val="26"/>
  </w:num>
  <w:num w:numId="20" w16cid:durableId="1473014029">
    <w:abstractNumId w:val="38"/>
  </w:num>
  <w:num w:numId="21" w16cid:durableId="550843303">
    <w:abstractNumId w:val="2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E1DC8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16A4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0767A"/>
    <w:rsid w:val="00210941"/>
    <w:rsid w:val="00210F3A"/>
    <w:rsid w:val="00211623"/>
    <w:rsid w:val="002154ED"/>
    <w:rsid w:val="00220275"/>
    <w:rsid w:val="00225216"/>
    <w:rsid w:val="00230969"/>
    <w:rsid w:val="00230E72"/>
    <w:rsid w:val="002318EE"/>
    <w:rsid w:val="0023324D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4F95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1C39"/>
    <w:rsid w:val="003570DA"/>
    <w:rsid w:val="003804AE"/>
    <w:rsid w:val="00385255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A6729"/>
    <w:rsid w:val="004B5C84"/>
    <w:rsid w:val="004C1C27"/>
    <w:rsid w:val="004E1CA4"/>
    <w:rsid w:val="004E712D"/>
    <w:rsid w:val="005006DB"/>
    <w:rsid w:val="00513C95"/>
    <w:rsid w:val="005156AC"/>
    <w:rsid w:val="005262A8"/>
    <w:rsid w:val="0054468A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39A1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308DC"/>
    <w:rsid w:val="008540D8"/>
    <w:rsid w:val="008566DD"/>
    <w:rsid w:val="00892576"/>
    <w:rsid w:val="0089665C"/>
    <w:rsid w:val="008C23FF"/>
    <w:rsid w:val="008C54E4"/>
    <w:rsid w:val="008C6744"/>
    <w:rsid w:val="008E166E"/>
    <w:rsid w:val="008E4E95"/>
    <w:rsid w:val="008F3BD8"/>
    <w:rsid w:val="0090037C"/>
    <w:rsid w:val="00912689"/>
    <w:rsid w:val="009271C3"/>
    <w:rsid w:val="009350A3"/>
    <w:rsid w:val="00937A6A"/>
    <w:rsid w:val="00940753"/>
    <w:rsid w:val="00946A34"/>
    <w:rsid w:val="009502A0"/>
    <w:rsid w:val="00951247"/>
    <w:rsid w:val="00973203"/>
    <w:rsid w:val="00985AA4"/>
    <w:rsid w:val="009937E6"/>
    <w:rsid w:val="009A4E8F"/>
    <w:rsid w:val="009A60CB"/>
    <w:rsid w:val="009C04D6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5603"/>
    <w:rsid w:val="00B9643D"/>
    <w:rsid w:val="00BB0870"/>
    <w:rsid w:val="00BB1363"/>
    <w:rsid w:val="00BB598F"/>
    <w:rsid w:val="00BB6E89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0D2D"/>
    <w:rsid w:val="00C754FF"/>
    <w:rsid w:val="00C7600F"/>
    <w:rsid w:val="00C804D0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1F09"/>
    <w:rsid w:val="00DE596B"/>
    <w:rsid w:val="00DF5E89"/>
    <w:rsid w:val="00E03B99"/>
    <w:rsid w:val="00E1163C"/>
    <w:rsid w:val="00E23909"/>
    <w:rsid w:val="00E30151"/>
    <w:rsid w:val="00E31561"/>
    <w:rsid w:val="00E44B0C"/>
    <w:rsid w:val="00E47A8F"/>
    <w:rsid w:val="00E52524"/>
    <w:rsid w:val="00E578A6"/>
    <w:rsid w:val="00E62002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11B7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11BA"/>
    <w:rsid w:val="00FA37D5"/>
    <w:rsid w:val="00FA404A"/>
    <w:rsid w:val="00FA6B1D"/>
    <w:rsid w:val="00FB01FF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uiPriority w:val="99"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uiPriority w:val="20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link w:val="Nivel3Char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table" w:styleId="TabeladeGrade5Escura-nfase1">
    <w:name w:val="Grid Table 5 Dark Accent 1"/>
    <w:basedOn w:val="Tabelanormal"/>
    <w:uiPriority w:val="50"/>
    <w:rsid w:val="004A67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PrembuloChar">
    <w:name w:val="Preâmbulo Char"/>
    <w:basedOn w:val="Fontepargpadro"/>
    <w:link w:val="Prembulo"/>
    <w:locked/>
    <w:rsid w:val="006439A1"/>
    <w:rPr>
      <w:rFonts w:ascii="Arial" w:eastAsia="Arial" w:hAnsi="Arial" w:cs="Arial"/>
      <w:bCs/>
    </w:rPr>
  </w:style>
  <w:style w:type="paragraph" w:customStyle="1" w:styleId="Prembulo">
    <w:name w:val="Preâmbulo"/>
    <w:basedOn w:val="Normal"/>
    <w:link w:val="PrembuloChar"/>
    <w:qFormat/>
    <w:rsid w:val="006439A1"/>
    <w:pPr>
      <w:suppressAutoHyphens w:val="0"/>
      <w:spacing w:before="480" w:after="120" w:line="360" w:lineRule="auto"/>
      <w:ind w:left="4253" w:right="-17"/>
      <w:jc w:val="both"/>
    </w:pPr>
    <w:rPr>
      <w:rFonts w:eastAsia="Arial" w:cs="Arial"/>
      <w:bCs/>
      <w:szCs w:val="20"/>
    </w:rPr>
  </w:style>
  <w:style w:type="paragraph" w:customStyle="1" w:styleId="Nivel010">
    <w:name w:val="Nivel 01"/>
    <w:basedOn w:val="Ttulo1"/>
    <w:next w:val="Normal"/>
    <w:link w:val="Nivel01Char"/>
    <w:autoRedefine/>
    <w:qFormat/>
    <w:rsid w:val="006439A1"/>
    <w:pPr>
      <w:tabs>
        <w:tab w:val="left" w:pos="0"/>
      </w:tabs>
      <w:suppressAutoHyphens w:val="0"/>
      <w:ind w:hanging="360"/>
      <w:jc w:val="both"/>
    </w:pPr>
    <w:rPr>
      <w:rFonts w:ascii="Arial" w:eastAsiaTheme="majorEastAsia" w:hAnsi="Arial" w:cs="Arial"/>
      <w:b/>
      <w:bCs/>
      <w:color w:val="auto"/>
      <w:sz w:val="20"/>
      <w:szCs w:val="20"/>
    </w:rPr>
  </w:style>
  <w:style w:type="character" w:customStyle="1" w:styleId="Nivel01Char">
    <w:name w:val="Nivel 01 Char"/>
    <w:basedOn w:val="Fontepargpadro"/>
    <w:link w:val="Nivel010"/>
    <w:rsid w:val="006439A1"/>
    <w:rPr>
      <w:rFonts w:ascii="Arial" w:eastAsiaTheme="majorEastAsia" w:hAnsi="Arial" w:cs="Arial"/>
      <w:b/>
      <w:bCs/>
    </w:rPr>
  </w:style>
  <w:style w:type="character" w:customStyle="1" w:styleId="Nivel4Char">
    <w:name w:val="Nivel 4 Char"/>
    <w:basedOn w:val="Fontepargpadro"/>
    <w:link w:val="Nivel4"/>
    <w:rsid w:val="006439A1"/>
    <w:rPr>
      <w:rFonts w:ascii="Ecofont_Spranq_eco_Sans" w:eastAsia="Arial Unicode MS" w:hAnsi="Ecofont_Spranq_eco_Sans" w:cs="Arial"/>
    </w:rPr>
  </w:style>
  <w:style w:type="paragraph" w:customStyle="1" w:styleId="ou">
    <w:name w:val="ou"/>
    <w:basedOn w:val="PargrafodaLista"/>
    <w:link w:val="ouChar"/>
    <w:qFormat/>
    <w:rsid w:val="006439A1"/>
    <w:pPr>
      <w:suppressAutoHyphens w:val="0"/>
      <w:spacing w:before="60" w:after="60" w:line="259" w:lineRule="auto"/>
      <w:ind w:left="0"/>
      <w:contextualSpacing w:val="0"/>
      <w:jc w:val="center"/>
    </w:pPr>
    <w:rPr>
      <w:rFonts w:eastAsiaTheme="minorHAnsi" w:cs="Arial"/>
      <w:b/>
      <w:bCs/>
      <w:iCs/>
      <w:color w:val="FF0000"/>
      <w:sz w:val="24"/>
      <w:u w:val="single"/>
    </w:rPr>
  </w:style>
  <w:style w:type="character" w:customStyle="1" w:styleId="ouChar">
    <w:name w:val="ou Char"/>
    <w:basedOn w:val="PargrafodaListaChar"/>
    <w:link w:val="ou"/>
    <w:rsid w:val="006439A1"/>
    <w:rPr>
      <w:rFonts w:ascii="Arial" w:eastAsiaTheme="minorHAnsi" w:hAnsi="Arial" w:cs="Arial"/>
      <w:b/>
      <w:bCs/>
      <w:iCs/>
      <w:color w:val="FF0000"/>
      <w:sz w:val="24"/>
      <w:szCs w:val="24"/>
      <w:u w:val="single"/>
    </w:rPr>
  </w:style>
  <w:style w:type="paragraph" w:customStyle="1" w:styleId="Nvel2-Red">
    <w:name w:val="Nível 2 -Red"/>
    <w:basedOn w:val="Nivel2"/>
    <w:link w:val="Nvel2-RedChar"/>
    <w:qFormat/>
    <w:rsid w:val="006439A1"/>
    <w:pPr>
      <w:ind w:left="0" w:firstLine="0"/>
    </w:pPr>
    <w:rPr>
      <w:rFonts w:ascii="Arial" w:eastAsiaTheme="minorEastAsia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439A1"/>
    <w:pPr>
      <w:tabs>
        <w:tab w:val="clear" w:pos="360"/>
      </w:tabs>
      <w:ind w:left="284" w:firstLine="0"/>
    </w:pPr>
    <w:rPr>
      <w:rFonts w:eastAsiaTheme="minorEastAsia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439A1"/>
    <w:rPr>
      <w:rFonts w:ascii="Arial" w:eastAsiaTheme="minorEastAsia" w:hAnsi="Arial" w:cs="Arial"/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6439A1"/>
    <w:rPr>
      <w:rFonts w:ascii="Ecofont_Spranq_eco_Sans" w:eastAsia="Arial Unicode MS" w:hAnsi="Ecofont_Spranq_eco_Sans" w:cs="Arial"/>
      <w:color w:val="000000"/>
    </w:rPr>
  </w:style>
  <w:style w:type="character" w:customStyle="1" w:styleId="Nvel3-RChar">
    <w:name w:val="Nível 3-R Char"/>
    <w:basedOn w:val="Nivel3Char"/>
    <w:link w:val="Nvel3-R"/>
    <w:rsid w:val="006439A1"/>
    <w:rPr>
      <w:rFonts w:ascii="Ecofont_Spranq_eco_Sans" w:eastAsiaTheme="minorEastAsia" w:hAnsi="Ecofont_Spranq_eco_Sans" w:cs="Arial"/>
      <w:i/>
      <w:iCs/>
      <w:color w:val="FF0000"/>
    </w:rPr>
  </w:style>
  <w:style w:type="paragraph" w:customStyle="1" w:styleId="ebserhtabelatextoalinhadoesquerda">
    <w:name w:val="ebserh_tabela_texto_alinhado_esquerda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itemnivel2">
    <w:name w:val="item_nivel2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itemalinealetra">
    <w:name w:val="item_alinea_letra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dark-mode-color-black">
    <w:name w:val="dark-mode-color-black"/>
    <w:basedOn w:val="Fontepargpadro"/>
    <w:rsid w:val="009C0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1279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3</cp:revision>
  <cp:lastPrinted>2025-03-02T06:00:00Z</cp:lastPrinted>
  <dcterms:created xsi:type="dcterms:W3CDTF">2025-03-02T06:00:00Z</dcterms:created>
  <dcterms:modified xsi:type="dcterms:W3CDTF">2025-03-02T06:00:00Z</dcterms:modified>
  <dc:language>pt-BR</dc:language>
</cp:coreProperties>
</file>