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rPr>
        <mc:AlternateContent>
          <mc:Choice Requires="wpg">
            <w:drawing>
              <wp:anchor allowOverlap="1" behindDoc="1" distB="0" distT="0" distL="0" distR="0" hidden="0" layoutInCell="1" locked="0" relativeHeight="0" simplePos="0">
                <wp:simplePos x="0" y="0"/>
                <wp:positionH relativeFrom="page">
                  <wp:posOffset>1015365</wp:posOffset>
                </wp:positionH>
                <wp:positionV relativeFrom="page">
                  <wp:posOffset>2203452</wp:posOffset>
                </wp:positionV>
                <wp:extent cx="5676900" cy="5311775"/>
                <wp:effectExtent b="0" l="0" r="0" t="0"/>
                <wp:wrapNone/>
                <wp:docPr id="2115606143" name=""/>
                <a:graphic>
                  <a:graphicData uri="http://schemas.microsoft.com/office/word/2010/wordprocessingShape">
                    <wps:wsp>
                      <wps:cNvSpPr/>
                      <wps:cNvPr id="2" name="Shape 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1015365</wp:posOffset>
                </wp:positionH>
                <wp:positionV relativeFrom="page">
                  <wp:posOffset>2203452</wp:posOffset>
                </wp:positionV>
                <wp:extent cx="5676900" cy="5311775"/>
                <wp:effectExtent b="0" l="0" r="0" t="0"/>
                <wp:wrapNone/>
                <wp:docPr id="2115606143"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5676900" cy="5311775"/>
                        </a:xfrm>
                        <a:prstGeom prst="rect"/>
                        <a:ln/>
                      </pic:spPr>
                    </pic:pic>
                  </a:graphicData>
                </a:graphic>
              </wp:anchor>
            </w:drawing>
          </mc:Fallback>
        </mc:AlternateContent>
      </w: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937"/>
        <w:gridCol w:w="2860"/>
        <w:gridCol w:w="911"/>
        <w:gridCol w:w="674"/>
        <w:gridCol w:w="2123"/>
        <w:gridCol w:w="962"/>
        <w:gridCol w:w="1801"/>
        <w:tblGridChange w:id="0">
          <w:tblGrid>
            <w:gridCol w:w="617"/>
            <w:gridCol w:w="937"/>
            <w:gridCol w:w="2860"/>
            <w:gridCol w:w="911"/>
            <w:gridCol w:w="674"/>
            <w:gridCol w:w="2123"/>
            <w:gridCol w:w="962"/>
            <w:gridCol w:w="1801"/>
          </w:tblGrid>
        </w:tblGridChange>
      </w:tblGrid>
      <w:tr>
        <w:trPr>
          <w:cantSplit w:val="0"/>
          <w:trHeight w:val="12578" w:hRule="atLeast"/>
          <w:tblHeader w:val="0"/>
        </w:trPr>
        <w:tc>
          <w:tcPr>
            <w:gridSpan w:val="8"/>
            <w:tcBorders>
              <w:bottom w:color="000000" w:space="0" w:sz="4" w:val="single"/>
            </w:tcBorders>
          </w:tcPr>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5"/>
                <w:szCs w:val="5"/>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tabs>
                <w:tab w:val="left" w:leader="none" w:pos="5001"/>
                <w:tab w:val="left" w:leader="none" w:pos="9053"/>
              </w:tabs>
              <w:spacing w:after="0" w:before="0" w:line="240" w:lineRule="auto"/>
              <w:ind w:left="62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Pr>
              <w:drawing>
                <wp:inline distB="0" distT="0" distL="0" distR="0">
                  <wp:extent cx="684860" cy="370331"/>
                  <wp:effectExtent b="0" l="0" r="0" t="0"/>
                  <wp:docPr id="2115606147"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tl w:val="0"/>
              </w:rPr>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628762" cy="617029"/>
                  <wp:effectExtent b="0" l="0" r="0" t="0"/>
                  <wp:docPr id="2115606149"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Pr>
              <w:drawing>
                <wp:inline distB="0" distT="0" distL="0" distR="0">
                  <wp:extent cx="927176" cy="196596"/>
                  <wp:effectExtent b="0" l="0" r="0" t="0"/>
                  <wp:docPr id="2115606148"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3709" w:right="3595" w:firstLine="1.0000000000002274"/>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MINISTÉRIO DA EDUCAÇÃO UNIVERSIDADE FEDERAL FLUMINENSE PRO REITORIA DE ADMINISTRAÇÃO</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175" w:line="482" w:lineRule="auto"/>
              <w:ind w:left="2681" w:right="2565" w:firstLine="0"/>
              <w:jc w:val="center"/>
              <w:rPr>
                <w:rFonts w:ascii="Arial" w:cs="Arial" w:eastAsia="Arial" w:hAnsi="Arial"/>
                <w:b w:val="1"/>
                <w:i w:val="0"/>
                <w:smallCaps w:val="0"/>
                <w:strike w:val="0"/>
                <w:color w:val="ff0000"/>
                <w:sz w:val="18"/>
                <w:szCs w:val="18"/>
                <w:u w:val="none"/>
                <w:shd w:fill="auto" w:val="clear"/>
                <w:vertAlign w:val="baseline"/>
              </w:rPr>
            </w:pP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ANEXO </w:t>
            </w:r>
            <w:r w:rsidDel="00000000" w:rsidR="00000000" w:rsidRPr="00000000">
              <w:rPr>
                <w:rFonts w:ascii="Arial" w:cs="Arial" w:eastAsia="Arial" w:hAnsi="Arial"/>
                <w:b w:val="1"/>
                <w:color w:val="ff0000"/>
                <w:sz w:val="18"/>
                <w:szCs w:val="18"/>
                <w:rtl w:val="0"/>
              </w:rPr>
              <w:t xml:space="preserve">VI </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DO EDITAL DO </w:t>
            </w:r>
            <w:r w:rsidDel="00000000" w:rsidR="00000000" w:rsidRPr="00000000">
              <w:rPr>
                <w:rFonts w:ascii="Arial" w:cs="Arial" w:eastAsia="Arial" w:hAnsi="Arial"/>
                <w:b w:val="1"/>
                <w:color w:val="ff0000"/>
                <w:sz w:val="18"/>
                <w:szCs w:val="18"/>
                <w:rtl w:val="0"/>
              </w:rPr>
              <w:t xml:space="preserve">PE</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 N.º </w:t>
            </w:r>
            <w:r w:rsidDel="00000000" w:rsidR="00000000" w:rsidRPr="00000000">
              <w:rPr>
                <w:rFonts w:ascii="Arial" w:cs="Arial" w:eastAsia="Arial" w:hAnsi="Arial"/>
                <w:b w:val="1"/>
                <w:color w:val="ff0000"/>
                <w:sz w:val="18"/>
                <w:szCs w:val="18"/>
                <w:rtl w:val="0"/>
              </w:rPr>
              <w:t xml:space="preserve">90.033</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/202</w:t>
            </w:r>
            <w:r w:rsidDel="00000000" w:rsidR="00000000" w:rsidRPr="00000000">
              <w:rPr>
                <w:rFonts w:ascii="Arial" w:cs="Arial" w:eastAsia="Arial" w:hAnsi="Arial"/>
                <w:b w:val="1"/>
                <w:color w:val="ff0000"/>
                <w:sz w:val="18"/>
                <w:szCs w:val="18"/>
                <w:rtl w:val="0"/>
              </w:rPr>
              <w:t xml:space="preserve">5</w:t>
            </w:r>
            <w:r w:rsidDel="00000000" w:rsidR="00000000" w:rsidRPr="00000000">
              <w:rPr>
                <w:rFonts w:ascii="Arial" w:cs="Arial" w:eastAsia="Arial" w:hAnsi="Arial"/>
                <w:b w:val="1"/>
                <w:i w:val="0"/>
                <w:smallCaps w:val="0"/>
                <w:strike w:val="0"/>
                <w:color w:val="ff0000"/>
                <w:sz w:val="18"/>
                <w:szCs w:val="18"/>
                <w:u w:val="none"/>
                <w:shd w:fill="auto" w:val="clear"/>
                <w:vertAlign w:val="baseline"/>
                <w:rtl w:val="0"/>
              </w:rPr>
              <w:t xml:space="preserve">/AD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175" w:line="482" w:lineRule="auto"/>
              <w:ind w:left="2681" w:right="2565" w:firstLine="0"/>
              <w:jc w:val="center"/>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MINUTA ATA DE REGISTRO DE PREÇOS</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2" w:lineRule="auto"/>
              <w:ind w:left="1254"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5323205" cy="13335"/>
                      <wp:effectExtent b="0" l="0" r="0" t="0"/>
                      <wp:docPr id="2115606145"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100"/>
                                  <a:chExt cx="5323250" cy="13175"/>
                                </a:xfrm>
                              </wpg:grpSpPr>
                              <wps:wsp>
                                <wps:cNvSpPr/>
                                <wps:cNvPr id="4" name="Shape 4"/>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10" name="Shape 10"/>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5323205" cy="13335"/>
                      <wp:effectExtent b="0" l="0" r="0" t="0"/>
                      <wp:docPr id="2115606145"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136" w:line="240" w:lineRule="auto"/>
              <w:ind w:left="610" w:right="489"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w:t>
            </w:r>
            <w:r w:rsidDel="00000000" w:rsidR="00000000" w:rsidRPr="00000000">
              <w:rPr>
                <w:highlight w:val="white"/>
                <w:rtl w:val="0"/>
              </w:rPr>
              <w:t xml:space="preserve">OS nº 90.033/2025,</w:t>
            </w:r>
            <w:r w:rsidDel="00000000" w:rsidR="00000000" w:rsidRPr="00000000">
              <w:rPr>
                <w:rtl w:val="0"/>
              </w:rPr>
              <w:t xml:space="preserve"> processo administrativo n.º 23069.190231/2024-92,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136" w:line="240" w:lineRule="auto"/>
              <w:ind w:left="610" w:right="489"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tabs>
                <w:tab w:val="left" w:leader="none" w:pos="1318"/>
              </w:tabs>
              <w:spacing w:after="0" w:before="0" w:line="240" w:lineRule="auto"/>
              <w:ind w:left="61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w:t>
              <w:tab/>
              <w:t xml:space="preserve">DO OBJETO</w:t>
            </w:r>
          </w:p>
          <w:p w:rsidR="00000000" w:rsidDel="00000000" w:rsidP="00000000" w:rsidRDefault="00000000" w:rsidRPr="00000000" w14:paraId="00000010">
            <w:pPr>
              <w:keepNext w:val="0"/>
              <w:keepLines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314"/>
              </w:tabs>
              <w:spacing w:after="0" w:before="72" w:line="240" w:lineRule="auto"/>
              <w:ind w:left="1313" w:right="489" w:hanging="846"/>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presente Ata tem por objeto o registro de preços para a eventual aquisição de</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 </w:t>
            </w:r>
            <w:r w:rsidDel="00000000" w:rsidR="00000000" w:rsidRPr="00000000">
              <w:rPr>
                <w:rtl w:val="0"/>
              </w:rPr>
              <w:t xml:space="preserve">Material Biológico 1</w:t>
            </w:r>
            <w:r w:rsidDel="00000000" w:rsidR="00000000" w:rsidRPr="00000000">
              <w:rPr>
                <w:rFonts w:ascii="Calibri" w:cs="Calibri" w:eastAsia="Calibri" w:hAnsi="Calibri"/>
                <w:b w:val="1"/>
                <w:i w:val="0"/>
                <w:smallCaps w:val="0"/>
                <w:strike w:val="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especificado(s) no(s) item(ns) do Termo de Referência e Planilha de Itens, Anexos I e I-A do edital de Pregão nº  </w:t>
            </w:r>
            <w:r w:rsidDel="00000000" w:rsidR="00000000" w:rsidRPr="00000000">
              <w:rPr>
                <w:rtl w:val="0"/>
              </w:rPr>
              <w:t xml:space="preserve">90.033</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/202</w:t>
            </w:r>
            <w:r w:rsidDel="00000000" w:rsidR="00000000" w:rsidRPr="00000000">
              <w:rPr>
                <w:rtl w:val="0"/>
              </w:rPr>
              <w:t xml:space="preserve">5</w:t>
            </w:r>
            <w:r w:rsidDel="00000000" w:rsidR="00000000" w:rsidRPr="00000000">
              <w:rPr>
                <w:rFonts w:ascii="Calibri" w:cs="Calibri" w:eastAsia="Calibri" w:hAnsi="Calibri"/>
                <w:b w:val="0"/>
                <w:i w:val="0"/>
                <w:smallCaps w:val="0"/>
                <w:strike w:val="0"/>
                <w:sz w:val="22"/>
                <w:szCs w:val="22"/>
                <w:u w:val="none"/>
                <w:shd w:fill="auto" w:val="clear"/>
                <w:vertAlign w:val="baseline"/>
                <w:rtl w:val="0"/>
              </w:rPr>
              <w:t xml:space="preserve">, que é parte integrante desta Ata, assim como 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proposta vencedora, independentemente de transcrição.</w:t>
            </w:r>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0"/>
              <w:numPr>
                <w:ilvl w:val="2"/>
                <w:numId w:val="2"/>
              </w:numPr>
              <w:pBdr>
                <w:top w:space="0" w:sz="0" w:val="nil"/>
                <w:left w:space="0" w:sz="0" w:val="nil"/>
                <w:bottom w:space="0" w:sz="0" w:val="nil"/>
                <w:right w:space="0" w:sz="0" w:val="nil"/>
                <w:between w:space="0" w:sz="0" w:val="nil"/>
              </w:pBdr>
              <w:shd w:fill="auto" w:val="clear"/>
              <w:tabs>
                <w:tab w:val="left" w:leader="none" w:pos="1462"/>
                <w:tab w:val="left" w:leader="none" w:pos="1463"/>
              </w:tabs>
              <w:spacing w:after="0" w:before="0" w:line="240" w:lineRule="auto"/>
              <w:ind w:left="1462" w:right="0" w:hanging="846"/>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DOS PREÇOS, ESPECIFICAÇÕES E QUANTITATIVOS</w:t>
            </w:r>
          </w:p>
          <w:p w:rsidR="00000000" w:rsidDel="00000000" w:rsidP="00000000" w:rsidRDefault="00000000" w:rsidRPr="00000000" w14:paraId="00000013">
            <w:pPr>
              <w:keepNext w:val="0"/>
              <w:keepLines w:val="0"/>
              <w:widowControl w:val="0"/>
              <w:numPr>
                <w:ilvl w:val="3"/>
                <w:numId w:val="2"/>
              </w:numPr>
              <w:pBdr>
                <w:top w:space="0" w:sz="0" w:val="nil"/>
                <w:left w:space="0" w:sz="0" w:val="nil"/>
                <w:bottom w:space="0" w:sz="0" w:val="nil"/>
                <w:right w:space="0" w:sz="0" w:val="nil"/>
                <w:between w:space="0" w:sz="0" w:val="nil"/>
              </w:pBdr>
              <w:shd w:fill="auto" w:val="clear"/>
              <w:tabs>
                <w:tab w:val="left" w:leader="none" w:pos="1462"/>
                <w:tab w:val="left" w:leader="none" w:pos="1463"/>
              </w:tabs>
              <w:spacing w:after="0" w:before="73" w:line="240" w:lineRule="auto"/>
              <w:ind w:left="1462" w:right="488" w:hanging="846"/>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173" w:line="240" w:lineRule="auto"/>
              <w:ind w:left="430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Identificação da Empresa</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Razão Social:</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CNPJ: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901" w:hRule="atLeast"/>
          <w:tblHeader w:val="0"/>
        </w:trPr>
        <w:tc>
          <w:tcPr>
            <w:tcBorders>
              <w:top w:color="000000" w:space="0" w:sz="4" w:val="single"/>
              <w:bottom w:color="000000" w:space="0" w:sz="4" w:val="single"/>
              <w:right w:color="000000" w:space="0" w:sz="4" w:val="single"/>
            </w:tcBorders>
            <w:shd w:fill="d9e0f1" w:val="clear"/>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56" w:right="5"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CATMAT</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16"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DESCRIÇÃO COMPLEMENTAR</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101" w:right="11" w:firstLine="167.99999999999997"/>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UND MEDIDA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99"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QTDA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1158" w:right="14" w:firstLine="143.99999999999991"/>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VALOR UNITÁRIO</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181" w:line="240" w:lineRule="auto"/>
              <w:ind w:left="209" w:right="113" w:hanging="2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VALOR TOTAL</w:t>
            </w:r>
          </w:p>
        </w:tc>
        <w:tc>
          <w:tcPr>
            <w:tcBorders>
              <w:top w:color="000000" w:space="0" w:sz="4" w:val="single"/>
              <w:left w:color="000000" w:space="0" w:sz="4" w:val="single"/>
              <w:bottom w:color="000000" w:space="0" w:sz="4" w:val="single"/>
            </w:tcBorders>
            <w:shd w:fill="d9e0f1" w:val="clear"/>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56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MARCA</w:t>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13" w:line="266" w:lineRule="auto"/>
              <w:ind w:left="56" w:right="5"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294" w:hRule="atLeast"/>
          <w:tblHeader w:val="0"/>
        </w:trPr>
        <w:tc>
          <w:tcPr>
            <w:gridSpan w:val="8"/>
            <w:tcBorders>
              <w:top w:color="000000" w:space="0" w:sz="4" w:val="single"/>
            </w:tcBorders>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0" w:lineRule="auto"/>
              <w:ind w:left="606" w:right="0" w:firstLine="0"/>
              <w:jc w:val="left"/>
              <w:rPr>
                <w:rFonts w:ascii="Times New Roman" w:cs="Times New Roman" w:eastAsia="Times New Roman" w:hAnsi="Times New Roman"/>
                <w:b w:val="0"/>
                <w:i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
                <w:szCs w:val="2"/>
                <w:u w:val="none"/>
                <w:shd w:fill="auto" w:val="clear"/>
                <w:vertAlign w:val="baseline"/>
              </w:rPr>
              <mc:AlternateContent>
                <mc:Choice Requires="wpg">
                  <w:drawing>
                    <wp:inline distB="0" distT="0" distL="0" distR="0">
                      <wp:extent cx="4312920" cy="5080"/>
                      <wp:effectExtent b="0" l="0" r="0" t="0"/>
                      <wp:docPr id="2115606144"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300" cy="9550"/>
                                </a:xfrm>
                              </wpg:grpSpPr>
                              <wps:wsp>
                                <wps:cNvSpPr/>
                                <wps:cNvPr id="4" name="Shape 4"/>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6" name="Shape 6"/>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4312920" cy="5080"/>
                      <wp:effectExtent b="0" l="0" r="0" t="0"/>
                      <wp:docPr id="2115606144"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tabs>
                <w:tab w:val="left" w:leader="none" w:pos="9024"/>
              </w:tabs>
              <w:spacing w:after="0" w:before="0" w:line="240" w:lineRule="auto"/>
              <w:ind w:left="1203" w:right="0" w:firstLine="0"/>
              <w:jc w:val="lef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Anexo III – Minuta Ata Registro de Preços</w:t>
              <w:tab/>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Pág. 1/8</w:t>
            </w:r>
          </w:p>
        </w:tc>
      </w:tr>
    </w:tbl>
    <w:p w:rsidR="00000000" w:rsidDel="00000000" w:rsidP="00000000" w:rsidRDefault="00000000" w:rsidRPr="00000000" w14:paraId="00000047">
      <w:pPr>
        <w:rPr>
          <w:sz w:val="2"/>
          <w:szCs w:val="2"/>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333333333333336"/>
          <w:szCs w:val="33.333333333333336"/>
          <w:vertAlign w:val="superscript"/>
        </w:rPr>
        <w:drawing>
          <wp:inline distB="0" distT="0" distL="0" distR="0">
            <wp:extent cx="927176" cy="196596"/>
            <wp:effectExtent b="0" l="0" r="0" t="0"/>
            <wp:docPr id="2115606150"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Times New Roman" w:cs="Times New Roman" w:eastAsia="Times New Roman" w:hAnsi="Times New Roman"/>
          <w:b w:val="0"/>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 w:line="276" w:lineRule="auto"/>
        <w:ind w:left="752" w:right="73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2.2. A listagem do cadastro de reserva referente ao presente registro de preços consta como anexo a esta Ata.</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187"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ÓRGÃO(S) GERENCIADOR E PARTICIPANTE(S)</w:t>
      </w:r>
    </w:p>
    <w:p w:rsidR="00000000" w:rsidDel="00000000" w:rsidP="00000000" w:rsidRDefault="00000000" w:rsidRPr="00000000" w14:paraId="0000004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gerenciador será a Pró-Reitoria de Administração.</w:t>
      </w: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hanging="710"/>
        <w:jc w:val="both"/>
        <w:rPr/>
      </w:pP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Além do gerenciador, </w:t>
      </w:r>
      <w:r w:rsidDel="00000000" w:rsidR="00000000" w:rsidRPr="00000000">
        <w:rPr>
          <w:rtl w:val="0"/>
        </w:rPr>
        <w:t xml:space="preserve">s</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ão órgãos e entidades públicas participantes do registro de preços</w:t>
      </w:r>
      <w:r w:rsidDel="00000000" w:rsidR="00000000" w:rsidRPr="00000000">
        <w:rPr>
          <w:rFonts w:ascii="Calibri" w:cs="Calibri" w:eastAsia="Calibri" w:hAnsi="Calibri"/>
          <w:b w:val="0"/>
          <w:i w:val="0"/>
          <w:smallCaps w:val="0"/>
          <w:strike w:val="0"/>
          <w:color w:val="000000"/>
          <w:sz w:val="22"/>
          <w:szCs w:val="22"/>
          <w:u w:val="none"/>
          <w:vertAlign w:val="baseline"/>
          <w:rtl w:val="0"/>
        </w:rPr>
        <w:t xml:space="preserve">:</w:t>
      </w: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1461"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8978.0" w:type="dxa"/>
        <w:jc w:val="left"/>
        <w:tblInd w:w="107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44"/>
        <w:gridCol w:w="2244"/>
        <w:gridCol w:w="2245"/>
        <w:gridCol w:w="2245"/>
        <w:tblGridChange w:id="0">
          <w:tblGrid>
            <w:gridCol w:w="2244"/>
            <w:gridCol w:w="2244"/>
            <w:gridCol w:w="2245"/>
            <w:gridCol w:w="2245"/>
          </w:tblGrid>
        </w:tblGridChange>
      </w:tblGrid>
      <w:tr>
        <w:trPr>
          <w:cantSplit w:val="0"/>
          <w:tblHeader w:val="0"/>
        </w:trPr>
        <w:tc>
          <w:tcPr/>
          <w:p w:rsidR="00000000" w:rsidDel="00000000" w:rsidP="00000000" w:rsidRDefault="00000000" w:rsidRPr="00000000" w14:paraId="00000050">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Item nº </w:t>
            </w:r>
          </w:p>
        </w:tc>
        <w:tc>
          <w:tcPr/>
          <w:p w:rsidR="00000000" w:rsidDel="00000000" w:rsidP="00000000" w:rsidRDefault="00000000" w:rsidRPr="00000000" w14:paraId="00000051">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Órgãos Participantes</w:t>
            </w:r>
          </w:p>
        </w:tc>
        <w:tc>
          <w:tcPr/>
          <w:p w:rsidR="00000000" w:rsidDel="00000000" w:rsidP="00000000" w:rsidRDefault="00000000" w:rsidRPr="00000000" w14:paraId="00000052">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Unidade</w:t>
            </w:r>
          </w:p>
        </w:tc>
        <w:tc>
          <w:tcPr/>
          <w:p w:rsidR="00000000" w:rsidDel="00000000" w:rsidP="00000000" w:rsidRDefault="00000000" w:rsidRPr="00000000" w14:paraId="00000053">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Quantidade</w:t>
            </w:r>
          </w:p>
        </w:tc>
      </w:tr>
      <w:tr>
        <w:trPr>
          <w:cantSplit w:val="0"/>
          <w:trHeight w:val="1761.639404296875" w:hRule="atLeast"/>
          <w:tblHeader w:val="0"/>
        </w:trPr>
        <w:tc>
          <w:tcPr/>
          <w:p w:rsidR="00000000" w:rsidDel="00000000" w:rsidP="00000000" w:rsidRDefault="00000000" w:rsidRPr="00000000" w14:paraId="00000054">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41, 45, 48, 49, 60, 66, 67, 68, 69, 74 e 75</w:t>
            </w:r>
          </w:p>
        </w:tc>
        <w:tc>
          <w:tcPr/>
          <w:p w:rsidR="00000000" w:rsidDel="00000000" w:rsidP="00000000" w:rsidRDefault="00000000" w:rsidRPr="00000000" w14:paraId="00000055">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Fundação Universidade Federal de Mato Grosso do Sul</w:t>
            </w:r>
          </w:p>
        </w:tc>
        <w:tc>
          <w:tcPr/>
          <w:p w:rsidR="00000000" w:rsidDel="00000000" w:rsidP="00000000" w:rsidRDefault="00000000" w:rsidRPr="00000000" w14:paraId="00000056">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p w:rsidR="00000000" w:rsidDel="00000000" w:rsidP="00000000" w:rsidRDefault="00000000" w:rsidRPr="00000000" w14:paraId="00000057">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5, 5, 10, 10, 3, 10, 10, 10, 10, 5, 10.</w:t>
            </w:r>
          </w:p>
        </w:tc>
      </w:tr>
    </w:tbl>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73" w:line="240" w:lineRule="auto"/>
        <w:ind w:left="0" w:right="0" w:firstLine="0"/>
        <w:jc w:val="both"/>
        <w:rPr>
          <w:rFonts w:ascii="Calibri" w:cs="Calibri" w:eastAsia="Calibri" w:hAnsi="Calibri"/>
          <w:b w:val="0"/>
          <w:i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59">
      <w:pPr>
        <w:numPr>
          <w:ilvl w:val="1"/>
          <w:numId w:val="1"/>
        </w:numPr>
        <w:tabs>
          <w:tab w:val="left" w:leader="none" w:pos="1462"/>
        </w:tabs>
        <w:spacing w:before="80" w:lineRule="auto"/>
        <w:ind w:left="1461" w:hanging="709"/>
        <w:jc w:val="both"/>
        <w:rPr/>
      </w:pPr>
      <w:r w:rsidDel="00000000" w:rsidR="00000000" w:rsidRPr="00000000">
        <w:rPr>
          <w:sz w:val="14"/>
          <w:szCs w:val="14"/>
          <w:rtl w:val="0"/>
        </w:rPr>
        <w:t xml:space="preserve"> </w:t>
      </w:r>
      <w:r w:rsidDel="00000000" w:rsidR="00000000" w:rsidRPr="00000000">
        <w:rPr>
          <w:rtl w:val="0"/>
        </w:rPr>
        <w:t xml:space="preserve">A IRP nº </w:t>
      </w:r>
      <w:r w:rsidDel="00000000" w:rsidR="00000000" w:rsidRPr="00000000">
        <w:rPr>
          <w:b w:val="1"/>
          <w:color w:val="ff0000"/>
          <w:rtl w:val="0"/>
        </w:rPr>
        <w:t xml:space="preserve">18/2025 </w:t>
      </w:r>
      <w:r w:rsidDel="00000000" w:rsidR="00000000" w:rsidRPr="00000000">
        <w:rPr>
          <w:rtl w:val="0"/>
        </w:rPr>
        <w:t xml:space="preserve">foi divulgada, conforme art. 9º do Decreto nº 11.462/2023.</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6" name=""/>
                <a:graphic>
                  <a:graphicData uri="http://schemas.microsoft.com/office/word/2010/wordprocessingShape">
                    <wps:wsp>
                      <wps:cNvSpPr/>
                      <wps:cNvPr id="12" name="Shape 1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411"/>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1155700</wp:posOffset>
                </wp:positionH>
                <wp:positionV relativeFrom="paragraph">
                  <wp:posOffset>165100</wp:posOffset>
                </wp:positionV>
                <wp:extent cx="5676900" cy="5311775"/>
                <wp:effectExtent b="0" l="0" r="0" t="0"/>
                <wp:wrapNone/>
                <wp:docPr id="2115606146" name="image7.png"/>
                <a:graphic>
                  <a:graphicData uri="http://schemas.openxmlformats.org/drawingml/2006/picture">
                    <pic:pic>
                      <pic:nvPicPr>
                        <pic:cNvPr id="0" name="image7.png"/>
                        <pic:cNvPicPr preferRelativeResize="0"/>
                      </pic:nvPicPr>
                      <pic:blipFill>
                        <a:blip r:embed="rId9"/>
                        <a:srcRect/>
                        <a:stretch>
                          <a:fillRect/>
                        </a:stretch>
                      </pic:blipFill>
                      <pic:spPr>
                        <a:xfrm>
                          <a:off x="0" y="0"/>
                          <a:ext cx="5676900" cy="5311775"/>
                        </a:xfrm>
                        <a:prstGeom prst="rect"/>
                        <a:ln/>
                      </pic:spPr>
                    </pic:pic>
                  </a:graphicData>
                </a:graphic>
              </wp:anchor>
            </w:drawing>
          </mc:Fallback>
        </mc:AlternateConten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pP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5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 ADESÃO À ATA DE REGISTRO DE PREÇOS</w:t>
      </w:r>
    </w:p>
    <w:p w:rsidR="00000000" w:rsidDel="00000000" w:rsidP="00000000" w:rsidRDefault="00000000" w:rsidRPr="00000000" w14:paraId="0000005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1"/>
          <w:smallCaps w:val="0"/>
          <w:strike w:val="0"/>
          <w:color w:val="000000"/>
          <w:sz w:val="22"/>
          <w:szCs w:val="22"/>
          <w:u w:val="none"/>
          <w:vertAlign w:val="baseline"/>
          <w:rtl w:val="0"/>
        </w:rPr>
        <w:t xml:space="preserve"> </w:t>
      </w:r>
      <w:r w:rsidDel="00000000" w:rsidR="00000000" w:rsidRPr="00000000">
        <w:rPr>
          <w:i w:val="1"/>
          <w:rtl w:val="0"/>
        </w:rPr>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23069.190231/2024-92</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VALIDADE, FORMALIZAÇÃO DA ATA DE REGISTRO DE PREÇOS E CADASTRO RESERVA</w:t>
      </w:r>
    </w:p>
    <w:p w:rsidR="00000000" w:rsidDel="00000000" w:rsidP="00000000" w:rsidRDefault="00000000" w:rsidRPr="00000000" w14:paraId="0000006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validade da Ata de Registro de Preços será de 1 (um) ano, contado a </w:t>
      </w:r>
      <w:sdt>
        <w:sdtPr>
          <w:tag w:val="goog_rdk_0"/>
        </w:sdtPr>
        <w:sdtContent>
          <w:commentRangeStart w:id="0"/>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partir</w:t>
      </w:r>
      <w:commentRangeEnd w:id="0"/>
      <w:r w:rsidDel="00000000" w:rsidR="00000000" w:rsidRPr="00000000">
        <w:commentReference w:id="0"/>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61">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62">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6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instrumento contratual de que trata o item 5.2. deverá ser assinado no prazo de validade da ata de registro de preços.</w:t>
      </w:r>
    </w:p>
    <w:p w:rsidR="00000000" w:rsidDel="00000000" w:rsidP="00000000" w:rsidRDefault="00000000" w:rsidRPr="00000000" w14:paraId="0000006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6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000000" w:rsidDel="00000000" w:rsidP="00000000" w:rsidRDefault="00000000" w:rsidRPr="00000000" w14:paraId="0000006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incluído na ata, na forma de anexo, o registro dos licitantes ou dos fornecedores que:</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2127" w:right="700" w:firstLine="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A">
      <w:pPr>
        <w:keepNext w:val="0"/>
        <w:keepLines w:val="0"/>
        <w:pageBreakBefore w:val="0"/>
        <w:widowControl w:val="1"/>
        <w:numPr>
          <w:ilvl w:val="3"/>
          <w:numId w:val="3"/>
        </w:numPr>
        <w:pBdr>
          <w:top w:space="0" w:sz="0" w:val="nil"/>
          <w:left w:space="0" w:sz="0" w:val="nil"/>
          <w:bottom w:space="0" w:sz="0" w:val="nil"/>
          <w:right w:space="0" w:sz="0" w:val="nil"/>
          <w:between w:space="0" w:sz="0" w:val="nil"/>
        </w:pBdr>
        <w:shd w:fill="auto" w:val="clear"/>
        <w:spacing w:after="120" w:before="120" w:line="276" w:lineRule="auto"/>
        <w:ind w:left="3567"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respeitada, nas contratações, a ordem de classificação dos licitantes ou dos fornecedores registrados na ata.</w:t>
      </w:r>
    </w:p>
    <w:p w:rsidR="00000000" w:rsidDel="00000000" w:rsidP="00000000" w:rsidRDefault="00000000" w:rsidRPr="00000000" w14:paraId="0000006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a que se refere o item 5.4.2</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6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6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licitante vencedor não assinar a ata de registro de preços, no prazo e nas condições estabelecidos no edital ou no aviso de contratação direta; e</w:t>
      </w:r>
    </w:p>
    <w:p w:rsidR="00000000" w:rsidDel="00000000" w:rsidP="00000000" w:rsidRDefault="00000000" w:rsidRPr="00000000" w14:paraId="0000007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houver o cancelamento do registro do licitante ou do registro de preços nas hipóteses previstas no item 9</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7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73">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Administração</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7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7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do edital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poderá:</w:t>
      </w:r>
      <w:r w:rsidDel="00000000" w:rsidR="00000000" w:rsidRPr="00000000">
        <w:rPr>
          <w:rtl w:val="0"/>
        </w:rPr>
      </w:r>
    </w:p>
    <w:p w:rsidR="00000000" w:rsidDel="00000000" w:rsidP="00000000" w:rsidRDefault="00000000" w:rsidRPr="00000000" w14:paraId="0000007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7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7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ALTERAÇÃO OU ATUALIZAÇÃO DOS PREÇOS REGISTRADOS</w:t>
      </w:r>
    </w:p>
    <w:p w:rsidR="00000000" w:rsidDel="00000000" w:rsidP="00000000" w:rsidRDefault="00000000" w:rsidRPr="00000000" w14:paraId="0000007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w:t>
      </w:r>
      <w:sdt>
        <w:sdtPr>
          <w:tag w:val="goog_rdk_1"/>
        </w:sdtPr>
        <w:sdtContent>
          <w:commentRangeStart w:id="1"/>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commentRangeEnd w:id="1"/>
      <w:r w:rsidDel="00000000" w:rsidR="00000000" w:rsidRPr="00000000">
        <w:commentReference w:id="1"/>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8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81">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do reajustamento, deverá ser respeitada a contagem da anualidade e o índice previstos para a contratação;  </w:t>
      </w:r>
    </w:p>
    <w:p w:rsidR="00000000" w:rsidDel="00000000" w:rsidP="00000000" w:rsidRDefault="00000000" w:rsidRPr="00000000" w14:paraId="00000082">
      <w:pPr>
        <w:keepNext w:val="0"/>
        <w:keepLines w:val="0"/>
        <w:pageBreakBefore w:val="0"/>
        <w:widowControl w:val="1"/>
        <w:numPr>
          <w:ilvl w:val="3"/>
          <w:numId w:val="4"/>
        </w:numPr>
        <w:pBdr>
          <w:top w:space="0" w:sz="0" w:val="nil"/>
          <w:left w:space="0" w:sz="0" w:val="nil"/>
          <w:bottom w:space="0" w:sz="0" w:val="nil"/>
          <w:right w:space="0" w:sz="0" w:val="nil"/>
          <w:between w:space="0" w:sz="0" w:val="nil"/>
        </w:pBdr>
        <w:shd w:fill="auto" w:val="clear"/>
        <w:spacing w:after="120" w:before="120" w:line="240" w:lineRule="auto"/>
        <w:ind w:left="351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caso da repactuação, poderá ser a pedido do interessado, conforme critérios definidos para a contratação.</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NEGOCIAÇÃO DE PREÇOS REGISTRADOS</w:t>
      </w:r>
      <w:r w:rsidDel="00000000" w:rsidR="00000000" w:rsidRPr="00000000">
        <w:rPr>
          <w:rtl w:val="0"/>
        </w:rPr>
      </w:r>
    </w:p>
    <w:p w:rsidR="00000000" w:rsidDel="00000000" w:rsidP="00000000" w:rsidRDefault="00000000" w:rsidRPr="00000000" w14:paraId="0000008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8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prevista no item anterior, o gerenciador convocará os fornecedores do cadastro de reserva, na ordem de classificação, para verificar se aceitam reduzir seus preços aos valores de mercado e não convocará o</w:t>
      </w:r>
      <w:sdt>
        <w:sdtPr>
          <w:tag w:val="goog_rdk_2"/>
        </w:sdtPr>
        <w:sdtContent>
          <w:commentRangeStart w:id="2"/>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 licitantes ou fornecedores que tiveram seu registro cancelado.</w:t>
      </w:r>
      <w:commentRangeEnd w:id="2"/>
      <w:r w:rsidDel="00000000" w:rsidR="00000000" w:rsidRPr="00000000">
        <w:commentReference w:id="2"/>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8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8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9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9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9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remanejamento somente poderá ser feito:</w:t>
      </w:r>
      <w:r w:rsidDel="00000000" w:rsidR="00000000" w:rsidRPr="00000000">
        <w:rPr>
          <w:rtl w:val="0"/>
        </w:rPr>
      </w:r>
    </w:p>
    <w:p w:rsidR="00000000" w:rsidDel="00000000" w:rsidP="00000000" w:rsidRDefault="00000000" w:rsidRPr="00000000" w14:paraId="0000009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participante; ou</w:t>
      </w:r>
    </w:p>
    <w:p w:rsidR="00000000" w:rsidDel="00000000" w:rsidP="00000000" w:rsidRDefault="00000000" w:rsidRPr="00000000" w14:paraId="0000009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órgão ou entidade participante para órgão ou entidade não participante.</w:t>
      </w:r>
    </w:p>
    <w:p w:rsidR="00000000" w:rsidDel="00000000" w:rsidP="00000000" w:rsidRDefault="00000000" w:rsidRPr="00000000" w14:paraId="0000009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9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remanejamento de órgão ou entidade participante para órgão ou entidade não participante, serão observados os limites previstos no </w:t>
      </w:r>
      <w:sdt>
        <w:sdtPr>
          <w:tag w:val="goog_rdk_3"/>
        </w:sdtPr>
        <w:sdtContent>
          <w:commentRangeStart w:id="3"/>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 32 do Decreto nº 11.462, de 2023</w:t>
      </w:r>
      <w:commentRangeEnd w:id="3"/>
      <w:r w:rsidDel="00000000" w:rsidR="00000000" w:rsidRPr="00000000">
        <w:commentReference w:id="3"/>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9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9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9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Descumprir as condições da ata de registro de preços, sem motivo justificado;</w:t>
      </w:r>
    </w:p>
    <w:p w:rsidR="00000000" w:rsidDel="00000000" w:rsidP="00000000" w:rsidRDefault="00000000" w:rsidRPr="00000000" w14:paraId="000000A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retirar a nota de empenho, ou instrumento equivalente, no prazo estabelecido pela Administração sem justificativa razoável;</w:t>
      </w:r>
    </w:p>
    <w:p w:rsidR="00000000" w:rsidDel="00000000" w:rsidP="00000000" w:rsidRDefault="00000000" w:rsidRPr="00000000" w14:paraId="000000A1">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Não aceitar manter seu preço registrado, na hipótese prevista no artigo 27, § 2º, do Decreto nº 11.462, de 2023; ou</w:t>
      </w:r>
    </w:p>
    <w:p w:rsidR="00000000" w:rsidDel="00000000" w:rsidP="00000000" w:rsidRDefault="00000000" w:rsidRPr="00000000" w14:paraId="000000A2">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Sofrer sanção prevista nos incisos III ou IV do caput do art. 156 da Lei nº 14.133, de 2021.</w:t>
      </w:r>
    </w:p>
    <w:p w:rsidR="00000000" w:rsidDel="00000000" w:rsidP="00000000" w:rsidRDefault="00000000" w:rsidRPr="00000000" w14:paraId="000000A3">
      <w:pPr>
        <w:keepNext w:val="0"/>
        <w:keepLines w:val="0"/>
        <w:pageBreakBefore w:val="0"/>
        <w:widowControl w:val="1"/>
        <w:numPr>
          <w:ilvl w:val="3"/>
          <w:numId w:val="5"/>
        </w:numPr>
        <w:pBdr>
          <w:top w:space="0" w:sz="0" w:val="nil"/>
          <w:left w:space="0" w:sz="0" w:val="nil"/>
          <w:bottom w:space="0" w:sz="0" w:val="nil"/>
          <w:right w:space="0" w:sz="0" w:val="nil"/>
          <w:between w:space="0" w:sz="0" w:val="nil"/>
        </w:pBdr>
        <w:shd w:fill="auto" w:val="clear"/>
        <w:spacing w:after="120" w:before="120" w:line="240" w:lineRule="auto"/>
        <w:ind w:left="2880" w:right="70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A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A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A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razão de interesse público;</w:t>
      </w:r>
    </w:p>
    <w:p w:rsidR="00000000" w:rsidDel="00000000" w:rsidP="00000000" w:rsidRDefault="00000000" w:rsidRPr="00000000" w14:paraId="000000A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pedido do fornecedor, decorrente de caso fortuito ou força maior; ou</w:t>
      </w:r>
    </w:p>
    <w:p w:rsidR="00000000" w:rsidDel="00000000" w:rsidP="00000000" w:rsidRDefault="00000000" w:rsidRPr="00000000" w14:paraId="000000A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DAS PENALIDADES</w:t>
      </w:r>
      <w:r w:rsidDel="00000000" w:rsidR="00000000" w:rsidRPr="00000000">
        <w:rPr>
          <w:rtl w:val="0"/>
        </w:rPr>
      </w:r>
    </w:p>
    <w:p w:rsidR="00000000" w:rsidDel="00000000" w:rsidP="00000000" w:rsidRDefault="00000000" w:rsidRPr="00000000" w14:paraId="000000AC">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descumprimento da Ata de Registro de Preços ensejará aplicação das penalidades estabelecidas</w:t>
      </w:r>
      <w:r w:rsidDel="00000000" w:rsidR="00000000" w:rsidRPr="00000000">
        <w:rPr>
          <w:rFonts w:ascii="Calibri" w:cs="Calibri" w:eastAsia="Calibri" w:hAnsi="Calibri"/>
          <w:b w:val="0"/>
          <w:smallCaps w:val="0"/>
          <w:strike w:val="0"/>
          <w:sz w:val="22"/>
          <w:szCs w:val="22"/>
          <w:u w:val="none"/>
          <w:shd w:fill="auto" w:val="clear"/>
          <w:vertAlign w:val="baseline"/>
          <w:rtl w:val="0"/>
        </w:rPr>
        <w:t xml:space="preserve"> no edital</w:t>
      </w:r>
      <w:r w:rsidDel="00000000" w:rsidR="00000000" w:rsidRPr="00000000">
        <w:rPr>
          <w:rtl w:val="0"/>
        </w:rPr>
        <w:t xml:space="preserve">.</w:t>
      </w:r>
    </w:p>
    <w:p w:rsidR="00000000" w:rsidDel="00000000" w:rsidP="00000000" w:rsidRDefault="00000000" w:rsidRPr="00000000" w14:paraId="000000AD">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120" w:before="120" w:line="240" w:lineRule="auto"/>
        <w:ind w:left="2127" w:right="700" w:hanging="709"/>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sanções também se aplicam aos integrantes do cadastro de reserva no registro de preços que, convocados, não honrarem o compromisso assumido </w:t>
      </w:r>
      <w:sdt>
        <w:sdtPr>
          <w:tag w:val="goog_rdk_4"/>
        </w:sdtPr>
        <w:sdtContent>
          <w:commentRangeStart w:id="4"/>
        </w:sdtContent>
      </w:sd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injustificadamente</w:t>
      </w:r>
      <w:commentRangeEnd w:id="4"/>
      <w:r w:rsidDel="00000000" w:rsidR="00000000" w:rsidRPr="00000000">
        <w:commentReference w:id="4"/>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após terem assinado a ata. </w:t>
      </w:r>
    </w:p>
    <w:p w:rsidR="00000000" w:rsidDel="00000000" w:rsidP="00000000" w:rsidRDefault="00000000" w:rsidRPr="00000000" w14:paraId="000000A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A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CONDIÇÕES GERAIS</w:t>
      </w:r>
      <w:r w:rsidDel="00000000" w:rsidR="00000000" w:rsidRPr="00000000">
        <w:rPr>
          <w:rtl w:val="0"/>
        </w:rPr>
      </w:r>
    </w:p>
    <w:p w:rsidR="00000000" w:rsidDel="00000000" w:rsidP="00000000" w:rsidRDefault="00000000" w:rsidRPr="00000000" w14:paraId="000000B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AO EDITAL.</w:t>
      </w:r>
      <w:r w:rsidDel="00000000" w:rsidR="00000000" w:rsidRPr="00000000">
        <w:rPr>
          <w:rtl w:val="0"/>
        </w:rPr>
      </w:r>
    </w:p>
    <w:p w:rsidR="00000000" w:rsidDel="00000000" w:rsidP="00000000" w:rsidRDefault="00000000" w:rsidRPr="00000000" w14:paraId="000000B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hanging="710"/>
        <w:jc w:val="both"/>
        <w:rPr>
          <w:rFonts w:ascii="Calibri" w:cs="Calibri" w:eastAsia="Calibri" w:hAnsi="Calibri"/>
          <w:b w:val="0"/>
          <w:i w:val="0"/>
          <w:smallCaps w:val="0"/>
          <w:strike w:val="0"/>
          <w:color w:val="000000"/>
          <w:sz w:val="22"/>
          <w:szCs w:val="22"/>
          <w:highlight w:val="white"/>
          <w:vertAlign w:val="baseline"/>
        </w:rPr>
      </w:pP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No caso de adjudicação por preço global de grupo de itens, só será admitida a contratação de parte de itens do grupo se houver prévia pesquisa de mercado e demonstração de sua vantagem para o órgão ou a entidade.</w:t>
      </w:r>
      <w:r w:rsidDel="00000000" w:rsidR="00000000" w:rsidRPr="00000000">
        <w:rPr>
          <w:rtl w:val="0"/>
        </w:rPr>
      </w:r>
    </w:p>
    <w:p w:rsidR="00000000" w:rsidDel="00000000" w:rsidP="00000000" w:rsidRDefault="00000000" w:rsidRPr="00000000" w14:paraId="000000B4">
      <w:pPr>
        <w:numPr>
          <w:ilvl w:val="1"/>
          <w:numId w:val="1"/>
        </w:numPr>
        <w:tabs>
          <w:tab w:val="left" w:leader="none" w:pos="1462"/>
        </w:tabs>
        <w:spacing w:before="69" w:lineRule="auto"/>
        <w:ind w:left="1461" w:right="700" w:hanging="709"/>
        <w:jc w:val="both"/>
        <w:rPr>
          <w:highlight w:val="yellow"/>
        </w:rPr>
      </w:pPr>
      <w:r w:rsidDel="00000000" w:rsidR="00000000" w:rsidRPr="00000000">
        <w:rPr>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2"/>
        </w:tabs>
        <w:spacing w:after="0" w:before="69" w:line="240" w:lineRule="auto"/>
        <w:ind w:left="1461" w:right="700" w:firstLine="0"/>
        <w:jc w:val="both"/>
        <w:rPr>
          <w:rFonts w:ascii="Calibri" w:cs="Calibri" w:eastAsia="Calibri" w:hAnsi="Calibri"/>
          <w:b w:val="0"/>
          <w:i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76"/>
          <w:tab w:val="left" w:leader="none" w:pos="4504"/>
        </w:tabs>
        <w:spacing w:after="0" w:before="0" w:line="240" w:lineRule="auto"/>
        <w:ind w:left="1473"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Niterói, RJ,</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w:t>
      </w:r>
      <w:r w:rsidDel="00000000" w:rsidR="00000000" w:rsidRPr="00000000">
        <w:rPr>
          <w:rtl w:val="0"/>
        </w:rPr>
        <w:t xml:space="preserve">2025</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bebebe"/>
          <w:sz w:val="22"/>
          <w:szCs w:val="22"/>
          <w:u w:val="none"/>
          <w:shd w:fill="auto" w:val="clear"/>
          <w:vertAlign w:val="baseline"/>
          <w:rtl w:val="0"/>
        </w:rPr>
        <w:t xml:space="preserve">DOCUMENTO ASSINADO ELETRONICAMENTE</w:t>
      </w:r>
      <w:r w:rsidDel="00000000" w:rsidR="00000000" w:rsidRPr="00000000">
        <w:rPr>
          <w:rtl w:val="0"/>
        </w:rPr>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564" w:right="3553"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VERA LÚCIA LAVRADO CUPELLO CAJAZEIRAS</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64" w:right="3551"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Pró-Reitora de Administração</w:t>
      </w:r>
    </w:p>
    <w:p w:rsidR="00000000" w:rsidDel="00000000" w:rsidP="00000000" w:rsidRDefault="00000000" w:rsidRPr="00000000" w14:paraId="000000C0">
      <w:pP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br w:type="page"/>
      </w:r>
      <w:r w:rsidDel="00000000" w:rsidR="00000000" w:rsidRPr="00000000">
        <w:rPr>
          <w:rtl w:val="0"/>
        </w:rPr>
      </w:r>
    </w:p>
    <w:sectPr>
      <w:pgSz w:h="16840" w:w="11910" w:orient="portrait"/>
      <w:pgMar w:bottom="280" w:top="460" w:left="380" w:right="3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Autor" w:id="1" w:date="2023-07-10T18:44:43Z">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Restringindo-se o reequilíbrio a alguns itens fornecidos em circunstâncias específicas, a ata poderá prever preços distintos na forma do artigo 82, III, da Lei nº 14.133, de 2021.</w:t>
      </w:r>
    </w:p>
  </w:comment>
  <w:comment w:author="Autor" w:id="2" w:date="2023-07-10T18:44:43Z">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O §3º do art. 28 do Decreto nº 11.462/2023, prevê: "§ 3º  Na hipótese de cancelamento do registro do fornecedor, o órgão ou a entidade gerenciadora poderá convocar os licitantes que compõem o cadastro de reserva, observada a ordem de classificação."</w:t>
      </w:r>
    </w:p>
  </w:comment>
  <w:comment w:author="Autor" w:id="0" w:date="2023-07-10T18:44:43Z">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O artigo 84 da Lei 14.133 fixa o prazo de 1 (um) ano para a ata de registro de preços, admitindo a prorrogação por igual período.</w:t>
      </w:r>
    </w:p>
  </w:comment>
  <w:comment w:author="Autor" w:id="4" w:date="2023-07-10T18:44:43Z">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A sanção só cabe se o remanescente já assinou a ata e depois não atende convocação para firmar contrato ou instrumento equivalente: "Art. 45.  Após a homologação, o licitante vencedor será convocado para assinar o termo de contrato ou a ata de registro de preços, ou aceitar ou retirar o instrumento equivalente, no prazo estabelecido no edital de licitação, sob pena de decair o direito à contratação, sem prejuízo das sanções previstas na Lei nº 14.133, de 2021, e em outras legislações aplicáveis. [...] § 4º A recusa injustificada do adjudicatário em assinar o contrato ou a ata de registro de preço, ou em aceitar ou retirar o instrumento equivalente no prazo estabelecido pela Administração caracterizará o descumprimento total da obrigação assumida e o sujeitará às penalidades legalmente estabelecidas e à imediata perda da garantia de proposta em favor do órgão ou entidade promotora da licitação.</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5º A regra do § 4º não se aplicará aos licitantes remanescentes convocados na forma do inciso I do § 3º."</w:t>
      </w:r>
    </w:p>
  </w:comment>
  <w:comment w:author="Autor" w:id="3" w:date="2023-07-10T18:44:43Z">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Nota Explicativa: Art. 32.  Serão observadas as seguintes regras de controle para a adesão à ata de registro de preços de que trata o art. 31:</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 as aquisições ou as contratações adicionais não poderão exceder, por órgão ou entidade, a cinquenta por cento dos quantitativos dos itens do instrumento convocatório registrados na ata de registro de preços para o órgão ou a entidade gerenciadora e para os órgãos ou as entidades participantes; e</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II - o quantitativo decorrente das adesões não poderá exceder, na totalidade, ao dobro do quantitativo de cada item registrado na ata de registro de preços para o órgão ou a entidade gerenciadora e os órgãos ou as entidades participantes, independentemente do número de órgãos ou entidades não participantes que aderirem à ata de registro de preços.</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C1" w15:done="0"/>
  <w15:commentEx w15:paraId="000000C2" w15:done="0"/>
  <w15:commentEx w15:paraId="000000C3" w15:done="0"/>
  <w15:commentEx w15:paraId="000000C5" w15:done="0"/>
  <w15:commentEx w15:paraId="000000C8"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decimal"/>
      <w:lvlText w:val="%1."/>
      <w:lvlJc w:val="left"/>
      <w:pPr>
        <w:ind w:left="1461" w:hanging="709.0000000000001"/>
      </w:pPr>
      <w:rPr>
        <w:rFonts w:ascii="Calibri" w:cs="Calibri" w:eastAsia="Calibri" w:hAnsi="Calibri"/>
        <w:b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9999999999995"/>
      </w:pPr>
      <w:rPr/>
    </w:lvl>
    <w:lvl w:ilvl="4">
      <w:start w:val="0"/>
      <w:numFmt w:val="bullet"/>
      <w:lvlText w:val="•"/>
      <w:lvlJc w:val="left"/>
      <w:pPr>
        <w:ind w:left="4702" w:hanging="709.0000000000005"/>
      </w:pPr>
      <w:rPr/>
    </w:lvl>
    <w:lvl w:ilvl="5">
      <w:start w:val="0"/>
      <w:numFmt w:val="bullet"/>
      <w:lvlText w:val="•"/>
      <w:lvlJc w:val="left"/>
      <w:pPr>
        <w:ind w:left="5782" w:hanging="708.9999999999991"/>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2">
    <w:lvl w:ilvl="0">
      <w:start w:val="1"/>
      <w:numFmt w:val="decimal"/>
      <w:lvlText w:val="%1"/>
      <w:lvlJc w:val="left"/>
      <w:pPr>
        <w:ind w:left="1313" w:hanging="845.9999999999997"/>
      </w:pPr>
      <w:rPr/>
    </w:lvl>
    <w:lvl w:ilvl="1">
      <w:start w:val="1"/>
      <w:numFmt w:val="decimal"/>
      <w:lvlText w:val="%1.%2."/>
      <w:lvlJc w:val="left"/>
      <w:pPr>
        <w:ind w:left="1313" w:hanging="845.9999999999997"/>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9999999999995"/>
      </w:pPr>
      <w:rPr/>
    </w:lvl>
    <w:lvl w:ilvl="5">
      <w:start w:val="0"/>
      <w:numFmt w:val="bullet"/>
      <w:lvlText w:val="•"/>
      <w:lvlJc w:val="left"/>
      <w:pPr>
        <w:ind w:left="5611" w:hanging="846"/>
      </w:pPr>
      <w:rPr/>
    </w:lvl>
    <w:lvl w:ilvl="6">
      <w:start w:val="0"/>
      <w:numFmt w:val="bullet"/>
      <w:lvlText w:val="•"/>
      <w:lvlJc w:val="left"/>
      <w:pPr>
        <w:ind w:left="6648" w:hanging="846.0000000000018"/>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3">
    <w:lvl w:ilvl="0">
      <w:start w:val="5"/>
      <w:numFmt w:val="decimal"/>
      <w:lvlText w:val="%1"/>
      <w:lvlJc w:val="left"/>
      <w:pPr>
        <w:ind w:left="612" w:hanging="612"/>
      </w:pPr>
      <w:rPr/>
    </w:lvl>
    <w:lvl w:ilvl="1">
      <w:start w:val="4"/>
      <w:numFmt w:val="decimal"/>
      <w:lvlText w:val="%1.%2"/>
      <w:lvlJc w:val="left"/>
      <w:pPr>
        <w:ind w:left="1561" w:hanging="612.0000000000002"/>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2"/>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2"/>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rFonts w:ascii="Calibri" w:cs="Calibri" w:eastAsia="Calibri" w:hAnsi="Calibri"/>
      <w:lang w:val="pt-PT"/>
    </w:rPr>
  </w:style>
  <w:style w:type="paragraph" w:styleId="Ttulo1">
    <w:name w:val="heading 1"/>
    <w:basedOn w:val="Normal"/>
    <w:uiPriority w:val="9"/>
    <w:qFormat w:val="1"/>
    <w:pPr>
      <w:ind w:left="1461" w:hanging="710"/>
      <w:outlineLvl w:val="0"/>
    </w:pPr>
    <w:rPr>
      <w:b w:val="1"/>
      <w:bCs w:val="1"/>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detexto">
    <w:name w:val="Body Text"/>
    <w:basedOn w:val="Normal"/>
    <w:uiPriority w:val="1"/>
    <w:qFormat w:val="1"/>
    <w:pPr>
      <w:ind w:left="752"/>
      <w:jc w:val="both"/>
    </w:pPr>
  </w:style>
  <w:style w:type="paragraph" w:styleId="PargrafodaLista">
    <w:name w:val="List Paragraph"/>
    <w:basedOn w:val="Normal"/>
    <w:uiPriority w:val="1"/>
    <w:qFormat w:val="1"/>
    <w:pPr>
      <w:spacing w:before="70"/>
      <w:ind w:left="752"/>
      <w:jc w:val="both"/>
    </w:pPr>
  </w:style>
  <w:style w:type="paragraph" w:styleId="TableParagraph" w:customStyle="1">
    <w:name w:val="Table Paragraph"/>
    <w:basedOn w:val="Normal"/>
    <w:uiPriority w:val="1"/>
    <w:qFormat w:val="1"/>
  </w:style>
  <w:style w:type="paragraph" w:styleId="Nivel01" w:customStyle="1">
    <w:name w:val="Nivel 01"/>
    <w:basedOn w:val="Ttulo1"/>
    <w:next w:val="Normal"/>
    <w:link w:val="Nivel01Char"/>
    <w:qFormat w:val="1"/>
    <w:rsid w:val="00D967C5"/>
    <w:pPr>
      <w:keepNext w:val="1"/>
      <w:keepLines w:val="1"/>
      <w:widowControl w:val="1"/>
      <w:numPr>
        <w:numId w:val="3"/>
      </w:numPr>
      <w:tabs>
        <w:tab w:val="left" w:pos="567"/>
      </w:tabs>
      <w:autoSpaceDE w:val="1"/>
      <w:autoSpaceDN w:val="1"/>
      <w:spacing w:after="120" w:before="120" w:line="276" w:lineRule="auto"/>
      <w:ind w:left="0" w:firstLine="0"/>
      <w:jc w:val="both"/>
    </w:pPr>
    <w:rPr>
      <w:rFonts w:ascii="Arial" w:cs="Arial" w:hAnsi="Arial" w:eastAsiaTheme="majorEastAsia"/>
      <w:sz w:val="20"/>
      <w:szCs w:val="20"/>
      <w:lang w:val="pt-BR"/>
    </w:rPr>
  </w:style>
  <w:style w:type="character" w:styleId="Refdecomentrio">
    <w:name w:val="annotation reference"/>
    <w:basedOn w:val="Fontepargpadro"/>
    <w:semiHidden w:val="1"/>
    <w:unhideWhenUsed w:val="1"/>
    <w:rsid w:val="00D967C5"/>
    <w:rPr>
      <w:sz w:val="16"/>
      <w:szCs w:val="16"/>
    </w:rPr>
  </w:style>
  <w:style w:type="paragraph" w:styleId="Textodecomentrio">
    <w:name w:val="annotation text"/>
    <w:basedOn w:val="Normal"/>
    <w:link w:val="TextodecomentrioChar"/>
    <w:unhideWhenUsed w:val="1"/>
    <w:rsid w:val="00D967C5"/>
    <w:pPr>
      <w:widowControl w:val="1"/>
      <w:autoSpaceDE w:val="1"/>
      <w:autoSpaceDN w:val="1"/>
    </w:pPr>
    <w:rPr>
      <w:rFonts w:ascii="Ecofont_Spranq_eco_Sans" w:cs="Tahoma" w:eastAsia="Times New Roman" w:hAnsi="Ecofont_Spranq_eco_Sans"/>
      <w:sz w:val="20"/>
      <w:szCs w:val="20"/>
      <w:lang w:eastAsia="pt-BR" w:val="pt-BR"/>
    </w:rPr>
  </w:style>
  <w:style w:type="character" w:styleId="TextodecomentrioChar" w:customStyle="1">
    <w:name w:val="Texto de comentário Char"/>
    <w:basedOn w:val="Fontepargpadro"/>
    <w:link w:val="Textodecomentrio"/>
    <w:rsid w:val="00D967C5"/>
    <w:rPr>
      <w:rFonts w:ascii="Ecofont_Spranq_eco_Sans" w:cs="Tahoma" w:eastAsia="Times New Roman" w:hAnsi="Ecofont_Spranq_eco_Sans"/>
      <w:sz w:val="20"/>
      <w:szCs w:val="20"/>
      <w:lang w:eastAsia="pt-BR" w:val="pt-BR"/>
    </w:rPr>
  </w:style>
  <w:style w:type="paragraph" w:styleId="Nivel2" w:customStyle="1">
    <w:name w:val="Nivel 2"/>
    <w:basedOn w:val="Normal"/>
    <w:link w:val="Nivel2Char"/>
    <w:qFormat w:val="1"/>
    <w:rsid w:val="00D967C5"/>
    <w:pPr>
      <w:widowControl w:val="1"/>
      <w:numPr>
        <w:ilvl w:val="1"/>
        <w:numId w:val="3"/>
      </w:numPr>
      <w:adjustRightInd w:val="0"/>
      <w:spacing w:after="120" w:before="120" w:line="276" w:lineRule="auto"/>
      <w:ind w:left="0" w:firstLine="0"/>
      <w:jc w:val="both"/>
    </w:pPr>
    <w:rPr>
      <w:rFonts w:ascii="Arial" w:cs="Arial" w:eastAsia="Times New Roman" w:hAnsi="Arial"/>
      <w:sz w:val="20"/>
      <w:szCs w:val="20"/>
      <w:lang w:eastAsia="pt-BR" w:val="pt-BR"/>
    </w:rPr>
  </w:style>
  <w:style w:type="paragraph" w:styleId="Nvel2-Red" w:customStyle="1">
    <w:name w:val="Nível 2 -Red"/>
    <w:basedOn w:val="Nivel2"/>
    <w:link w:val="Nvel2-RedChar"/>
    <w:qFormat w:val="1"/>
    <w:rsid w:val="00D967C5"/>
    <w:rPr>
      <w:i w:val="1"/>
      <w:iCs w:val="1"/>
      <w:color w:val="ff0000"/>
    </w:rPr>
  </w:style>
  <w:style w:type="character" w:styleId="Nvel2-RedChar" w:customStyle="1">
    <w:name w:val="Nível 2 -Red Char"/>
    <w:basedOn w:val="Fontepargpadro"/>
    <w:link w:val="Nvel2-Red"/>
    <w:rsid w:val="00D967C5"/>
    <w:rPr>
      <w:rFonts w:ascii="Arial" w:cs="Arial" w:eastAsia="Times New Roman" w:hAnsi="Arial"/>
      <w:i w:val="1"/>
      <w:iCs w:val="1"/>
      <w:color w:val="ff0000"/>
      <w:sz w:val="20"/>
      <w:szCs w:val="20"/>
      <w:lang w:eastAsia="pt-BR" w:val="pt-BR"/>
    </w:rPr>
  </w:style>
  <w:style w:type="paragraph" w:styleId="Nvel3-R" w:customStyle="1">
    <w:name w:val="Nível 3-R"/>
    <w:basedOn w:val="Normal"/>
    <w:link w:val="Nvel3-RChar"/>
    <w:qFormat w:val="1"/>
    <w:rsid w:val="00D967C5"/>
    <w:pPr>
      <w:widowControl w:val="1"/>
      <w:numPr>
        <w:ilvl w:val="2"/>
        <w:numId w:val="3"/>
      </w:numPr>
      <w:autoSpaceDE w:val="1"/>
      <w:autoSpaceDN w:val="1"/>
      <w:spacing w:after="120" w:before="120" w:line="276" w:lineRule="auto"/>
      <w:jc w:val="both"/>
    </w:pPr>
    <w:rPr>
      <w:rFonts w:ascii="Arial" w:cs="Arial" w:hAnsi="Arial" w:eastAsiaTheme="minorEastAsia"/>
      <w:i w:val="1"/>
      <w:iCs w:val="1"/>
      <w:color w:val="ff0000"/>
      <w:sz w:val="20"/>
      <w:szCs w:val="20"/>
      <w:lang w:eastAsia="pt-BR" w:val="pt-BR"/>
    </w:rPr>
  </w:style>
  <w:style w:type="paragraph" w:styleId="Nvel4" w:customStyle="1">
    <w:name w:val="Nível 4"/>
    <w:basedOn w:val="Normal"/>
    <w:link w:val="Nvel4Char"/>
    <w:qFormat w:val="1"/>
    <w:rsid w:val="00D967C5"/>
    <w:pPr>
      <w:widowControl w:val="1"/>
      <w:numPr>
        <w:ilvl w:val="3"/>
        <w:numId w:val="3"/>
      </w:numPr>
      <w:autoSpaceDE w:val="1"/>
      <w:autoSpaceDN w:val="1"/>
      <w:spacing w:after="120" w:before="120" w:line="276" w:lineRule="auto"/>
      <w:ind w:left="567" w:firstLine="0"/>
      <w:jc w:val="both"/>
    </w:pPr>
    <w:rPr>
      <w:rFonts w:ascii="Arial" w:cs="Arial" w:eastAsia="Times New Roman" w:hAnsi="Arial"/>
      <w:sz w:val="20"/>
      <w:szCs w:val="20"/>
      <w:lang w:eastAsia="pt-BR" w:val="pt-BR"/>
    </w:rPr>
  </w:style>
  <w:style w:type="character" w:styleId="Nvel3-RChar" w:customStyle="1">
    <w:name w:val="Nível 3-R Char"/>
    <w:basedOn w:val="Fontepargpadro"/>
    <w:link w:val="Nvel3-R"/>
    <w:rsid w:val="00D967C5"/>
    <w:rPr>
      <w:rFonts w:ascii="Arial" w:cs="Arial" w:hAnsi="Arial" w:eastAsiaTheme="minorEastAsia"/>
      <w:i w:val="1"/>
      <w:iCs w:val="1"/>
      <w:color w:val="ff0000"/>
      <w:sz w:val="20"/>
      <w:szCs w:val="20"/>
      <w:lang w:eastAsia="pt-BR" w:val="pt-BR"/>
    </w:rPr>
  </w:style>
  <w:style w:type="paragraph" w:styleId="SubTitNN" w:customStyle="1">
    <w:name w:val="SubTitNN"/>
    <w:basedOn w:val="Normal"/>
    <w:link w:val="SubTitNNChar"/>
    <w:qFormat w:val="1"/>
    <w:rsid w:val="009112FC"/>
    <w:pPr>
      <w:widowControl w:val="1"/>
      <w:autoSpaceDE w:val="1"/>
      <w:autoSpaceDN w:val="1"/>
      <w:spacing w:after="120" w:before="240" w:line="276" w:lineRule="auto"/>
      <w:jc w:val="both"/>
    </w:pPr>
    <w:rPr>
      <w:rFonts w:ascii="Arial" w:cs="Arial" w:eastAsia="Times New Roman" w:hAnsi="Arial"/>
      <w:b w:val="1"/>
      <w:bCs w:val="1"/>
      <w:iCs w:val="1"/>
      <w:sz w:val="20"/>
      <w:szCs w:val="20"/>
      <w:lang w:eastAsia="pt-BR" w:val="pt-BR"/>
    </w:rPr>
  </w:style>
  <w:style w:type="character" w:styleId="SubTitNNChar" w:customStyle="1">
    <w:name w:val="SubTitNN Char"/>
    <w:basedOn w:val="Fontepargpadro"/>
    <w:link w:val="SubTitNN"/>
    <w:rsid w:val="009112FC"/>
    <w:rPr>
      <w:rFonts w:ascii="Arial" w:cs="Arial" w:eastAsia="Times New Roman" w:hAnsi="Arial"/>
      <w:b w:val="1"/>
      <w:bCs w:val="1"/>
      <w:iCs w:val="1"/>
      <w:sz w:val="20"/>
      <w:szCs w:val="20"/>
      <w:lang w:eastAsia="pt-BR" w:val="pt-BR"/>
    </w:rPr>
  </w:style>
  <w:style w:type="character" w:styleId="Nivel01Char" w:customStyle="1">
    <w:name w:val="Nivel 01 Char"/>
    <w:basedOn w:val="Fontepargpadro"/>
    <w:link w:val="Nivel01"/>
    <w:rsid w:val="0048288D"/>
    <w:rPr>
      <w:rFonts w:ascii="Arial" w:cs="Arial" w:hAnsi="Arial" w:eastAsiaTheme="majorEastAsia"/>
      <w:b w:val="1"/>
      <w:bCs w:val="1"/>
      <w:sz w:val="20"/>
      <w:szCs w:val="20"/>
      <w:lang w:val="pt-BR"/>
    </w:rPr>
  </w:style>
  <w:style w:type="character" w:styleId="Nivel2Char" w:customStyle="1">
    <w:name w:val="Nivel 2 Char"/>
    <w:basedOn w:val="Fontepargpadro"/>
    <w:link w:val="Nivel2"/>
    <w:locked w:val="1"/>
    <w:rsid w:val="0048288D"/>
    <w:rPr>
      <w:rFonts w:ascii="Arial" w:cs="Arial" w:eastAsia="Times New Roman" w:hAnsi="Arial"/>
      <w:sz w:val="20"/>
      <w:szCs w:val="20"/>
      <w:lang w:eastAsia="pt-BR" w:val="pt-BR"/>
    </w:rPr>
  </w:style>
  <w:style w:type="paragraph" w:styleId="Nvel3" w:customStyle="1">
    <w:name w:val="Nível 3"/>
    <w:basedOn w:val="Nvel3-R"/>
    <w:link w:val="Nvel3Char"/>
    <w:qFormat w:val="1"/>
    <w:rsid w:val="0048288D"/>
    <w:pPr>
      <w:numPr>
        <w:numId w:val="1"/>
      </w:numPr>
      <w:ind w:left="284" w:firstLine="0"/>
    </w:pPr>
    <w:rPr>
      <w:rFonts w:eastAsia="Times New Roman"/>
      <w:i w:val="0"/>
      <w:iCs w:val="0"/>
    </w:rPr>
  </w:style>
  <w:style w:type="character" w:styleId="Nvel3Char" w:customStyle="1">
    <w:name w:val="Nível 3 Char"/>
    <w:basedOn w:val="Nvel3-RChar"/>
    <w:link w:val="Nvel3"/>
    <w:rsid w:val="0048288D"/>
    <w:rPr>
      <w:rFonts w:ascii="Arial" w:cs="Arial" w:eastAsia="Times New Roman" w:hAnsi="Arial"/>
      <w:i w:val="0"/>
      <w:iCs w:val="0"/>
      <w:color w:val="ff0000"/>
      <w:sz w:val="20"/>
      <w:szCs w:val="20"/>
      <w:lang w:eastAsia="pt-BR" w:val="pt-BR"/>
    </w:rPr>
  </w:style>
  <w:style w:type="character" w:styleId="Nvel4Char" w:customStyle="1">
    <w:name w:val="Nível 4 Char"/>
    <w:basedOn w:val="Nvel3Char"/>
    <w:link w:val="Nvel4"/>
    <w:rsid w:val="00CF6112"/>
    <w:rPr>
      <w:rFonts w:ascii="Arial" w:cs="Arial" w:eastAsia="Times New Roman" w:hAnsi="Arial"/>
      <w:i w:val="0"/>
      <w:iCs w:val="0"/>
      <w:color w:val="ff0000"/>
      <w:sz w:val="20"/>
      <w:szCs w:val="20"/>
      <w:lang w:eastAsia="pt-BR" w:val="pt-BR"/>
    </w:rPr>
  </w:style>
  <w:style w:type="paragraph" w:styleId="Cabealho">
    <w:name w:val="header"/>
    <w:basedOn w:val="Normal"/>
    <w:link w:val="CabealhoChar"/>
    <w:uiPriority w:val="99"/>
    <w:unhideWhenUsed w:val="1"/>
    <w:rsid w:val="00DC364E"/>
    <w:pPr>
      <w:tabs>
        <w:tab w:val="center" w:pos="4252"/>
        <w:tab w:val="right" w:pos="8504"/>
      </w:tabs>
    </w:pPr>
  </w:style>
  <w:style w:type="character" w:styleId="CabealhoChar" w:customStyle="1">
    <w:name w:val="Cabeçalho Char"/>
    <w:basedOn w:val="Fontepargpadro"/>
    <w:link w:val="Cabealho"/>
    <w:uiPriority w:val="99"/>
    <w:rsid w:val="00DC364E"/>
    <w:rPr>
      <w:rFonts w:ascii="Calibri" w:cs="Calibri" w:eastAsia="Calibri" w:hAnsi="Calibri"/>
      <w:lang w:val="pt-PT"/>
    </w:rPr>
  </w:style>
  <w:style w:type="paragraph" w:styleId="Rodap">
    <w:name w:val="footer"/>
    <w:basedOn w:val="Normal"/>
    <w:link w:val="RodapChar"/>
    <w:uiPriority w:val="99"/>
    <w:unhideWhenUsed w:val="1"/>
    <w:rsid w:val="00DC364E"/>
    <w:pPr>
      <w:tabs>
        <w:tab w:val="center" w:pos="4252"/>
        <w:tab w:val="right" w:pos="8504"/>
      </w:tabs>
    </w:pPr>
  </w:style>
  <w:style w:type="character" w:styleId="RodapChar" w:customStyle="1">
    <w:name w:val="Rodapé Char"/>
    <w:basedOn w:val="Fontepargpadro"/>
    <w:link w:val="Rodap"/>
    <w:uiPriority w:val="99"/>
    <w:qFormat w:val="1"/>
    <w:rsid w:val="00DC364E"/>
    <w:rPr>
      <w:rFonts w:ascii="Calibri" w:cs="Calibri" w:eastAsia="Calibri" w:hAnsi="Calibri"/>
      <w:lang w:val="pt-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image" Target="media/image1.png"/><Relationship Id="rId10" Type="http://schemas.openxmlformats.org/officeDocument/2006/relationships/image" Target="media/image3.jpg"/><Relationship Id="rId12" Type="http://schemas.openxmlformats.org/officeDocument/2006/relationships/image" Target="media/image2.png"/><Relationship Id="rId9" Type="http://schemas.openxmlformats.org/officeDocument/2006/relationships/image" Target="media/image4.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K80tegopG4MPtUj7P06u56wFOA==">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uwAQC4AQEYvZH7iJQxIL2R+4iUMTAAQghraXguY210My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bHZXNEFSdjVmb3dNUWpLR3g4SkxGeG5fcGNETkZ1X2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