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74453E">
      <w:pPr>
        <w:spacing w:line="276" w:lineRule="auto"/>
        <w:rPr>
          <w:rFonts w:ascii="Arial" w:hAnsi="Arial" w:eastAsia="Arial" w:cs="Arial"/>
          <w:color w:val="000000"/>
        </w:rPr>
      </w:pPr>
    </w:p>
    <w:tbl>
      <w:tblPr>
        <w:tblStyle w:val="38"/>
        <w:tblW w:w="10740" w:type="dxa"/>
        <w:tblInd w:w="185" w:type="dxa"/>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Layout w:type="fixed"/>
        <w:tblCellMar>
          <w:top w:w="0" w:type="dxa"/>
          <w:left w:w="0" w:type="dxa"/>
          <w:bottom w:w="0" w:type="dxa"/>
          <w:right w:w="0" w:type="dxa"/>
        </w:tblCellMar>
      </w:tblPr>
      <w:tblGrid>
        <w:gridCol w:w="608"/>
        <w:gridCol w:w="924"/>
        <w:gridCol w:w="2821"/>
        <w:gridCol w:w="898"/>
        <w:gridCol w:w="665"/>
        <w:gridCol w:w="2094"/>
        <w:gridCol w:w="949"/>
        <w:gridCol w:w="1781"/>
      </w:tblGrid>
      <w:tr w14:paraId="10B6F905">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90" w:hRule="atLeast"/>
        </w:trPr>
        <w:tc>
          <w:tcPr>
            <w:tcW w:w="10740" w:type="dxa"/>
            <w:gridSpan w:val="8"/>
            <w:tcBorders>
              <w:bottom w:val="single" w:color="000000" w:sz="4" w:space="0"/>
            </w:tcBorders>
          </w:tcPr>
          <w:p w14:paraId="2691324B">
            <w:pPr>
              <w:spacing w:before="3"/>
              <w:rPr>
                <w:rFonts w:ascii="Times New Roman" w:hAnsi="Times New Roman" w:eastAsia="Times New Roman" w:cs="Times New Roman"/>
                <w:color w:val="000000"/>
                <w:sz w:val="5"/>
                <w:szCs w:val="5"/>
              </w:rPr>
            </w:pPr>
          </w:p>
          <w:p w14:paraId="2B4327C3">
            <w:pPr>
              <w:tabs>
                <w:tab w:val="left" w:pos="5001"/>
                <w:tab w:val="left" w:pos="9053"/>
              </w:tabs>
              <w:ind w:left="629"/>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33"/>
                <w:szCs w:val="33"/>
                <w:vertAlign w:val="superscript"/>
                <w:lang w:val="pt-BR"/>
              </w:rPr>
              <w:drawing>
                <wp:inline distT="0" distB="0" distL="0" distR="0">
                  <wp:extent cx="684530" cy="370205"/>
                  <wp:effectExtent l="0" t="0" r="0" b="0"/>
                  <wp:docPr id="2115606139" name="image3.jpg"/>
                  <wp:cNvGraphicFramePr/>
                  <a:graphic xmlns:a="http://schemas.openxmlformats.org/drawingml/2006/main">
                    <a:graphicData uri="http://schemas.openxmlformats.org/drawingml/2006/picture">
                      <pic:pic xmlns:pic="http://schemas.openxmlformats.org/drawingml/2006/picture">
                        <pic:nvPicPr>
                          <pic:cNvPr id="2115606139" name="image3.jpg"/>
                          <pic:cNvPicPr preferRelativeResize="0"/>
                        </pic:nvPicPr>
                        <pic:blipFill>
                          <a:blip r:embed="rId4"/>
                          <a:srcRect/>
                          <a:stretch>
                            <a:fillRect/>
                          </a:stretch>
                        </pic:blipFill>
                        <pic:spPr>
                          <a:xfrm>
                            <a:off x="0" y="0"/>
                            <a:ext cx="684860" cy="370331"/>
                          </a:xfrm>
                          <a:prstGeom prst="rect">
                            <a:avLst/>
                          </a:prstGeom>
                        </pic:spPr>
                      </pic:pic>
                    </a:graphicData>
                  </a:graphic>
                </wp:inline>
              </w:drawing>
            </w:r>
            <w:r>
              <w:rPr>
                <w:rFonts w:ascii="Times New Roman" w:hAnsi="Times New Roman" w:eastAsia="Times New Roman" w:cs="Times New Roman"/>
                <w:color w:val="000000"/>
                <w:sz w:val="33"/>
                <w:szCs w:val="33"/>
                <w:vertAlign w:val="superscript"/>
              </w:rPr>
              <w:tab/>
            </w:r>
            <w:r>
              <w:rPr>
                <w:rFonts w:ascii="Times New Roman" w:hAnsi="Times New Roman" w:eastAsia="Times New Roman" w:cs="Times New Roman"/>
                <w:color w:val="000000"/>
                <w:sz w:val="20"/>
                <w:szCs w:val="20"/>
                <w:lang w:val="pt-BR"/>
              </w:rPr>
              <w:drawing>
                <wp:inline distT="0" distB="0" distL="0" distR="0">
                  <wp:extent cx="628650" cy="616585"/>
                  <wp:effectExtent l="0" t="0" r="0" b="0"/>
                  <wp:docPr id="2115606141" name="image1.png"/>
                  <wp:cNvGraphicFramePr/>
                  <a:graphic xmlns:a="http://schemas.openxmlformats.org/drawingml/2006/main">
                    <a:graphicData uri="http://schemas.openxmlformats.org/drawingml/2006/picture">
                      <pic:pic xmlns:pic="http://schemas.openxmlformats.org/drawingml/2006/picture">
                        <pic:nvPicPr>
                          <pic:cNvPr id="2115606141" name="image1.png"/>
                          <pic:cNvPicPr preferRelativeResize="0"/>
                        </pic:nvPicPr>
                        <pic:blipFill>
                          <a:blip r:embed="rId5"/>
                          <a:srcRect/>
                          <a:stretch>
                            <a:fillRect/>
                          </a:stretch>
                        </pic:blipFill>
                        <pic:spPr>
                          <a:xfrm>
                            <a:off x="0" y="0"/>
                            <a:ext cx="628762" cy="617029"/>
                          </a:xfrm>
                          <a:prstGeom prst="rect">
                            <a:avLst/>
                          </a:prstGeom>
                        </pic:spPr>
                      </pic:pic>
                    </a:graphicData>
                  </a:graphic>
                </wp:inline>
              </w:drawing>
            </w:r>
            <w:r>
              <w:rPr>
                <w:rFonts w:ascii="Times New Roman" w:hAnsi="Times New Roman" w:eastAsia="Times New Roman" w:cs="Times New Roman"/>
                <w:color w:val="000000"/>
                <w:sz w:val="20"/>
                <w:szCs w:val="20"/>
              </w:rPr>
              <w:tab/>
            </w:r>
            <w:r>
              <w:rPr>
                <w:rFonts w:ascii="Times New Roman" w:hAnsi="Times New Roman" w:eastAsia="Times New Roman" w:cs="Times New Roman"/>
                <w:color w:val="000000"/>
                <w:sz w:val="33"/>
                <w:szCs w:val="33"/>
                <w:vertAlign w:val="superscript"/>
                <w:lang w:val="pt-BR"/>
              </w:rPr>
              <w:drawing>
                <wp:inline distT="0" distB="0" distL="0" distR="0">
                  <wp:extent cx="927100" cy="196215"/>
                  <wp:effectExtent l="0" t="0" r="0" b="0"/>
                  <wp:docPr id="2115606140" name="image2.png"/>
                  <wp:cNvGraphicFramePr/>
                  <a:graphic xmlns:a="http://schemas.openxmlformats.org/drawingml/2006/main">
                    <a:graphicData uri="http://schemas.openxmlformats.org/drawingml/2006/picture">
                      <pic:pic xmlns:pic="http://schemas.openxmlformats.org/drawingml/2006/picture">
                        <pic:nvPicPr>
                          <pic:cNvPr id="2115606140" name="image2.png"/>
                          <pic:cNvPicPr preferRelativeResize="0"/>
                        </pic:nvPicPr>
                        <pic:blipFill>
                          <a:blip r:embed="rId6"/>
                          <a:srcRect/>
                          <a:stretch>
                            <a:fillRect/>
                          </a:stretch>
                        </pic:blipFill>
                        <pic:spPr>
                          <a:xfrm>
                            <a:off x="0" y="0"/>
                            <a:ext cx="927176" cy="196596"/>
                          </a:xfrm>
                          <a:prstGeom prst="rect">
                            <a:avLst/>
                          </a:prstGeom>
                        </pic:spPr>
                      </pic:pic>
                    </a:graphicData>
                  </a:graphic>
                </wp:inline>
              </w:drawing>
            </w:r>
          </w:p>
          <w:p w14:paraId="4A592660">
            <w:pPr>
              <w:spacing w:before="8"/>
              <w:rPr>
                <w:rFonts w:ascii="Times New Roman" w:hAnsi="Times New Roman" w:eastAsia="Times New Roman" w:cs="Times New Roman"/>
                <w:color w:val="000000"/>
                <w:sz w:val="20"/>
                <w:szCs w:val="20"/>
              </w:rPr>
            </w:pPr>
          </w:p>
          <w:p w14:paraId="5922161A">
            <w:pPr>
              <w:ind w:left="3709" w:right="3595" w:firstLine="1"/>
              <w:jc w:val="center"/>
              <w:rPr>
                <w:b/>
                <w:color w:val="000000"/>
              </w:rPr>
            </w:pPr>
            <w:r>
              <w:rPr>
                <w:b/>
                <w:color w:val="000000"/>
              </w:rPr>
              <w:t>MINISTÉRIO DA EDUCAÇÃO UNIVERSIDADE FEDERAL FLUMINENSE PRO REITORIA DE ADMINISTRAÇÃO</w:t>
            </w:r>
          </w:p>
          <w:p w14:paraId="0BB6CC80">
            <w:pPr>
              <w:rPr>
                <w:rFonts w:ascii="Times New Roman" w:hAnsi="Times New Roman" w:eastAsia="Times New Roman" w:cs="Times New Roman"/>
                <w:color w:val="000000"/>
              </w:rPr>
            </w:pPr>
          </w:p>
          <w:p w14:paraId="7ECFF0EF">
            <w:pPr>
              <w:spacing w:before="175" w:line="482" w:lineRule="auto"/>
              <w:ind w:left="2681" w:right="2565"/>
              <w:jc w:val="center"/>
              <w:rPr>
                <w:rFonts w:ascii="Arial" w:hAnsi="Arial" w:eastAsia="Arial" w:cs="Arial"/>
                <w:b/>
                <w:color w:val="FF0000"/>
                <w:sz w:val="18"/>
                <w:szCs w:val="18"/>
              </w:rPr>
            </w:pPr>
            <w:r>
              <w:rPr>
                <w:rFonts w:ascii="Arial" w:hAnsi="Arial" w:eastAsia="Arial" w:cs="Arial"/>
                <w:b/>
                <w:color w:val="FF0000"/>
                <w:sz w:val="18"/>
                <w:szCs w:val="18"/>
              </w:rPr>
              <w:t xml:space="preserve">ANEXO </w:t>
            </w:r>
            <w:r>
              <w:rPr>
                <w:rFonts w:ascii="Arial" w:hAnsi="Arial" w:eastAsia="Arial" w:cs="Arial"/>
                <w:b/>
                <w:color w:val="FF0000"/>
                <w:sz w:val="18"/>
                <w:szCs w:val="18"/>
                <w:lang w:val="pt-BR"/>
              </w:rPr>
              <w:t>III</w:t>
            </w:r>
            <w:r>
              <w:rPr>
                <w:rFonts w:ascii="Arial" w:hAnsi="Arial" w:eastAsia="Arial" w:cs="Arial"/>
                <w:b/>
                <w:color w:val="FF0000"/>
                <w:sz w:val="18"/>
                <w:szCs w:val="18"/>
              </w:rPr>
              <w:t xml:space="preserve"> DO EDITAL DO PE N.º 9003</w:t>
            </w:r>
            <w:r>
              <w:rPr>
                <w:rFonts w:hint="default" w:ascii="Arial" w:hAnsi="Arial" w:eastAsia="Arial" w:cs="Arial"/>
                <w:b/>
                <w:color w:val="FF0000"/>
                <w:sz w:val="18"/>
                <w:szCs w:val="18"/>
                <w:lang w:val="pt-BR"/>
              </w:rPr>
              <w:t>2</w:t>
            </w:r>
            <w:r>
              <w:rPr>
                <w:rFonts w:ascii="Arial" w:hAnsi="Arial" w:eastAsia="Arial" w:cs="Arial"/>
                <w:b/>
                <w:color w:val="FF0000"/>
                <w:sz w:val="18"/>
                <w:szCs w:val="18"/>
              </w:rPr>
              <w:t xml:space="preserve">/2025/AD </w:t>
            </w:r>
          </w:p>
          <w:p w14:paraId="0A5B0800">
            <w:pPr>
              <w:spacing w:before="175" w:line="482" w:lineRule="auto"/>
              <w:ind w:left="2681" w:right="2565"/>
              <w:jc w:val="center"/>
              <w:rPr>
                <w:rFonts w:ascii="Arial" w:hAnsi="Arial" w:eastAsia="Arial" w:cs="Arial"/>
                <w:b/>
                <w:color w:val="000000"/>
                <w:sz w:val="18"/>
                <w:szCs w:val="18"/>
              </w:rPr>
            </w:pPr>
            <w:r>
              <w:rPr>
                <w:rFonts w:ascii="Arial" w:hAnsi="Arial" w:eastAsia="Arial" w:cs="Arial"/>
                <w:b/>
                <w:color w:val="000000"/>
                <w:sz w:val="18"/>
                <w:szCs w:val="18"/>
              </w:rPr>
              <w:t>MINUTA ATA DE REGISTRO DE PREÇOS</w:t>
            </w:r>
          </w:p>
          <w:p w14:paraId="614E8F30">
            <w:pPr>
              <w:spacing w:before="3"/>
              <w:rPr>
                <w:rFonts w:ascii="Times New Roman" w:hAnsi="Times New Roman" w:eastAsia="Times New Roman" w:cs="Times New Roman"/>
                <w:color w:val="000000"/>
                <w:sz w:val="21"/>
                <w:szCs w:val="21"/>
              </w:rPr>
            </w:pPr>
          </w:p>
          <w:p w14:paraId="1DD7FE34">
            <w:pPr>
              <w:spacing w:line="22" w:lineRule="auto"/>
              <w:ind w:left="1254"/>
              <w:rPr>
                <w:rFonts w:ascii="Times New Roman" w:hAnsi="Times New Roman" w:eastAsia="Times New Roman" w:cs="Times New Roman"/>
                <w:color w:val="000000"/>
                <w:sz w:val="2"/>
                <w:szCs w:val="2"/>
              </w:rPr>
            </w:pPr>
            <w:r>
              <w:rPr>
                <w:rFonts w:ascii="Times New Roman" w:hAnsi="Times New Roman" w:eastAsia="Times New Roman" w:cs="Times New Roman"/>
                <w:color w:val="000000"/>
                <w:sz w:val="2"/>
                <w:szCs w:val="2"/>
                <w:lang w:val="pt-BR"/>
              </w:rPr>
              <mc:AlternateContent>
                <mc:Choice Requires="wpg">
                  <w:drawing>
                    <wp:inline distT="0" distB="0" distL="0" distR="0">
                      <wp:extent cx="5323205" cy="13335"/>
                      <wp:effectExtent l="0" t="0" r="0" b="0"/>
                      <wp:docPr id="2115606136" name="Grupo 2115606136"/>
                      <wp:cNvGraphicFramePr/>
                      <a:graphic xmlns:a="http://schemas.openxmlformats.org/drawingml/2006/main">
                        <a:graphicData uri="http://schemas.microsoft.com/office/word/2010/wordprocessingGroup">
                          <wpg:wgp>
                            <wpg:cNvGrpSpPr/>
                            <wpg:grpSpPr>
                              <a:xfrm>
                                <a:off x="0" y="0"/>
                                <a:ext cx="5323205" cy="13335"/>
                                <a:chOff x="2684375" y="3773100"/>
                                <a:chExt cx="5323250" cy="13175"/>
                              </a:xfrm>
                            </wpg:grpSpPr>
                            <wpg:grpSp>
                              <wpg:cNvPr id="1" name="Grupo 1"/>
                              <wpg:cNvGrpSpPr/>
                              <wpg:grpSpPr>
                                <a:xfrm>
                                  <a:off x="2684398" y="3773333"/>
                                  <a:ext cx="5323205" cy="7620"/>
                                  <a:chOff x="0" y="0"/>
                                  <a:chExt cx="8383" cy="12"/>
                                </a:xfrm>
                              </wpg:grpSpPr>
                              <wps:wsp>
                                <wps:cNvPr id="2" name="Retângulo 2"/>
                                <wps:cNvSpPr/>
                                <wps:spPr>
                                  <a:xfrm>
                                    <a:off x="0" y="0"/>
                                    <a:ext cx="8375" cy="0"/>
                                  </a:xfrm>
                                  <a:prstGeom prst="rect">
                                    <a:avLst/>
                                  </a:prstGeom>
                                  <a:noFill/>
                                  <a:ln>
                                    <a:noFill/>
                                  </a:ln>
                                </wps:spPr>
                                <wps:txbx>
                                  <w:txbxContent>
                                    <w:p w14:paraId="339A4ABA"/>
                                  </w:txbxContent>
                                </wps:txbx>
                                <wps:bodyPr spcFirstLastPara="1" wrap="square" lIns="91425" tIns="91425" rIns="91425" bIns="91425" anchor="ctr" anchorCtr="0">
                                  <a:noAutofit/>
                                </wps:bodyPr>
                              </wps:wsp>
                              <wps:wsp>
                                <wps:cNvPr id="3" name="Forma livre 3"/>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med" len="med"/>
                                    <a:tailEnd type="none" w="med" len="med"/>
                                  </a:ln>
                                </wps:spPr>
                                <wps:bodyPr spcFirstLastPara="1" wrap="square" lIns="91425" tIns="91425" rIns="91425" bIns="91425" anchor="ctr" anchorCtr="0">
                                  <a:noAutofit/>
                                </wps:bodyPr>
                              </wps:wsp>
                            </wpg:grpSp>
                          </wpg:wgp>
                        </a:graphicData>
                      </a:graphic>
                    </wp:inline>
                  </w:drawing>
                </mc:Choice>
                <mc:Fallback>
                  <w:pict>
                    <v:group id="_x0000_s1026" o:spid="_x0000_s1026" o:spt="203" style="height:1.05pt;width:419.15pt;" coordorigin="2684375,3773100" coordsize="5323250,13175" o:gfxdata="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">
                      <o:lock v:ext="edit" aspectratio="f"/>
                      <v:group id="_x0000_s1026" o:spid="_x0000_s1026" o:spt="203" style="position:absolute;left:2684398;top:3773333;height:7620;width:5323205;" coordsize="8383,12" o:gfxdata="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vJT3i7AAAA2gAAAA8AAAAAAAAAAQAgAAAAIgAAAGRycy9kb3ducmV2LnhtbFBL&#10;AQIUABQAAAAIAIdO4kAzLwWeOwAAADkAAAAVAAAAAAAAAAEAIAAAAAoBAABkcnMvZ3JvdXBzaGFw&#10;ZXhtbC54bWxQSwUGAAAAAAYABgBgAQAAxwMAAAAA&#10;">
                        <o:lock v:ext="edit" aspectratio="f"/>
                        <v:rect id="_x0000_s1026" o:spid="_x0000_s1026" o:spt="1" style="position:absolute;left:0;top:0;height:0;width:8375;v-text-anchor:middle;" filled="f" stroked="f" coordsize="21600,21600" o:gfxdata="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qF4mugAAANoA&#10;AAAPAAAAAAAAAAEAIAAAACIAAABkcnMvZG93bnJldi54bWxQSwECFAAUAAAACACHTuJAMy8FnjsA&#10;AAA5AAAAEAAAAAAAAAABACAAAAAJAQAAZHJzL3NoYXBleG1sLnhtbFBLBQYAAAAABgAGAFsBAACz&#10;AwAAAAA=&#10;">
                          <v:fill on="f" focussize="0,0"/>
                          <v:stroke on="f"/>
                          <v:imagedata o:title=""/>
                          <o:lock v:ext="edit" aspectratio="f"/>
                          <v:textbox inset="7.1988188976378pt,7.1988188976378pt,7.1988188976378pt,7.1988188976378pt">
                            <w:txbxContent>
                              <w:p w14:paraId="339A4ABA"/>
                            </w:txbxContent>
                          </v:textbox>
                        </v:rect>
                        <v:shape id="_x0000_s1026" o:spid="_x0000_s1026" o:spt="100" style="position:absolute;left:0;top:10;height:2;width:8383;v-text-anchor:middle;" filled="f" stroked="t" coordsize="8383,120000" o:gfxdata="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IImsFugAAANoA&#10;AAAPAAAAAAAAAAEAIAAAACIAAABkcnMvZG93bnJldi54bWxQSwECFAAUAAAACACHTuJAMy8FnjsA&#10;AAA5AAAAEAAAAAAAAAABACAAAAAJAQAAZHJzL3NoYXBleG1sLnhtbFBLBQYAAAAABgAGAFsBAACz&#10;AwAAAAA=&#10;" path="m0,0l2414,0m2416,0l4830,0m4832,0l7246,0m7248,0l8383,0e">
                          <v:fill on="f" focussize="0,0"/>
                          <v:stroke weight="1.03543307086614pt" color="#000000" joinstyle="round"/>
                          <v:imagedata o:title=""/>
                          <o:lock v:ext="edit" aspectratio="f"/>
                          <v:textbox inset="7.1988188976378pt,7.1988188976378pt,7.1988188976378pt,7.1988188976378pt"/>
                        </v:shape>
                      </v:group>
                      <w10:wrap type="none"/>
                      <w10:anchorlock/>
                    </v:group>
                  </w:pict>
                </mc:Fallback>
              </mc:AlternateContent>
            </w:r>
          </w:p>
          <w:p w14:paraId="023FDB99">
            <w:pPr>
              <w:rPr>
                <w:rFonts w:ascii="Times New Roman" w:hAnsi="Times New Roman" w:eastAsia="Times New Roman" w:cs="Times New Roman"/>
                <w:color w:val="000000"/>
                <w:sz w:val="20"/>
                <w:szCs w:val="20"/>
              </w:rPr>
            </w:pPr>
          </w:p>
          <w:p w14:paraId="66D833BA">
            <w:pPr>
              <w:spacing w:before="136"/>
              <w:ind w:left="610" w:right="489"/>
              <w:jc w:val="both"/>
              <w:rPr>
                <w:color w:val="000000"/>
              </w:rPr>
            </w:pPr>
          </w:p>
          <w:p w14:paraId="0F455ACA">
            <w:pPr>
              <w:tabs>
                <w:tab w:val="center" w:pos="4779"/>
                <w:tab w:val="right" w:pos="9198"/>
              </w:tabs>
              <w:spacing w:before="120" w:after="120" w:line="276" w:lineRule="auto"/>
              <w:ind w:left="402" w:right="491" w:firstLine="1016"/>
              <w:jc w:val="both"/>
            </w:pPr>
            <w:r>
              <w:t xml:space="preserve">A </w:t>
            </w:r>
            <w:r>
              <w:rPr>
                <w:b/>
              </w:rPr>
              <w:t xml:space="preserve">Pró-Reitoria de Administração da Universidade Federal Fluminense (PROAD/UFF), </w:t>
            </w:r>
            <w:r>
              <w:t xml:space="preserve">inscrito no CNPJ/MF sob o nº. 28.523.215/0039-89, situada na Rua Miguel de Frias, 9, 1º andar, Icaraí, Niterói/RJ, CEP 24.220-900, neste ato representada pela Pró-Reitora de Administração, </w:t>
            </w:r>
            <w:r>
              <w:rPr>
                <w:b/>
              </w:rPr>
              <w:t xml:space="preserve">Vera Lucia Lavrado Cupelo Cajazeiras, </w:t>
            </w:r>
            <w:r>
              <w:t xml:space="preserve"> nomeada pela  Portaria nº 68.611/2023, de 10/11/2023, publicada no Boletim de Serviços 14/11/2023, portador da matrícula funcional nº 6308377, considerando o julgamento da licitação na modalidade de pregão, na forma eletrônica, para REGISTRO DE PREÇOS nº 9003</w:t>
            </w:r>
            <w:r>
              <w:rPr>
                <w:rFonts w:hint="default"/>
                <w:lang w:val="pt-BR"/>
              </w:rPr>
              <w:t>2</w:t>
            </w:r>
            <w:r>
              <w:t xml:space="preserve">/2025, processo administrativo n.º </w:t>
            </w:r>
            <w:r>
              <w:rPr>
                <w:rFonts w:hint="default"/>
              </w:rPr>
              <w:t>23069.153812/2025-24</w:t>
            </w:r>
            <w:r>
              <w:t>,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14:paraId="72B8B74B">
            <w:pPr>
              <w:spacing w:before="136"/>
              <w:ind w:left="610" w:right="489"/>
              <w:jc w:val="both"/>
              <w:rPr>
                <w:color w:val="000000"/>
              </w:rPr>
            </w:pPr>
          </w:p>
          <w:p w14:paraId="335CB620">
            <w:pPr>
              <w:tabs>
                <w:tab w:val="left" w:pos="1318"/>
              </w:tabs>
              <w:ind w:left="610"/>
              <w:rPr>
                <w:b/>
                <w:color w:val="000000"/>
              </w:rPr>
            </w:pPr>
            <w:r>
              <w:rPr>
                <w:b/>
                <w:color w:val="000000"/>
              </w:rPr>
              <w:t>1.</w:t>
            </w:r>
            <w:r>
              <w:rPr>
                <w:b/>
                <w:color w:val="000000"/>
              </w:rPr>
              <w:tab/>
            </w:r>
            <w:r>
              <w:rPr>
                <w:b/>
                <w:color w:val="000000"/>
              </w:rPr>
              <w:t>DO OBJETO</w:t>
            </w:r>
          </w:p>
          <w:p w14:paraId="06C3C976">
            <w:pPr>
              <w:numPr>
                <w:ilvl w:val="1"/>
                <w:numId w:val="1"/>
              </w:numPr>
              <w:tabs>
                <w:tab w:val="left" w:pos="1314"/>
              </w:tabs>
              <w:spacing w:before="72"/>
              <w:ind w:right="489" w:hanging="846"/>
              <w:jc w:val="both"/>
            </w:pPr>
            <w:r>
              <w:rPr>
                <w:color w:val="000000"/>
              </w:rPr>
              <w:t xml:space="preserve">A presente Ata tem por objeto o registro de preços para a eventual Aquisição de </w:t>
            </w:r>
            <w:r>
              <w:rPr>
                <w:rFonts w:hint="default"/>
                <w:b/>
                <w:bCs/>
                <w:color w:val="000000"/>
                <w:lang w:val="pt-BR"/>
              </w:rPr>
              <w:t>Materias Permanentes de TIC Diversos</w:t>
            </w:r>
            <w:r>
              <w:rPr>
                <w:b/>
              </w:rPr>
              <w:t xml:space="preserve">, </w:t>
            </w:r>
            <w:r>
              <w:t>especificado(s) no(s) item(ns) do Termo de Referência e Planilha de Itens</w:t>
            </w:r>
            <w:r>
              <w:rPr>
                <w:lang w:val="pt-BR"/>
              </w:rPr>
              <w:t xml:space="preserve"> anexos a</w:t>
            </w:r>
            <w:r>
              <w:t>o edital de Pregão nº  9003</w:t>
            </w:r>
            <w:r>
              <w:rPr>
                <w:lang w:val="pt-BR"/>
              </w:rPr>
              <w:t>1</w:t>
            </w:r>
            <w:r>
              <w:t xml:space="preserve">/2025, que é parte integrante desta Ata, assim como </w:t>
            </w:r>
            <w:r>
              <w:rPr>
                <w:color w:val="000000"/>
              </w:rPr>
              <w:t>a proposta vencedora, independentemente de transcrição.</w:t>
            </w:r>
          </w:p>
          <w:p w14:paraId="2014738F">
            <w:pPr>
              <w:spacing w:before="3"/>
              <w:rPr>
                <w:rFonts w:ascii="Times New Roman" w:hAnsi="Times New Roman" w:eastAsia="Times New Roman" w:cs="Times New Roman"/>
                <w:color w:val="000000"/>
                <w:sz w:val="29"/>
                <w:szCs w:val="29"/>
              </w:rPr>
            </w:pPr>
          </w:p>
          <w:p w14:paraId="4BA1F78F">
            <w:pPr>
              <w:numPr>
                <w:ilvl w:val="2"/>
                <w:numId w:val="1"/>
              </w:numPr>
              <w:tabs>
                <w:tab w:val="left" w:pos="1462"/>
                <w:tab w:val="left" w:pos="1463"/>
              </w:tabs>
              <w:rPr>
                <w:b/>
                <w:color w:val="000000"/>
              </w:rPr>
            </w:pPr>
            <w:r>
              <w:rPr>
                <w:b/>
                <w:color w:val="000000"/>
              </w:rPr>
              <w:t>DOS PREÇOS, ESPECIFICAÇÕES E QUANTITATIVOS</w:t>
            </w:r>
          </w:p>
          <w:p w14:paraId="1FA31526">
            <w:pPr>
              <w:numPr>
                <w:ilvl w:val="3"/>
                <w:numId w:val="1"/>
              </w:numPr>
              <w:tabs>
                <w:tab w:val="left" w:pos="1462"/>
                <w:tab w:val="left" w:pos="1463"/>
              </w:tabs>
              <w:spacing w:before="73"/>
              <w:ind w:right="488"/>
            </w:pPr>
            <w:r>
              <w:rPr>
                <w:color w:val="000000"/>
              </w:rPr>
              <w:t>O preço registrado, as especificações do objeto, a quantidade, fornecedor(es) e as demais condições ofertadas na(s) proposta(s) são as que seguem:</w:t>
            </w:r>
          </w:p>
          <w:p w14:paraId="4E6F115F">
            <w:pPr>
              <w:spacing w:before="173"/>
              <w:ind w:left="4309"/>
              <w:rPr>
                <w:b/>
                <w:color w:val="000000"/>
              </w:rPr>
            </w:pPr>
            <w:r>
              <w:rPr>
                <w:b/>
                <w:color w:val="000000"/>
              </w:rPr>
              <w:t>Identificação da Empresa</w:t>
            </w:r>
          </w:p>
          <w:p w14:paraId="15FA36B1">
            <w:pP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 </w:t>
            </w:r>
            <w:r>
              <w:rPr>
                <w:color w:val="000000"/>
                <w:u w:val="single"/>
              </w:rPr>
              <w:t xml:space="preserve"> </w:t>
            </w:r>
            <w:r>
              <w:rPr>
                <w:color w:val="000000"/>
                <w:u w:val="single"/>
              </w:rPr>
              <w:tab/>
            </w:r>
          </w:p>
          <w:p w14:paraId="3B10DB39">
            <w:pPr>
              <w:tabs>
                <w:tab w:val="left" w:pos="5259"/>
                <w:tab w:val="left" w:pos="8494"/>
              </w:tabs>
              <w:spacing w:before="118" w:line="348" w:lineRule="auto"/>
              <w:ind w:left="610" w:right="2303"/>
              <w:rPr>
                <w:color w:val="000000"/>
              </w:rPr>
            </w:pPr>
          </w:p>
        </w:tc>
      </w:tr>
      <w:tr w14:paraId="5D0A6D9C">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90" w:hRule="atLeast"/>
        </w:trPr>
        <w:tc>
          <w:tcPr>
            <w:tcW w:w="608" w:type="dxa"/>
            <w:tcBorders>
              <w:top w:val="single" w:color="000000" w:sz="4" w:space="0"/>
              <w:bottom w:val="single" w:color="000000" w:sz="4" w:space="0"/>
              <w:right w:val="single" w:color="000000" w:sz="4" w:space="0"/>
            </w:tcBorders>
            <w:shd w:val="clear" w:color="auto" w:fill="D9E0F1"/>
          </w:tcPr>
          <w:p w14:paraId="567BEA17">
            <w:pPr>
              <w:spacing w:before="5"/>
              <w:rPr>
                <w:rFonts w:ascii="Times New Roman" w:hAnsi="Times New Roman" w:eastAsia="Times New Roman" w:cs="Times New Roman"/>
                <w:color w:val="000000"/>
                <w:sz w:val="27"/>
                <w:szCs w:val="27"/>
              </w:rPr>
            </w:pPr>
          </w:p>
          <w:p w14:paraId="6AD053D0">
            <w:pPr>
              <w:ind w:left="56" w:right="5"/>
              <w:jc w:val="center"/>
              <w:rPr>
                <w:b/>
                <w:color w:val="000000"/>
              </w:rPr>
            </w:pPr>
            <w:r>
              <w:rPr>
                <w:b/>
                <w:color w:val="000000"/>
              </w:rPr>
              <w:t>ITEM</w:t>
            </w:r>
          </w:p>
        </w:tc>
        <w:tc>
          <w:tcPr>
            <w:tcW w:w="924" w:type="dxa"/>
            <w:tcBorders>
              <w:top w:val="single" w:color="000000" w:sz="4" w:space="0"/>
              <w:left w:val="single" w:color="000000" w:sz="4" w:space="0"/>
              <w:bottom w:val="single" w:color="000000" w:sz="4" w:space="0"/>
              <w:right w:val="single" w:color="000000" w:sz="4" w:space="0"/>
            </w:tcBorders>
            <w:shd w:val="clear" w:color="auto" w:fill="D9E0F1"/>
          </w:tcPr>
          <w:p w14:paraId="552C3C23">
            <w:pPr>
              <w:spacing w:before="5"/>
              <w:rPr>
                <w:rFonts w:ascii="Times New Roman" w:hAnsi="Times New Roman" w:eastAsia="Times New Roman" w:cs="Times New Roman"/>
                <w:color w:val="000000"/>
                <w:sz w:val="27"/>
                <w:szCs w:val="27"/>
              </w:rPr>
            </w:pPr>
          </w:p>
          <w:p w14:paraId="1D0BE202">
            <w:pPr>
              <w:ind w:left="102"/>
              <w:rPr>
                <w:b/>
                <w:color w:val="000000"/>
              </w:rPr>
            </w:pPr>
            <w:r>
              <w:rPr>
                <w:b/>
                <w:color w:val="000000"/>
              </w:rPr>
              <w:t>CATMAT</w:t>
            </w:r>
          </w:p>
        </w:tc>
        <w:tc>
          <w:tcPr>
            <w:tcW w:w="2821" w:type="dxa"/>
            <w:tcBorders>
              <w:top w:val="single" w:color="000000" w:sz="4" w:space="0"/>
              <w:left w:val="single" w:color="000000" w:sz="4" w:space="0"/>
              <w:bottom w:val="single" w:color="000000" w:sz="4" w:space="0"/>
              <w:right w:val="single" w:color="000000" w:sz="4" w:space="0"/>
            </w:tcBorders>
            <w:shd w:val="clear" w:color="auto" w:fill="D9E0F1"/>
          </w:tcPr>
          <w:p w14:paraId="6BEA31A7">
            <w:pPr>
              <w:spacing w:before="5"/>
              <w:rPr>
                <w:rFonts w:ascii="Times New Roman" w:hAnsi="Times New Roman" w:eastAsia="Times New Roman" w:cs="Times New Roman"/>
                <w:color w:val="000000"/>
                <w:sz w:val="27"/>
                <w:szCs w:val="27"/>
              </w:rPr>
            </w:pPr>
          </w:p>
          <w:p w14:paraId="127FC616">
            <w:pPr>
              <w:ind w:left="116"/>
              <w:rPr>
                <w:b/>
                <w:color w:val="000000"/>
              </w:rPr>
            </w:pPr>
            <w:r>
              <w:rPr>
                <w:b/>
                <w:color w:val="000000"/>
              </w:rPr>
              <w:t>DESCRIÇÃO COMPLEMENTAR</w:t>
            </w:r>
          </w:p>
        </w:tc>
        <w:tc>
          <w:tcPr>
            <w:tcW w:w="898" w:type="dxa"/>
            <w:tcBorders>
              <w:top w:val="single" w:color="000000" w:sz="4" w:space="0"/>
              <w:left w:val="single" w:color="000000" w:sz="4" w:space="0"/>
              <w:bottom w:val="single" w:color="000000" w:sz="4" w:space="0"/>
              <w:right w:val="single" w:color="000000" w:sz="4" w:space="0"/>
            </w:tcBorders>
            <w:shd w:val="clear" w:color="auto" w:fill="D9E0F1"/>
          </w:tcPr>
          <w:p w14:paraId="4ADEFB8E">
            <w:pPr>
              <w:spacing w:before="181"/>
              <w:ind w:left="101" w:right="11" w:firstLine="167"/>
              <w:rPr>
                <w:b/>
                <w:color w:val="000000"/>
              </w:rPr>
            </w:pPr>
            <w:r>
              <w:rPr>
                <w:b/>
                <w:color w:val="000000"/>
              </w:rPr>
              <w:t>UND MEDIDA</w:t>
            </w:r>
          </w:p>
        </w:tc>
        <w:tc>
          <w:tcPr>
            <w:tcW w:w="665" w:type="dxa"/>
            <w:tcBorders>
              <w:top w:val="single" w:color="000000" w:sz="4" w:space="0"/>
              <w:left w:val="single" w:color="000000" w:sz="4" w:space="0"/>
              <w:bottom w:val="single" w:color="000000" w:sz="4" w:space="0"/>
              <w:right w:val="single" w:color="000000" w:sz="4" w:space="0"/>
            </w:tcBorders>
            <w:shd w:val="clear" w:color="auto" w:fill="D9E0F1"/>
          </w:tcPr>
          <w:p w14:paraId="67654DF3">
            <w:pPr>
              <w:spacing w:before="5"/>
              <w:rPr>
                <w:rFonts w:ascii="Times New Roman" w:hAnsi="Times New Roman" w:eastAsia="Times New Roman" w:cs="Times New Roman"/>
                <w:color w:val="000000"/>
                <w:sz w:val="27"/>
                <w:szCs w:val="27"/>
              </w:rPr>
            </w:pPr>
          </w:p>
          <w:p w14:paraId="346C5B8A">
            <w:pPr>
              <w:ind w:left="99"/>
              <w:rPr>
                <w:b/>
                <w:color w:val="000000"/>
              </w:rPr>
            </w:pPr>
            <w:r>
              <w:rPr>
                <w:b/>
                <w:color w:val="000000"/>
              </w:rPr>
              <w:t>QTDA</w:t>
            </w:r>
          </w:p>
        </w:tc>
        <w:tc>
          <w:tcPr>
            <w:tcW w:w="2094" w:type="dxa"/>
            <w:tcBorders>
              <w:top w:val="single" w:color="000000" w:sz="4" w:space="0"/>
              <w:left w:val="single" w:color="000000" w:sz="4" w:space="0"/>
              <w:bottom w:val="single" w:color="000000" w:sz="4" w:space="0"/>
              <w:right w:val="single" w:color="000000" w:sz="4" w:space="0"/>
            </w:tcBorders>
            <w:shd w:val="clear" w:color="auto" w:fill="D9E0F1"/>
          </w:tcPr>
          <w:p w14:paraId="3C008511">
            <w:pPr>
              <w:spacing w:before="181"/>
              <w:ind w:left="1158" w:right="14" w:firstLine="143"/>
              <w:rPr>
                <w:b/>
                <w:color w:val="000000"/>
              </w:rPr>
            </w:pPr>
            <w:r>
              <w:rPr>
                <w:b/>
                <w:color w:val="000000"/>
              </w:rPr>
              <w:t>VALOR UNITÁRIO</w:t>
            </w:r>
          </w:p>
        </w:tc>
        <w:tc>
          <w:tcPr>
            <w:tcW w:w="949" w:type="dxa"/>
            <w:tcBorders>
              <w:top w:val="single" w:color="000000" w:sz="4" w:space="0"/>
              <w:left w:val="single" w:color="000000" w:sz="4" w:space="0"/>
              <w:bottom w:val="single" w:color="000000" w:sz="4" w:space="0"/>
              <w:right w:val="single" w:color="000000" w:sz="4" w:space="0"/>
            </w:tcBorders>
            <w:shd w:val="clear" w:color="auto" w:fill="D9E0F1"/>
          </w:tcPr>
          <w:p w14:paraId="7AFD9F09">
            <w:pPr>
              <w:spacing w:before="181"/>
              <w:ind w:left="209" w:right="113" w:hanging="20"/>
              <w:rPr>
                <w:b/>
                <w:color w:val="000000"/>
              </w:rPr>
            </w:pPr>
            <w:r>
              <w:rPr>
                <w:b/>
                <w:color w:val="000000"/>
              </w:rPr>
              <w:t>VALOR TOTAL</w:t>
            </w:r>
          </w:p>
        </w:tc>
        <w:tc>
          <w:tcPr>
            <w:tcW w:w="1781" w:type="dxa"/>
            <w:tcBorders>
              <w:top w:val="single" w:color="000000" w:sz="4" w:space="0"/>
              <w:left w:val="single" w:color="000000" w:sz="4" w:space="0"/>
              <w:bottom w:val="single" w:color="000000" w:sz="4" w:space="0"/>
            </w:tcBorders>
            <w:shd w:val="clear" w:color="auto" w:fill="D9E0F1"/>
          </w:tcPr>
          <w:p w14:paraId="6ECB0F82">
            <w:pPr>
              <w:spacing w:before="5"/>
              <w:rPr>
                <w:rFonts w:ascii="Times New Roman" w:hAnsi="Times New Roman" w:eastAsia="Times New Roman" w:cs="Times New Roman"/>
                <w:color w:val="000000"/>
                <w:sz w:val="27"/>
                <w:szCs w:val="27"/>
              </w:rPr>
            </w:pPr>
          </w:p>
          <w:p w14:paraId="7F1ED626">
            <w:pPr>
              <w:ind w:left="560"/>
              <w:rPr>
                <w:b/>
                <w:color w:val="000000"/>
              </w:rPr>
            </w:pPr>
            <w:r>
              <w:rPr>
                <w:b/>
                <w:color w:val="000000"/>
              </w:rPr>
              <w:t>MARCA</w:t>
            </w:r>
          </w:p>
        </w:tc>
      </w:tr>
      <w:tr w14:paraId="255DEC6B">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90" w:hRule="atLeast"/>
        </w:trPr>
        <w:tc>
          <w:tcPr>
            <w:tcW w:w="608" w:type="dxa"/>
            <w:tcBorders>
              <w:top w:val="single" w:color="000000" w:sz="4" w:space="0"/>
              <w:bottom w:val="single" w:color="000000" w:sz="4" w:space="0"/>
              <w:right w:val="single" w:color="000000" w:sz="4" w:space="0"/>
            </w:tcBorders>
          </w:tcPr>
          <w:p w14:paraId="741BD29C">
            <w:pPr>
              <w:spacing w:before="13" w:line="266" w:lineRule="auto"/>
              <w:ind w:left="56" w:right="5"/>
              <w:jc w:val="center"/>
              <w:rPr>
                <w:color w:val="000000"/>
              </w:rPr>
            </w:pPr>
            <w:r>
              <w:rPr>
                <w:color w:val="000000"/>
              </w:rPr>
              <w:t>XX</w:t>
            </w:r>
          </w:p>
        </w:tc>
        <w:tc>
          <w:tcPr>
            <w:tcW w:w="924" w:type="dxa"/>
            <w:tcBorders>
              <w:top w:val="single" w:color="000000" w:sz="4" w:space="0"/>
              <w:left w:val="single" w:color="000000" w:sz="4" w:space="0"/>
              <w:bottom w:val="single" w:color="000000" w:sz="4" w:space="0"/>
              <w:right w:val="single" w:color="000000" w:sz="4" w:space="0"/>
            </w:tcBorders>
          </w:tcPr>
          <w:p w14:paraId="6A6B9BD0">
            <w:pPr>
              <w:rPr>
                <w:rFonts w:ascii="Times New Roman" w:hAnsi="Times New Roman" w:eastAsia="Times New Roman" w:cs="Times New Roman"/>
                <w:color w:val="000000"/>
                <w:sz w:val="20"/>
                <w:szCs w:val="20"/>
              </w:rPr>
            </w:pPr>
          </w:p>
        </w:tc>
        <w:tc>
          <w:tcPr>
            <w:tcW w:w="2821" w:type="dxa"/>
            <w:tcBorders>
              <w:top w:val="single" w:color="000000" w:sz="4" w:space="0"/>
              <w:left w:val="single" w:color="000000" w:sz="4" w:space="0"/>
              <w:bottom w:val="single" w:color="000000" w:sz="4" w:space="0"/>
              <w:right w:val="single" w:color="000000" w:sz="4" w:space="0"/>
            </w:tcBorders>
          </w:tcPr>
          <w:p w14:paraId="3D455F31">
            <w:pPr>
              <w:rPr>
                <w:rFonts w:ascii="Times New Roman" w:hAnsi="Times New Roman" w:eastAsia="Times New Roman" w:cs="Times New Roman"/>
                <w:color w:val="000000"/>
                <w:sz w:val="20"/>
                <w:szCs w:val="20"/>
              </w:rPr>
            </w:pPr>
          </w:p>
        </w:tc>
        <w:tc>
          <w:tcPr>
            <w:tcW w:w="898" w:type="dxa"/>
            <w:tcBorders>
              <w:top w:val="single" w:color="000000" w:sz="4" w:space="0"/>
              <w:left w:val="single" w:color="000000" w:sz="4" w:space="0"/>
              <w:bottom w:val="single" w:color="000000" w:sz="4" w:space="0"/>
              <w:right w:val="single" w:color="000000" w:sz="4" w:space="0"/>
            </w:tcBorders>
          </w:tcPr>
          <w:p w14:paraId="2961B278">
            <w:pPr>
              <w:rPr>
                <w:rFonts w:ascii="Times New Roman" w:hAnsi="Times New Roman" w:eastAsia="Times New Roman" w:cs="Times New Roman"/>
                <w:color w:val="000000"/>
                <w:sz w:val="20"/>
                <w:szCs w:val="20"/>
              </w:rPr>
            </w:pPr>
          </w:p>
        </w:tc>
        <w:tc>
          <w:tcPr>
            <w:tcW w:w="665" w:type="dxa"/>
            <w:tcBorders>
              <w:top w:val="single" w:color="000000" w:sz="4" w:space="0"/>
              <w:left w:val="single" w:color="000000" w:sz="4" w:space="0"/>
              <w:bottom w:val="single" w:color="000000" w:sz="4" w:space="0"/>
              <w:right w:val="single" w:color="000000" w:sz="4" w:space="0"/>
            </w:tcBorders>
          </w:tcPr>
          <w:p w14:paraId="24086D01">
            <w:pPr>
              <w:rPr>
                <w:rFonts w:ascii="Times New Roman" w:hAnsi="Times New Roman" w:eastAsia="Times New Roman" w:cs="Times New Roman"/>
                <w:color w:val="000000"/>
                <w:sz w:val="20"/>
                <w:szCs w:val="20"/>
              </w:rPr>
            </w:pPr>
          </w:p>
        </w:tc>
        <w:tc>
          <w:tcPr>
            <w:tcW w:w="2094" w:type="dxa"/>
            <w:tcBorders>
              <w:top w:val="single" w:color="000000" w:sz="4" w:space="0"/>
              <w:left w:val="single" w:color="000000" w:sz="4" w:space="0"/>
              <w:bottom w:val="single" w:color="000000" w:sz="4" w:space="0"/>
              <w:right w:val="single" w:color="000000" w:sz="4" w:space="0"/>
            </w:tcBorders>
          </w:tcPr>
          <w:p w14:paraId="724A76CF">
            <w:pPr>
              <w:rPr>
                <w:rFonts w:ascii="Times New Roman" w:hAnsi="Times New Roman" w:eastAsia="Times New Roman" w:cs="Times New Roman"/>
                <w:color w:val="000000"/>
                <w:sz w:val="20"/>
                <w:szCs w:val="20"/>
              </w:rPr>
            </w:pPr>
          </w:p>
        </w:tc>
        <w:tc>
          <w:tcPr>
            <w:tcW w:w="949" w:type="dxa"/>
            <w:tcBorders>
              <w:top w:val="single" w:color="000000" w:sz="4" w:space="0"/>
              <w:left w:val="single" w:color="000000" w:sz="4" w:space="0"/>
              <w:bottom w:val="single" w:color="000000" w:sz="4" w:space="0"/>
              <w:right w:val="single" w:color="000000" w:sz="4" w:space="0"/>
            </w:tcBorders>
          </w:tcPr>
          <w:p w14:paraId="2DBCCCED">
            <w:pPr>
              <w:rPr>
                <w:rFonts w:ascii="Times New Roman" w:hAnsi="Times New Roman" w:eastAsia="Times New Roman" w:cs="Times New Roman"/>
                <w:color w:val="000000"/>
                <w:sz w:val="20"/>
                <w:szCs w:val="20"/>
              </w:rPr>
            </w:pPr>
          </w:p>
        </w:tc>
        <w:tc>
          <w:tcPr>
            <w:tcW w:w="1781" w:type="dxa"/>
            <w:tcBorders>
              <w:top w:val="single" w:color="000000" w:sz="4" w:space="0"/>
              <w:left w:val="single" w:color="000000" w:sz="4" w:space="0"/>
              <w:bottom w:val="single" w:color="000000" w:sz="4" w:space="0"/>
            </w:tcBorders>
          </w:tcPr>
          <w:p w14:paraId="3F0E5EF6">
            <w:pPr>
              <w:rPr>
                <w:rFonts w:ascii="Times New Roman" w:hAnsi="Times New Roman" w:eastAsia="Times New Roman" w:cs="Times New Roman"/>
                <w:color w:val="000000"/>
                <w:sz w:val="20"/>
                <w:szCs w:val="20"/>
              </w:rPr>
            </w:pPr>
          </w:p>
        </w:tc>
      </w:tr>
      <w:tr w14:paraId="160336FA">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90" w:hRule="atLeast"/>
        </w:trPr>
        <w:tc>
          <w:tcPr>
            <w:tcW w:w="608" w:type="dxa"/>
            <w:tcBorders>
              <w:top w:val="single" w:color="000000" w:sz="4" w:space="0"/>
              <w:bottom w:val="single" w:color="000000" w:sz="4" w:space="0"/>
              <w:right w:val="single" w:color="000000" w:sz="4" w:space="0"/>
            </w:tcBorders>
          </w:tcPr>
          <w:p w14:paraId="1F4391AD">
            <w:pPr>
              <w:spacing w:before="13" w:line="266" w:lineRule="auto"/>
              <w:ind w:left="56" w:right="5"/>
              <w:jc w:val="center"/>
              <w:rPr>
                <w:color w:val="000000"/>
              </w:rPr>
            </w:pPr>
            <w:r>
              <w:rPr>
                <w:color w:val="000000"/>
              </w:rPr>
              <w:t>XX</w:t>
            </w:r>
          </w:p>
        </w:tc>
        <w:tc>
          <w:tcPr>
            <w:tcW w:w="924" w:type="dxa"/>
            <w:tcBorders>
              <w:top w:val="single" w:color="000000" w:sz="4" w:space="0"/>
              <w:left w:val="single" w:color="000000" w:sz="4" w:space="0"/>
              <w:bottom w:val="single" w:color="000000" w:sz="4" w:space="0"/>
              <w:right w:val="single" w:color="000000" w:sz="4" w:space="0"/>
            </w:tcBorders>
          </w:tcPr>
          <w:p w14:paraId="7E38544A">
            <w:pPr>
              <w:rPr>
                <w:rFonts w:ascii="Times New Roman" w:hAnsi="Times New Roman" w:eastAsia="Times New Roman" w:cs="Times New Roman"/>
                <w:color w:val="000000"/>
                <w:sz w:val="20"/>
                <w:szCs w:val="20"/>
              </w:rPr>
            </w:pPr>
          </w:p>
        </w:tc>
        <w:tc>
          <w:tcPr>
            <w:tcW w:w="2821" w:type="dxa"/>
            <w:tcBorders>
              <w:top w:val="single" w:color="000000" w:sz="4" w:space="0"/>
              <w:left w:val="single" w:color="000000" w:sz="4" w:space="0"/>
              <w:bottom w:val="single" w:color="000000" w:sz="4" w:space="0"/>
              <w:right w:val="single" w:color="000000" w:sz="4" w:space="0"/>
            </w:tcBorders>
          </w:tcPr>
          <w:p w14:paraId="52068ECC">
            <w:pPr>
              <w:rPr>
                <w:rFonts w:ascii="Times New Roman" w:hAnsi="Times New Roman" w:eastAsia="Times New Roman" w:cs="Times New Roman"/>
                <w:color w:val="000000"/>
                <w:sz w:val="20"/>
                <w:szCs w:val="20"/>
              </w:rPr>
            </w:pPr>
          </w:p>
        </w:tc>
        <w:tc>
          <w:tcPr>
            <w:tcW w:w="898" w:type="dxa"/>
            <w:tcBorders>
              <w:top w:val="single" w:color="000000" w:sz="4" w:space="0"/>
              <w:left w:val="single" w:color="000000" w:sz="4" w:space="0"/>
              <w:bottom w:val="single" w:color="000000" w:sz="4" w:space="0"/>
              <w:right w:val="single" w:color="000000" w:sz="4" w:space="0"/>
            </w:tcBorders>
          </w:tcPr>
          <w:p w14:paraId="60A101F2">
            <w:pPr>
              <w:rPr>
                <w:rFonts w:ascii="Times New Roman" w:hAnsi="Times New Roman" w:eastAsia="Times New Roman" w:cs="Times New Roman"/>
                <w:color w:val="000000"/>
                <w:sz w:val="20"/>
                <w:szCs w:val="20"/>
              </w:rPr>
            </w:pPr>
          </w:p>
        </w:tc>
        <w:tc>
          <w:tcPr>
            <w:tcW w:w="665" w:type="dxa"/>
            <w:tcBorders>
              <w:top w:val="single" w:color="000000" w:sz="4" w:space="0"/>
              <w:left w:val="single" w:color="000000" w:sz="4" w:space="0"/>
              <w:bottom w:val="single" w:color="000000" w:sz="4" w:space="0"/>
              <w:right w:val="single" w:color="000000" w:sz="4" w:space="0"/>
            </w:tcBorders>
          </w:tcPr>
          <w:p w14:paraId="1BD498F4">
            <w:pPr>
              <w:rPr>
                <w:rFonts w:ascii="Times New Roman" w:hAnsi="Times New Roman" w:eastAsia="Times New Roman" w:cs="Times New Roman"/>
                <w:color w:val="000000"/>
                <w:sz w:val="20"/>
                <w:szCs w:val="20"/>
              </w:rPr>
            </w:pPr>
          </w:p>
        </w:tc>
        <w:tc>
          <w:tcPr>
            <w:tcW w:w="2094" w:type="dxa"/>
            <w:tcBorders>
              <w:top w:val="single" w:color="000000" w:sz="4" w:space="0"/>
              <w:left w:val="single" w:color="000000" w:sz="4" w:space="0"/>
              <w:bottom w:val="single" w:color="000000" w:sz="4" w:space="0"/>
              <w:right w:val="single" w:color="000000" w:sz="4" w:space="0"/>
            </w:tcBorders>
          </w:tcPr>
          <w:p w14:paraId="45FC7BAB">
            <w:pPr>
              <w:rPr>
                <w:rFonts w:ascii="Times New Roman" w:hAnsi="Times New Roman" w:eastAsia="Times New Roman" w:cs="Times New Roman"/>
                <w:color w:val="000000"/>
                <w:sz w:val="20"/>
                <w:szCs w:val="20"/>
              </w:rPr>
            </w:pPr>
          </w:p>
        </w:tc>
        <w:tc>
          <w:tcPr>
            <w:tcW w:w="949" w:type="dxa"/>
            <w:tcBorders>
              <w:top w:val="single" w:color="000000" w:sz="4" w:space="0"/>
              <w:left w:val="single" w:color="000000" w:sz="4" w:space="0"/>
              <w:bottom w:val="single" w:color="000000" w:sz="4" w:space="0"/>
              <w:right w:val="single" w:color="000000" w:sz="4" w:space="0"/>
            </w:tcBorders>
          </w:tcPr>
          <w:p w14:paraId="02211D5A">
            <w:pPr>
              <w:rPr>
                <w:rFonts w:ascii="Times New Roman" w:hAnsi="Times New Roman" w:eastAsia="Times New Roman" w:cs="Times New Roman"/>
                <w:color w:val="000000"/>
                <w:sz w:val="20"/>
                <w:szCs w:val="20"/>
              </w:rPr>
            </w:pPr>
          </w:p>
        </w:tc>
        <w:tc>
          <w:tcPr>
            <w:tcW w:w="1781" w:type="dxa"/>
            <w:tcBorders>
              <w:top w:val="single" w:color="000000" w:sz="4" w:space="0"/>
              <w:left w:val="single" w:color="000000" w:sz="4" w:space="0"/>
              <w:bottom w:val="single" w:color="000000" w:sz="4" w:space="0"/>
            </w:tcBorders>
          </w:tcPr>
          <w:p w14:paraId="4B6FAB16">
            <w:pPr>
              <w:rPr>
                <w:rFonts w:ascii="Times New Roman" w:hAnsi="Times New Roman" w:eastAsia="Times New Roman" w:cs="Times New Roman"/>
                <w:color w:val="000000"/>
                <w:sz w:val="20"/>
                <w:szCs w:val="20"/>
              </w:rPr>
            </w:pPr>
          </w:p>
        </w:tc>
      </w:tr>
      <w:tr w14:paraId="595E30BF">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90" w:hRule="atLeast"/>
        </w:trPr>
        <w:tc>
          <w:tcPr>
            <w:tcW w:w="10740" w:type="dxa"/>
            <w:gridSpan w:val="8"/>
            <w:tcBorders>
              <w:top w:val="single" w:color="000000" w:sz="4" w:space="0"/>
            </w:tcBorders>
          </w:tcPr>
          <w:p w14:paraId="1460BFFB">
            <w:pPr>
              <w:rPr>
                <w:rFonts w:ascii="Times New Roman" w:hAnsi="Times New Roman" w:eastAsia="Times New Roman" w:cs="Times New Roman"/>
                <w:color w:val="000000"/>
                <w:sz w:val="20"/>
                <w:szCs w:val="20"/>
              </w:rPr>
            </w:pPr>
          </w:p>
          <w:p w14:paraId="5EB1CBA3">
            <w:pPr>
              <w:rPr>
                <w:rFonts w:ascii="Times New Roman" w:hAnsi="Times New Roman" w:eastAsia="Times New Roman" w:cs="Times New Roman"/>
                <w:color w:val="000000"/>
                <w:sz w:val="20"/>
                <w:szCs w:val="20"/>
              </w:rPr>
            </w:pPr>
          </w:p>
          <w:p w14:paraId="65DE02AE">
            <w:pPr>
              <w:spacing w:before="9"/>
              <w:rPr>
                <w:rFonts w:ascii="Times New Roman" w:hAnsi="Times New Roman" w:eastAsia="Times New Roman" w:cs="Times New Roman"/>
                <w:color w:val="000000"/>
                <w:sz w:val="29"/>
                <w:szCs w:val="29"/>
              </w:rPr>
            </w:pPr>
          </w:p>
          <w:p w14:paraId="1119BE95">
            <w:pPr>
              <w:spacing w:line="20" w:lineRule="auto"/>
              <w:ind w:left="606"/>
              <w:rPr>
                <w:rFonts w:ascii="Times New Roman" w:hAnsi="Times New Roman" w:eastAsia="Times New Roman" w:cs="Times New Roman"/>
                <w:color w:val="000000"/>
                <w:sz w:val="2"/>
                <w:szCs w:val="2"/>
              </w:rPr>
            </w:pPr>
            <w:r>
              <w:rPr>
                <w:rFonts w:ascii="Times New Roman" w:hAnsi="Times New Roman" w:eastAsia="Times New Roman" w:cs="Times New Roman"/>
                <w:color w:val="000000"/>
                <w:sz w:val="2"/>
                <w:szCs w:val="2"/>
                <w:lang w:val="pt-BR"/>
              </w:rPr>
              <mc:AlternateContent>
                <mc:Choice Requires="wpg">
                  <w:drawing>
                    <wp:inline distT="0" distB="0" distL="0" distR="0">
                      <wp:extent cx="4312920" cy="5080"/>
                      <wp:effectExtent l="0" t="0" r="0" b="0"/>
                      <wp:docPr id="2115606135" name="Grupo 2115606135"/>
                      <wp:cNvGraphicFramePr/>
                      <a:graphic xmlns:a="http://schemas.openxmlformats.org/drawingml/2006/main">
                        <a:graphicData uri="http://schemas.microsoft.com/office/word/2010/wordprocessingGroup">
                          <wpg:wgp>
                            <wpg:cNvGrpSpPr/>
                            <wpg:grpSpPr>
                              <a:xfrm>
                                <a:off x="0" y="0"/>
                                <a:ext cx="4312920" cy="5080"/>
                                <a:chOff x="3189525" y="3775225"/>
                                <a:chExt cx="4312300" cy="9550"/>
                              </a:xfrm>
                            </wpg:grpSpPr>
                            <wpg:grpSp>
                              <wpg:cNvPr id="4" name="Grupo 4"/>
                              <wpg:cNvGrpSpPr/>
                              <wpg:grpSpPr>
                                <a:xfrm>
                                  <a:off x="3189540" y="3777460"/>
                                  <a:ext cx="4312285" cy="2540"/>
                                  <a:chOff x="0" y="0"/>
                                  <a:chExt cx="6791" cy="4"/>
                                </a:xfrm>
                              </wpg:grpSpPr>
                              <wps:wsp>
                                <wps:cNvPr id="5" name="Retângulo 5"/>
                                <wps:cNvSpPr/>
                                <wps:spPr>
                                  <a:xfrm>
                                    <a:off x="0" y="0"/>
                                    <a:ext cx="6775" cy="0"/>
                                  </a:xfrm>
                                  <a:prstGeom prst="rect">
                                    <a:avLst/>
                                  </a:prstGeom>
                                  <a:noFill/>
                                  <a:ln>
                                    <a:noFill/>
                                  </a:ln>
                                </wps:spPr>
                                <wps:txbx>
                                  <w:txbxContent>
                                    <w:p w14:paraId="22CB6EDE"/>
                                  </w:txbxContent>
                                </wps:txbx>
                                <wps:bodyPr spcFirstLastPara="1" wrap="square" lIns="91425" tIns="91425" rIns="91425" bIns="91425" anchor="ctr" anchorCtr="0">
                                  <a:noAutofit/>
                                </wps:bodyPr>
                              </wps:wsp>
                              <wps:wsp>
                                <wps:cNvPr id="6" name="Conector de seta reta 6"/>
                                <wps:cNvCnPr/>
                                <wps:spPr>
                                  <a:xfrm>
                                    <a:off x="0" y="4"/>
                                    <a:ext cx="6791"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w:pict>
                    <v:group id="_x0000_s1026" o:spid="_x0000_s1026" o:spt="203" style="height:0.4pt;width:339.6pt;" coordorigin="3189525,3775225" coordsize="4312300,9550" o:gfxdata="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">
                      <o:lock v:ext="edit" aspectratio="f"/>
                      <v:group id="_x0000_s1026" o:spid="_x0000_s1026" o:spt="203" style="position:absolute;left:3189540;top:3777460;height:2540;width:4312285;" coordsize="6791,4"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rect id="_x0000_s1026" o:spid="_x0000_s1026" o:spt="1" style="position:absolute;left:0;top:0;height:0;width:6775;v-text-anchor:middle;" filled="f" stroked="f" coordsize="21600,21600" o:gfxdata="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JBxlK8AAAA&#10;2gAAAA8AAAAAAAAAAQAgAAAAIgAAAGRycy9kb3ducmV2LnhtbFBLAQIUABQAAAAIAIdO4kAzLwWe&#10;OwAAADkAAAAQAAAAAAAAAAEAIAAAAAsBAABkcnMvc2hhcGV4bWwueG1sUEsFBgAAAAAGAAYAWwEA&#10;ALUDAAAAAA==&#10;">
                          <v:fill on="f" focussize="0,0"/>
                          <v:stroke on="f"/>
                          <v:imagedata o:title=""/>
                          <o:lock v:ext="edit" aspectratio="f"/>
                          <v:textbox inset="7.1988188976378pt,7.1988188976378pt,7.1988188976378pt,7.1988188976378pt">
                            <w:txbxContent>
                              <w:p w14:paraId="22CB6EDE"/>
                            </w:txbxContent>
                          </v:textbox>
                        </v:rect>
                        <v:shape id="Conector de seta reta 6" o:spid="_x0000_s1026" o:spt="32" type="#_x0000_t32" style="position:absolute;left:0;top:4;height:0;width:6791;" filled="f" stroked="t" coordsize="21600,21600" o:gfxdata="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gIyIbsAAADa&#10;AAAADwAAAAAAAAABACAAAAAiAAAAZHJzL2Rvd25yZXYueG1sUEsBAhQAFAAAAAgAh07iQDMvBZ47&#10;AAAAOQAAABAAAAAAAAAAAQAgAAAACgEAAGRycy9zaGFwZXhtbC54bWxQSwUGAAAAAAYABgBbAQAA&#10;tAMAAAAA&#10;">
                          <v:fill on="f" focussize="0,0"/>
                          <v:stroke color="#000000" joinstyle="round"/>
                          <v:imagedata o:title=""/>
                          <o:lock v:ext="edit" aspectratio="f"/>
                        </v:shape>
                      </v:group>
                      <w10:wrap type="none"/>
                      <w10:anchorlock/>
                    </v:group>
                  </w:pict>
                </mc:Fallback>
              </mc:AlternateContent>
            </w:r>
          </w:p>
          <w:p w14:paraId="23B106CA">
            <w:pPr>
              <w:tabs>
                <w:tab w:val="left" w:pos="9024"/>
              </w:tabs>
              <w:ind w:left="1203"/>
              <w:rPr>
                <w:rFonts w:ascii="Verdana" w:hAnsi="Verdana" w:eastAsia="Verdana" w:cs="Verdana"/>
                <w:color w:val="000000"/>
                <w:sz w:val="16"/>
                <w:szCs w:val="16"/>
              </w:rPr>
            </w:pPr>
            <w:r>
              <w:rPr>
                <w:rFonts w:ascii="Arial MT" w:hAnsi="Arial MT" w:eastAsia="Arial MT" w:cs="Arial MT"/>
                <w:color w:val="000000"/>
                <w:sz w:val="12"/>
                <w:szCs w:val="12"/>
              </w:rPr>
              <w:t>Anexo III – Minuta Ata Registro de Preços</w:t>
            </w:r>
            <w:r>
              <w:rPr>
                <w:rFonts w:ascii="Arial MT" w:hAnsi="Arial MT" w:eastAsia="Arial MT" w:cs="Arial MT"/>
                <w:color w:val="000000"/>
                <w:sz w:val="12"/>
                <w:szCs w:val="12"/>
              </w:rPr>
              <w:tab/>
            </w:r>
            <w:r>
              <w:rPr>
                <w:rFonts w:ascii="Verdana" w:hAnsi="Verdana" w:eastAsia="Verdana" w:cs="Verdana"/>
                <w:color w:val="000000"/>
                <w:sz w:val="16"/>
                <w:szCs w:val="16"/>
              </w:rPr>
              <w:t>Pág. 1/8</w:t>
            </w:r>
          </w:p>
        </w:tc>
      </w:tr>
    </w:tbl>
    <w:p w14:paraId="0D810687">
      <w:pPr>
        <w:rPr>
          <w:sz w:val="2"/>
          <w:szCs w:val="2"/>
        </w:rPr>
      </w:pPr>
    </w:p>
    <w:p w14:paraId="29E4152D">
      <w:pPr>
        <w:rPr>
          <w:rFonts w:ascii="Times New Roman" w:hAnsi="Times New Roman" w:eastAsia="Times New Roman" w:cs="Times New Roman"/>
          <w:sz w:val="20"/>
          <w:szCs w:val="20"/>
        </w:rPr>
      </w:pPr>
      <w:r>
        <w:rPr>
          <w:lang w:val="pt-BR"/>
        </w:rPr>
        <mc:AlternateContent>
          <mc:Choice Requires="wps">
            <w:drawing>
              <wp:anchor distT="0" distB="0" distL="0" distR="0" simplePos="0" relativeHeight="251660288" behindDoc="1" locked="0" layoutInCell="1" allowOverlap="1">
                <wp:simplePos x="0" y="0"/>
                <wp:positionH relativeFrom="page">
                  <wp:posOffset>915035</wp:posOffset>
                </wp:positionH>
                <wp:positionV relativeFrom="page">
                  <wp:posOffset>2693670</wp:posOffset>
                </wp:positionV>
                <wp:extent cx="5667375" cy="5302250"/>
                <wp:effectExtent l="0" t="0" r="0" b="0"/>
                <wp:wrapNone/>
                <wp:docPr id="2115606138" name="Forma livre 2115606138"/>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w:pict>
              <v:shape id="_x0000_s1026" o:spid="_x0000_s1026" o:spt="100" style="position:absolute;left:0pt;margin-left:72.05pt;margin-top:212.1pt;height:417.5pt;width:446.25pt;mso-position-horizontal-relative:page;mso-position-vertical-relative:page;z-index:-251656192;v-text-anchor:middle;mso-width-relative:page;mso-height-relative:page;" fillcolor="#C0C0C0" filled="t" stroked="f" coordsize="8910,8335" o:gfxdata="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" path="m2877,6995l1340,5458,1090,5708,1237,5989,1639,6763,1823,7114,1969,7387,1995,7435,1940,7404,1700,7274,1488,7160,635,6708,280,6518,0,6798,1537,8335,1716,8155,408,6847,693,6998,1694,7523,2122,7750,2290,7582,2142,7300,1632,6311,1411,5888,2698,7174,2877,6995xm3394,6478l1857,4942,1671,5127,3208,6664,3394,6478xm4825,5047l3288,3510,3110,3688,4317,4895,4161,4856,3851,4781,2995,4577,2606,4483,2373,4425,2182,4616,3719,6153,3897,5975,2690,4767,2845,4806,3156,4882,4012,5086,4401,5180,4634,5237,4825,5047xm5975,3625l5965,3546,5945,3470,5915,3395,5886,3342,5852,3286,5812,3229,5766,3169,5715,3108,5658,3044,5595,2979,4707,2091,4521,2277,5408,3164,5485,3245,5551,3321,5605,3393,5648,3462,5680,3526,5702,3586,5712,3642,5711,3706,5698,3770,5672,3835,5634,3901,5584,3968,5521,4036,5461,4090,5398,4134,5334,4166,5268,4186,5201,4196,5135,4195,5069,4182,5005,4156,4950,4127,4890,4086,4824,4034,4753,3971,4676,3896,3789,3010,3603,3195,4491,4083,4560,4150,4626,4210,4691,4263,4754,4310,4815,4351,4873,4386,4929,4414,5007,4444,5086,4463,5165,4470,5245,4466,5324,4451,5391,4431,5457,4401,5523,4364,5589,4318,5655,4265,5721,4203,5784,4135,5839,4067,5884,3998,5920,3929,5947,3859,5964,3789,5974,3706,5975,3625xm7096,2776l5740,1421,6205,957,6023,775,4911,1888,5092,2069,5555,1607,6910,2962,7096,2776xm8910,962l8715,872,7846,478,7846,764,7370,1239,7333,1164,7296,1088,7185,861,7148,786,7111,710,7074,635,7034,558,6992,482,6948,408,6903,336,6856,266,6911,297,6972,331,7039,366,7112,404,7190,443,7775,728,7846,764,7846,478,7379,266,6799,0,6599,200,6633,271,6737,486,6854,728,6918,861,7354,1775,7492,2061,7596,2276,7793,2078,7759,2010,7724,1941,7552,1596,7517,1527,7482,1459,7702,1239,8069,872,8698,1174,8910,962xe">
                <v:fill on="t" opacity="32638f" focussize="0,0"/>
                <v:stroke on="f"/>
                <v:imagedata o:title=""/>
                <o:lock v:ext="edit" aspectratio="f"/>
                <v:textbox inset="7.1988188976378pt,7.1988188976378pt,7.1988188976378pt,7.1988188976378pt"/>
              </v:shape>
            </w:pict>
          </mc:Fallback>
        </mc:AlternateContent>
      </w:r>
      <w:r>
        <w:rPr>
          <w:rFonts w:ascii="Times New Roman" w:hAnsi="Times New Roman" w:eastAsia="Times New Roman" w:cs="Times New Roman"/>
          <w:sz w:val="20"/>
          <w:szCs w:val="20"/>
        </w:rPr>
        <w:tab/>
      </w:r>
      <w:r>
        <w:rPr>
          <w:rFonts w:ascii="Times New Roman" w:hAnsi="Times New Roman" w:eastAsia="Times New Roman" w:cs="Times New Roman"/>
          <w:sz w:val="33"/>
          <w:szCs w:val="33"/>
          <w:vertAlign w:val="superscript"/>
          <w:lang w:val="pt-BR"/>
        </w:rPr>
        <w:drawing>
          <wp:inline distT="0" distB="0" distL="0" distR="0">
            <wp:extent cx="927100" cy="196215"/>
            <wp:effectExtent l="0" t="0" r="0" b="0"/>
            <wp:docPr id="2115606142" name="image2.png"/>
            <wp:cNvGraphicFramePr/>
            <a:graphic xmlns:a="http://schemas.openxmlformats.org/drawingml/2006/main">
              <a:graphicData uri="http://schemas.openxmlformats.org/drawingml/2006/picture">
                <pic:pic xmlns:pic="http://schemas.openxmlformats.org/drawingml/2006/picture">
                  <pic:nvPicPr>
                    <pic:cNvPr id="2115606142" name="image2.png"/>
                    <pic:cNvPicPr preferRelativeResize="0"/>
                  </pic:nvPicPr>
                  <pic:blipFill>
                    <a:blip r:embed="rId6"/>
                    <a:srcRect/>
                    <a:stretch>
                      <a:fillRect/>
                    </a:stretch>
                  </pic:blipFill>
                  <pic:spPr>
                    <a:xfrm>
                      <a:off x="0" y="0"/>
                      <a:ext cx="927176" cy="196596"/>
                    </a:xfrm>
                    <a:prstGeom prst="rect">
                      <a:avLst/>
                    </a:prstGeom>
                  </pic:spPr>
                </pic:pic>
              </a:graphicData>
            </a:graphic>
          </wp:inline>
        </w:drawing>
      </w:r>
    </w:p>
    <w:p w14:paraId="2E0D38AA">
      <w:pPr>
        <w:spacing w:before="8"/>
        <w:rPr>
          <w:rFonts w:ascii="Times New Roman" w:hAnsi="Times New Roman" w:eastAsia="Times New Roman" w:cs="Times New Roman"/>
          <w:color w:val="000000"/>
          <w:sz w:val="15"/>
          <w:szCs w:val="15"/>
        </w:rPr>
      </w:pPr>
    </w:p>
    <w:p w14:paraId="4C439904">
      <w:pPr>
        <w:spacing w:before="56" w:line="276" w:lineRule="auto"/>
        <w:ind w:left="752" w:right="737"/>
        <w:jc w:val="both"/>
        <w:rPr>
          <w:color w:val="000000"/>
        </w:rPr>
      </w:pPr>
      <w:r>
        <w:rPr>
          <w:color w:val="000000"/>
        </w:rPr>
        <w:t>2.2. A listagem do cadastro de reserva referente ao presente registro de preços consta como anexo a esta Ata.</w:t>
      </w:r>
    </w:p>
    <w:p w14:paraId="5851FE53">
      <w:pPr>
        <w:rPr>
          <w:color w:val="000000"/>
        </w:rPr>
      </w:pPr>
    </w:p>
    <w:p w14:paraId="5C96A81E">
      <w:pPr>
        <w:pStyle w:val="2"/>
        <w:numPr>
          <w:ilvl w:val="0"/>
          <w:numId w:val="2"/>
        </w:numPr>
        <w:tabs>
          <w:tab w:val="left" w:pos="1461"/>
          <w:tab w:val="left" w:pos="1462"/>
        </w:tabs>
        <w:spacing w:before="187"/>
        <w:ind w:hanging="710"/>
      </w:pPr>
      <w:r>
        <w:t>ÓRGÃO(S) GERENCIADOR E PARTICIPANTE(S)</w:t>
      </w:r>
    </w:p>
    <w:p w14:paraId="1C1723C8">
      <w:pPr>
        <w:pStyle w:val="19"/>
        <w:numPr>
          <w:ilvl w:val="1"/>
          <w:numId w:val="2"/>
        </w:numPr>
        <w:rPr>
          <w:rFonts w:eastAsia="Times New Roman"/>
          <w:sz w:val="24"/>
          <w:szCs w:val="24"/>
          <w:lang w:val="pt-BR"/>
        </w:rPr>
      </w:pPr>
      <w:r>
        <w:rPr>
          <w:color w:val="000000"/>
        </w:rPr>
        <w:t>Além do gerenciador, são órgãos e entidades públicas participantes do registro de preços IRP nº 1</w:t>
      </w:r>
      <w:r>
        <w:rPr>
          <w:rFonts w:hint="default"/>
          <w:color w:val="000000"/>
          <w:lang w:val="pt-BR"/>
        </w:rPr>
        <w:t>5</w:t>
      </w:r>
      <w:r>
        <w:rPr>
          <w:color w:val="000000"/>
        </w:rPr>
        <w:t>/2025</w:t>
      </w:r>
    </w:p>
    <w:p w14:paraId="54385B09">
      <w:pPr>
        <w:tabs>
          <w:tab w:val="left" w:pos="1462"/>
        </w:tabs>
        <w:spacing w:before="80"/>
        <w:ind w:left="1461"/>
        <w:jc w:val="both"/>
      </w:pPr>
    </w:p>
    <w:tbl>
      <w:tblPr>
        <w:tblStyle w:val="9"/>
        <w:tblW w:w="0" w:type="auto"/>
        <w:tblInd w:w="1008" w:type="dxa"/>
        <w:tblLayout w:type="fixed"/>
        <w:tblCellMar>
          <w:top w:w="15" w:type="dxa"/>
          <w:left w:w="15" w:type="dxa"/>
          <w:bottom w:w="15" w:type="dxa"/>
          <w:right w:w="15" w:type="dxa"/>
        </w:tblCellMar>
      </w:tblPr>
      <w:tblGrid>
        <w:gridCol w:w="4032"/>
        <w:gridCol w:w="5400"/>
      </w:tblGrid>
      <w:tr w14:paraId="5040A705">
        <w:tblPrEx>
          <w:tblCellMar>
            <w:top w:w="15" w:type="dxa"/>
            <w:left w:w="15" w:type="dxa"/>
            <w:bottom w:w="15" w:type="dxa"/>
            <w:right w:w="15" w:type="dxa"/>
          </w:tblCellMar>
        </w:tblPrEx>
        <w:tc>
          <w:tcPr>
            <w:tcW w:w="4032" w:type="dxa"/>
            <w:tcBorders>
              <w:top w:val="outset" w:color="auto" w:sz="6" w:space="0"/>
              <w:left w:val="outset" w:color="auto" w:sz="6" w:space="0"/>
              <w:bottom w:val="outset" w:color="auto" w:sz="6" w:space="0"/>
              <w:right w:val="outset" w:color="auto" w:sz="6" w:space="0"/>
            </w:tcBorders>
          </w:tcPr>
          <w:p w14:paraId="021F2D90">
            <w:pPr>
              <w:tabs>
                <w:tab w:val="left" w:pos="1462"/>
              </w:tabs>
              <w:spacing w:before="80"/>
              <w:ind w:left="1461"/>
              <w:jc w:val="both"/>
              <w:rPr>
                <w:i/>
                <w:lang w:val="pt-BR"/>
              </w:rPr>
            </w:pPr>
            <w:r>
              <w:rPr>
                <w:i/>
                <w:lang w:val="pt-BR"/>
              </w:rPr>
              <w:t xml:space="preserve">Itens nº </w:t>
            </w:r>
          </w:p>
        </w:tc>
        <w:tc>
          <w:tcPr>
            <w:tcW w:w="5400" w:type="dxa"/>
            <w:tcBorders>
              <w:top w:val="outset" w:color="auto" w:sz="6" w:space="0"/>
              <w:left w:val="outset" w:color="auto" w:sz="6" w:space="0"/>
              <w:bottom w:val="outset" w:color="auto" w:sz="6" w:space="0"/>
              <w:right w:val="outset" w:color="auto" w:sz="6" w:space="0"/>
            </w:tcBorders>
          </w:tcPr>
          <w:p w14:paraId="0123AA15">
            <w:pPr>
              <w:tabs>
                <w:tab w:val="left" w:pos="1462"/>
              </w:tabs>
              <w:spacing w:before="80"/>
              <w:ind w:left="1461"/>
              <w:jc w:val="both"/>
              <w:rPr>
                <w:i/>
                <w:lang w:val="pt-BR"/>
              </w:rPr>
            </w:pPr>
            <w:r>
              <w:rPr>
                <w:i/>
                <w:lang w:val="pt-BR"/>
              </w:rPr>
              <w:t>Órgãos Participantes</w:t>
            </w:r>
          </w:p>
        </w:tc>
      </w:tr>
      <w:tr w14:paraId="01CF6EB4">
        <w:tblPrEx>
          <w:tblCellMar>
            <w:top w:w="15" w:type="dxa"/>
            <w:left w:w="15" w:type="dxa"/>
            <w:bottom w:w="15" w:type="dxa"/>
            <w:right w:w="15" w:type="dxa"/>
          </w:tblCellMar>
        </w:tblPrEx>
        <w:tc>
          <w:tcPr>
            <w:tcW w:w="4032" w:type="dxa"/>
            <w:tcBorders>
              <w:top w:val="nil"/>
              <w:left w:val="outset" w:color="auto" w:sz="6" w:space="0"/>
              <w:bottom w:val="outset" w:color="auto" w:sz="6" w:space="0"/>
              <w:right w:val="outset" w:color="auto" w:sz="6" w:space="0"/>
            </w:tcBorders>
          </w:tcPr>
          <w:p w14:paraId="08BE571D">
            <w:pPr>
              <w:tabs>
                <w:tab w:val="left" w:pos="1462"/>
              </w:tabs>
              <w:spacing w:before="80"/>
              <w:jc w:val="center"/>
              <w:rPr>
                <w:rFonts w:hint="default"/>
                <w:i/>
                <w:lang w:val="pt-BR"/>
              </w:rPr>
            </w:pPr>
            <w:r>
              <w:rPr>
                <w:rFonts w:hint="default"/>
                <w:i/>
                <w:lang w:val="pt-BR"/>
              </w:rPr>
              <w:t>13, 14 E 15</w:t>
            </w:r>
            <w:bookmarkStart w:id="12" w:name="_GoBack"/>
            <w:bookmarkEnd w:id="12"/>
          </w:p>
        </w:tc>
        <w:tc>
          <w:tcPr>
            <w:tcW w:w="5400" w:type="dxa"/>
            <w:tcBorders>
              <w:top w:val="nil"/>
              <w:left w:val="outset" w:color="auto" w:sz="6" w:space="0"/>
              <w:bottom w:val="outset" w:color="auto" w:sz="6" w:space="0"/>
              <w:right w:val="outset" w:color="auto" w:sz="6" w:space="0"/>
            </w:tcBorders>
          </w:tcPr>
          <w:p w14:paraId="6B2EE9E2">
            <w:pPr>
              <w:tabs>
                <w:tab w:val="left" w:pos="1462"/>
              </w:tabs>
              <w:spacing w:before="80"/>
              <w:jc w:val="both"/>
              <w:rPr>
                <w:lang w:val="pt-BR"/>
              </w:rPr>
            </w:pPr>
            <w:r>
              <w:t xml:space="preserve"> ESCOLA NAVAL</w:t>
            </w:r>
            <w:r>
              <w:rPr>
                <w:lang w:val="pt-BR"/>
              </w:rPr>
              <w:t xml:space="preserve"> (UASG </w:t>
            </w:r>
            <w:r>
              <w:t>762400</w:t>
            </w:r>
            <w:r>
              <w:rPr>
                <w:lang w:val="pt-BR"/>
              </w:rPr>
              <w:t>)</w:t>
            </w:r>
          </w:p>
        </w:tc>
      </w:tr>
    </w:tbl>
    <w:p w14:paraId="496D5219">
      <w:pPr>
        <w:tabs>
          <w:tab w:val="left" w:pos="1462"/>
        </w:tabs>
        <w:spacing w:before="80"/>
        <w:ind w:left="1461"/>
        <w:jc w:val="both"/>
      </w:pPr>
      <w:r>
        <w:rPr>
          <w:lang w:val="pt-BR"/>
        </w:rPr>
        <mc:AlternateContent>
          <mc:Choice Requires="wps">
            <w:drawing>
              <wp:anchor distT="0" distB="0" distL="0" distR="0" simplePos="0" relativeHeight="251661312" behindDoc="1" locked="0" layoutInCell="1" allowOverlap="1">
                <wp:simplePos x="0" y="0"/>
                <wp:positionH relativeFrom="column">
                  <wp:posOffset>1162050</wp:posOffset>
                </wp:positionH>
                <wp:positionV relativeFrom="paragraph">
                  <wp:posOffset>177165</wp:posOffset>
                </wp:positionV>
                <wp:extent cx="5667375" cy="5302250"/>
                <wp:effectExtent l="0" t="0" r="0" b="0"/>
                <wp:wrapNone/>
                <wp:docPr id="2115606137" name="Forma livre 2115606137"/>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w:pict>
              <v:shape id="_x0000_s1026" o:spid="_x0000_s1026" o:spt="100" style="position:absolute;left:0pt;margin-left:91.5pt;margin-top:13.95pt;height:417.5pt;width:446.25pt;z-index:-251655168;v-text-anchor:middle;mso-width-relative:page;mso-height-relative:page;" fillcolor="#C0C0C0" filled="t" stroked="f" coordsize="8910,8335" o:gfxdata="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" path="m2877,6995l1340,5458,1090,5708,1237,5989,1639,6763,1823,7114,1969,7387,1995,7435,1940,7404,1700,7274,1488,7160,635,6708,280,6518,0,6798,1537,8335,1716,8155,408,6847,693,6999,1694,7523,2122,7750,2290,7582,2142,7300,1632,6311,1411,5888,2698,7174,2877,6995xm3394,6478l1857,4942,1671,5127,3208,6664,3394,6478xm4825,5047l3288,3510,3110,3688,4317,4895,4161,4856,3851,4781,2995,4577,2606,4483,2373,4425,2182,4616,3719,6153,3897,5975,2690,4767,2845,4806,3156,4882,4012,5086,4401,5180,4634,5237,4825,5047xm5975,3625l5965,3546,5945,3470,5915,3395,5886,3342,5852,3286,5812,3229,5766,3169,5715,3108,5658,3045,5595,2979,4707,2091,4521,2277,5408,3164,5485,3245,5551,3321,5605,3393,5648,3462,5680,3526,5702,3586,5712,3642,5711,3706,5698,3770,5672,3835,5634,3901,5584,3968,5521,4036,5461,4090,5398,4134,5334,4166,5268,4186,5201,4196,5135,4195,5069,4182,5005,4156,4950,4127,4890,4086,4824,4034,4753,3971,4676,3896,3789,3010,3603,3195,4491,4083,4560,4150,4626,4210,4691,4263,4754,4311,4815,4351,4873,4386,4929,4414,5007,4444,5086,4463,5165,4470,5245,4466,5324,4451,5391,4431,5457,4402,5523,4364,5589,4318,5655,4265,5721,4203,5784,4135,5839,4067,5884,3998,5920,3929,5947,3859,5964,3789,5974,3706,5975,3625xm7096,2776l5740,1421,6205,957,6023,775,4911,1888,5092,2069,5555,1607,6910,2962,7096,2776xm8910,962l8715,872,7846,478,7846,764,7370,1239,7333,1164,7296,1088,7185,861,7148,786,7111,710,7074,635,7034,558,6992,482,6948,409,6903,336,6856,266,6911,297,6972,331,7039,366,7112,404,7190,443,7775,729,7846,764,7846,478,7379,266,6799,0,6599,200,6633,271,6737,486,6854,729,6918,862,7354,1775,7492,2061,7596,2276,7793,2078,7759,2010,7724,1941,7552,1596,7517,1528,7482,1459,7702,1239,8069,872,8698,1174,8910,962xe">
                <v:fill on="t" opacity="32638f" focussize="0,0"/>
                <v:stroke on="f"/>
                <v:imagedata o:title=""/>
                <o:lock v:ext="edit" aspectratio="f"/>
                <v:textbox inset="7.1988188976378pt,7.1988188976378pt,7.1988188976378pt,7.1988188976378pt"/>
              </v:shape>
            </w:pict>
          </mc:Fallback>
        </mc:AlternateContent>
      </w:r>
    </w:p>
    <w:p w14:paraId="01F35CDB">
      <w:pPr>
        <w:spacing w:before="5"/>
        <w:rPr>
          <w:highlight w:val="yellow"/>
        </w:rPr>
      </w:pPr>
    </w:p>
    <w:p w14:paraId="703DF3E1">
      <w:pPr>
        <w:spacing w:before="5"/>
        <w:rPr>
          <w:highlight w:val="yellow"/>
        </w:rPr>
      </w:pPr>
    </w:p>
    <w:p w14:paraId="13C1F308">
      <w:pPr>
        <w:pStyle w:val="2"/>
        <w:numPr>
          <w:ilvl w:val="0"/>
          <w:numId w:val="2"/>
        </w:numPr>
        <w:tabs>
          <w:tab w:val="left" w:pos="1461"/>
          <w:tab w:val="left" w:pos="1462"/>
        </w:tabs>
        <w:ind w:hanging="710"/>
      </w:pPr>
      <w:r>
        <w:t>DA ADESÃO À ATA DE REGISTRO DE PREÇOS</w:t>
      </w:r>
    </w:p>
    <w:p w14:paraId="129540DE">
      <w:pPr>
        <w:numPr>
          <w:ilvl w:val="1"/>
          <w:numId w:val="2"/>
        </w:numPr>
        <w:tabs>
          <w:tab w:val="left" w:pos="1462"/>
        </w:tabs>
        <w:spacing w:before="69"/>
        <w:ind w:right="700"/>
        <w:jc w:val="both"/>
      </w:pPr>
      <w:r>
        <w:rPr>
          <w:i/>
          <w:color w:val="000000"/>
        </w:rPr>
        <w:t xml:space="preserve"> </w:t>
      </w:r>
      <w:r>
        <w:t>Não será admitida a adesão à ata de registro de preços decorrente desta licitação ou desta contratação direta, conforme justificativa apresentada no despacho de autorização de abertura de procedimento licitatório pela autoridade competente no processo 23069.189268/2024-78</w:t>
      </w:r>
      <w:r>
        <w:rPr>
          <w:color w:val="000000"/>
        </w:rPr>
        <w:t>.</w:t>
      </w:r>
    </w:p>
    <w:p w14:paraId="02E638A7">
      <w:pPr>
        <w:tabs>
          <w:tab w:val="left" w:pos="1462"/>
        </w:tabs>
        <w:spacing w:before="70"/>
        <w:ind w:left="1461" w:right="700"/>
        <w:jc w:val="both"/>
        <w:rPr>
          <w:i/>
          <w:color w:val="000000"/>
        </w:rPr>
      </w:pPr>
    </w:p>
    <w:p w14:paraId="55181464">
      <w:pPr>
        <w:tabs>
          <w:tab w:val="left" w:pos="1462"/>
        </w:tabs>
        <w:spacing w:before="69"/>
        <w:ind w:left="751" w:right="700"/>
        <w:rPr>
          <w:b/>
        </w:rPr>
      </w:pPr>
      <w:r>
        <w:rPr>
          <w:b/>
        </w:rPr>
        <w:t>Vedação a acréscimo de quantitativos</w:t>
      </w:r>
    </w:p>
    <w:p w14:paraId="17D3233D">
      <w:pPr>
        <w:numPr>
          <w:ilvl w:val="1"/>
          <w:numId w:val="2"/>
        </w:numPr>
        <w:tabs>
          <w:tab w:val="left" w:pos="1462"/>
        </w:tabs>
        <w:spacing w:before="70"/>
        <w:ind w:right="700"/>
        <w:jc w:val="both"/>
        <w:rPr>
          <w:i/>
          <w:color w:val="000000"/>
        </w:rPr>
      </w:pPr>
      <w:r>
        <w:rPr>
          <w:color w:val="000000"/>
        </w:rPr>
        <w:t>É vedado efetuar acréscimos nos quantitativos fixados na ata de registro de preços</w:t>
      </w:r>
    </w:p>
    <w:p w14:paraId="19FB9CA6">
      <w:pPr>
        <w:rPr>
          <w:color w:val="000000"/>
        </w:rPr>
      </w:pPr>
    </w:p>
    <w:p w14:paraId="64B55CB3">
      <w:pPr>
        <w:pStyle w:val="2"/>
        <w:numPr>
          <w:ilvl w:val="0"/>
          <w:numId w:val="2"/>
        </w:numPr>
        <w:tabs>
          <w:tab w:val="left" w:pos="1461"/>
          <w:tab w:val="left" w:pos="1462"/>
        </w:tabs>
        <w:ind w:hanging="710"/>
      </w:pPr>
      <w:r>
        <w:t>VALIDADE, FORMALIZAÇÃO DA ATA DE REGISTRO DE PREÇOS E CADASTRO RESERVA</w:t>
      </w:r>
    </w:p>
    <w:p w14:paraId="1CB23B69">
      <w:pPr>
        <w:numPr>
          <w:ilvl w:val="1"/>
          <w:numId w:val="2"/>
        </w:numPr>
        <w:tabs>
          <w:tab w:val="left" w:pos="1462"/>
        </w:tabs>
        <w:spacing w:before="69"/>
        <w:ind w:right="700" w:hanging="710"/>
        <w:jc w:val="both"/>
        <w:rPr>
          <w:color w:val="000000"/>
        </w:rPr>
      </w:pPr>
      <w:r>
        <w:rPr>
          <w:color w:val="000000"/>
        </w:rPr>
        <w:t xml:space="preserve">A validade da Ata de Registro de Preços será de 1 (um) ano, contado a </w:t>
      </w:r>
      <w:sdt>
        <w:sdtPr>
          <w:tag w:val="goog_rdk_0"/>
          <w:id w:val="-1970044540"/>
        </w:sdtPr>
        <w:sdtContent/>
      </w:sdt>
      <w:r>
        <w:rPr>
          <w:color w:val="000000"/>
        </w:rPr>
        <w:t>partir do primeiro dia útil subsequente à data de divulgação no PNCP, podendo ser prorrogada por igual período, mediante a anuência do fornecedor, desde que comprovado o preço vantajoso.</w:t>
      </w:r>
    </w:p>
    <w:p w14:paraId="7C9DF2B3">
      <w:pPr>
        <w:widowControl/>
        <w:numPr>
          <w:ilvl w:val="2"/>
          <w:numId w:val="2"/>
        </w:numPr>
        <w:spacing w:before="120" w:after="120"/>
        <w:ind w:left="2127" w:right="700"/>
        <w:jc w:val="both"/>
        <w:rPr>
          <w:color w:val="000000"/>
        </w:rPr>
      </w:pPr>
      <w:r>
        <w:rPr>
          <w:color w:val="00000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5274A8C6">
      <w:pPr>
        <w:widowControl/>
        <w:numPr>
          <w:ilvl w:val="2"/>
          <w:numId w:val="2"/>
        </w:numP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14:paraId="607B958F">
      <w:pPr>
        <w:numPr>
          <w:ilvl w:val="1"/>
          <w:numId w:val="2"/>
        </w:numP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002582CB">
      <w:pPr>
        <w:widowControl/>
        <w:numPr>
          <w:ilvl w:val="2"/>
          <w:numId w:val="2"/>
        </w:numPr>
        <w:spacing w:before="120" w:after="120"/>
        <w:ind w:left="2127" w:right="700"/>
        <w:jc w:val="both"/>
        <w:rPr>
          <w:color w:val="000000"/>
        </w:rPr>
      </w:pPr>
      <w:r>
        <w:rPr>
          <w:color w:val="000000"/>
        </w:rPr>
        <w:t xml:space="preserve"> O instrumento contratual de que trata o item 5.2. deverá ser assinado no prazo de validade da ata de registro de preços.</w:t>
      </w:r>
    </w:p>
    <w:p w14:paraId="3A17522E">
      <w:pPr>
        <w:numPr>
          <w:ilvl w:val="1"/>
          <w:numId w:val="2"/>
        </w:numPr>
        <w:tabs>
          <w:tab w:val="left" w:pos="1462"/>
        </w:tabs>
        <w:spacing w:before="69"/>
        <w:ind w:right="700" w:hanging="710"/>
        <w:jc w:val="both"/>
      </w:pPr>
      <w:r>
        <w:rPr>
          <w:color w:val="000000"/>
        </w:rPr>
        <w:t>Os contratos decorrentes do sistema de registro de preços poderão ser alterados, observado o art. 124 da Lei nº 14.133, de 2021.</w:t>
      </w:r>
    </w:p>
    <w:p w14:paraId="2BB87D8A">
      <w:pPr>
        <w:numPr>
          <w:ilvl w:val="1"/>
          <w:numId w:val="2"/>
        </w:numP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14:paraId="5FB4DC4A">
      <w:pPr>
        <w:widowControl/>
        <w:numPr>
          <w:ilvl w:val="2"/>
          <w:numId w:val="2"/>
        </w:numP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14:paraId="3873F5D3">
      <w:pPr>
        <w:widowControl/>
        <w:numPr>
          <w:ilvl w:val="2"/>
          <w:numId w:val="2"/>
        </w:numPr>
        <w:spacing w:before="120" w:after="120"/>
        <w:ind w:left="2127" w:right="700"/>
        <w:jc w:val="both"/>
        <w:rPr>
          <w:color w:val="000000"/>
        </w:rPr>
      </w:pPr>
      <w:r>
        <w:rPr>
          <w:color w:val="000000"/>
        </w:rPr>
        <w:t>Será incluído na ata, na forma de anexo, o registro dos licitantes ou dos fornecedores que:</w:t>
      </w:r>
    </w:p>
    <w:p w14:paraId="53AA6B8E">
      <w:pPr>
        <w:widowControl/>
        <w:spacing w:before="120" w:after="120" w:line="276" w:lineRule="auto"/>
        <w:ind w:left="2127" w:right="700" w:firstLine="720"/>
        <w:jc w:val="both"/>
        <w:rPr>
          <w:color w:val="000000"/>
        </w:rPr>
      </w:pPr>
      <w:r>
        <w:rPr>
          <w:color w:val="000000"/>
        </w:rPr>
        <w:t xml:space="preserve">5.4.2.1 Aceitarem cotar os bens, as obras ou os serviços com preços iguais aos do adjudicatário, observada a classificação da licitação; e </w:t>
      </w:r>
    </w:p>
    <w:p w14:paraId="4BED0080">
      <w:pPr>
        <w:widowControl/>
        <w:numPr>
          <w:ilvl w:val="3"/>
          <w:numId w:val="3"/>
        </w:numPr>
        <w:spacing w:before="120" w:after="120" w:line="276" w:lineRule="auto"/>
        <w:ind w:right="700"/>
        <w:jc w:val="both"/>
        <w:rPr>
          <w:color w:val="000000"/>
        </w:rPr>
      </w:pPr>
      <w:r>
        <w:rPr>
          <w:color w:val="000000"/>
        </w:rPr>
        <w:t xml:space="preserve">Mantiverem sua proposta original. </w:t>
      </w:r>
      <w:bookmarkStart w:id="0" w:name="bookmark=id.gjdgxs" w:colFirst="0" w:colLast="0"/>
      <w:bookmarkEnd w:id="0"/>
    </w:p>
    <w:p w14:paraId="5E390723">
      <w:pPr>
        <w:widowControl/>
        <w:numPr>
          <w:ilvl w:val="2"/>
          <w:numId w:val="2"/>
        </w:numPr>
        <w:spacing w:before="120" w:after="120"/>
        <w:ind w:left="2127" w:right="700"/>
        <w:jc w:val="both"/>
        <w:rPr>
          <w:color w:val="000000"/>
        </w:rPr>
      </w:pPr>
      <w:r>
        <w:rPr>
          <w:color w:val="000000"/>
        </w:rPr>
        <w:t>Será respeitada, nas contratações, a ordem de classificação dos licitantes ou dos fornecedores registrados na ata.</w:t>
      </w:r>
    </w:p>
    <w:p w14:paraId="4CD3C559">
      <w:pPr>
        <w:numPr>
          <w:ilvl w:val="1"/>
          <w:numId w:val="2"/>
        </w:numPr>
        <w:tabs>
          <w:tab w:val="left" w:pos="1462"/>
        </w:tabs>
        <w:spacing w:before="69"/>
        <w:ind w:right="700" w:hanging="710"/>
        <w:jc w:val="both"/>
      </w:pPr>
      <w:r>
        <w:rPr>
          <w:color w:val="000000"/>
        </w:rPr>
        <w:t>O registro a que se refere o item 5.4.2</w:t>
      </w:r>
      <w:r>
        <w:rPr>
          <w:b/>
          <w:color w:val="000000"/>
        </w:rPr>
        <w:t xml:space="preserve"> </w:t>
      </w:r>
      <w:r>
        <w:rPr>
          <w:color w:val="000000"/>
        </w:rPr>
        <w:t>tem por objetivo a formação de cadastro de reserva para o caso de impossibilidade de atendimento pelo signatário da ata.</w:t>
      </w:r>
    </w:p>
    <w:p w14:paraId="7346B5EE">
      <w:pPr>
        <w:numPr>
          <w:ilvl w:val="1"/>
          <w:numId w:val="2"/>
        </w:numPr>
        <w:tabs>
          <w:tab w:val="left" w:pos="1462"/>
        </w:tabs>
        <w:spacing w:before="69"/>
        <w:ind w:right="700" w:hanging="710"/>
        <w:jc w:val="both"/>
      </w:pPr>
      <w:r>
        <w:rPr>
          <w:color w:val="000000"/>
        </w:rPr>
        <w:t>Para fins da ordem de classificação, os licitantes ou fornecedores que aceitarem reduzir suas propostas para o preço do adjudicatário antecederão aqueles que mantiverem sua proposta original.</w:t>
      </w:r>
    </w:p>
    <w:p w14:paraId="7ABE5A0D">
      <w:pPr>
        <w:numPr>
          <w:ilvl w:val="1"/>
          <w:numId w:val="2"/>
        </w:numP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14:paraId="7391A8D2">
      <w:pPr>
        <w:widowControl/>
        <w:numPr>
          <w:ilvl w:val="2"/>
          <w:numId w:val="2"/>
        </w:numPr>
        <w:spacing w:before="120" w:after="120"/>
        <w:ind w:left="2127" w:right="700"/>
        <w:jc w:val="both"/>
        <w:rPr>
          <w:color w:val="000000"/>
        </w:rPr>
      </w:pPr>
      <w:r>
        <w:rPr>
          <w:color w:val="000000"/>
        </w:rPr>
        <w:t>Quando o licitante vencedor não assinar a ata de registro de preços, no prazo e nas condições estabelecidos no edital ou no aviso de contratação direta; e</w:t>
      </w:r>
    </w:p>
    <w:p w14:paraId="3606631F">
      <w:pPr>
        <w:widowControl/>
        <w:numPr>
          <w:ilvl w:val="2"/>
          <w:numId w:val="2"/>
        </w:numPr>
        <w:spacing w:before="120" w:after="120"/>
        <w:ind w:left="2127" w:right="700"/>
        <w:jc w:val="both"/>
        <w:rPr>
          <w:rFonts w:ascii="Arial" w:hAnsi="Arial" w:eastAsia="Arial" w:cs="Arial"/>
          <w:i/>
          <w:color w:val="000000"/>
          <w:sz w:val="20"/>
          <w:szCs w:val="20"/>
        </w:rPr>
      </w:pPr>
      <w:r>
        <w:rPr>
          <w:color w:val="000000"/>
        </w:rPr>
        <w:t>Quando houver o cancelamento do registro do licitante ou do registro de preços nas hipóteses previstas no item 9</w:t>
      </w:r>
      <w:r>
        <w:rPr>
          <w:rFonts w:ascii="Arial" w:hAnsi="Arial" w:eastAsia="Arial" w:cs="Arial"/>
          <w:i/>
          <w:color w:val="000000"/>
          <w:sz w:val="20"/>
          <w:szCs w:val="20"/>
        </w:rPr>
        <w:t>.</w:t>
      </w:r>
    </w:p>
    <w:p w14:paraId="2E156638">
      <w:pPr>
        <w:numPr>
          <w:ilvl w:val="1"/>
          <w:numId w:val="2"/>
        </w:numP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14:paraId="05FF308A">
      <w:pPr>
        <w:numPr>
          <w:ilvl w:val="1"/>
          <w:numId w:val="2"/>
        </w:numPr>
        <w:tabs>
          <w:tab w:val="left" w:pos="1462"/>
        </w:tabs>
        <w:spacing w:before="69"/>
        <w:ind w:right="700" w:hanging="710"/>
        <w:jc w:val="both"/>
      </w:pPr>
      <w:r>
        <w:rPr>
          <w:color w:val="00000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29F5C878">
      <w:pPr>
        <w:widowControl/>
        <w:numPr>
          <w:ilvl w:val="2"/>
          <w:numId w:val="2"/>
        </w:numPr>
        <w:spacing w:before="120" w:after="120"/>
        <w:ind w:left="2127" w:right="700"/>
        <w:jc w:val="both"/>
        <w:rPr>
          <w:rFonts w:ascii="Arial" w:hAnsi="Arial" w:eastAsia="Arial" w:cs="Arial"/>
          <w:i/>
          <w:color w:val="000000"/>
          <w:sz w:val="20"/>
          <w:szCs w:val="20"/>
        </w:rPr>
      </w:pPr>
      <w:r>
        <w:rPr>
          <w:color w:val="000000"/>
        </w:rPr>
        <w:t>O prazo de convocação poderá ser prorrogado 1 (uma) vez, por igual período, mediante solicitação do licitante ou fornecedor convocado, desde que apresentada dentro do prazo, devidamente justificada, e que a justificativa seja aceita pela</w:t>
      </w:r>
      <w:r>
        <w:rPr>
          <w:i/>
          <w:color w:val="000000"/>
        </w:rPr>
        <w:t xml:space="preserve"> Administração</w:t>
      </w:r>
      <w:r>
        <w:rPr>
          <w:rFonts w:ascii="Arial" w:hAnsi="Arial" w:eastAsia="Arial" w:cs="Arial"/>
          <w:i/>
          <w:color w:val="000000"/>
          <w:sz w:val="20"/>
          <w:szCs w:val="20"/>
        </w:rPr>
        <w:t>.</w:t>
      </w:r>
    </w:p>
    <w:p w14:paraId="55186F1F">
      <w:pPr>
        <w:numPr>
          <w:ilvl w:val="1"/>
          <w:numId w:val="2"/>
        </w:numPr>
        <w:tabs>
          <w:tab w:val="left" w:pos="1462"/>
        </w:tabs>
        <w:spacing w:before="69"/>
        <w:ind w:right="700" w:hanging="710"/>
        <w:jc w:val="both"/>
      </w:pPr>
      <w:r>
        <w:rPr>
          <w:color w:val="000000"/>
        </w:rPr>
        <w:t>A ata de registro de preços será assinada por meio de assinatura digital e disponibilizada no Sistema de Registro de Preços.</w:t>
      </w:r>
    </w:p>
    <w:p w14:paraId="256BD5B3">
      <w:pPr>
        <w:numPr>
          <w:ilvl w:val="1"/>
          <w:numId w:val="2"/>
        </w:numP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14:paraId="34F1FAE9">
      <w:pPr>
        <w:numPr>
          <w:ilvl w:val="1"/>
          <w:numId w:val="2"/>
        </w:numPr>
        <w:tabs>
          <w:tab w:val="left" w:pos="1462"/>
        </w:tabs>
        <w:spacing w:before="69"/>
        <w:ind w:right="700" w:hanging="710"/>
        <w:jc w:val="both"/>
      </w:pPr>
      <w:r>
        <w:rPr>
          <w:color w:val="000000"/>
        </w:rPr>
        <w:t xml:space="preserve">Na hipótese de nenhum dos licitantes que trata o item 5.4.2.1, aceitar a contratação nos termos do item anterior, a Administração, observados o valor estimado e sua eventual atualização nos termos </w:t>
      </w:r>
      <w:r>
        <w:t>do edital</w:t>
      </w:r>
      <w:r>
        <w:rPr>
          <w:color w:val="000000"/>
        </w:rPr>
        <w:t>, poderá:</w:t>
      </w:r>
    </w:p>
    <w:p w14:paraId="4233900A">
      <w:pPr>
        <w:widowControl/>
        <w:numPr>
          <w:ilvl w:val="2"/>
          <w:numId w:val="2"/>
        </w:numPr>
        <w:spacing w:before="120" w:after="120"/>
        <w:ind w:left="2127" w:right="700"/>
        <w:jc w:val="both"/>
        <w:rPr>
          <w:color w:val="000000"/>
        </w:rPr>
      </w:pPr>
      <w:r>
        <w:rPr>
          <w:color w:val="000000"/>
        </w:rPr>
        <w:t>Convocar para negociação os demais licitantes ou fornecedores remanescentes cujos preços foram registrados sem redução, observada a ordem de classificação, com vistas à obtenção de preço melhor, mesmo que acima do preço do adjudicatário; ou</w:t>
      </w:r>
    </w:p>
    <w:p w14:paraId="4F29AFD7">
      <w:pPr>
        <w:widowControl/>
        <w:numPr>
          <w:ilvl w:val="2"/>
          <w:numId w:val="2"/>
        </w:numP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p>
    <w:p w14:paraId="0D4BADA4">
      <w:pPr>
        <w:numPr>
          <w:ilvl w:val="1"/>
          <w:numId w:val="2"/>
        </w:numP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2B511A96">
      <w:pPr>
        <w:tabs>
          <w:tab w:val="left" w:pos="1462"/>
        </w:tabs>
        <w:spacing w:before="69"/>
        <w:ind w:left="1461" w:right="700"/>
        <w:jc w:val="both"/>
        <w:rPr>
          <w:color w:val="000000"/>
        </w:rPr>
      </w:pPr>
    </w:p>
    <w:p w14:paraId="6175B432">
      <w:pPr>
        <w:rPr>
          <w:color w:val="000000"/>
        </w:rPr>
      </w:pPr>
    </w:p>
    <w:p w14:paraId="7B8EDBD8">
      <w:pPr>
        <w:pStyle w:val="2"/>
        <w:numPr>
          <w:ilvl w:val="0"/>
          <w:numId w:val="2"/>
        </w:numPr>
        <w:tabs>
          <w:tab w:val="left" w:pos="1461"/>
          <w:tab w:val="left" w:pos="1462"/>
        </w:tabs>
        <w:ind w:hanging="710"/>
      </w:pPr>
      <w:r>
        <w:t>ALTERAÇÃO OU ATUALIZAÇÃO DOS PREÇOS REGISTRADOS</w:t>
      </w:r>
    </w:p>
    <w:p w14:paraId="3294ED13">
      <w:pPr>
        <w:numPr>
          <w:ilvl w:val="1"/>
          <w:numId w:val="2"/>
        </w:numP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14:paraId="1657B245">
      <w:pPr>
        <w:widowControl/>
        <w:numPr>
          <w:ilvl w:val="2"/>
          <w:numId w:val="2"/>
        </w:numPr>
        <w:spacing w:before="120" w:after="120"/>
        <w:ind w:left="2127" w:right="700"/>
        <w:jc w:val="both"/>
        <w:rPr>
          <w:color w:val="000000"/>
        </w:rPr>
      </w:pPr>
      <w:r>
        <w:rPr>
          <w:color w:val="000000"/>
        </w:rPr>
        <w:t>E</w:t>
      </w:r>
      <w:sdt>
        <w:sdtPr>
          <w:tag w:val="goog_rdk_1"/>
          <w:id w:val="-115058605"/>
        </w:sdtPr>
        <w:sdtContent/>
      </w:sdt>
      <w:r>
        <w:rPr>
          <w:color w:val="000000"/>
        </w:rPr>
        <w:t>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3D5EB5AB">
      <w:pPr>
        <w:widowControl/>
        <w:numPr>
          <w:ilvl w:val="2"/>
          <w:numId w:val="2"/>
        </w:numPr>
        <w:spacing w:before="120" w:after="120"/>
        <w:ind w:left="2127" w:right="700"/>
        <w:jc w:val="both"/>
        <w:rPr>
          <w:color w:val="000000"/>
        </w:rPr>
      </w:pPr>
      <w:r>
        <w:rPr>
          <w:color w:val="000000"/>
        </w:rPr>
        <w:t xml:space="preserve">Em caso de criação, alteração ou extinção de quaisquer tributos ou encargos legais ou a superveniência de disposições legais, com comprovada repercussão sobre os preços registrados; </w:t>
      </w:r>
    </w:p>
    <w:p w14:paraId="756C283A">
      <w:pPr>
        <w:widowControl/>
        <w:numPr>
          <w:ilvl w:val="2"/>
          <w:numId w:val="2"/>
        </w:numPr>
        <w:spacing w:before="120" w:after="120"/>
        <w:ind w:left="2127" w:right="700"/>
        <w:jc w:val="both"/>
        <w:rPr>
          <w:color w:val="000000"/>
        </w:rPr>
      </w:pPr>
      <w:r>
        <w:rPr>
          <w:color w:val="000000"/>
        </w:rPr>
        <w:t>Na hipótese de previsão no edital ou no aviso de contratação direta de cláusula de reajustamento ou repactuação sobre os preços registrados, nos termos da Lei nº 14.133, de 2021.</w:t>
      </w:r>
    </w:p>
    <w:p w14:paraId="5150215F">
      <w:pPr>
        <w:widowControl/>
        <w:numPr>
          <w:ilvl w:val="3"/>
          <w:numId w:val="4"/>
        </w:numPr>
        <w:spacing w:before="120" w:after="120"/>
        <w:ind w:right="700"/>
        <w:jc w:val="both"/>
        <w:rPr>
          <w:color w:val="000000"/>
        </w:rPr>
      </w:pPr>
      <w:r>
        <w:rPr>
          <w:color w:val="000000"/>
        </w:rPr>
        <w:t xml:space="preserve">No caso do reajustamento, deverá ser respeitada a contagem da anualidade e o índice previstos para a contratação;  </w:t>
      </w:r>
    </w:p>
    <w:p w14:paraId="0A1D0D5C">
      <w:pPr>
        <w:widowControl/>
        <w:numPr>
          <w:ilvl w:val="3"/>
          <w:numId w:val="4"/>
        </w:numPr>
        <w:spacing w:before="120" w:after="120"/>
        <w:ind w:right="700"/>
        <w:jc w:val="both"/>
        <w:rPr>
          <w:color w:val="000000"/>
        </w:rPr>
      </w:pPr>
      <w:r>
        <w:rPr>
          <w:color w:val="000000"/>
        </w:rPr>
        <w:t>No caso da repactuação, poderá ser a pedido do interessado, conforme critérios definidos para a contratação.</w:t>
      </w:r>
    </w:p>
    <w:p w14:paraId="17963FB7">
      <w:pPr>
        <w:pStyle w:val="2"/>
        <w:tabs>
          <w:tab w:val="left" w:pos="1461"/>
          <w:tab w:val="left" w:pos="1462"/>
        </w:tabs>
        <w:ind w:firstLine="0"/>
      </w:pPr>
    </w:p>
    <w:p w14:paraId="7A171948">
      <w:pPr>
        <w:keepNext/>
        <w:keepLines/>
        <w:widowControl/>
        <w:numPr>
          <w:ilvl w:val="0"/>
          <w:numId w:val="2"/>
        </w:numPr>
        <w:tabs>
          <w:tab w:val="left" w:pos="567"/>
        </w:tabs>
        <w:spacing w:before="120" w:after="120" w:line="276" w:lineRule="auto"/>
        <w:jc w:val="both"/>
      </w:pPr>
      <w:r>
        <w:rPr>
          <w:rFonts w:ascii="Arial" w:hAnsi="Arial" w:eastAsia="Arial" w:cs="Arial"/>
          <w:b/>
          <w:color w:val="000000"/>
          <w:sz w:val="20"/>
          <w:szCs w:val="20"/>
        </w:rPr>
        <w:t>NEGOCIAÇÃO DE PREÇOS REGISTRADOS</w:t>
      </w:r>
    </w:p>
    <w:p w14:paraId="6331DC23">
      <w:pPr>
        <w:numPr>
          <w:ilvl w:val="1"/>
          <w:numId w:val="2"/>
        </w:numP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14:paraId="0AD703A9">
      <w:pPr>
        <w:widowControl/>
        <w:numPr>
          <w:ilvl w:val="2"/>
          <w:numId w:val="2"/>
        </w:numP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14:paraId="75B40ECF">
      <w:pPr>
        <w:widowControl/>
        <w:numPr>
          <w:ilvl w:val="2"/>
          <w:numId w:val="2"/>
        </w:numPr>
        <w:spacing w:before="120" w:after="120"/>
        <w:ind w:left="2127" w:right="700"/>
        <w:jc w:val="both"/>
        <w:rPr>
          <w:color w:val="000000"/>
        </w:rPr>
      </w:pPr>
      <w:r>
        <w:rPr>
          <w:color w:val="000000"/>
        </w:rPr>
        <w:t>Na hipótese prevista no item anterior, o gerenciador convocará os fornecedores do cadastro de reserva, na ordem de classificação, para verificar se aceitam reduzir seus preços aos valores de mercado e não convocará o</w:t>
      </w:r>
      <w:sdt>
        <w:sdtPr>
          <w:tag w:val="goog_rdk_2"/>
          <w:id w:val="-1083916607"/>
        </w:sdtPr>
        <w:sdtContent/>
      </w:sdt>
      <w:r>
        <w:rPr>
          <w:color w:val="000000"/>
        </w:rPr>
        <w:t xml:space="preserve">s licitantes ou fornecedores que tiveram seu registro cancelado. </w:t>
      </w:r>
    </w:p>
    <w:p w14:paraId="17A8FFAE">
      <w:pPr>
        <w:widowControl/>
        <w:numPr>
          <w:ilvl w:val="2"/>
          <w:numId w:val="2"/>
        </w:numP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14:paraId="49658004">
      <w:pPr>
        <w:widowControl/>
        <w:numPr>
          <w:ilvl w:val="2"/>
          <w:numId w:val="2"/>
        </w:numPr>
        <w:spacing w:before="120" w:after="120"/>
        <w:ind w:left="2127" w:right="700"/>
        <w:jc w:val="both"/>
        <w:rPr>
          <w:color w:val="000000"/>
        </w:rPr>
      </w:pPr>
      <w:r>
        <w:rPr>
          <w:color w:val="00000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55ECF012">
      <w:pPr>
        <w:numPr>
          <w:ilvl w:val="1"/>
          <w:numId w:val="2"/>
        </w:numP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14:paraId="7DC2BB7A">
      <w:pPr>
        <w:widowControl/>
        <w:numPr>
          <w:ilvl w:val="2"/>
          <w:numId w:val="2"/>
        </w:numP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14:paraId="329F2877">
      <w:pPr>
        <w:widowControl/>
        <w:numPr>
          <w:ilvl w:val="2"/>
          <w:numId w:val="2"/>
        </w:numPr>
        <w:spacing w:before="120" w:after="120"/>
        <w:ind w:left="2127" w:right="700"/>
        <w:jc w:val="both"/>
        <w:rPr>
          <w:color w:val="000000"/>
        </w:rPr>
      </w:pPr>
      <w:r>
        <w:rPr>
          <w:color w:val="000000"/>
        </w:rPr>
        <w:t>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id="6" w:name="bookmark=id.3dy6vkm" w:colFirst="0" w:colLast="0"/>
      <w:bookmarkEnd w:id="6"/>
    </w:p>
    <w:p w14:paraId="1EE01B80">
      <w:pPr>
        <w:widowControl/>
        <w:numPr>
          <w:ilvl w:val="2"/>
          <w:numId w:val="2"/>
        </w:numPr>
        <w:spacing w:before="120" w:after="120"/>
        <w:ind w:left="2127" w:right="700"/>
        <w:jc w:val="both"/>
        <w:rPr>
          <w:color w:val="000000"/>
        </w:rPr>
      </w:pPr>
      <w:r>
        <w:rPr>
          <w:color w:val="00000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168BAECE">
      <w:pPr>
        <w:widowControl/>
        <w:numPr>
          <w:ilvl w:val="2"/>
          <w:numId w:val="2"/>
        </w:numP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14:paraId="07BDDC3F">
      <w:pPr>
        <w:widowControl/>
        <w:numPr>
          <w:ilvl w:val="2"/>
          <w:numId w:val="2"/>
        </w:numP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19B71456">
      <w:pPr>
        <w:widowControl/>
        <w:numPr>
          <w:ilvl w:val="2"/>
          <w:numId w:val="2"/>
        </w:numPr>
        <w:spacing w:before="120" w:after="120"/>
        <w:ind w:left="2127" w:right="700"/>
        <w:jc w:val="both"/>
        <w:rPr>
          <w:color w:val="000000"/>
        </w:rPr>
      </w:pPr>
      <w:r>
        <w:rPr>
          <w:color w:val="00000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1F93EA9B"/>
    <w:p w14:paraId="089BFB1A">
      <w:pPr>
        <w:keepNext/>
        <w:keepLines/>
        <w:widowControl/>
        <w:numPr>
          <w:ilvl w:val="0"/>
          <w:numId w:val="2"/>
        </w:numPr>
        <w:tabs>
          <w:tab w:val="left" w:pos="567"/>
        </w:tabs>
        <w:spacing w:before="120" w:after="120" w:line="276" w:lineRule="auto"/>
        <w:jc w:val="both"/>
      </w:pPr>
      <w:r>
        <w:rPr>
          <w:rFonts w:ascii="Arial" w:hAnsi="Arial" w:eastAsia="Arial" w:cs="Arial"/>
          <w:b/>
          <w:color w:val="000000"/>
          <w:sz w:val="20"/>
          <w:szCs w:val="20"/>
        </w:rPr>
        <w:t>REMANEJAMENTO DAS QUANTIDADES REGISTRADAS NA ATA DE REGISTRO DE PREÇOS</w:t>
      </w:r>
    </w:p>
    <w:p w14:paraId="62FCD029">
      <w:pPr>
        <w:numPr>
          <w:ilvl w:val="1"/>
          <w:numId w:val="2"/>
        </w:numPr>
        <w:tabs>
          <w:tab w:val="left" w:pos="1462"/>
        </w:tabs>
        <w:spacing w:before="69"/>
        <w:ind w:right="700" w:hanging="710"/>
        <w:jc w:val="both"/>
      </w:pPr>
      <w:r>
        <w:rPr>
          <w:color w:val="000000"/>
        </w:rPr>
        <w:t>As quantidades previstas para os itens com preços registrados nas atas de registro de preços poderão ser remanejadas pelo órgão ou entidade gerenciadora entre os órgãos ou as entidades participantes e não participantes do registro de preços.</w:t>
      </w:r>
    </w:p>
    <w:p w14:paraId="17CAAC2F">
      <w:pPr>
        <w:numPr>
          <w:ilvl w:val="1"/>
          <w:numId w:val="2"/>
        </w:numPr>
        <w:tabs>
          <w:tab w:val="left" w:pos="1462"/>
        </w:tabs>
        <w:spacing w:before="69"/>
        <w:ind w:right="700" w:hanging="710"/>
        <w:jc w:val="both"/>
      </w:pPr>
      <w:r>
        <w:rPr>
          <w:color w:val="000000"/>
        </w:rPr>
        <w:t xml:space="preserve"> O remanejamento somente poderá ser feito:</w:t>
      </w:r>
    </w:p>
    <w:p w14:paraId="553C4125">
      <w:pPr>
        <w:widowControl/>
        <w:numPr>
          <w:ilvl w:val="2"/>
          <w:numId w:val="2"/>
        </w:numPr>
        <w:spacing w:before="120" w:after="120"/>
        <w:ind w:left="2127" w:right="700"/>
        <w:jc w:val="both"/>
        <w:rPr>
          <w:color w:val="000000"/>
        </w:rPr>
      </w:pPr>
      <w:r>
        <w:rPr>
          <w:color w:val="000000"/>
        </w:rPr>
        <w:t>De órgão ou entidade participante para órgão ou entidade participante; ou</w:t>
      </w:r>
    </w:p>
    <w:p w14:paraId="039BF985">
      <w:pPr>
        <w:widowControl/>
        <w:numPr>
          <w:ilvl w:val="2"/>
          <w:numId w:val="2"/>
        </w:numPr>
        <w:spacing w:before="120" w:after="120"/>
        <w:ind w:left="2127" w:right="700"/>
        <w:jc w:val="both"/>
        <w:rPr>
          <w:color w:val="000000"/>
        </w:rPr>
      </w:pPr>
      <w:r>
        <w:rPr>
          <w:color w:val="000000"/>
        </w:rPr>
        <w:t>De órgão ou entidade participante para órgão ou entidade não participante.</w:t>
      </w:r>
    </w:p>
    <w:p w14:paraId="11C004F6">
      <w:pPr>
        <w:numPr>
          <w:ilvl w:val="1"/>
          <w:numId w:val="2"/>
        </w:numPr>
        <w:tabs>
          <w:tab w:val="left" w:pos="1462"/>
        </w:tabs>
        <w:spacing w:before="69"/>
        <w:ind w:right="700" w:hanging="710"/>
        <w:jc w:val="both"/>
      </w:pPr>
      <w:r>
        <w:rPr>
          <w:color w:val="000000"/>
        </w:rPr>
        <w:t>O órgão ou entidade gerenciadora que tiver estimado as quantidades que pretende contratar será considerado participante para efeito do remanejamento.</w:t>
      </w:r>
      <w:bookmarkStart w:id="8" w:name="bookmark=id.4d34og8" w:colFirst="0" w:colLast="0"/>
      <w:bookmarkEnd w:id="8"/>
    </w:p>
    <w:p w14:paraId="0E8B1A33">
      <w:pPr>
        <w:numPr>
          <w:ilvl w:val="1"/>
          <w:numId w:val="2"/>
        </w:numPr>
        <w:tabs>
          <w:tab w:val="left" w:pos="1462"/>
        </w:tabs>
        <w:spacing w:before="69"/>
        <w:ind w:right="700" w:hanging="710"/>
        <w:jc w:val="both"/>
      </w:pPr>
      <w:r>
        <w:rPr>
          <w:color w:val="000000"/>
        </w:rPr>
        <w:t xml:space="preserve">Na hipótese de remanejamento de órgão ou entidade participante para órgão ou entidade não participante, serão observados os limites previstos no </w:t>
      </w:r>
      <w:sdt>
        <w:sdtPr>
          <w:tag w:val="goog_rdk_3"/>
          <w:id w:val="1156193502"/>
        </w:sdtPr>
        <w:sdtContent/>
      </w:sdt>
      <w:r>
        <w:rPr>
          <w:color w:val="000000"/>
        </w:rPr>
        <w:t>art. 32 do Decreto nº 11.462, de 2023.</w:t>
      </w:r>
    </w:p>
    <w:p w14:paraId="0978DF49">
      <w:pPr>
        <w:numPr>
          <w:ilvl w:val="1"/>
          <w:numId w:val="2"/>
        </w:numPr>
        <w:tabs>
          <w:tab w:val="left" w:pos="1462"/>
        </w:tabs>
        <w:spacing w:before="69"/>
        <w:ind w:right="700" w:hanging="710"/>
        <w:jc w:val="both"/>
      </w:pPr>
      <w:r>
        <w:rPr>
          <w:color w:val="00000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7D1AB54E">
      <w:pPr>
        <w:numPr>
          <w:ilvl w:val="1"/>
          <w:numId w:val="2"/>
        </w:numPr>
        <w:tabs>
          <w:tab w:val="left" w:pos="1462"/>
        </w:tabs>
        <w:spacing w:before="69"/>
        <w:ind w:right="700" w:hanging="710"/>
        <w:jc w:val="both"/>
      </w:pPr>
      <w:r>
        <w:rPr>
          <w:color w:val="000000"/>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04AA5D9C">
      <w:pPr>
        <w:numPr>
          <w:ilvl w:val="1"/>
          <w:numId w:val="2"/>
        </w:numPr>
        <w:tabs>
          <w:tab w:val="left" w:pos="1462"/>
        </w:tabs>
        <w:spacing w:before="69"/>
        <w:ind w:right="700" w:hanging="710"/>
        <w:jc w:val="both"/>
      </w:pPr>
      <w:r>
        <w:rPr>
          <w:color w:val="00000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14:paraId="16D5EF48"/>
    <w:p w14:paraId="28496D2E">
      <w:pPr>
        <w:keepNext/>
        <w:keepLines/>
        <w:widowControl/>
        <w:numPr>
          <w:ilvl w:val="0"/>
          <w:numId w:val="2"/>
        </w:numPr>
        <w:tabs>
          <w:tab w:val="left" w:pos="567"/>
        </w:tabs>
        <w:spacing w:before="120" w:after="120" w:line="276" w:lineRule="auto"/>
        <w:jc w:val="both"/>
      </w:pPr>
      <w:r>
        <w:rPr>
          <w:rFonts w:ascii="Arial" w:hAnsi="Arial" w:eastAsia="Arial" w:cs="Arial"/>
          <w:b/>
          <w:color w:val="000000"/>
          <w:sz w:val="20"/>
          <w:szCs w:val="20"/>
        </w:rPr>
        <w:t>CANCELAMENTO DO REGISTRO DO LICITANTE VENCEDOR E DOS PREÇOS REGISTRADOS</w:t>
      </w:r>
      <w:bookmarkStart w:id="9" w:name="bookmark=id.2s8eyo1" w:colFirst="0" w:colLast="0"/>
      <w:bookmarkEnd w:id="9"/>
    </w:p>
    <w:p w14:paraId="23EE5741">
      <w:pPr>
        <w:numPr>
          <w:ilvl w:val="1"/>
          <w:numId w:val="2"/>
        </w:numPr>
        <w:tabs>
          <w:tab w:val="left" w:pos="1462"/>
        </w:tabs>
        <w:spacing w:before="69"/>
        <w:ind w:right="700" w:hanging="710"/>
        <w:jc w:val="both"/>
      </w:pPr>
      <w:r>
        <w:rPr>
          <w:color w:val="000000"/>
        </w:rPr>
        <w:t>O registro do fornecedor será cancelado pelo gerenciador, quando o fornecedor:</w:t>
      </w:r>
      <w:bookmarkStart w:id="10" w:name="bookmark=id.17dp8vu" w:colFirst="0" w:colLast="0"/>
      <w:bookmarkEnd w:id="10"/>
    </w:p>
    <w:p w14:paraId="09960E6A">
      <w:pPr>
        <w:widowControl/>
        <w:numPr>
          <w:ilvl w:val="2"/>
          <w:numId w:val="2"/>
        </w:numPr>
        <w:spacing w:before="120" w:after="120"/>
        <w:ind w:left="2127" w:right="700"/>
        <w:jc w:val="both"/>
        <w:rPr>
          <w:color w:val="000000"/>
        </w:rPr>
      </w:pPr>
      <w:r>
        <w:rPr>
          <w:color w:val="000000"/>
        </w:rPr>
        <w:t>Descumprir as condições da ata de registro de preços, sem motivo justificado;</w:t>
      </w:r>
    </w:p>
    <w:p w14:paraId="5CB3BC04">
      <w:pPr>
        <w:widowControl/>
        <w:numPr>
          <w:ilvl w:val="2"/>
          <w:numId w:val="2"/>
        </w:numPr>
        <w:spacing w:before="120" w:after="120"/>
        <w:ind w:left="2127" w:right="700"/>
        <w:jc w:val="both"/>
        <w:rPr>
          <w:color w:val="000000"/>
        </w:rPr>
      </w:pPr>
      <w:r>
        <w:rPr>
          <w:color w:val="000000"/>
        </w:rPr>
        <w:t>Não retirar a nota de empenho, ou instrumento equivalente, no prazo estabelecido pela Administração sem justificativa razoável;</w:t>
      </w:r>
    </w:p>
    <w:p w14:paraId="7640D88A">
      <w:pPr>
        <w:widowControl/>
        <w:numPr>
          <w:ilvl w:val="2"/>
          <w:numId w:val="2"/>
        </w:numPr>
        <w:spacing w:before="120" w:after="120"/>
        <w:ind w:left="2127" w:right="700"/>
        <w:jc w:val="both"/>
        <w:rPr>
          <w:color w:val="000000"/>
        </w:rPr>
      </w:pPr>
      <w:r>
        <w:rPr>
          <w:color w:val="000000"/>
        </w:rPr>
        <w:t>Não aceitar manter seu preço registrado, na hipótese prevista no artigo 27, § 2º, do Decreto nº 11.462, de 2023; ou</w:t>
      </w:r>
    </w:p>
    <w:p w14:paraId="30C02656">
      <w:pPr>
        <w:widowControl/>
        <w:numPr>
          <w:ilvl w:val="2"/>
          <w:numId w:val="2"/>
        </w:numPr>
        <w:spacing w:before="120" w:after="120"/>
        <w:ind w:left="2127" w:right="700"/>
        <w:jc w:val="both"/>
        <w:rPr>
          <w:color w:val="000000"/>
        </w:rPr>
      </w:pPr>
      <w:r>
        <w:rPr>
          <w:color w:val="000000"/>
        </w:rPr>
        <w:t xml:space="preserve"> Sofrer sanção prevista nos incisos III ou IV do caput do art. 156 da Lei nº 14.133, de 2021.</w:t>
      </w:r>
    </w:p>
    <w:p w14:paraId="568B82FD">
      <w:pPr>
        <w:widowControl/>
        <w:numPr>
          <w:ilvl w:val="3"/>
          <w:numId w:val="5"/>
        </w:numPr>
        <w:spacing w:before="120" w:after="120"/>
        <w:ind w:right="700"/>
        <w:jc w:val="both"/>
        <w:rPr>
          <w:color w:val="000000"/>
        </w:rPr>
      </w:pPr>
      <w:r>
        <w:rPr>
          <w:color w:val="00000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412D0445">
      <w:pPr>
        <w:numPr>
          <w:ilvl w:val="1"/>
          <w:numId w:val="2"/>
        </w:numP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14:paraId="7709952B">
      <w:pPr>
        <w:numPr>
          <w:ilvl w:val="1"/>
          <w:numId w:val="2"/>
        </w:numP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14:paraId="45AC851D">
      <w:pPr>
        <w:numPr>
          <w:ilvl w:val="1"/>
          <w:numId w:val="2"/>
        </w:numP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1" w:name="bookmark=id.3rdcrjn" w:colFirst="0" w:colLast="0"/>
      <w:bookmarkEnd w:id="11"/>
      <w:r>
        <w:rPr>
          <w:color w:val="000000"/>
        </w:rPr>
        <w:t xml:space="preserve"> </w:t>
      </w:r>
    </w:p>
    <w:p w14:paraId="067B71FF">
      <w:pPr>
        <w:widowControl/>
        <w:numPr>
          <w:ilvl w:val="2"/>
          <w:numId w:val="2"/>
        </w:numPr>
        <w:spacing w:before="120" w:after="120"/>
        <w:ind w:left="2127" w:right="700"/>
        <w:jc w:val="both"/>
        <w:rPr>
          <w:color w:val="000000"/>
        </w:rPr>
      </w:pPr>
      <w:r>
        <w:rPr>
          <w:color w:val="000000"/>
        </w:rPr>
        <w:t>Por razão de interesse público;</w:t>
      </w:r>
    </w:p>
    <w:p w14:paraId="48D0E98D">
      <w:pPr>
        <w:widowControl/>
        <w:numPr>
          <w:ilvl w:val="2"/>
          <w:numId w:val="2"/>
        </w:numPr>
        <w:spacing w:before="120" w:after="120"/>
        <w:ind w:left="2127" w:right="700"/>
        <w:jc w:val="both"/>
        <w:rPr>
          <w:color w:val="000000"/>
        </w:rPr>
      </w:pPr>
      <w:r>
        <w:rPr>
          <w:color w:val="000000"/>
        </w:rPr>
        <w:t>A pedido do fornecedor, decorrente de caso fortuito ou força maior; ou</w:t>
      </w:r>
    </w:p>
    <w:p w14:paraId="119C9C9E">
      <w:pPr>
        <w:widowControl/>
        <w:numPr>
          <w:ilvl w:val="2"/>
          <w:numId w:val="2"/>
        </w:numPr>
        <w:spacing w:before="120" w:after="120"/>
        <w:ind w:left="2127" w:right="700"/>
        <w:jc w:val="both"/>
        <w:rPr>
          <w:color w:val="000000"/>
        </w:rPr>
      </w:pPr>
      <w:r>
        <w:rPr>
          <w:color w:val="000000"/>
        </w:rPr>
        <w:t xml:space="preserve">Se não houver êxito nas negociações, nas hipóteses em que o preço de mercado tornar-se superior ou inferior ao preço registrado, nos termos do artigos 26, § 3º e  27, § 4º, ambos do Decreto nº 11.462, de 2023. </w:t>
      </w:r>
    </w:p>
    <w:p w14:paraId="40311D6F"/>
    <w:p w14:paraId="37430277">
      <w:pPr>
        <w:keepNext/>
        <w:keepLines/>
        <w:widowControl/>
        <w:numPr>
          <w:ilvl w:val="0"/>
          <w:numId w:val="2"/>
        </w:numPr>
        <w:tabs>
          <w:tab w:val="left" w:pos="567"/>
        </w:tabs>
        <w:spacing w:before="120" w:after="120" w:line="276" w:lineRule="auto"/>
        <w:jc w:val="both"/>
      </w:pPr>
      <w:r>
        <w:rPr>
          <w:rFonts w:ascii="Arial" w:hAnsi="Arial" w:eastAsia="Arial" w:cs="Arial"/>
          <w:b/>
          <w:color w:val="000000"/>
          <w:sz w:val="20"/>
          <w:szCs w:val="20"/>
        </w:rPr>
        <w:t>DAS PENALIDADES</w:t>
      </w:r>
    </w:p>
    <w:p w14:paraId="20C27296">
      <w:pPr>
        <w:numPr>
          <w:ilvl w:val="1"/>
          <w:numId w:val="2"/>
        </w:numPr>
        <w:tabs>
          <w:tab w:val="left" w:pos="1462"/>
        </w:tabs>
        <w:spacing w:before="69"/>
        <w:ind w:right="700" w:hanging="710"/>
        <w:jc w:val="both"/>
      </w:pPr>
      <w:r>
        <w:rPr>
          <w:color w:val="000000"/>
        </w:rPr>
        <w:t>O descumprimento da Ata de Registro de Preços ensejará aplicação das penalidades estabelecidas</w:t>
      </w:r>
      <w:r>
        <w:t xml:space="preserve"> no edital.</w:t>
      </w:r>
    </w:p>
    <w:p w14:paraId="5EB2B8C9">
      <w:pPr>
        <w:widowControl/>
        <w:numPr>
          <w:ilvl w:val="2"/>
          <w:numId w:val="2"/>
        </w:numP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w:t>
      </w:r>
      <w:sdt>
        <w:sdtPr>
          <w:tag w:val="goog_rdk_4"/>
          <w:id w:val="-1291891863"/>
        </w:sdtPr>
        <w:sdtContent/>
      </w:sdt>
      <w:r>
        <w:rPr>
          <w:color w:val="000000"/>
        </w:rPr>
        <w:t xml:space="preserve">injustificadamente após terem assinado a ata. </w:t>
      </w:r>
    </w:p>
    <w:p w14:paraId="0967DE20">
      <w:pPr>
        <w:numPr>
          <w:ilvl w:val="1"/>
          <w:numId w:val="2"/>
        </w:numPr>
        <w:tabs>
          <w:tab w:val="left" w:pos="1462"/>
        </w:tabs>
        <w:spacing w:before="69"/>
        <w:ind w:right="700" w:hanging="710"/>
        <w:jc w:val="both"/>
      </w:pPr>
      <w:r>
        <w:rPr>
          <w:color w:val="000000"/>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70C122B3">
      <w:pPr>
        <w:numPr>
          <w:ilvl w:val="1"/>
          <w:numId w:val="2"/>
        </w:numP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14:paraId="3C5D2C42"/>
    <w:p w14:paraId="5D77A3EF">
      <w:pPr>
        <w:keepNext/>
        <w:keepLines/>
        <w:widowControl/>
        <w:numPr>
          <w:ilvl w:val="0"/>
          <w:numId w:val="2"/>
        </w:numPr>
        <w:tabs>
          <w:tab w:val="left" w:pos="567"/>
        </w:tabs>
        <w:spacing w:before="120" w:after="120" w:line="276" w:lineRule="auto"/>
        <w:jc w:val="both"/>
      </w:pPr>
      <w:r>
        <w:rPr>
          <w:rFonts w:ascii="Arial" w:hAnsi="Arial" w:eastAsia="Arial" w:cs="Arial"/>
          <w:b/>
          <w:color w:val="000000"/>
          <w:sz w:val="20"/>
          <w:szCs w:val="20"/>
        </w:rPr>
        <w:t>CONDIÇÕES GERAIS</w:t>
      </w:r>
    </w:p>
    <w:p w14:paraId="51D8FE5C">
      <w:pPr>
        <w:numPr>
          <w:ilvl w:val="1"/>
          <w:numId w:val="2"/>
        </w:numP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Pr>
          <w:i/>
          <w:color w:val="000000"/>
        </w:rPr>
        <w:t>AO EDITAL.</w:t>
      </w:r>
    </w:p>
    <w:p w14:paraId="0CA2F6E7">
      <w:pPr>
        <w:numPr>
          <w:ilvl w:val="1"/>
          <w:numId w:val="2"/>
        </w:numPr>
        <w:tabs>
          <w:tab w:val="left" w:pos="1462"/>
        </w:tabs>
        <w:spacing w:before="69"/>
        <w:ind w:right="700" w:hanging="710"/>
        <w:jc w:val="both"/>
        <w:rPr>
          <w:color w:val="000000"/>
          <w:highlight w:val="white"/>
        </w:rPr>
      </w:pPr>
      <w:r>
        <w:rPr>
          <w:color w:val="000000"/>
          <w:highlight w:val="white"/>
        </w:rPr>
        <w:t>No caso de adjudicação por preço global de grupo de itens, só será admitida a contratação de parte de itens do grupo se houver prévia pesquisa de mercado e demonstração de sua vantagem para o órgão ou a entidade.</w:t>
      </w:r>
    </w:p>
    <w:p w14:paraId="62E6A979">
      <w:pPr>
        <w:numPr>
          <w:ilvl w:val="1"/>
          <w:numId w:val="2"/>
        </w:numPr>
        <w:tabs>
          <w:tab w:val="left" w:pos="1462"/>
        </w:tabs>
        <w:spacing w:before="69"/>
        <w:ind w:right="700"/>
        <w:jc w:val="both"/>
      </w:pPr>
      <w:r>
        <w:t>O Termo de Responsabilidade sobre a ata de registro de preços compõe anexo a esta Ata de Registro de Preços.</w:t>
      </w:r>
    </w:p>
    <w:p w14:paraId="46007194">
      <w:pPr>
        <w:tabs>
          <w:tab w:val="left" w:pos="1462"/>
        </w:tabs>
        <w:spacing w:before="69"/>
        <w:ind w:left="1461" w:right="700"/>
        <w:jc w:val="both"/>
        <w:rPr>
          <w:color w:val="000000"/>
          <w:highlight w:val="yellow"/>
        </w:rPr>
      </w:pPr>
    </w:p>
    <w:p w14:paraId="1A1226D1"/>
    <w:p w14:paraId="4567D08E">
      <w:pPr>
        <w:pStyle w:val="2"/>
        <w:tabs>
          <w:tab w:val="left" w:pos="1461"/>
          <w:tab w:val="left" w:pos="1462"/>
        </w:tabs>
        <w:ind w:firstLine="0"/>
      </w:pPr>
    </w:p>
    <w:p w14:paraId="3AB8AD01">
      <w:pPr>
        <w:spacing w:before="8"/>
        <w:rPr>
          <w:color w:val="000000"/>
        </w:rPr>
      </w:pPr>
    </w:p>
    <w:p w14:paraId="59D1DBE6">
      <w:pP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 xml:space="preserve">de </w:t>
      </w:r>
      <w:r>
        <w:t>2025</w:t>
      </w:r>
      <w:r>
        <w:rPr>
          <w:color w:val="000000"/>
        </w:rPr>
        <w:t>.</w:t>
      </w:r>
    </w:p>
    <w:p w14:paraId="62EDECE8">
      <w:pPr>
        <w:rPr>
          <w:color w:val="000000"/>
        </w:rPr>
      </w:pPr>
    </w:p>
    <w:p w14:paraId="5CA65EC4">
      <w:pPr>
        <w:rPr>
          <w:color w:val="000000"/>
        </w:rPr>
      </w:pPr>
    </w:p>
    <w:p w14:paraId="758E60EA">
      <w:pPr>
        <w:spacing w:before="6"/>
        <w:rPr>
          <w:color w:val="000000"/>
        </w:rPr>
      </w:pPr>
    </w:p>
    <w:p w14:paraId="7228D76F">
      <w:pPr>
        <w:ind w:left="3564" w:right="3551"/>
        <w:jc w:val="center"/>
        <w:rPr>
          <w:color w:val="000000"/>
        </w:rPr>
      </w:pPr>
      <w:r>
        <w:rPr>
          <w:color w:val="BEBEBE"/>
        </w:rPr>
        <w:t>DOCUMENTO ASSINADO ELETRONICAMENTE</w:t>
      </w:r>
    </w:p>
    <w:p w14:paraId="23DDA2DB">
      <w:pPr>
        <w:pStyle w:val="2"/>
        <w:spacing w:before="1"/>
        <w:ind w:left="3564" w:right="3553" w:firstLine="0"/>
        <w:jc w:val="center"/>
      </w:pPr>
      <w:r>
        <w:t>VERA LÚCIA LAVRADO CUPELLO CAJAZEIRAS</w:t>
      </w:r>
    </w:p>
    <w:p w14:paraId="08BD63D5">
      <w:pPr>
        <w:ind w:left="3564" w:right="3551"/>
        <w:jc w:val="center"/>
        <w:rPr>
          <w:color w:val="000000"/>
        </w:rPr>
      </w:pPr>
      <w:r>
        <w:rPr>
          <w:color w:val="000000"/>
        </w:rPr>
        <w:t>Pró-Reitora de Administração</w:t>
      </w:r>
    </w:p>
    <w:p w14:paraId="64ABA5AA">
      <w:pPr>
        <w:rPr>
          <w:color w:val="000000"/>
        </w:rPr>
      </w:pPr>
    </w:p>
    <w:sectPr>
      <w:pgSz w:w="11910" w:h="16840"/>
      <w:pgMar w:top="460" w:right="340" w:bottom="280" w:left="380" w:header="720" w:footer="720"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Ecofont_Spranq_eco_Sans">
    <w:altName w:val="Times New Roman"/>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Georgia">
    <w:panose1 w:val="02040502050405020303"/>
    <w:charset w:val="00"/>
    <w:family w:val="roman"/>
    <w:pitch w:val="default"/>
    <w:sig w:usb0="00000287" w:usb1="00000000" w:usb2="00000000" w:usb3="00000000" w:csb0="2000009F" w:csb1="00000000"/>
  </w:font>
  <w:font w:name="Verdana">
    <w:panose1 w:val="020B0604030504040204"/>
    <w:charset w:val="00"/>
    <w:family w:val="swiss"/>
    <w:pitch w:val="default"/>
    <w:sig w:usb0="A00006FF" w:usb1="4000205B" w:usb2="00000010" w:usb3="00000000" w:csb0="2000019F" w:csb1="00000000"/>
  </w:font>
  <w:font w:name="Arial MT">
    <w:altName w:val="Arial"/>
    <w:panose1 w:val="00000000000000000000"/>
    <w:charset w:val="01"/>
    <w:family w:val="swiss"/>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F22C37"/>
    <w:multiLevelType w:val="multilevel"/>
    <w:tmpl w:val="06F22C37"/>
    <w:lvl w:ilvl="0" w:tentative="0">
      <w:start w:val="3"/>
      <w:numFmt w:val="decimal"/>
      <w:lvlText w:val="%1."/>
      <w:lvlJc w:val="left"/>
      <w:pPr>
        <w:ind w:left="1461" w:hanging="709"/>
      </w:pPr>
      <w:rPr>
        <w:rFonts w:ascii="Calibri" w:hAnsi="Calibri" w:eastAsia="Calibri" w:cs="Calibri"/>
        <w:b/>
        <w:sz w:val="22"/>
        <w:szCs w:val="22"/>
      </w:rPr>
    </w:lvl>
    <w:lvl w:ilvl="1" w:tentative="0">
      <w:start w:val="1"/>
      <w:numFmt w:val="decimal"/>
      <w:lvlText w:val="%1.%2."/>
      <w:lvlJc w:val="left"/>
      <w:pPr>
        <w:ind w:left="1461" w:hanging="709"/>
      </w:pPr>
      <w:rPr>
        <w:rFonts w:ascii="Calibri" w:hAnsi="Calibri" w:eastAsia="Calibri" w:cs="Calibri"/>
        <w:sz w:val="22"/>
        <w:szCs w:val="22"/>
      </w:rPr>
    </w:lvl>
    <w:lvl w:ilvl="2" w:tentative="0">
      <w:start w:val="1"/>
      <w:numFmt w:val="decimal"/>
      <w:lvlText w:val="%1.%2.%3."/>
      <w:lvlJc w:val="left"/>
      <w:pPr>
        <w:ind w:left="752" w:hanging="709"/>
      </w:pPr>
    </w:lvl>
    <w:lvl w:ilvl="3" w:tentative="0">
      <w:start w:val="0"/>
      <w:numFmt w:val="bullet"/>
      <w:lvlText w:val="•"/>
      <w:lvlJc w:val="left"/>
      <w:pPr>
        <w:ind w:left="3621" w:hanging="708"/>
      </w:pPr>
    </w:lvl>
    <w:lvl w:ilvl="4" w:tentative="0">
      <w:start w:val="0"/>
      <w:numFmt w:val="bullet"/>
      <w:lvlText w:val="•"/>
      <w:lvlJc w:val="left"/>
      <w:pPr>
        <w:ind w:left="4702" w:hanging="709"/>
      </w:pPr>
    </w:lvl>
    <w:lvl w:ilvl="5" w:tentative="0">
      <w:start w:val="0"/>
      <w:numFmt w:val="bullet"/>
      <w:lvlText w:val="•"/>
      <w:lvlJc w:val="left"/>
      <w:pPr>
        <w:ind w:left="5782" w:hanging="708"/>
      </w:pPr>
    </w:lvl>
    <w:lvl w:ilvl="6" w:tentative="0">
      <w:start w:val="0"/>
      <w:numFmt w:val="bullet"/>
      <w:lvlText w:val="•"/>
      <w:lvlJc w:val="left"/>
      <w:pPr>
        <w:ind w:left="6863" w:hanging="709"/>
      </w:pPr>
    </w:lvl>
    <w:lvl w:ilvl="7" w:tentative="0">
      <w:start w:val="0"/>
      <w:numFmt w:val="bullet"/>
      <w:lvlText w:val="•"/>
      <w:lvlJc w:val="left"/>
      <w:pPr>
        <w:ind w:left="7944" w:hanging="709"/>
      </w:pPr>
    </w:lvl>
    <w:lvl w:ilvl="8" w:tentative="0">
      <w:start w:val="0"/>
      <w:numFmt w:val="bullet"/>
      <w:lvlText w:val="•"/>
      <w:lvlJc w:val="left"/>
      <w:pPr>
        <w:ind w:left="9024" w:hanging="709"/>
      </w:pPr>
    </w:lvl>
  </w:abstractNum>
  <w:abstractNum w:abstractNumId="1">
    <w:nsid w:val="598931CF"/>
    <w:multiLevelType w:val="multilevel"/>
    <w:tmpl w:val="598931CF"/>
    <w:lvl w:ilvl="0" w:tentative="0">
      <w:start w:val="1"/>
      <w:numFmt w:val="decimal"/>
      <w:lvlText w:val="%1"/>
      <w:lvlJc w:val="left"/>
      <w:pPr>
        <w:ind w:left="1313" w:hanging="845"/>
      </w:pPr>
    </w:lvl>
    <w:lvl w:ilvl="1" w:tentative="0">
      <w:start w:val="1"/>
      <w:numFmt w:val="decimal"/>
      <w:lvlText w:val="%1.%2."/>
      <w:lvlJc w:val="left"/>
      <w:pPr>
        <w:ind w:left="1313" w:hanging="845"/>
      </w:pPr>
      <w:rPr>
        <w:rFonts w:ascii="Calibri" w:hAnsi="Calibri" w:eastAsia="Calibri" w:cs="Calibri"/>
        <w:sz w:val="22"/>
        <w:szCs w:val="22"/>
      </w:rPr>
    </w:lvl>
    <w:lvl w:ilvl="2" w:tentative="0">
      <w:start w:val="2"/>
      <w:numFmt w:val="decimal"/>
      <w:lvlText w:val="%3."/>
      <w:lvlJc w:val="left"/>
      <w:pPr>
        <w:ind w:left="1462" w:hanging="846"/>
      </w:pPr>
      <w:rPr>
        <w:rFonts w:ascii="Calibri" w:hAnsi="Calibri" w:eastAsia="Calibri" w:cs="Calibri"/>
        <w:b/>
        <w:sz w:val="22"/>
        <w:szCs w:val="22"/>
      </w:rPr>
    </w:lvl>
    <w:lvl w:ilvl="3" w:tentative="0">
      <w:start w:val="1"/>
      <w:numFmt w:val="decimal"/>
      <w:lvlText w:val="%3.%4."/>
      <w:lvlJc w:val="left"/>
      <w:pPr>
        <w:ind w:left="1462" w:hanging="846"/>
      </w:pPr>
      <w:rPr>
        <w:rFonts w:ascii="Calibri" w:hAnsi="Calibri" w:eastAsia="Calibri" w:cs="Calibri"/>
        <w:sz w:val="22"/>
        <w:szCs w:val="22"/>
      </w:rPr>
    </w:lvl>
    <w:lvl w:ilvl="4" w:tentative="0">
      <w:start w:val="0"/>
      <w:numFmt w:val="bullet"/>
      <w:lvlText w:val="•"/>
      <w:lvlJc w:val="left"/>
      <w:pPr>
        <w:ind w:left="4573" w:hanging="845"/>
      </w:pPr>
    </w:lvl>
    <w:lvl w:ilvl="5" w:tentative="0">
      <w:start w:val="0"/>
      <w:numFmt w:val="bullet"/>
      <w:lvlText w:val="•"/>
      <w:lvlJc w:val="left"/>
      <w:pPr>
        <w:ind w:left="5611" w:hanging="846"/>
      </w:pPr>
    </w:lvl>
    <w:lvl w:ilvl="6" w:tentative="0">
      <w:start w:val="0"/>
      <w:numFmt w:val="bullet"/>
      <w:lvlText w:val="•"/>
      <w:lvlJc w:val="left"/>
      <w:pPr>
        <w:ind w:left="6648" w:hanging="846"/>
      </w:pPr>
    </w:lvl>
    <w:lvl w:ilvl="7" w:tentative="0">
      <w:start w:val="0"/>
      <w:numFmt w:val="bullet"/>
      <w:lvlText w:val="•"/>
      <w:lvlJc w:val="left"/>
      <w:pPr>
        <w:ind w:left="7686" w:hanging="846"/>
      </w:pPr>
    </w:lvl>
    <w:lvl w:ilvl="8" w:tentative="0">
      <w:start w:val="0"/>
      <w:numFmt w:val="bullet"/>
      <w:lvlText w:val="•"/>
      <w:lvlJc w:val="left"/>
      <w:pPr>
        <w:ind w:left="8724" w:hanging="846"/>
      </w:pPr>
    </w:lvl>
  </w:abstractNum>
  <w:abstractNum w:abstractNumId="2">
    <w:nsid w:val="5C9A5A8E"/>
    <w:multiLevelType w:val="multilevel"/>
    <w:tmpl w:val="5C9A5A8E"/>
    <w:lvl w:ilvl="0" w:tentative="0">
      <w:start w:val="5"/>
      <w:numFmt w:val="decimal"/>
      <w:lvlText w:val="%1"/>
      <w:lvlJc w:val="left"/>
      <w:pPr>
        <w:ind w:left="612" w:hanging="612"/>
      </w:pPr>
    </w:lvl>
    <w:lvl w:ilvl="1" w:tentative="0">
      <w:start w:val="4"/>
      <w:numFmt w:val="decimal"/>
      <w:lvlText w:val="%1.%2"/>
      <w:lvlJc w:val="left"/>
      <w:pPr>
        <w:ind w:left="1561" w:hanging="612"/>
      </w:pPr>
    </w:lvl>
    <w:lvl w:ilvl="2" w:tentative="0">
      <w:start w:val="2"/>
      <w:numFmt w:val="decimal"/>
      <w:lvlText w:val="%1.%2.%3"/>
      <w:lvlJc w:val="left"/>
      <w:pPr>
        <w:ind w:left="2618" w:hanging="720"/>
      </w:pPr>
    </w:lvl>
    <w:lvl w:ilvl="3" w:tentative="0">
      <w:start w:val="2"/>
      <w:numFmt w:val="decimal"/>
      <w:lvlText w:val="%1.%2.%3.%4"/>
      <w:lvlJc w:val="left"/>
      <w:pPr>
        <w:ind w:left="3567" w:hanging="720"/>
      </w:pPr>
    </w:lvl>
    <w:lvl w:ilvl="4" w:tentative="0">
      <w:start w:val="1"/>
      <w:numFmt w:val="decimal"/>
      <w:lvlText w:val="%1.%2.%3.%4.%5"/>
      <w:lvlJc w:val="left"/>
      <w:pPr>
        <w:ind w:left="4876" w:hanging="1080"/>
      </w:pPr>
    </w:lvl>
    <w:lvl w:ilvl="5" w:tentative="0">
      <w:start w:val="1"/>
      <w:numFmt w:val="decimal"/>
      <w:lvlText w:val="%1.%2.%3.%4.%5.%6"/>
      <w:lvlJc w:val="left"/>
      <w:pPr>
        <w:ind w:left="5825" w:hanging="1080"/>
      </w:pPr>
    </w:lvl>
    <w:lvl w:ilvl="6" w:tentative="0">
      <w:start w:val="1"/>
      <w:numFmt w:val="decimal"/>
      <w:lvlText w:val="%1.%2.%3.%4.%5.%6.%7"/>
      <w:lvlJc w:val="left"/>
      <w:pPr>
        <w:ind w:left="7134" w:hanging="1440"/>
      </w:pPr>
    </w:lvl>
    <w:lvl w:ilvl="7" w:tentative="0">
      <w:start w:val="1"/>
      <w:numFmt w:val="decimal"/>
      <w:lvlText w:val="%1.%2.%3.%4.%5.%6.%7.%8"/>
      <w:lvlJc w:val="left"/>
      <w:pPr>
        <w:ind w:left="8083" w:hanging="1440"/>
      </w:pPr>
    </w:lvl>
    <w:lvl w:ilvl="8" w:tentative="0">
      <w:start w:val="1"/>
      <w:numFmt w:val="decimal"/>
      <w:lvlText w:val="%1.%2.%3.%4.%5.%6.%7.%8.%9"/>
      <w:lvlJc w:val="left"/>
      <w:pPr>
        <w:ind w:left="9392" w:hanging="1800"/>
      </w:pPr>
    </w:lvl>
  </w:abstractNum>
  <w:abstractNum w:abstractNumId="3">
    <w:nsid w:val="5D815683"/>
    <w:multiLevelType w:val="multilevel"/>
    <w:tmpl w:val="5D815683"/>
    <w:lvl w:ilvl="0" w:tentative="0">
      <w:start w:val="6"/>
      <w:numFmt w:val="decimal"/>
      <w:lvlText w:val="%1"/>
      <w:lvlJc w:val="left"/>
      <w:pPr>
        <w:ind w:left="612" w:hanging="612"/>
      </w:pPr>
    </w:lvl>
    <w:lvl w:ilvl="1" w:tentative="0">
      <w:start w:val="1"/>
      <w:numFmt w:val="decimal"/>
      <w:lvlText w:val="%1.%2"/>
      <w:lvlJc w:val="left"/>
      <w:pPr>
        <w:ind w:left="1542" w:hanging="612"/>
      </w:pPr>
    </w:lvl>
    <w:lvl w:ilvl="2" w:tentative="0">
      <w:start w:val="3"/>
      <w:numFmt w:val="decimal"/>
      <w:lvlText w:val="%1.%2.%3"/>
      <w:lvlJc w:val="left"/>
      <w:pPr>
        <w:ind w:left="2580" w:hanging="720"/>
      </w:pPr>
    </w:lvl>
    <w:lvl w:ilvl="3" w:tentative="0">
      <w:start w:val="1"/>
      <w:numFmt w:val="decimal"/>
      <w:lvlText w:val="%1.%2.%3.%4"/>
      <w:lvlJc w:val="left"/>
      <w:pPr>
        <w:ind w:left="3510" w:hanging="720"/>
      </w:pPr>
    </w:lvl>
    <w:lvl w:ilvl="4" w:tentative="0">
      <w:start w:val="1"/>
      <w:numFmt w:val="decimal"/>
      <w:lvlText w:val="%1.%2.%3.%4.%5"/>
      <w:lvlJc w:val="left"/>
      <w:pPr>
        <w:ind w:left="4800" w:hanging="1080"/>
      </w:pPr>
    </w:lvl>
    <w:lvl w:ilvl="5" w:tentative="0">
      <w:start w:val="1"/>
      <w:numFmt w:val="decimal"/>
      <w:lvlText w:val="%1.%2.%3.%4.%5.%6"/>
      <w:lvlJc w:val="left"/>
      <w:pPr>
        <w:ind w:left="5730" w:hanging="1080"/>
      </w:pPr>
    </w:lvl>
    <w:lvl w:ilvl="6" w:tentative="0">
      <w:start w:val="1"/>
      <w:numFmt w:val="decimal"/>
      <w:lvlText w:val="%1.%2.%3.%4.%5.%6.%7"/>
      <w:lvlJc w:val="left"/>
      <w:pPr>
        <w:ind w:left="7020" w:hanging="1440"/>
      </w:pPr>
    </w:lvl>
    <w:lvl w:ilvl="7" w:tentative="0">
      <w:start w:val="1"/>
      <w:numFmt w:val="decimal"/>
      <w:lvlText w:val="%1.%2.%3.%4.%5.%6.%7.%8"/>
      <w:lvlJc w:val="left"/>
      <w:pPr>
        <w:ind w:left="7950" w:hanging="1440"/>
      </w:pPr>
    </w:lvl>
    <w:lvl w:ilvl="8" w:tentative="0">
      <w:start w:val="1"/>
      <w:numFmt w:val="decimal"/>
      <w:lvlText w:val="%1.%2.%3.%4.%5.%6.%7.%8.%9"/>
      <w:lvlJc w:val="left"/>
      <w:pPr>
        <w:ind w:left="8880" w:hanging="1440"/>
      </w:pPr>
    </w:lvl>
  </w:abstractNum>
  <w:abstractNum w:abstractNumId="4">
    <w:nsid w:val="6DE41EE3"/>
    <w:multiLevelType w:val="multilevel"/>
    <w:tmpl w:val="6DE41EE3"/>
    <w:lvl w:ilvl="0" w:tentative="0">
      <w:start w:val="9"/>
      <w:numFmt w:val="decimal"/>
      <w:lvlText w:val="%1"/>
      <w:lvlJc w:val="left"/>
      <w:pPr>
        <w:ind w:left="612" w:hanging="612"/>
      </w:pPr>
    </w:lvl>
    <w:lvl w:ilvl="1" w:tentative="0">
      <w:start w:val="1"/>
      <w:numFmt w:val="decimal"/>
      <w:lvlText w:val="%1.%2"/>
      <w:lvlJc w:val="left"/>
      <w:pPr>
        <w:ind w:left="1332" w:hanging="612"/>
      </w:pPr>
    </w:lvl>
    <w:lvl w:ilvl="2" w:tentative="0">
      <w:start w:val="4"/>
      <w:numFmt w:val="decimal"/>
      <w:lvlText w:val="%1.%2.%3"/>
      <w:lvlJc w:val="left"/>
      <w:pPr>
        <w:ind w:left="2160" w:hanging="720"/>
      </w:pPr>
    </w:lvl>
    <w:lvl w:ilvl="3" w:tentative="0">
      <w:start w:val="1"/>
      <w:numFmt w:val="decimal"/>
      <w:lvlText w:val="%1.%2.%3.%4"/>
      <w:lvlJc w:val="left"/>
      <w:pPr>
        <w:ind w:left="2880" w:hanging="720"/>
      </w:pPr>
    </w:lvl>
    <w:lvl w:ilvl="4" w:tentative="0">
      <w:start w:val="1"/>
      <w:numFmt w:val="decimal"/>
      <w:lvlText w:val="%1.%2.%3.%4.%5"/>
      <w:lvlJc w:val="left"/>
      <w:pPr>
        <w:ind w:left="3960" w:hanging="1080"/>
      </w:pPr>
    </w:lvl>
    <w:lvl w:ilvl="5" w:tentative="0">
      <w:start w:val="1"/>
      <w:numFmt w:val="decimal"/>
      <w:lvlText w:val="%1.%2.%3.%4.%5.%6"/>
      <w:lvlJc w:val="left"/>
      <w:pPr>
        <w:ind w:left="4680" w:hanging="1080"/>
      </w:pPr>
    </w:lvl>
    <w:lvl w:ilvl="6" w:tentative="0">
      <w:start w:val="1"/>
      <w:numFmt w:val="decimal"/>
      <w:lvlText w:val="%1.%2.%3.%4.%5.%6.%7"/>
      <w:lvlJc w:val="left"/>
      <w:pPr>
        <w:ind w:left="5760" w:hanging="1440"/>
      </w:pPr>
    </w:lvl>
    <w:lvl w:ilvl="7" w:tentative="0">
      <w:start w:val="1"/>
      <w:numFmt w:val="decimal"/>
      <w:lvlText w:val="%1.%2.%3.%4.%5.%6.%7.%8"/>
      <w:lvlJc w:val="left"/>
      <w:pPr>
        <w:ind w:left="6480" w:hanging="1440"/>
      </w:pPr>
    </w:lvl>
    <w:lvl w:ilvl="8" w:tentative="0">
      <w:start w:val="1"/>
      <w:numFmt w:val="decimal"/>
      <w:lvlText w:val="%1.%2.%3.%4.%5.%6.%7.%8.%9"/>
      <w:lvlJc w:val="left"/>
      <w:pPr>
        <w:ind w:left="7200" w:hanging="144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hyphenationZone w:val="425"/>
  <w:noPunctuationKerning w:val="1"/>
  <w:characterSpacingControl w:val="doNotCompress"/>
  <w:compat>
    <w:doNotExpandShiftReturn/>
    <w:doNotWrapTextWithPunct/>
    <w:doNotUseEastAsianBreakRules/>
    <w:compatSetting w:name="compatibilityMode" w:uri="http://schemas.microsoft.com/office/word" w:val="14"/>
  </w:compat>
  <w:rsids>
    <w:rsidRoot w:val="00D6074D"/>
    <w:rsid w:val="00084B7B"/>
    <w:rsid w:val="00142120"/>
    <w:rsid w:val="001542C6"/>
    <w:rsid w:val="00163DD5"/>
    <w:rsid w:val="00217EE1"/>
    <w:rsid w:val="002330A6"/>
    <w:rsid w:val="00284EEE"/>
    <w:rsid w:val="002F6ED4"/>
    <w:rsid w:val="0031444A"/>
    <w:rsid w:val="003A7C62"/>
    <w:rsid w:val="00426480"/>
    <w:rsid w:val="0045742B"/>
    <w:rsid w:val="00487D5F"/>
    <w:rsid w:val="00495475"/>
    <w:rsid w:val="004C189A"/>
    <w:rsid w:val="00500C6C"/>
    <w:rsid w:val="00573C96"/>
    <w:rsid w:val="00627ACD"/>
    <w:rsid w:val="00981C5C"/>
    <w:rsid w:val="00AB0A87"/>
    <w:rsid w:val="00AD5F46"/>
    <w:rsid w:val="00B32C09"/>
    <w:rsid w:val="00B4683B"/>
    <w:rsid w:val="00B73C72"/>
    <w:rsid w:val="00D6074D"/>
    <w:rsid w:val="00D64311"/>
    <w:rsid w:val="00E30B64"/>
    <w:rsid w:val="00E62851"/>
    <w:rsid w:val="00EE0257"/>
    <w:rsid w:val="00EE5BB5"/>
    <w:rsid w:val="00EE783F"/>
    <w:rsid w:val="00F15853"/>
    <w:rsid w:val="00F4128E"/>
    <w:rsid w:val="00FD66BD"/>
    <w:rsid w:val="079E40DF"/>
    <w:rsid w:val="16C735CF"/>
    <w:rsid w:val="1A1A4DC4"/>
    <w:rsid w:val="4A004B50"/>
    <w:rsid w:val="524D31CC"/>
    <w:rsid w:val="700230D6"/>
    <w:rsid w:val="700F069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List Paragraph"/>
  </w:latentStyles>
  <w:style w:type="paragraph" w:default="1" w:styleId="1">
    <w:name w:val="Normal"/>
    <w:qFormat/>
    <w:uiPriority w:val="0"/>
    <w:pPr>
      <w:widowControl w:val="0"/>
    </w:pPr>
    <w:rPr>
      <w:rFonts w:ascii="Calibri" w:hAnsi="Calibri" w:eastAsia="Calibri" w:cs="Calibri"/>
      <w:sz w:val="22"/>
      <w:szCs w:val="22"/>
      <w:lang w:val="pt-PT" w:eastAsia="pt-BR" w:bidi="ar-SA"/>
    </w:rPr>
  </w:style>
  <w:style w:type="paragraph" w:styleId="2">
    <w:name w:val="heading 1"/>
    <w:basedOn w:val="1"/>
    <w:qFormat/>
    <w:uiPriority w:val="9"/>
    <w:pPr>
      <w:ind w:left="1461" w:hanging="710"/>
      <w:outlineLvl w:val="0"/>
    </w:pPr>
    <w:rPr>
      <w:b/>
      <w:bCs/>
    </w:rPr>
  </w:style>
  <w:style w:type="paragraph" w:styleId="3">
    <w:name w:val="heading 2"/>
    <w:basedOn w:val="1"/>
    <w:next w:val="1"/>
    <w:uiPriority w:val="0"/>
    <w:pPr>
      <w:keepNext/>
      <w:keepLines/>
      <w:spacing w:before="360" w:after="80"/>
      <w:outlineLvl w:val="1"/>
    </w:pPr>
    <w:rPr>
      <w:b/>
      <w:sz w:val="36"/>
      <w:szCs w:val="36"/>
    </w:rPr>
  </w:style>
  <w:style w:type="paragraph" w:styleId="4">
    <w:name w:val="heading 3"/>
    <w:basedOn w:val="1"/>
    <w:next w:val="1"/>
    <w:uiPriority w:val="0"/>
    <w:pPr>
      <w:keepNext/>
      <w:keepLines/>
      <w:spacing w:before="280" w:after="80"/>
      <w:outlineLvl w:val="2"/>
    </w:pPr>
    <w:rPr>
      <w:b/>
      <w:sz w:val="28"/>
      <w:szCs w:val="28"/>
    </w:rPr>
  </w:style>
  <w:style w:type="paragraph" w:styleId="5">
    <w:name w:val="heading 4"/>
    <w:basedOn w:val="1"/>
    <w:next w:val="1"/>
    <w:qFormat/>
    <w:uiPriority w:val="0"/>
    <w:pPr>
      <w:keepNext/>
      <w:keepLines/>
      <w:spacing w:before="240" w:after="40"/>
      <w:outlineLvl w:val="3"/>
    </w:pPr>
    <w:rPr>
      <w:b/>
      <w:sz w:val="24"/>
      <w:szCs w:val="24"/>
    </w:rPr>
  </w:style>
  <w:style w:type="paragraph" w:styleId="6">
    <w:name w:val="heading 5"/>
    <w:basedOn w:val="1"/>
    <w:next w:val="1"/>
    <w:uiPriority w:val="0"/>
    <w:pPr>
      <w:keepNext/>
      <w:keepLines/>
      <w:spacing w:before="220" w:after="40"/>
      <w:outlineLvl w:val="4"/>
    </w:pPr>
    <w:rPr>
      <w:b/>
    </w:rPr>
  </w:style>
  <w:style w:type="paragraph" w:styleId="7">
    <w:name w:val="heading 6"/>
    <w:basedOn w:val="1"/>
    <w:next w:val="1"/>
    <w:qFormat/>
    <w:uiPriority w:val="0"/>
    <w:pPr>
      <w:keepNext/>
      <w:keepLines/>
      <w:spacing w:before="200" w:after="40"/>
      <w:outlineLvl w:val="5"/>
    </w:pPr>
    <w:rPr>
      <w:b/>
      <w:sz w:val="20"/>
      <w:szCs w:val="20"/>
    </w:rPr>
  </w:style>
  <w:style w:type="character" w:default="1" w:styleId="8">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character" w:styleId="10">
    <w:name w:val="annotation reference"/>
    <w:basedOn w:val="8"/>
    <w:semiHidden/>
    <w:unhideWhenUsed/>
    <w:qFormat/>
    <w:uiPriority w:val="0"/>
    <w:rPr>
      <w:sz w:val="16"/>
      <w:szCs w:val="16"/>
    </w:rPr>
  </w:style>
  <w:style w:type="paragraph" w:styleId="11">
    <w:name w:val="Body Text"/>
    <w:basedOn w:val="1"/>
    <w:qFormat/>
    <w:uiPriority w:val="1"/>
    <w:pPr>
      <w:ind w:left="752"/>
      <w:jc w:val="both"/>
    </w:pPr>
  </w:style>
  <w:style w:type="paragraph" w:styleId="12">
    <w:name w:val="annotation text"/>
    <w:basedOn w:val="1"/>
    <w:link w:val="22"/>
    <w:unhideWhenUsed/>
    <w:qFormat/>
    <w:uiPriority w:val="0"/>
    <w:pPr>
      <w:widowControl/>
    </w:pPr>
    <w:rPr>
      <w:rFonts w:ascii="Ecofont_Spranq_eco_Sans" w:hAnsi="Ecofont_Spranq_eco_Sans" w:eastAsia="Times New Roman" w:cs="Tahoma"/>
      <w:sz w:val="20"/>
      <w:szCs w:val="20"/>
      <w:lang w:val="pt-BR"/>
    </w:rPr>
  </w:style>
  <w:style w:type="paragraph" w:styleId="13">
    <w:name w:val="Title"/>
    <w:basedOn w:val="1"/>
    <w:next w:val="1"/>
    <w:uiPriority w:val="0"/>
    <w:pPr>
      <w:keepNext/>
      <w:keepLines/>
      <w:spacing w:before="480" w:after="120"/>
    </w:pPr>
    <w:rPr>
      <w:b/>
      <w:sz w:val="72"/>
      <w:szCs w:val="72"/>
    </w:rPr>
  </w:style>
  <w:style w:type="paragraph" w:styleId="14">
    <w:name w:val="header"/>
    <w:basedOn w:val="1"/>
    <w:link w:val="36"/>
    <w:unhideWhenUsed/>
    <w:qFormat/>
    <w:uiPriority w:val="99"/>
    <w:pPr>
      <w:tabs>
        <w:tab w:val="center" w:pos="4252"/>
        <w:tab w:val="right" w:pos="8504"/>
      </w:tabs>
    </w:pPr>
  </w:style>
  <w:style w:type="paragraph" w:styleId="15">
    <w:name w:val="footer"/>
    <w:basedOn w:val="1"/>
    <w:link w:val="37"/>
    <w:unhideWhenUsed/>
    <w:qFormat/>
    <w:uiPriority w:val="99"/>
    <w:pPr>
      <w:tabs>
        <w:tab w:val="center" w:pos="4252"/>
        <w:tab w:val="right" w:pos="8504"/>
      </w:tabs>
    </w:pPr>
  </w:style>
  <w:style w:type="paragraph" w:styleId="16">
    <w:name w:val="Balloon Text"/>
    <w:basedOn w:val="1"/>
    <w:link w:val="40"/>
    <w:semiHidden/>
    <w:unhideWhenUsed/>
    <w:qFormat/>
    <w:uiPriority w:val="99"/>
    <w:rPr>
      <w:rFonts w:ascii="Tahoma" w:hAnsi="Tahoma" w:cs="Tahoma"/>
      <w:sz w:val="16"/>
      <w:szCs w:val="16"/>
    </w:rPr>
  </w:style>
  <w:style w:type="paragraph" w:styleId="17">
    <w:name w:val="Subtitle"/>
    <w:basedOn w:val="1"/>
    <w:next w:val="1"/>
    <w:uiPriority w:val="0"/>
    <w:pPr>
      <w:keepNext/>
      <w:keepLines/>
      <w:spacing w:before="360" w:after="80"/>
    </w:pPr>
    <w:rPr>
      <w:rFonts w:ascii="Georgia" w:hAnsi="Georgia" w:eastAsia="Georgia" w:cs="Georgia"/>
      <w:i/>
      <w:color w:val="666666"/>
      <w:sz w:val="48"/>
      <w:szCs w:val="48"/>
    </w:rPr>
  </w:style>
  <w:style w:type="table" w:customStyle="1" w:styleId="18">
    <w:name w:val="Table Normal"/>
    <w:semiHidden/>
    <w:unhideWhenUsed/>
    <w:qFormat/>
    <w:uiPriority w:val="2"/>
    <w:tblPr>
      <w:tblCellMar>
        <w:top w:w="0" w:type="dxa"/>
        <w:left w:w="0" w:type="dxa"/>
        <w:bottom w:w="0" w:type="dxa"/>
        <w:right w:w="0" w:type="dxa"/>
      </w:tblCellMar>
    </w:tblPr>
  </w:style>
  <w:style w:type="paragraph" w:styleId="19">
    <w:name w:val="List Paragraph"/>
    <w:basedOn w:val="1"/>
    <w:qFormat/>
    <w:uiPriority w:val="1"/>
    <w:pPr>
      <w:spacing w:before="70"/>
      <w:ind w:left="752"/>
      <w:jc w:val="both"/>
    </w:pPr>
  </w:style>
  <w:style w:type="paragraph" w:customStyle="1" w:styleId="20">
    <w:name w:val="Table Paragraph"/>
    <w:basedOn w:val="1"/>
    <w:qFormat/>
    <w:uiPriority w:val="1"/>
  </w:style>
  <w:style w:type="paragraph" w:customStyle="1" w:styleId="21">
    <w:name w:val="Nivel 01"/>
    <w:basedOn w:val="2"/>
    <w:next w:val="1"/>
    <w:link w:val="31"/>
    <w:qFormat/>
    <w:uiPriority w:val="0"/>
    <w:pPr>
      <w:keepNext/>
      <w:keepLines/>
      <w:widowControl/>
      <w:tabs>
        <w:tab w:val="left" w:pos="567"/>
      </w:tabs>
      <w:spacing w:before="120" w:after="120" w:line="276" w:lineRule="auto"/>
      <w:ind w:left="0" w:firstLine="0"/>
      <w:jc w:val="both"/>
    </w:pPr>
    <w:rPr>
      <w:rFonts w:ascii="Arial" w:hAnsi="Arial" w:cs="Arial" w:eastAsiaTheme="majorEastAsia"/>
      <w:sz w:val="20"/>
      <w:szCs w:val="20"/>
      <w:lang w:val="pt-BR"/>
    </w:rPr>
  </w:style>
  <w:style w:type="character" w:customStyle="1" w:styleId="22">
    <w:name w:val="Texto de comentário Char"/>
    <w:basedOn w:val="8"/>
    <w:link w:val="12"/>
    <w:uiPriority w:val="0"/>
    <w:rPr>
      <w:rFonts w:ascii="Ecofont_Spranq_eco_Sans" w:hAnsi="Ecofont_Spranq_eco_Sans" w:eastAsia="Times New Roman" w:cs="Tahoma"/>
      <w:sz w:val="20"/>
      <w:szCs w:val="20"/>
      <w:lang w:val="pt-BR" w:eastAsia="pt-BR"/>
    </w:rPr>
  </w:style>
  <w:style w:type="paragraph" w:customStyle="1" w:styleId="23">
    <w:name w:val="Nivel 2"/>
    <w:basedOn w:val="1"/>
    <w:link w:val="32"/>
    <w:qFormat/>
    <w:uiPriority w:val="0"/>
    <w:pPr>
      <w:widowControl/>
      <w:adjustRightInd w:val="0"/>
      <w:spacing w:before="120" w:after="120" w:line="276" w:lineRule="auto"/>
      <w:jc w:val="both"/>
    </w:pPr>
    <w:rPr>
      <w:rFonts w:ascii="Arial" w:hAnsi="Arial" w:eastAsia="Times New Roman" w:cs="Arial"/>
      <w:sz w:val="20"/>
      <w:szCs w:val="20"/>
      <w:lang w:val="pt-BR"/>
    </w:rPr>
  </w:style>
  <w:style w:type="paragraph" w:customStyle="1" w:styleId="24">
    <w:name w:val="Nível 2 -Red"/>
    <w:basedOn w:val="23"/>
    <w:link w:val="25"/>
    <w:qFormat/>
    <w:uiPriority w:val="0"/>
    <w:rPr>
      <w:i/>
      <w:iCs/>
      <w:color w:val="FF0000"/>
    </w:rPr>
  </w:style>
  <w:style w:type="character" w:customStyle="1" w:styleId="25">
    <w:name w:val="Nível 2 -Red Char"/>
    <w:basedOn w:val="8"/>
    <w:link w:val="24"/>
    <w:qFormat/>
    <w:uiPriority w:val="0"/>
    <w:rPr>
      <w:rFonts w:ascii="Arial" w:hAnsi="Arial" w:eastAsia="Times New Roman" w:cs="Arial"/>
      <w:i/>
      <w:iCs/>
      <w:color w:val="FF0000"/>
      <w:sz w:val="20"/>
      <w:szCs w:val="20"/>
      <w:lang w:val="pt-BR" w:eastAsia="pt-BR"/>
    </w:rPr>
  </w:style>
  <w:style w:type="paragraph" w:customStyle="1" w:styleId="26">
    <w:name w:val="Nível 3-R"/>
    <w:basedOn w:val="1"/>
    <w:link w:val="28"/>
    <w:qFormat/>
    <w:uiPriority w:val="0"/>
    <w:pPr>
      <w:widowControl/>
      <w:spacing w:before="120" w:after="120" w:line="276" w:lineRule="auto"/>
      <w:ind w:left="2618" w:hanging="720"/>
      <w:jc w:val="both"/>
    </w:pPr>
    <w:rPr>
      <w:rFonts w:ascii="Arial" w:hAnsi="Arial" w:cs="Arial" w:eastAsiaTheme="minorEastAsia"/>
      <w:i/>
      <w:iCs/>
      <w:color w:val="FF0000"/>
      <w:sz w:val="20"/>
      <w:szCs w:val="20"/>
      <w:lang w:val="pt-BR"/>
    </w:rPr>
  </w:style>
  <w:style w:type="paragraph" w:customStyle="1" w:styleId="27">
    <w:name w:val="Nível 4"/>
    <w:basedOn w:val="1"/>
    <w:link w:val="35"/>
    <w:qFormat/>
    <w:uiPriority w:val="0"/>
    <w:pPr>
      <w:widowControl/>
      <w:spacing w:before="120" w:after="120" w:line="276" w:lineRule="auto"/>
      <w:ind w:left="567"/>
      <w:jc w:val="both"/>
    </w:pPr>
    <w:rPr>
      <w:rFonts w:ascii="Arial" w:hAnsi="Arial" w:eastAsia="Times New Roman" w:cs="Arial"/>
      <w:sz w:val="20"/>
      <w:szCs w:val="20"/>
      <w:lang w:val="pt-BR"/>
    </w:rPr>
  </w:style>
  <w:style w:type="character" w:customStyle="1" w:styleId="28">
    <w:name w:val="Nível 3-R Char"/>
    <w:basedOn w:val="8"/>
    <w:link w:val="26"/>
    <w:qFormat/>
    <w:uiPriority w:val="0"/>
    <w:rPr>
      <w:rFonts w:ascii="Arial" w:hAnsi="Arial" w:cs="Arial" w:eastAsiaTheme="minorEastAsia"/>
      <w:i/>
      <w:iCs/>
      <w:color w:val="FF0000"/>
      <w:sz w:val="20"/>
      <w:szCs w:val="20"/>
      <w:lang w:val="pt-BR"/>
    </w:rPr>
  </w:style>
  <w:style w:type="paragraph" w:customStyle="1" w:styleId="29">
    <w:name w:val="SubTitNN"/>
    <w:basedOn w:val="1"/>
    <w:link w:val="30"/>
    <w:qFormat/>
    <w:uiPriority w:val="0"/>
    <w:pPr>
      <w:widowControl/>
      <w:spacing w:before="240" w:after="120" w:line="276" w:lineRule="auto"/>
      <w:jc w:val="both"/>
    </w:pPr>
    <w:rPr>
      <w:rFonts w:ascii="Arial" w:hAnsi="Arial" w:eastAsia="Times New Roman" w:cs="Arial"/>
      <w:b/>
      <w:bCs/>
      <w:iCs/>
      <w:sz w:val="20"/>
      <w:szCs w:val="20"/>
      <w:lang w:val="pt-BR"/>
    </w:rPr>
  </w:style>
  <w:style w:type="character" w:customStyle="1" w:styleId="30">
    <w:name w:val="SubTitNN Char"/>
    <w:basedOn w:val="8"/>
    <w:link w:val="29"/>
    <w:qFormat/>
    <w:uiPriority w:val="0"/>
    <w:rPr>
      <w:rFonts w:ascii="Arial" w:hAnsi="Arial" w:eastAsia="Times New Roman" w:cs="Arial"/>
      <w:b/>
      <w:bCs/>
      <w:iCs/>
      <w:sz w:val="20"/>
      <w:szCs w:val="20"/>
      <w:lang w:val="pt-BR" w:eastAsia="pt-BR"/>
    </w:rPr>
  </w:style>
  <w:style w:type="character" w:customStyle="1" w:styleId="31">
    <w:name w:val="Nivel 01 Char"/>
    <w:basedOn w:val="8"/>
    <w:link w:val="21"/>
    <w:qFormat/>
    <w:uiPriority w:val="0"/>
    <w:rPr>
      <w:rFonts w:ascii="Arial" w:hAnsi="Arial" w:cs="Arial" w:eastAsiaTheme="majorEastAsia"/>
      <w:b/>
      <w:bCs/>
      <w:sz w:val="20"/>
      <w:szCs w:val="20"/>
      <w:lang w:val="pt-BR"/>
    </w:rPr>
  </w:style>
  <w:style w:type="character" w:customStyle="1" w:styleId="32">
    <w:name w:val="Nivel 2 Char"/>
    <w:basedOn w:val="8"/>
    <w:link w:val="23"/>
    <w:qFormat/>
    <w:locked/>
    <w:uiPriority w:val="0"/>
    <w:rPr>
      <w:rFonts w:ascii="Arial" w:hAnsi="Arial" w:eastAsia="Times New Roman" w:cs="Arial"/>
      <w:sz w:val="20"/>
      <w:szCs w:val="20"/>
      <w:lang w:val="pt-BR"/>
    </w:rPr>
  </w:style>
  <w:style w:type="paragraph" w:customStyle="1" w:styleId="33">
    <w:name w:val="Nível 3"/>
    <w:basedOn w:val="26"/>
    <w:link w:val="34"/>
    <w:qFormat/>
    <w:uiPriority w:val="0"/>
    <w:pPr>
      <w:ind w:left="284" w:firstLine="0"/>
    </w:pPr>
    <w:rPr>
      <w:rFonts w:eastAsia="Times New Roman"/>
      <w:i w:val="0"/>
      <w:iCs w:val="0"/>
    </w:rPr>
  </w:style>
  <w:style w:type="character" w:customStyle="1" w:styleId="34">
    <w:name w:val="Nível 3 Char"/>
    <w:basedOn w:val="28"/>
    <w:link w:val="33"/>
    <w:qFormat/>
    <w:uiPriority w:val="0"/>
    <w:rPr>
      <w:rFonts w:ascii="Arial" w:hAnsi="Arial" w:eastAsia="Times New Roman" w:cs="Arial"/>
      <w:i w:val="0"/>
      <w:iCs w:val="0"/>
      <w:color w:val="FF0000"/>
      <w:sz w:val="20"/>
      <w:szCs w:val="20"/>
      <w:lang w:val="pt-BR"/>
    </w:rPr>
  </w:style>
  <w:style w:type="character" w:customStyle="1" w:styleId="35">
    <w:name w:val="Nível 4 Char"/>
    <w:basedOn w:val="34"/>
    <w:link w:val="27"/>
    <w:qFormat/>
    <w:uiPriority w:val="0"/>
    <w:rPr>
      <w:rFonts w:ascii="Arial" w:hAnsi="Arial" w:eastAsia="Times New Roman" w:cs="Arial"/>
      <w:color w:val="FF0000"/>
      <w:sz w:val="20"/>
      <w:szCs w:val="20"/>
      <w:lang w:val="pt-BR"/>
    </w:rPr>
  </w:style>
  <w:style w:type="character" w:customStyle="1" w:styleId="36">
    <w:name w:val="Cabeçalho Char"/>
    <w:basedOn w:val="8"/>
    <w:link w:val="14"/>
    <w:qFormat/>
    <w:uiPriority w:val="99"/>
    <w:rPr>
      <w:rFonts w:ascii="Calibri" w:hAnsi="Calibri" w:eastAsia="Calibri" w:cs="Calibri"/>
      <w:lang w:val="pt-PT"/>
    </w:rPr>
  </w:style>
  <w:style w:type="character" w:customStyle="1" w:styleId="37">
    <w:name w:val="Rodapé Char"/>
    <w:basedOn w:val="8"/>
    <w:link w:val="15"/>
    <w:qFormat/>
    <w:uiPriority w:val="99"/>
    <w:rPr>
      <w:rFonts w:ascii="Calibri" w:hAnsi="Calibri" w:eastAsia="Calibri" w:cs="Calibri"/>
      <w:lang w:val="pt-PT"/>
    </w:rPr>
  </w:style>
  <w:style w:type="table" w:customStyle="1" w:styleId="38">
    <w:name w:val="_Style 37"/>
    <w:basedOn w:val="18"/>
    <w:qFormat/>
    <w:uiPriority w:val="0"/>
  </w:style>
  <w:style w:type="table" w:customStyle="1" w:styleId="39">
    <w:name w:val="_Style 38"/>
    <w:basedOn w:val="18"/>
    <w:qFormat/>
    <w:uiPriority w:val="0"/>
    <w:tblPr>
      <w:tblCellMar>
        <w:left w:w="115" w:type="dxa"/>
        <w:right w:w="115" w:type="dxa"/>
      </w:tblCellMar>
    </w:tblPr>
  </w:style>
  <w:style w:type="character" w:customStyle="1" w:styleId="40">
    <w:name w:val="Texto de balão Char"/>
    <w:basedOn w:val="8"/>
    <w:link w:val="16"/>
    <w:semiHidden/>
    <w:qFormat/>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k8HfPWa5U/nqd7UHvxSMhu7bpg==">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</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6</Pages>
  <Words>2742</Words>
  <Characters>15090</Characters>
  <Lines>126</Lines>
  <Paragraphs>35</Paragraphs>
  <TotalTime>61</TotalTime>
  <ScaleCrop>false</ScaleCrop>
  <LinksUpToDate>false</LinksUpToDate>
  <CharactersWithSpaces>17750</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lastModifiedBy>Hellen Medeiros</cp:lastModifiedBy>
  <cp:lastPrinted>2025-05-09T15:39:00Z</cp:lastPrinted>
  <dcterms:modified xsi:type="dcterms:W3CDTF">2025-05-12T14:36:21Z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1046-12.2.0.20795</vt:lpwstr>
  </property>
  <property fmtid="{D5CDD505-2E9C-101B-9397-08002B2CF9AE}" pid="6" name="ICV">
    <vt:lpwstr>8D04F66C9CB74DD29F2EA884D1F70318_12</vt:lpwstr>
  </property>
</Properties>
</file>