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897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897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897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Anexo I-</w:t>
      </w:r>
      <w:r w:rsidDel="00000000" w:rsidR="00000000" w:rsidRPr="00000000">
        <w:rPr>
          <w:sz w:val="20"/>
          <w:szCs w:val="2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Índice de Medição de Resultado (IMR).</w:t>
      </w:r>
    </w:p>
    <w:p w:rsidR="00000000" w:rsidDel="00000000" w:rsidP="00000000" w:rsidRDefault="00000000" w:rsidRPr="00000000" w14:paraId="00000004">
      <w:pPr>
        <w:tabs>
          <w:tab w:val="left" w:leader="none" w:pos="897"/>
        </w:tabs>
        <w:ind w:left="138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96"/>
        <w:gridCol w:w="5798"/>
        <w:tblGridChange w:id="0">
          <w:tblGrid>
            <w:gridCol w:w="2696"/>
            <w:gridCol w:w="579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76dcc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SUPORTE TÉCNICO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Início do Atendimento com severidade tipo “Crítico”.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 (quinze) minutos após a abertura do chamado.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widowControl w:val="1"/>
              <w:numPr>
                <w:ilvl w:val="0"/>
                <w:numId w:val="2"/>
              </w:numPr>
              <w:tabs>
                <w:tab w:val="left" w:leader="none" w:pos="0"/>
              </w:tabs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 cada 10 (dez) minutos excedentes do prazo, desconto de 0,5% (zero vírgula cinco por cento) sobre o valor da fatura mensal do serviço.</w:t>
            </w:r>
          </w:p>
          <w:p w:rsidR="00000000" w:rsidDel="00000000" w:rsidP="00000000" w:rsidRDefault="00000000" w:rsidRPr="00000000" w14:paraId="0000000D">
            <w:pPr>
              <w:widowControl w:val="1"/>
              <w:numPr>
                <w:ilvl w:val="0"/>
                <w:numId w:val="2"/>
              </w:numPr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Após 60 (sessenta) minutos da abertura do chamado, 1% (um por cento) de desconto a cada 5 (cinco) minutos de não atendimento.</w:t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Resolução do problema de severidade tipo “Crítico”.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tabs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  <w:t xml:space="preserve">4 (quatro) horas contadas da abertura do chamado.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widowControl w:val="1"/>
              <w:numPr>
                <w:ilvl w:val="0"/>
                <w:numId w:val="2"/>
              </w:numPr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Após as 4 (quatro) horas de prazo, desconto de 1% (um por cento) do valor mensal do serviço para cada 30 minutos de atraso.</w:t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Início do Atendimento com severidade tipo “Majoritário”.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 (trinta) minutos após a abertura do chamado.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widowControl w:val="1"/>
              <w:numPr>
                <w:ilvl w:val="0"/>
                <w:numId w:val="2"/>
              </w:numPr>
              <w:tabs>
                <w:tab w:val="left" w:leader="none" w:pos="0"/>
              </w:tabs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 cada 20 (vinte) minutos excedentes do prazo, desconto de 0,5% (zero vírgula cinco por cento) sobre o valor da fatura mensal do serviço.</w:t>
            </w:r>
          </w:p>
          <w:p w:rsidR="00000000" w:rsidDel="00000000" w:rsidP="00000000" w:rsidRDefault="00000000" w:rsidRPr="00000000" w14:paraId="0000001A">
            <w:pPr>
              <w:widowControl w:val="1"/>
              <w:numPr>
                <w:ilvl w:val="0"/>
                <w:numId w:val="2"/>
              </w:numPr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Após 60 (sessenta) minutos da abertura do chamado, 1% (um por cento) de desconto a cada 10 (dez) minutos de não atendimento.</w:t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Resolução do problema de severidade tipo “Majoritário”.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tabs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  <w:t xml:space="preserve">8 (oito) horas contadas da abertura do chamado.</w:t>
            </w:r>
          </w:p>
        </w:tc>
      </w:tr>
      <w:tr>
        <w:trPr>
          <w:cantSplit w:val="0"/>
          <w:trHeight w:val="1123.403320312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widowControl w:val="1"/>
              <w:numPr>
                <w:ilvl w:val="0"/>
                <w:numId w:val="2"/>
              </w:numPr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Após as 8 (oito) horas de prazo, desconto de 1% (um por cento) do valor mensal do serviço para cada 60 minutos de atraso.</w:t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Início do Atendimento com severidade tipo “Minoritário”.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60 (sessenta) minutos após a abertura do chamado.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widowControl w:val="1"/>
              <w:numPr>
                <w:ilvl w:val="0"/>
                <w:numId w:val="2"/>
              </w:numPr>
              <w:tabs>
                <w:tab w:val="left" w:leader="none" w:pos="0"/>
              </w:tabs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 cada 30 (trinta) minutos excedentes do prazo, desconto de 0,5% (zero vírgula cinco por cento) sobre o valor da fatura mensal do serviço.</w:t>
            </w:r>
          </w:p>
          <w:p w:rsidR="00000000" w:rsidDel="00000000" w:rsidP="00000000" w:rsidRDefault="00000000" w:rsidRPr="00000000" w14:paraId="00000027">
            <w:pPr>
              <w:widowControl w:val="1"/>
              <w:numPr>
                <w:ilvl w:val="0"/>
                <w:numId w:val="2"/>
              </w:numPr>
              <w:spacing w:line="276" w:lineRule="auto"/>
              <w:ind w:left="209" w:hanging="14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Após 120 (cento e vinte) minutos da abertura do chamado, 1% (um por cento) de desconto a cada 1 (uma) hora de não atendimento.</w:t>
            </w:r>
          </w:p>
        </w:tc>
      </w:tr>
      <w:tr>
        <w:trPr>
          <w:cantSplit w:val="0"/>
          <w:tblHeader w:val="0"/>
        </w:trPr>
        <w:tc>
          <w:tcPr>
            <w:shd w:fill="e8e8e8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Indicador: </w:t>
            </w:r>
          </w:p>
        </w:tc>
        <w:tc>
          <w:tcPr>
            <w:shd w:fill="e8e8e8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Resolução do problema de severidade tipo “Minoritário”.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Limite Máximo Aceitável: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24 (vinte e quatro) horas contadas da abertura do chamado.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Desconto no caso de descumprimento dos prazos estabelecidos.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Após as 24 (vinte e quatro) horas de prazo, desconto de 1% (um por cento) do valor mensal do serviço para cada 1 (um) dia de atraso.</w:t>
            </w:r>
          </w:p>
        </w:tc>
      </w:tr>
    </w:tbl>
    <w:p w:rsidR="00000000" w:rsidDel="00000000" w:rsidP="00000000" w:rsidRDefault="00000000" w:rsidRPr="00000000" w14:paraId="0000002E">
      <w:pPr>
        <w:tabs>
          <w:tab w:val="left" w:leader="none" w:pos="897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897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498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Sanções Administrativas e Procedimentos para retenção ou glosa no pagamento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138" w:right="0" w:firstLine="3.732283464566883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Nos termos do art. 19, inciso III da Instrução Normativa SGD/ME nº 94, de 2022, será efetuada a retenção ou glosa no pagamento, proporcional à irregularidade verificada, sem prejuízo das sanções cabíveis, nos casos em que o Contratado: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1557" w:right="0" w:hanging="113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não atingir os valores mínimos aceitáveis fixados nos critérios de aceitação, não produzir os resultados ou deixar de executar as atividades contratadas; ou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"/>
        </w:tabs>
        <w:spacing w:after="0" w:before="154" w:line="240" w:lineRule="auto"/>
        <w:ind w:left="1557" w:right="0" w:hanging="113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deixar de utilizar materiais e recursos humanos exigidos para fornecimento da solução de TIC, ou utilizá-los com qualidade ou quantidade inferior à demandada;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Processo nº 23069.164153/2024-71.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98" w:hanging="360"/>
      </w:pPr>
      <w:rPr/>
    </w:lvl>
    <w:lvl w:ilvl="1">
      <w:start w:val="1"/>
      <w:numFmt w:val="decimal"/>
      <w:lvlText w:val="%1.%2."/>
      <w:lvlJc w:val="left"/>
      <w:pPr>
        <w:ind w:left="138" w:hanging="708"/>
      </w:pPr>
      <w:rPr>
        <w:rFonts w:ascii="Arial" w:cs="Arial" w:eastAsia="Arial" w:hAnsi="Arial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557" w:hanging="1133"/>
      </w:pPr>
      <w:rPr>
        <w:rFonts w:ascii="Arial" w:cs="Arial" w:eastAsia="Arial" w:hAnsi="Arial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707" w:hanging="1131"/>
      </w:pPr>
      <w:rPr>
        <w:rFonts w:ascii="Arial" w:cs="Arial" w:eastAsia="Arial" w:hAnsi="Arial"/>
        <w:b w:val="0"/>
        <w:i w:val="0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993" w:hanging="1270"/>
      </w:pPr>
      <w:rPr>
        <w:rFonts w:ascii="Arial" w:cs="Arial" w:eastAsia="Arial" w:hAnsi="Arial"/>
        <w:b w:val="0"/>
        <w:i w:val="0"/>
        <w:sz w:val="20"/>
        <w:szCs w:val="20"/>
      </w:rPr>
    </w:lvl>
    <w:lvl w:ilvl="5">
      <w:start w:val="0"/>
      <w:numFmt w:val="bullet"/>
      <w:lvlText w:val="•"/>
      <w:lvlJc w:val="left"/>
      <w:pPr>
        <w:ind w:left="900" w:hanging="1270"/>
      </w:pPr>
      <w:rPr/>
    </w:lvl>
    <w:lvl w:ilvl="6">
      <w:start w:val="0"/>
      <w:numFmt w:val="bullet"/>
      <w:lvlText w:val="•"/>
      <w:lvlJc w:val="left"/>
      <w:pPr>
        <w:ind w:left="1000" w:hanging="1270"/>
      </w:pPr>
      <w:rPr/>
    </w:lvl>
    <w:lvl w:ilvl="7">
      <w:start w:val="0"/>
      <w:numFmt w:val="bullet"/>
      <w:lvlText w:val="•"/>
      <w:lvlJc w:val="left"/>
      <w:pPr>
        <w:ind w:left="1560" w:hanging="1270"/>
      </w:pPr>
      <w:rPr/>
    </w:lvl>
    <w:lvl w:ilvl="8">
      <w:start w:val="0"/>
      <w:numFmt w:val="bullet"/>
      <w:lvlText w:val="•"/>
      <w:lvlJc w:val="left"/>
      <w:pPr>
        <w:ind w:left="2260" w:hanging="127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  <w:rsid w:val="00042B50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kern w:val="0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C41D6F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C41D6F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C41D6F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C41D6F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C41D6F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C41D6F"/>
    <w:pPr>
      <w:keepNext w:val="1"/>
      <w:keepLines w:val="1"/>
      <w:spacing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C41D6F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C41D6F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C41D6F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C41D6F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C41D6F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C41D6F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C41D6F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C41D6F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C41D6F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C41D6F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C41D6F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C41D6F"/>
    <w:rPr>
      <w:rFonts w:cstheme="majorBidi" w:eastAsiaTheme="majorEastAsia"/>
      <w:color w:val="272727" w:themeColor="text1" w:themeTint="0000D8"/>
    </w:rPr>
  </w:style>
  <w:style w:type="paragraph" w:styleId="Ttulo">
    <w:name w:val="Title"/>
    <w:basedOn w:val="Normal"/>
    <w:next w:val="Normal"/>
    <w:link w:val="TtuloChar"/>
    <w:uiPriority w:val="10"/>
    <w:qFormat w:val="1"/>
    <w:rsid w:val="00C41D6F"/>
    <w:pPr>
      <w:spacing w:after="80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sid w:val="00C41D6F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 w:val="1"/>
    <w:rsid w:val="00C41D6F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C41D6F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41D6F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C41D6F"/>
    <w:rPr>
      <w:i w:val="1"/>
      <w:iCs w:val="1"/>
      <w:color w:val="404040" w:themeColor="text1" w:themeTint="0000BF"/>
    </w:rPr>
  </w:style>
  <w:style w:type="paragraph" w:styleId="PargrafodaLista">
    <w:name w:val="List Paragraph"/>
    <w:aliases w:val="Segundo,Item2,DOCs_Paragrafo-1,Texto,lp1,List Paragraph1,Marcadores PDTI,Lista Colorida - Ênfase 11,Lista Itens"/>
    <w:basedOn w:val="Normal"/>
    <w:link w:val="PargrafodaListaChar"/>
    <w:uiPriority w:val="34"/>
    <w:qFormat w:val="1"/>
    <w:rsid w:val="00C41D6F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C41D6F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C41D6F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C41D6F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C41D6F"/>
    <w:rPr>
      <w:b w:val="1"/>
      <w:bCs w:val="1"/>
      <w:smallCaps w:val="1"/>
      <w:color w:val="0f4761" w:themeColor="accent1" w:themeShade="0000BF"/>
      <w:spacing w:val="5"/>
    </w:rPr>
  </w:style>
  <w:style w:type="character" w:styleId="PargrafodaListaChar" w:customStyle="1">
    <w:name w:val="Parágrafo da Lista Char"/>
    <w:aliases w:val="Segundo Char,Item2 Char,DOCs_Paragrafo-1 Char,Texto Char,lp1 Char,List Paragraph1 Char,Marcadores PDTI Char,Lista Colorida - Ênfase 11 Char,Lista Itens Char"/>
    <w:link w:val="PargrafodaLista"/>
    <w:uiPriority w:val="34"/>
    <w:qFormat w:val="1"/>
    <w:locked w:val="1"/>
    <w:rsid w:val="00042B50"/>
  </w:style>
  <w:style w:type="paragraph" w:styleId="Cabealho">
    <w:name w:val="header"/>
    <w:basedOn w:val="Normal"/>
    <w:link w:val="CabealhoChar"/>
    <w:uiPriority w:val="99"/>
    <w:unhideWhenUsed w:val="1"/>
    <w:rsid w:val="00042B50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042B50"/>
    <w:rPr>
      <w:rFonts w:ascii="Arial MT" w:cs="Arial MT" w:eastAsia="Arial MT" w:hAnsi="Arial MT"/>
      <w:kern w:val="0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042B50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042B50"/>
    <w:rPr>
      <w:rFonts w:ascii="Arial MT" w:cs="Arial MT" w:eastAsia="Arial MT" w:hAnsi="Arial MT"/>
      <w:kern w:val="0"/>
      <w:lang w:val="pt-PT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uVIsTwvHyZdxZDuV1lCE1wLCow==">CgMxLjAyCGguZ2pkZ3hzOABqLQoUc3VnZ2VzdC5keWhxcjJxMXU1MXcSFUxlb25hcmRvIE1vcmFlcyBSaXp6b2otChRzdWdnZXN0Lm0yajIzYm5uODhyNxIVTGVvbmFyZG8gTW9yYWVzIFJpenpvai0KFHN1Z2dlc3QuN2ZkNGxrOHI1a2toEhVMZW9uYXJkbyBNb3JhZXMgUml6em9qLQoUc3VnZ2VzdC4yejFuY25qMTZ5c3ESFUxlb25hcmRvIE1vcmFlcyBSaXp6b2otChRzdWdnZXN0LnpocWtlNjlqY2I0ZxIVTGVvbmFyZG8gTW9yYWVzIFJpenpvai0KFHN1Z2dlc3QuNGN3ejFidGJpamlhEhVMZW9uYXJkbyBNb3JhZXMgUml6em9qLQoUc3VnZ2VzdC44dDB3Mzg2MDFqYmISFUxlb25hcmRvIE1vcmFlcyBSaXp6b2osChNzdWdnZXN0LjZncmxtdmN4djN3EhVMZW9uYXJkbyBNb3JhZXMgUml6em9qLQoUc3VnZ2VzdC51cmp4MjBmNXd0OXYSFUxlb25hcmRvIE1vcmFlcyBSaXp6b2otChRzdWdnZXN0LnNpYW54NnByNXE0eRIVTGVvbmFyZG8gTW9yYWVzIFJpenpvai0KFHN1Z2dlc3QuaTRucHhuM2gwazZuEhVMZW9uYXJkbyBNb3JhZXMgUml6em9qLQoUc3VnZ2VzdC5oaGZwNjB1cGUwOXcSFUxlb25hcmRvIE1vcmFlcyBSaXp6b3IhMWhhaVhNTXcya0dfa0xYRllya2lCSjFqTUFad1NGdkw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2025-02-20T13:50:00Z</dcterms:created>
  <dc:creator>Felipe Saulo Rodrigues de Souza Catojo</dc:creator>
</cp:coreProperties>
</file>