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0" w:sz="0" w:val="none"/>
          <w:left w:color="000000" w:space="0" w:sz="0" w:val="none"/>
          <w:bottom w:color="000000" w:space="0" w:sz="0" w:val="none"/>
          <w:right w:color="000000" w:space="0" w:sz="0" w:val="none"/>
          <w:between w:color="000000" w:space="0" w:sz="0" w:val="none"/>
        </w:pBdr>
        <w:spacing w:line="276" w:lineRule="auto"/>
        <w:rPr>
          <w:rFonts w:ascii="Arial" w:cs="Arial" w:eastAsia="Arial" w:hAnsi="Arial"/>
          <w:color w:val="000000"/>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000"/>
      </w:tblPr>
      <w:tblGrid>
        <w:gridCol w:w="617"/>
        <w:gridCol w:w="937"/>
        <w:gridCol w:w="2860"/>
        <w:gridCol w:w="911"/>
        <w:gridCol w:w="674"/>
        <w:gridCol w:w="2123"/>
        <w:gridCol w:w="962"/>
        <w:gridCol w:w="1801"/>
        <w:tblGridChange w:id="0">
          <w:tblGrid>
            <w:gridCol w:w="617"/>
            <w:gridCol w:w="937"/>
            <w:gridCol w:w="2860"/>
            <w:gridCol w:w="911"/>
            <w:gridCol w:w="674"/>
            <w:gridCol w:w="2123"/>
            <w:gridCol w:w="962"/>
            <w:gridCol w:w="1801"/>
          </w:tblGrid>
        </w:tblGridChange>
      </w:tblGrid>
      <w:tr>
        <w:trPr>
          <w:cantSplit w:val="0"/>
          <w:trHeight w:val="12578" w:hRule="atLeast"/>
          <w:tblHeader w:val="0"/>
        </w:trPr>
        <w:tc>
          <w:tcPr>
            <w:gridSpan w:val="8"/>
            <w:tcBorders>
              <w:top w:color="5f5f5f" w:space="0" w:sz="34" w:val="single"/>
              <w:left w:color="5f5f5f" w:space="0" w:sz="3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02">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5"/>
                <w:szCs w:val="5"/>
              </w:rPr>
            </w:pPr>
            <w:r w:rsidDel="00000000" w:rsidR="00000000" w:rsidRPr="00000000">
              <w:rPr>
                <w:rtl w:val="0"/>
              </w:rPr>
            </w:r>
          </w:p>
          <w:p w:rsidR="00000000" w:rsidDel="00000000" w:rsidP="00000000" w:rsidRDefault="00000000" w:rsidRPr="00000000" w14:paraId="00000003">
            <w:pPr>
              <w:pBdr>
                <w:top w:color="000000" w:space="0" w:sz="0" w:val="none"/>
                <w:left w:color="000000" w:space="0" w:sz="0" w:val="none"/>
                <w:bottom w:color="000000" w:space="0" w:sz="0" w:val="none"/>
                <w:right w:color="000000" w:space="0" w:sz="0" w:val="none"/>
                <w:between w:color="000000" w:space="0" w:sz="0" w:val="none"/>
              </w:pBdr>
              <w:tabs>
                <w:tab w:val="left" w:leader="none" w:pos="5001"/>
                <w:tab w:val="left" w:leader="none" w:pos="9053"/>
              </w:tabs>
              <w:ind w:left="629"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684860" cy="370331"/>
                  <wp:effectExtent b="0" l="0" r="0" t="0"/>
                  <wp:docPr id="2115606162" name="image2.jpg"/>
                  <a:graphic>
                    <a:graphicData uri="http://schemas.openxmlformats.org/drawingml/2006/picture">
                      <pic:pic>
                        <pic:nvPicPr>
                          <pic:cNvPr id="0" name="image2.jpg"/>
                          <pic:cNvPicPr preferRelativeResize="0"/>
                        </pic:nvPicPr>
                        <pic:blipFill>
                          <a:blip r:embed="rId7"/>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color w:val="000000"/>
                <w:sz w:val="33"/>
                <w:szCs w:val="33"/>
                <w:vertAlign w:val="superscript"/>
                <w:rtl w:val="0"/>
              </w:rPr>
              <w:tab/>
            </w:r>
            <w:r w:rsidDel="00000000" w:rsidR="00000000" w:rsidRPr="00000000">
              <w:rPr>
                <w:rFonts w:ascii="Times New Roman" w:cs="Times New Roman" w:eastAsia="Times New Roman" w:hAnsi="Times New Roman"/>
                <w:color w:val="000000"/>
                <w:sz w:val="20"/>
                <w:szCs w:val="20"/>
              </w:rPr>
              <w:drawing>
                <wp:inline distB="0" distT="0" distL="0" distR="0">
                  <wp:extent cx="628762" cy="617029"/>
                  <wp:effectExtent b="0" l="0" r="0" t="0"/>
                  <wp:docPr id="2115606164"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tl w:val="0"/>
              </w:rPr>
              <w:tab/>
            </w: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927176" cy="196596"/>
                  <wp:effectExtent b="0" l="0" r="0" t="0"/>
                  <wp:docPr id="2115606163"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Bdr>
                <w:top w:color="000000" w:space="0" w:sz="0" w:val="none"/>
                <w:left w:color="000000" w:space="0" w:sz="0" w:val="none"/>
                <w:bottom w:color="000000" w:space="0" w:sz="0" w:val="none"/>
                <w:right w:color="000000" w:space="0" w:sz="0" w:val="none"/>
                <w:between w:color="000000" w:space="0" w:sz="0" w:val="none"/>
              </w:pBdr>
              <w:spacing w:before="8"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5">
            <w:pPr>
              <w:pBdr>
                <w:top w:color="000000" w:space="0" w:sz="0" w:val="none"/>
                <w:left w:color="000000" w:space="0" w:sz="0" w:val="none"/>
                <w:bottom w:color="000000" w:space="0" w:sz="0" w:val="none"/>
                <w:right w:color="000000" w:space="0" w:sz="0" w:val="none"/>
                <w:between w:color="000000" w:space="0" w:sz="0" w:val="none"/>
              </w:pBdr>
              <w:ind w:left="3709" w:right="3595" w:firstLine="1.0000000000002274"/>
              <w:jc w:val="center"/>
              <w:rPr>
                <w:b w:val="1"/>
                <w:color w:val="000000"/>
              </w:rPr>
            </w:pPr>
            <w:r w:rsidDel="00000000" w:rsidR="00000000" w:rsidRPr="00000000">
              <w:rPr>
                <w:b w:val="1"/>
                <w:color w:val="000000"/>
                <w:rtl w:val="0"/>
              </w:rPr>
              <w:t xml:space="preserve">MINISTÉRIO DA EDUCAÇÃO UNIVERSIDADE FEDERAL FLUMINENSE PRO REITORIA DE ADMINISTRAÇÃO</w:t>
            </w:r>
          </w:p>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7">
            <w:pPr>
              <w:pBdr>
                <w:top w:color="000000" w:space="0" w:sz="0" w:val="none"/>
                <w:left w:color="000000" w:space="0" w:sz="0" w:val="none"/>
                <w:bottom w:color="000000" w:space="0" w:sz="0" w:val="none"/>
                <w:right w:color="000000" w:space="0" w:sz="0" w:val="none"/>
                <w:between w:color="000000" w:space="0" w:sz="0" w:val="none"/>
              </w:pBdr>
              <w:spacing w:before="175" w:line="482" w:lineRule="auto"/>
              <w:ind w:left="2681" w:right="2565" w:firstLine="0"/>
              <w:jc w:val="center"/>
              <w:rPr>
                <w:rFonts w:ascii="Arial" w:cs="Arial" w:eastAsia="Arial" w:hAnsi="Arial"/>
                <w:b w:val="1"/>
                <w:color w:val="ff0000"/>
                <w:sz w:val="18"/>
                <w:szCs w:val="18"/>
              </w:rPr>
            </w:pPr>
            <w:bookmarkStart w:colFirst="0" w:colLast="0" w:name="_heading=h.gjdgxs" w:id="0"/>
            <w:bookmarkEnd w:id="0"/>
            <w:r w:rsidDel="00000000" w:rsidR="00000000" w:rsidRPr="00000000">
              <w:rPr>
                <w:rFonts w:ascii="Arial" w:cs="Arial" w:eastAsia="Arial" w:hAnsi="Arial"/>
                <w:b w:val="1"/>
                <w:color w:val="ff0000"/>
                <w:sz w:val="18"/>
                <w:szCs w:val="18"/>
                <w:rtl w:val="0"/>
              </w:rPr>
              <w:t xml:space="preserve">ANEXO VI DO EDITAL DO PE N.º 90.015/2025/AD </w:t>
            </w:r>
          </w:p>
          <w:p w:rsidR="00000000" w:rsidDel="00000000" w:rsidP="00000000" w:rsidRDefault="00000000" w:rsidRPr="00000000" w14:paraId="00000008">
            <w:pPr>
              <w:pBdr>
                <w:top w:color="000000" w:space="0" w:sz="0" w:val="none"/>
                <w:left w:color="000000" w:space="0" w:sz="0" w:val="none"/>
                <w:bottom w:color="000000" w:space="0" w:sz="0" w:val="none"/>
                <w:right w:color="000000" w:space="0" w:sz="0" w:val="none"/>
                <w:between w:color="000000" w:space="0" w:sz="0" w:val="none"/>
              </w:pBdr>
              <w:spacing w:before="175" w:line="482" w:lineRule="auto"/>
              <w:ind w:left="2681" w:right="2565" w:firstLine="0"/>
              <w:jc w:val="center"/>
              <w:rPr>
                <w:rFonts w:ascii="Arial" w:cs="Arial" w:eastAsia="Arial" w:hAnsi="Arial"/>
                <w:b w:val="1"/>
                <w:color w:val="000000"/>
                <w:sz w:val="18"/>
                <w:szCs w:val="18"/>
              </w:rPr>
            </w:pPr>
            <w:r w:rsidDel="00000000" w:rsidR="00000000" w:rsidRPr="00000000">
              <w:rPr>
                <w:rFonts w:ascii="Arial" w:cs="Arial" w:eastAsia="Arial" w:hAnsi="Arial"/>
                <w:b w:val="1"/>
                <w:color w:val="000000"/>
                <w:sz w:val="18"/>
                <w:szCs w:val="18"/>
                <w:rtl w:val="0"/>
              </w:rPr>
              <w:t xml:space="preserve">MINUTA ATA DE REGISTRO DE PREÇOS</w:t>
            </w:r>
          </w:p>
          <w:p w:rsidR="00000000" w:rsidDel="00000000" w:rsidP="00000000" w:rsidRDefault="00000000" w:rsidRPr="00000000" w14:paraId="00000009">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21"/>
                <w:szCs w:val="21"/>
              </w:rPr>
            </w:pPr>
            <w:r w:rsidDel="00000000" w:rsidR="00000000" w:rsidRPr="00000000">
              <w:rPr>
                <w:rtl w:val="0"/>
              </w:rPr>
            </w:r>
          </w:p>
          <w:p w:rsidR="00000000" w:rsidDel="00000000" w:rsidP="00000000" w:rsidRDefault="00000000" w:rsidRPr="00000000" w14:paraId="0000000A">
            <w:pPr>
              <w:pBdr>
                <w:top w:color="000000" w:space="0" w:sz="0" w:val="none"/>
                <w:left w:color="000000" w:space="0" w:sz="0" w:val="none"/>
                <w:bottom w:color="000000" w:space="0" w:sz="0" w:val="none"/>
                <w:right w:color="000000" w:space="0" w:sz="0" w:val="none"/>
                <w:between w:color="000000" w:space="0" w:sz="0" w:val="none"/>
              </w:pBdr>
              <w:spacing w:line="22" w:lineRule="auto"/>
              <w:ind w:left="1254"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5323205" cy="13335"/>
                      <wp:effectExtent b="0" l="0" r="0" t="0"/>
                      <wp:docPr id="2115606160"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325"/>
                                  <a:chExt cx="5323250" cy="13350"/>
                                </a:xfrm>
                              </wpg:grpSpPr>
                              <wps:wsp>
                                <wps:cNvSpPr/>
                                <wps:cNvPr id="3" name="Shape 3"/>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13" name="Shape 13"/>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100"/>
                                      <a:chExt cx="5323250" cy="13175"/>
                                    </a:xfrm>
                                  </wpg:grpSpPr>
                                  <wps:wsp>
                                    <wps:cNvSpPr/>
                                    <wps:cNvPr id="15" name="Shape 15"/>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17" name="Shape 17"/>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8" name="Shape 18"/>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5323205" cy="13335"/>
                      <wp:effectExtent b="0" l="0" r="0" t="0"/>
                      <wp:docPr id="2115606160"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C">
            <w:pPr>
              <w:pBdr>
                <w:top w:color="000000" w:space="0" w:sz="0" w:val="none"/>
                <w:left w:color="000000" w:space="0" w:sz="0" w:val="none"/>
                <w:bottom w:color="000000" w:space="0" w:sz="0" w:val="none"/>
                <w:right w:color="000000" w:space="0" w:sz="0" w:val="none"/>
                <w:between w:color="000000" w:space="0" w:sz="0" w:val="none"/>
              </w:pBd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nº 90.015/2025, processo administrativo n.º 23069.190214/2024-55, RESOLVE registrar os preços da(s)  empresa(s) indicada(s) e qualificada(s) nesta ATA, de acordo com a classificação por ela(s) alcançada(s) e na(s)  quantidade(s)  cotada(s), atendendo as condições previstas no Edital de licitação ou Aviso da Contratação Direta,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pBdr>
                <w:top w:color="000000" w:space="0" w:sz="0" w:val="none"/>
                <w:left w:color="000000" w:space="0" w:sz="0" w:val="none"/>
                <w:bottom w:color="000000" w:space="0" w:sz="0" w:val="none"/>
                <w:right w:color="000000" w:space="0" w:sz="0" w:val="none"/>
                <w:between w:color="000000" w:space="0" w:sz="0" w:val="none"/>
              </w:pBd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F">
            <w:pPr>
              <w:pBdr>
                <w:top w:color="000000" w:space="0" w:sz="0" w:val="none"/>
                <w:left w:color="000000" w:space="0" w:sz="0" w:val="none"/>
                <w:bottom w:color="000000" w:space="0" w:sz="0" w:val="none"/>
                <w:right w:color="000000" w:space="0" w:sz="0" w:val="none"/>
                <w:between w:color="000000" w:space="0" w:sz="0" w:val="none"/>
              </w:pBdr>
              <w:tabs>
                <w:tab w:val="left" w:leader="none" w:pos="1318"/>
              </w:tabs>
              <w:ind w:left="610" w:firstLine="0"/>
              <w:rPr>
                <w:b w:val="1"/>
                <w:color w:val="000000"/>
              </w:rPr>
            </w:pPr>
            <w:r w:rsidDel="00000000" w:rsidR="00000000" w:rsidRPr="00000000">
              <w:rPr>
                <w:b w:val="1"/>
                <w:color w:val="000000"/>
                <w:rtl w:val="0"/>
              </w:rPr>
              <w:t xml:space="preserve">1.</w:t>
              <w:tab/>
              <w:t xml:space="preserve">DO OBJETO</w:t>
            </w:r>
          </w:p>
          <w:p w:rsidR="00000000" w:rsidDel="00000000" w:rsidP="00000000" w:rsidRDefault="00000000" w:rsidRPr="00000000" w14:paraId="00000010">
            <w:pPr>
              <w:numPr>
                <w:ilvl w:val="1"/>
                <w:numId w:val="1"/>
              </w:numPr>
              <w:pBdr>
                <w:top w:color="000000" w:space="0" w:sz="0" w:val="none"/>
                <w:left w:color="000000" w:space="0" w:sz="0" w:val="none"/>
                <w:bottom w:color="000000" w:space="0" w:sz="0" w:val="none"/>
                <w:right w:color="000000" w:space="0" w:sz="0" w:val="none"/>
                <w:between w:color="000000" w:space="0" w:sz="0" w:val="none"/>
              </w:pBdr>
              <w:tabs>
                <w:tab w:val="left" w:leader="none" w:pos="1314"/>
              </w:tabs>
              <w:spacing w:before="72" w:lineRule="auto"/>
              <w:ind w:left="1313" w:right="489" w:hanging="846"/>
              <w:jc w:val="both"/>
              <w:rPr/>
            </w:pPr>
            <w:r w:rsidDel="00000000" w:rsidR="00000000" w:rsidRPr="00000000">
              <w:rPr>
                <w:color w:val="000000"/>
                <w:rtl w:val="0"/>
              </w:rPr>
              <w:t xml:space="preserve">A presente Ata tem por objeto o registro de preços para a eventual aquisição de </w:t>
            </w:r>
            <w:r w:rsidDel="00000000" w:rsidR="00000000" w:rsidRPr="00000000">
              <w:rPr>
                <w:rtl w:val="0"/>
              </w:rPr>
              <w:t xml:space="preserve">materiais e equipamentos de áudio e vídeo</w:t>
            </w:r>
            <w:r w:rsidDel="00000000" w:rsidR="00000000" w:rsidRPr="00000000">
              <w:rPr>
                <w:b w:val="1"/>
                <w:rtl w:val="0"/>
              </w:rPr>
              <w:t xml:space="preserve">, </w:t>
            </w:r>
            <w:r w:rsidDel="00000000" w:rsidR="00000000" w:rsidRPr="00000000">
              <w:rPr>
                <w:rtl w:val="0"/>
              </w:rPr>
              <w:t xml:space="preserve">especificado(s) no(s) item(ns) do Termo de Referência e Planilha de Itens, Anexos I e III do edital de Pregão nº  90.015/2025, que é parte integrante desta Ata, assim como </w:t>
            </w:r>
            <w:r w:rsidDel="00000000" w:rsidR="00000000" w:rsidRPr="00000000">
              <w:rPr>
                <w:color w:val="000000"/>
                <w:rtl w:val="0"/>
              </w:rPr>
              <w:t xml:space="preserve">a proposta vencedora, independentemente de transcrição.</w:t>
            </w:r>
            <w:r w:rsidDel="00000000" w:rsidR="00000000" w:rsidRPr="00000000">
              <w:rPr>
                <w:rtl w:val="0"/>
              </w:rPr>
            </w:r>
          </w:p>
          <w:p w:rsidR="00000000" w:rsidDel="00000000" w:rsidP="00000000" w:rsidRDefault="00000000" w:rsidRPr="00000000" w14:paraId="00000011">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12">
            <w:pPr>
              <w:numPr>
                <w:ilvl w:val="2"/>
                <w:numId w:val="1"/>
              </w:numPr>
              <w:pBdr>
                <w:top w:color="000000" w:space="0" w:sz="0" w:val="none"/>
                <w:left w:color="000000" w:space="0" w:sz="0" w:val="none"/>
                <w:bottom w:color="000000" w:space="0" w:sz="0" w:val="none"/>
                <w:right w:color="000000" w:space="0" w:sz="0" w:val="none"/>
                <w:between w:color="000000" w:space="0" w:sz="0" w:val="none"/>
              </w:pBdr>
              <w:tabs>
                <w:tab w:val="left" w:leader="none" w:pos="1462"/>
                <w:tab w:val="left" w:leader="none" w:pos="1463"/>
              </w:tabs>
              <w:ind w:left="1462" w:hanging="846"/>
              <w:rPr>
                <w:b w:val="1"/>
                <w:color w:val="000000"/>
              </w:rPr>
            </w:pPr>
            <w:r w:rsidDel="00000000" w:rsidR="00000000" w:rsidRPr="00000000">
              <w:rPr>
                <w:b w:val="1"/>
                <w:color w:val="000000"/>
                <w:rtl w:val="0"/>
              </w:rPr>
              <w:t xml:space="preserve">DOS PREÇOS, ESPECIFICAÇÕES E QUANTITATIVOS</w:t>
            </w:r>
          </w:p>
          <w:p w:rsidR="00000000" w:rsidDel="00000000" w:rsidP="00000000" w:rsidRDefault="00000000" w:rsidRPr="00000000" w14:paraId="00000013">
            <w:pPr>
              <w:numPr>
                <w:ilvl w:val="3"/>
                <w:numId w:val="1"/>
              </w:numPr>
              <w:pBdr>
                <w:top w:color="000000" w:space="0" w:sz="0" w:val="none"/>
                <w:left w:color="000000" w:space="0" w:sz="0" w:val="none"/>
                <w:bottom w:color="000000" w:space="0" w:sz="0" w:val="none"/>
                <w:right w:color="000000" w:space="0" w:sz="0" w:val="none"/>
                <w:between w:color="000000" w:space="0" w:sz="0" w:val="none"/>
              </w:pBdr>
              <w:tabs>
                <w:tab w:val="left" w:leader="none" w:pos="1462"/>
                <w:tab w:val="left" w:leader="none" w:pos="1463"/>
              </w:tabs>
              <w:spacing w:before="73" w:lineRule="auto"/>
              <w:ind w:left="1462" w:right="488" w:hanging="846"/>
              <w:rPr/>
            </w:pPr>
            <w:r w:rsidDel="00000000" w:rsidR="00000000" w:rsidRPr="00000000">
              <w:rPr>
                <w:color w:val="000000"/>
                <w:rtl w:val="0"/>
              </w:rPr>
              <w:t xml:space="preserve">O preço registrado, as especificações do objeto, a quantidade, fornecedor(es) e as demais condições ofertadas na(s) proposta(s) são as que seguem:</w:t>
            </w:r>
            <w:r w:rsidDel="00000000" w:rsidR="00000000" w:rsidRPr="00000000">
              <w:rPr>
                <w:rtl w:val="0"/>
              </w:rPr>
            </w:r>
          </w:p>
          <w:p w:rsidR="00000000" w:rsidDel="00000000" w:rsidP="00000000" w:rsidRDefault="00000000" w:rsidRPr="00000000" w14:paraId="00000014">
            <w:pPr>
              <w:pBdr>
                <w:top w:color="000000" w:space="0" w:sz="0" w:val="none"/>
                <w:left w:color="000000" w:space="0" w:sz="0" w:val="none"/>
                <w:bottom w:color="000000" w:space="0" w:sz="0" w:val="none"/>
                <w:right w:color="000000" w:space="0" w:sz="0" w:val="none"/>
                <w:between w:color="000000" w:space="0" w:sz="0" w:val="none"/>
              </w:pBdr>
              <w:spacing w:before="173" w:lineRule="auto"/>
              <w:ind w:left="4309" w:firstLine="0"/>
              <w:rPr>
                <w:b w:val="1"/>
                <w:color w:val="000000"/>
              </w:rPr>
            </w:pPr>
            <w:r w:rsidDel="00000000" w:rsidR="00000000" w:rsidRPr="00000000">
              <w:rPr>
                <w:b w:val="1"/>
                <w:color w:val="000000"/>
                <w:rtl w:val="0"/>
              </w:rPr>
              <w:t xml:space="preserve">Identificação da Empresa</w:t>
            </w:r>
          </w:p>
          <w:p w:rsidR="00000000" w:rsidDel="00000000" w:rsidP="00000000" w:rsidRDefault="00000000" w:rsidRPr="00000000" w14:paraId="00000015">
            <w:pPr>
              <w:pBdr>
                <w:top w:color="000000" w:space="0" w:sz="0" w:val="none"/>
                <w:left w:color="000000" w:space="0" w:sz="0" w:val="none"/>
                <w:bottom w:color="000000" w:space="0" w:sz="0" w:val="none"/>
                <w:right w:color="000000" w:space="0" w:sz="0" w:val="none"/>
                <w:between w:color="000000" w:space="0" w:sz="0" w:val="none"/>
              </w:pBdr>
              <w:tabs>
                <w:tab w:val="left" w:leader="none" w:pos="5259"/>
                <w:tab w:val="left" w:leader="none" w:pos="8494"/>
              </w:tabs>
              <w:spacing w:before="118" w:line="348" w:lineRule="auto"/>
              <w:ind w:left="610" w:right="2303" w:firstLine="0"/>
              <w:rPr>
                <w:color w:val="000000"/>
                <w:u w:val="single"/>
              </w:rPr>
            </w:pPr>
            <w:r w:rsidDel="00000000" w:rsidR="00000000" w:rsidRPr="00000000">
              <w:rPr>
                <w:color w:val="000000"/>
                <w:rtl w:val="0"/>
              </w:rPr>
              <w:t xml:space="preserve">Razão Social:</w:t>
            </w:r>
            <w:r w:rsidDel="00000000" w:rsidR="00000000" w:rsidRPr="00000000">
              <w:rPr>
                <w:color w:val="000000"/>
                <w:u w:val="single"/>
                <w:rtl w:val="0"/>
              </w:rPr>
              <w:t xml:space="preserve"> </w:t>
              <w:tab/>
              <w:tab/>
            </w:r>
            <w:r w:rsidDel="00000000" w:rsidR="00000000" w:rsidRPr="00000000">
              <w:rPr>
                <w:color w:val="000000"/>
                <w:rtl w:val="0"/>
              </w:rPr>
              <w:t xml:space="preserve"> CNPJ: </w:t>
            </w:r>
            <w:r w:rsidDel="00000000" w:rsidR="00000000" w:rsidRPr="00000000">
              <w:rPr>
                <w:color w:val="000000"/>
                <w:u w:val="single"/>
                <w:rtl w:val="0"/>
              </w:rPr>
              <w:t xml:space="preserve"> </w:t>
              <w:tab/>
            </w:r>
          </w:p>
          <w:p w:rsidR="00000000" w:rsidDel="00000000" w:rsidP="00000000" w:rsidRDefault="00000000" w:rsidRPr="00000000" w14:paraId="00000016">
            <w:pPr>
              <w:pBdr>
                <w:top w:color="000000" w:space="0" w:sz="0" w:val="none"/>
                <w:left w:color="000000" w:space="0" w:sz="0" w:val="none"/>
                <w:bottom w:color="000000" w:space="0" w:sz="0" w:val="none"/>
                <w:right w:color="000000" w:space="0" w:sz="0" w:val="none"/>
                <w:between w:color="000000" w:space="0" w:sz="0" w:val="none"/>
              </w:pBdr>
              <w:tabs>
                <w:tab w:val="left" w:leader="none" w:pos="5259"/>
                <w:tab w:val="left" w:leader="none" w:pos="8494"/>
              </w:tabs>
              <w:spacing w:before="118" w:line="348" w:lineRule="auto"/>
              <w:ind w:left="610" w:right="2303" w:firstLine="0"/>
              <w:rPr>
                <w:color w:val="000000"/>
              </w:rPr>
            </w:pPr>
            <w:r w:rsidDel="00000000" w:rsidR="00000000" w:rsidRPr="00000000">
              <w:rPr>
                <w:rtl w:val="0"/>
              </w:rPr>
            </w:r>
          </w:p>
        </w:tc>
      </w:tr>
      <w:tr>
        <w:trPr>
          <w:cantSplit w:val="0"/>
          <w:trHeight w:val="901" w:hRule="atLeast"/>
          <w:tblHeader w:val="0"/>
        </w:trPr>
        <w:tc>
          <w:tcPr>
            <w:tcBorders>
              <w:top w:color="000000" w:space="0" w:sz="4" w:val="single"/>
              <w:left w:color="5f5f5f" w:space="0" w:sz="3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1E">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1F">
            <w:pPr>
              <w:pBdr>
                <w:top w:color="000000" w:space="0" w:sz="0" w:val="none"/>
                <w:left w:color="000000" w:space="0" w:sz="0" w:val="none"/>
                <w:bottom w:color="000000" w:space="0" w:sz="0" w:val="none"/>
                <w:right w:color="000000" w:space="0" w:sz="0" w:val="none"/>
                <w:between w:color="000000" w:space="0" w:sz="0" w:val="none"/>
              </w:pBdr>
              <w:ind w:left="56" w:right="5" w:firstLine="0"/>
              <w:jc w:val="center"/>
              <w:rPr>
                <w:b w:val="1"/>
                <w:color w:val="000000"/>
              </w:rPr>
            </w:pPr>
            <w:r w:rsidDel="00000000" w:rsidR="00000000" w:rsidRPr="00000000">
              <w:rPr>
                <w:b w:val="1"/>
                <w:color w:val="000000"/>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0">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1">
            <w:pPr>
              <w:pBdr>
                <w:top w:color="000000" w:space="0" w:sz="0" w:val="none"/>
                <w:left w:color="000000" w:space="0" w:sz="0" w:val="none"/>
                <w:bottom w:color="000000" w:space="0" w:sz="0" w:val="none"/>
                <w:right w:color="000000" w:space="0" w:sz="0" w:val="none"/>
                <w:between w:color="000000" w:space="0" w:sz="0" w:val="none"/>
              </w:pBdr>
              <w:ind w:left="102" w:firstLine="0"/>
              <w:rPr>
                <w:b w:val="1"/>
                <w:color w:val="000000"/>
              </w:rPr>
            </w:pPr>
            <w:r w:rsidDel="00000000" w:rsidR="00000000" w:rsidRPr="00000000">
              <w:rPr>
                <w:b w:val="1"/>
                <w:color w:val="000000"/>
                <w:rtl w:val="0"/>
              </w:rPr>
              <w:t xml:space="preserve">CATMAT</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2">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3">
            <w:pPr>
              <w:pBdr>
                <w:top w:color="000000" w:space="0" w:sz="0" w:val="none"/>
                <w:left w:color="000000" w:space="0" w:sz="0" w:val="none"/>
                <w:bottom w:color="000000" w:space="0" w:sz="0" w:val="none"/>
                <w:right w:color="000000" w:space="0" w:sz="0" w:val="none"/>
                <w:between w:color="000000" w:space="0" w:sz="0" w:val="none"/>
              </w:pBdr>
              <w:ind w:left="116" w:firstLine="0"/>
              <w:rPr>
                <w:b w:val="1"/>
                <w:color w:val="000000"/>
              </w:rPr>
            </w:pPr>
            <w:r w:rsidDel="00000000" w:rsidR="00000000" w:rsidRPr="00000000">
              <w:rPr>
                <w:b w:val="1"/>
                <w:color w:val="000000"/>
                <w:rtl w:val="0"/>
              </w:rPr>
              <w:t xml:space="preserve">DESCRIÇÃO COMPLEMENTAR</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4">
            <w:pPr>
              <w:pBdr>
                <w:top w:color="000000" w:space="0" w:sz="0" w:val="none"/>
                <w:left w:color="000000" w:space="0" w:sz="0" w:val="none"/>
                <w:bottom w:color="000000" w:space="0" w:sz="0" w:val="none"/>
                <w:right w:color="000000" w:space="0" w:sz="0" w:val="none"/>
                <w:between w:color="000000" w:space="0" w:sz="0" w:val="none"/>
              </w:pBdr>
              <w:spacing w:before="181" w:lineRule="auto"/>
              <w:ind w:left="101" w:right="11" w:firstLine="166"/>
              <w:rPr>
                <w:b w:val="1"/>
                <w:color w:val="000000"/>
              </w:rPr>
            </w:pPr>
            <w:r w:rsidDel="00000000" w:rsidR="00000000" w:rsidRPr="00000000">
              <w:rPr>
                <w:b w:val="1"/>
                <w:color w:val="000000"/>
                <w:rtl w:val="0"/>
              </w:rPr>
              <w:t xml:space="preserve">UND MEDIDA</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5">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6">
            <w:pPr>
              <w:pBdr>
                <w:top w:color="000000" w:space="0" w:sz="0" w:val="none"/>
                <w:left w:color="000000" w:space="0" w:sz="0" w:val="none"/>
                <w:bottom w:color="000000" w:space="0" w:sz="0" w:val="none"/>
                <w:right w:color="000000" w:space="0" w:sz="0" w:val="none"/>
                <w:between w:color="000000" w:space="0" w:sz="0" w:val="none"/>
              </w:pBdr>
              <w:ind w:left="99" w:firstLine="0"/>
              <w:rPr>
                <w:b w:val="1"/>
                <w:color w:val="000000"/>
              </w:rPr>
            </w:pPr>
            <w:r w:rsidDel="00000000" w:rsidR="00000000" w:rsidRPr="00000000">
              <w:rPr>
                <w:b w:val="1"/>
                <w:color w:val="000000"/>
                <w:rtl w:val="0"/>
              </w:rPr>
              <w:t xml:space="preserve">QTDA</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7">
            <w:pPr>
              <w:pBdr>
                <w:top w:color="000000" w:space="0" w:sz="0" w:val="none"/>
                <w:left w:color="000000" w:space="0" w:sz="0" w:val="none"/>
                <w:bottom w:color="000000" w:space="0" w:sz="0" w:val="none"/>
                <w:right w:color="000000" w:space="0" w:sz="0" w:val="none"/>
                <w:between w:color="000000" w:space="0" w:sz="0" w:val="none"/>
              </w:pBdr>
              <w:spacing w:before="181" w:lineRule="auto"/>
              <w:ind w:left="1158" w:right="14" w:firstLine="142.00000000000003"/>
              <w:rPr>
                <w:b w:val="1"/>
                <w:color w:val="000000"/>
              </w:rPr>
            </w:pPr>
            <w:r w:rsidDel="00000000" w:rsidR="00000000" w:rsidRPr="00000000">
              <w:rPr>
                <w:b w:val="1"/>
                <w:color w:val="000000"/>
                <w:rtl w:val="0"/>
              </w:rPr>
              <w:t xml:space="preserve">VALOR UNITÁRIO</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8">
            <w:pPr>
              <w:pBdr>
                <w:top w:color="000000" w:space="0" w:sz="0" w:val="none"/>
                <w:left w:color="000000" w:space="0" w:sz="0" w:val="none"/>
                <w:bottom w:color="000000" w:space="0" w:sz="0" w:val="none"/>
                <w:right w:color="000000" w:space="0" w:sz="0" w:val="none"/>
                <w:between w:color="000000" w:space="0" w:sz="0" w:val="none"/>
              </w:pBdr>
              <w:spacing w:before="181" w:lineRule="auto"/>
              <w:ind w:left="209" w:right="113" w:hanging="20"/>
              <w:rPr>
                <w:b w:val="1"/>
                <w:color w:val="000000"/>
              </w:rPr>
            </w:pPr>
            <w:r w:rsidDel="00000000" w:rsidR="00000000" w:rsidRPr="00000000">
              <w:rPr>
                <w:b w:val="1"/>
                <w:color w:val="000000"/>
                <w:rtl w:val="0"/>
              </w:rPr>
              <w:t xml:space="preserve">VALOR TOTAL</w:t>
            </w:r>
          </w:p>
        </w:tc>
        <w:tc>
          <w:tcPr>
            <w:tcBorders>
              <w:top w:color="000000" w:space="0" w:sz="4" w:val="single"/>
              <w:left w:color="000000" w:space="0" w:sz="4" w:val="single"/>
              <w:bottom w:color="000000" w:space="0" w:sz="4" w:val="single"/>
              <w:right w:color="5f5f5f" w:space="0" w:sz="34" w:val="single"/>
            </w:tcBorders>
            <w:shd w:fill="d9e0f1" w:val="clear"/>
            <w:tcMar>
              <w:top w:w="0.0" w:type="dxa"/>
              <w:left w:w="0.0" w:type="dxa"/>
              <w:bottom w:w="0.0" w:type="dxa"/>
              <w:right w:w="0.0" w:type="dxa"/>
            </w:tcMar>
          </w:tcPr>
          <w:p w:rsidR="00000000" w:rsidDel="00000000" w:rsidP="00000000" w:rsidRDefault="00000000" w:rsidRPr="00000000" w14:paraId="00000029">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A">
            <w:pPr>
              <w:pBdr>
                <w:top w:color="000000" w:space="0" w:sz="0" w:val="none"/>
                <w:left w:color="000000" w:space="0" w:sz="0" w:val="none"/>
                <w:bottom w:color="000000" w:space="0" w:sz="0" w:val="none"/>
                <w:right w:color="000000" w:space="0" w:sz="0" w:val="none"/>
                <w:between w:color="000000" w:space="0" w:sz="0" w:val="none"/>
              </w:pBdr>
              <w:ind w:left="560" w:firstLine="0"/>
              <w:rPr>
                <w:b w:val="1"/>
                <w:color w:val="000000"/>
              </w:rPr>
            </w:pPr>
            <w:r w:rsidDel="00000000" w:rsidR="00000000" w:rsidRPr="00000000">
              <w:rPr>
                <w:b w:val="1"/>
                <w:color w:val="000000"/>
                <w:rtl w:val="0"/>
              </w:rPr>
              <w:t xml:space="preserve">MARCA</w:t>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B">
            <w:pPr>
              <w:pBdr>
                <w:top w:color="000000" w:space="0" w:sz="0" w:val="none"/>
                <w:left w:color="000000" w:space="0" w:sz="0" w:val="none"/>
                <w:bottom w:color="000000" w:space="0" w:sz="0" w:val="none"/>
                <w:right w:color="000000" w:space="0" w:sz="0" w:val="none"/>
                <w:between w:color="000000" w:space="0" w:sz="0" w:val="none"/>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C">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D">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E">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F">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0">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1">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32">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3">
            <w:pPr>
              <w:pBdr>
                <w:top w:color="000000" w:space="0" w:sz="0" w:val="none"/>
                <w:left w:color="000000" w:space="0" w:sz="0" w:val="none"/>
                <w:bottom w:color="000000" w:space="0" w:sz="0" w:val="none"/>
                <w:right w:color="000000" w:space="0" w:sz="0" w:val="none"/>
                <w:between w:color="000000" w:space="0" w:sz="0" w:val="none"/>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4">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5">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6">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7">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8">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9">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3A">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1294" w:hRule="atLeast"/>
          <w:tblHeader w:val="0"/>
        </w:trPr>
        <w:tc>
          <w:tcPr>
            <w:gridSpan w:val="8"/>
            <w:tcBorders>
              <w:top w:color="000000" w:space="0" w:sz="4" w:val="single"/>
              <w:left w:color="5f5f5f" w:space="0" w:sz="34" w:val="single"/>
              <w:bottom w:color="5f5f5f" w:space="0" w:sz="34" w:val="single"/>
              <w:right w:color="5f5f5f" w:space="0" w:sz="34" w:val="single"/>
            </w:tcBorders>
            <w:tcMar>
              <w:top w:w="0.0" w:type="dxa"/>
              <w:left w:w="0.0" w:type="dxa"/>
              <w:bottom w:w="0.0" w:type="dxa"/>
              <w:right w:w="0.0" w:type="dxa"/>
            </w:tcMar>
          </w:tcPr>
          <w:p w:rsidR="00000000" w:rsidDel="00000000" w:rsidP="00000000" w:rsidRDefault="00000000" w:rsidRPr="00000000" w14:paraId="0000003B">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C">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D">
            <w:pPr>
              <w:pBdr>
                <w:top w:color="000000" w:space="0" w:sz="0" w:val="none"/>
                <w:left w:color="000000" w:space="0" w:sz="0" w:val="none"/>
                <w:bottom w:color="000000" w:space="0" w:sz="0" w:val="none"/>
                <w:right w:color="000000" w:space="0" w:sz="0" w:val="none"/>
                <w:between w:color="000000" w:space="0" w:sz="0" w:val="none"/>
              </w:pBdr>
              <w:spacing w:before="9"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3E">
            <w:pPr>
              <w:pBdr>
                <w:top w:color="000000" w:space="0" w:sz="0" w:val="none"/>
                <w:left w:color="000000" w:space="0" w:sz="0" w:val="none"/>
                <w:bottom w:color="000000" w:space="0" w:sz="0" w:val="none"/>
                <w:right w:color="000000" w:space="0" w:sz="0" w:val="none"/>
                <w:between w:color="000000" w:space="0" w:sz="0" w:val="none"/>
              </w:pBdr>
              <w:spacing w:line="20" w:lineRule="auto"/>
              <w:ind w:left="606"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4312920" cy="5080"/>
                      <wp:effectExtent b="0" l="0" r="0" t="0"/>
                      <wp:docPr id="2115606159"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950" cy="9550"/>
                                </a:xfrm>
                              </wpg:grpSpPr>
                              <wps:wsp>
                                <wps:cNvSpPr/>
                                <wps:cNvPr id="3" name="Shape 3"/>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5" name="Shape 5"/>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300" cy="9550"/>
                                    </a:xfrm>
                                  </wpg:grpSpPr>
                                  <wps:wsp>
                                    <wps:cNvSpPr/>
                                    <wps:cNvPr id="7" name="Shape 7"/>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9" name="Shape 9"/>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4312920" cy="5080"/>
                      <wp:effectExtent b="0" l="0" r="0" t="0"/>
                      <wp:docPr id="2115606159"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F">
            <w:pPr>
              <w:pBdr>
                <w:top w:color="000000" w:space="0" w:sz="0" w:val="none"/>
                <w:left w:color="000000" w:space="0" w:sz="0" w:val="none"/>
                <w:bottom w:color="000000" w:space="0" w:sz="0" w:val="none"/>
                <w:right w:color="000000" w:space="0" w:sz="0" w:val="none"/>
                <w:between w:color="000000" w:space="0" w:sz="0" w:val="none"/>
              </w:pBdr>
              <w:tabs>
                <w:tab w:val="left" w:leader="none" w:pos="9024"/>
              </w:tabs>
              <w:ind w:left="1203" w:firstLine="0"/>
              <w:rPr>
                <w:rFonts w:ascii="Verdana" w:cs="Verdana" w:eastAsia="Verdana" w:hAnsi="Verdana"/>
                <w:color w:val="000000"/>
                <w:sz w:val="16"/>
                <w:szCs w:val="16"/>
              </w:rPr>
            </w:pPr>
            <w:r w:rsidDel="00000000" w:rsidR="00000000" w:rsidRPr="00000000">
              <w:rPr>
                <w:rFonts w:ascii="Arial" w:cs="Arial" w:eastAsia="Arial" w:hAnsi="Arial"/>
                <w:color w:val="000000"/>
                <w:sz w:val="12"/>
                <w:szCs w:val="12"/>
                <w:rtl w:val="0"/>
              </w:rPr>
              <w:t xml:space="preserve">Anexo III – Minuta Ata Registro de Preços</w:t>
              <w:tab/>
            </w:r>
            <w:r w:rsidDel="00000000" w:rsidR="00000000" w:rsidRPr="00000000">
              <w:rPr>
                <w:rFonts w:ascii="Verdana" w:cs="Verdana" w:eastAsia="Verdana" w:hAnsi="Verdana"/>
                <w:color w:val="000000"/>
                <w:sz w:val="16"/>
                <w:szCs w:val="16"/>
                <w:rtl w:val="0"/>
              </w:rPr>
              <w:t xml:space="preserve">Pág. 1/8</w:t>
            </w:r>
          </w:p>
        </w:tc>
      </w:tr>
    </w:tbl>
    <w:p w:rsidR="00000000" w:rsidDel="00000000" w:rsidP="00000000" w:rsidRDefault="00000000" w:rsidRPr="00000000" w14:paraId="00000047">
      <w:pPr>
        <w:rPr>
          <w:sz w:val="2"/>
          <w:szCs w:val="2"/>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
          <w:szCs w:val="33"/>
          <w:vertAlign w:val="superscript"/>
        </w:rPr>
        <w:drawing>
          <wp:inline distB="0" distT="0" distL="0" distR="0">
            <wp:extent cx="927176" cy="196596"/>
            <wp:effectExtent b="0" l="0" r="0" t="0"/>
            <wp:docPr id="2115606165"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pBdr>
          <w:top w:color="000000" w:space="0" w:sz="0" w:val="none"/>
          <w:left w:color="000000" w:space="0" w:sz="0" w:val="none"/>
          <w:bottom w:color="000000" w:space="0" w:sz="0" w:val="none"/>
          <w:right w:color="000000" w:space="0" w:sz="0" w:val="none"/>
          <w:between w:color="000000" w:space="0" w:sz="0" w:val="none"/>
        </w:pBdr>
        <w:spacing w:before="8" w:lineRule="auto"/>
        <w:rPr>
          <w:rFonts w:ascii="Times New Roman" w:cs="Times New Roman" w:eastAsia="Times New Roman" w:hAnsi="Times New Roman"/>
          <w:color w:val="000000"/>
          <w:sz w:val="15"/>
          <w:szCs w:val="15"/>
        </w:rPr>
      </w:pPr>
      <w:r w:rsidDel="00000000" w:rsidR="00000000" w:rsidRPr="00000000">
        <w:rPr>
          <w:rtl w:val="0"/>
        </w:rPr>
      </w:r>
    </w:p>
    <w:p w:rsidR="00000000" w:rsidDel="00000000" w:rsidP="00000000" w:rsidRDefault="00000000" w:rsidRPr="00000000" w14:paraId="0000004A">
      <w:pPr>
        <w:pBdr>
          <w:top w:color="000000" w:space="0" w:sz="0" w:val="none"/>
          <w:left w:color="000000" w:space="0" w:sz="0" w:val="none"/>
          <w:bottom w:color="000000" w:space="0" w:sz="0" w:val="none"/>
          <w:right w:color="000000" w:space="0" w:sz="0" w:val="none"/>
          <w:between w:color="000000" w:space="0" w:sz="0" w:val="none"/>
        </w:pBdr>
        <w:spacing w:before="56" w:line="276" w:lineRule="auto"/>
        <w:ind w:left="752" w:right="737" w:firstLine="0"/>
        <w:jc w:val="both"/>
        <w:rPr>
          <w:color w:val="000000"/>
        </w:rPr>
      </w:pPr>
      <w:r w:rsidDel="00000000" w:rsidR="00000000" w:rsidRPr="00000000">
        <w:rPr>
          <w:color w:val="000000"/>
          <w:rtl w:val="0"/>
        </w:rPr>
        <w:t xml:space="preserve">2.2. A listagem do cadastro de reserva referente ao presente registro de preços consta como anexo a esta Ata.</w:t>
      </w:r>
    </w:p>
    <w:p w:rsidR="00000000" w:rsidDel="00000000" w:rsidP="00000000" w:rsidRDefault="00000000" w:rsidRPr="00000000" w14:paraId="0000004B">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4C">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187"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ÓRGÃO(S) GERENCIADOR E PARTICIPANTE(S)</w:t>
      </w:r>
    </w:p>
    <w:p w:rsidR="00000000" w:rsidDel="00000000" w:rsidP="00000000" w:rsidRDefault="00000000" w:rsidRPr="00000000" w14:paraId="0000004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hanging="710"/>
        <w:jc w:val="both"/>
        <w:rPr/>
      </w:pPr>
      <w:r w:rsidDel="00000000" w:rsidR="00000000" w:rsidRPr="00000000">
        <w:rPr>
          <w:color w:val="000000"/>
          <w:rtl w:val="0"/>
        </w:rPr>
        <w:t xml:space="preserve">O órgão gerenciador será a Pró-Reitoria de Administração.</w:t>
      </w:r>
      <w:r w:rsidDel="00000000" w:rsidR="00000000" w:rsidRPr="00000000">
        <w:rPr>
          <w:rtl w:val="0"/>
        </w:rPr>
      </w:r>
    </w:p>
    <w:p w:rsidR="00000000" w:rsidDel="00000000" w:rsidP="00000000" w:rsidRDefault="00000000" w:rsidRPr="00000000" w14:paraId="0000004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hanging="710"/>
        <w:jc w:val="both"/>
        <w:rPr/>
      </w:pPr>
      <w:r w:rsidDel="00000000" w:rsidR="00000000" w:rsidRPr="00000000">
        <w:rPr>
          <w:rtl w:val="0"/>
        </w:rPr>
        <w:t xml:space="preserve">Além do gerenciador, são órgãos e entidades públicas participantes do registro de preços:</w:t>
      </w:r>
    </w:p>
    <w:p w:rsidR="00000000" w:rsidDel="00000000" w:rsidP="00000000" w:rsidRDefault="00000000" w:rsidRPr="00000000" w14:paraId="0000004F">
      <w:pPr>
        <w:tabs>
          <w:tab w:val="left" w:leader="none" w:pos="1462"/>
        </w:tabs>
        <w:spacing w:before="73" w:lineRule="auto"/>
        <w:ind w:left="1461" w:firstLine="0"/>
        <w:jc w:val="both"/>
        <w:rPr/>
      </w:pPr>
      <w:r w:rsidDel="00000000" w:rsidR="00000000" w:rsidRPr="00000000">
        <w:rPr>
          <w:rtl w:val="0"/>
        </w:rPr>
      </w:r>
    </w:p>
    <w:tbl>
      <w:tblPr>
        <w:tblStyle w:val="Table2"/>
        <w:tblW w:w="7815.0" w:type="dxa"/>
        <w:jc w:val="left"/>
        <w:tblInd w:w="107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1860"/>
        <w:gridCol w:w="3930"/>
        <w:gridCol w:w="2025"/>
        <w:tblGridChange w:id="0">
          <w:tblGrid>
            <w:gridCol w:w="1860"/>
            <w:gridCol w:w="3930"/>
            <w:gridCol w:w="2025"/>
          </w:tblGrid>
        </w:tblGridChange>
      </w:tblGrid>
      <w:tr>
        <w:trPr>
          <w:cantSplit w:val="0"/>
          <w:trHeight w:val="269"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050">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UASG</w:t>
            </w:r>
          </w:p>
        </w:tc>
        <w:tc>
          <w:tcPr>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051">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Órgão Participante</w:t>
            </w:r>
          </w:p>
        </w:tc>
        <w:tc>
          <w:tcPr>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052">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Itens</w:t>
            </w:r>
          </w:p>
        </w:tc>
      </w:tr>
      <w:tr>
        <w:trPr>
          <w:cantSplit w:val="0"/>
          <w:trHeight w:val="79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053">
            <w:pPr>
              <w:spacing w:line="360" w:lineRule="auto"/>
              <w:ind w:right="-30"/>
              <w:jc w:val="center"/>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54">
            <w:pPr>
              <w:spacing w:line="360" w:lineRule="auto"/>
              <w:ind w:right="-30"/>
              <w:jc w:val="center"/>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55">
            <w:pPr>
              <w:spacing w:line="360" w:lineRule="auto"/>
              <w:ind w:right="-30"/>
              <w:jc w:val="center"/>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56">
            <w:pPr>
              <w:spacing w:line="360" w:lineRule="auto"/>
              <w:ind w:right="-30"/>
              <w:jc w:val="center"/>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57">
            <w:pPr>
              <w:spacing w:line="360" w:lineRule="auto"/>
              <w:ind w:right="-30"/>
              <w:jc w:val="center"/>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58">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153010</w:t>
            </w:r>
          </w:p>
          <w:p w:rsidR="00000000" w:rsidDel="00000000" w:rsidP="00000000" w:rsidRDefault="00000000" w:rsidRPr="00000000" w14:paraId="00000059">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05A">
            <w:pPr>
              <w:spacing w:line="360" w:lineRule="auto"/>
              <w:ind w:right="-30"/>
              <w:jc w:val="center"/>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5B">
            <w:pPr>
              <w:spacing w:line="360" w:lineRule="auto"/>
              <w:ind w:right="-30"/>
              <w:jc w:val="center"/>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5C">
            <w:pPr>
              <w:spacing w:line="360" w:lineRule="auto"/>
              <w:ind w:right="-30"/>
              <w:jc w:val="center"/>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5D">
            <w:pPr>
              <w:spacing w:line="360" w:lineRule="auto"/>
              <w:ind w:right="-30"/>
              <w:jc w:val="center"/>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5E">
            <w:pPr>
              <w:spacing w:line="360" w:lineRule="auto"/>
              <w:ind w:right="-30"/>
              <w:jc w:val="center"/>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5F">
            <w:pPr>
              <w:spacing w:line="360" w:lineRule="auto"/>
              <w:ind w:right="-30"/>
              <w:jc w:val="center"/>
              <w:rPr>
                <w:rFonts w:ascii="Arial" w:cs="Arial" w:eastAsia="Arial" w:hAnsi="Arial"/>
                <w:i w:val="1"/>
                <w:color w:val="ff0000"/>
                <w:sz w:val="18"/>
                <w:szCs w:val="18"/>
              </w:rPr>
            </w:pPr>
            <w:r w:rsidDel="00000000" w:rsidR="00000000" w:rsidRPr="00000000">
              <w:rPr>
                <w:rFonts w:ascii="Arial" w:cs="Arial" w:eastAsia="Arial" w:hAnsi="Arial"/>
                <w:i w:val="1"/>
                <w:color w:val="ff0000"/>
                <w:sz w:val="18"/>
                <w:szCs w:val="18"/>
                <w:rtl w:val="0"/>
              </w:rPr>
              <w:t xml:space="preserve">Centro Federal de Educação tecnológica Celso Suckow da Fonseca –</w:t>
            </w:r>
          </w:p>
          <w:p w:rsidR="00000000" w:rsidDel="00000000" w:rsidP="00000000" w:rsidRDefault="00000000" w:rsidRPr="00000000" w14:paraId="00000060">
            <w:pPr>
              <w:spacing w:line="360" w:lineRule="auto"/>
              <w:ind w:right="-30"/>
              <w:jc w:val="center"/>
              <w:rPr>
                <w:rFonts w:ascii="Arial" w:cs="Arial" w:eastAsia="Arial" w:hAnsi="Arial"/>
                <w:i w:val="1"/>
                <w:color w:val="ff0000"/>
                <w:sz w:val="18"/>
                <w:szCs w:val="18"/>
              </w:rPr>
            </w:pPr>
            <w:r w:rsidDel="00000000" w:rsidR="00000000" w:rsidRPr="00000000">
              <w:rPr>
                <w:rFonts w:ascii="Arial" w:cs="Arial" w:eastAsia="Arial" w:hAnsi="Arial"/>
                <w:i w:val="1"/>
                <w:color w:val="ff0000"/>
                <w:sz w:val="18"/>
                <w:szCs w:val="18"/>
                <w:rtl w:val="0"/>
              </w:rPr>
              <w:t xml:space="preserve">Cefet/RJ</w:t>
            </w:r>
          </w:p>
          <w:p w:rsidR="00000000" w:rsidDel="00000000" w:rsidP="00000000" w:rsidRDefault="00000000" w:rsidRPr="00000000" w14:paraId="00000061">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062">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1, 2, 3, 4, 5, 6, 7, 8, 9, 10,11, 12, 13, 14, 15, 16, 17, 18, 19, 20, 21, 22, 23, 24, 25, 26, 27, 28, 29, 30, 21, 32, 33, 34, 35, 36, 37, 38, 39, 40, 41, 42, 43, 44, 45, 46, 49, 50, 51, 52, 53, 56, 57, 58, 59, 60, 61, 62, 63, 64, 65, 66 e 67.        </w:t>
            </w:r>
          </w:p>
        </w:tc>
      </w:tr>
      <w:tr>
        <w:trPr>
          <w:cantSplit w:val="0"/>
          <w:trHeight w:val="79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063">
            <w:pPr>
              <w:spacing w:line="360" w:lineRule="auto"/>
              <w:ind w:right="-30"/>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64">
            <w:pPr>
              <w:spacing w:line="360" w:lineRule="auto"/>
              <w:ind w:right="-30"/>
              <w:jc w:val="center"/>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65">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762600</w:t>
            </w:r>
          </w:p>
        </w:tc>
        <w:tc>
          <w:tcPr>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066">
            <w:pPr>
              <w:spacing w:line="360" w:lineRule="auto"/>
              <w:ind w:right="-30"/>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67">
            <w:pPr>
              <w:spacing w:line="360" w:lineRule="auto"/>
              <w:ind w:right="-30"/>
              <w:jc w:val="center"/>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68">
            <w:pPr>
              <w:spacing w:line="360" w:lineRule="auto"/>
              <w:ind w:right="-30"/>
              <w:jc w:val="center"/>
              <w:rPr>
                <w:rFonts w:ascii="Arial" w:cs="Arial" w:eastAsia="Arial" w:hAnsi="Arial"/>
                <w:i w:val="1"/>
                <w:color w:val="ff0000"/>
                <w:sz w:val="18"/>
                <w:szCs w:val="18"/>
              </w:rPr>
            </w:pPr>
            <w:r w:rsidDel="00000000" w:rsidR="00000000" w:rsidRPr="00000000">
              <w:rPr>
                <w:rFonts w:ascii="Arial" w:cs="Arial" w:eastAsia="Arial" w:hAnsi="Arial"/>
                <w:i w:val="1"/>
                <w:color w:val="ff0000"/>
                <w:sz w:val="18"/>
                <w:szCs w:val="18"/>
                <w:rtl w:val="0"/>
              </w:rPr>
              <w:t xml:space="preserve">Centro de Instrução Almirante Alexandrino</w:t>
            </w:r>
          </w:p>
          <w:p w:rsidR="00000000" w:rsidDel="00000000" w:rsidP="00000000" w:rsidRDefault="00000000" w:rsidRPr="00000000" w14:paraId="00000069">
            <w:pPr>
              <w:spacing w:line="360" w:lineRule="auto"/>
              <w:ind w:right="-30"/>
              <w:jc w:val="center"/>
              <w:rPr>
                <w:rFonts w:ascii="Arial" w:cs="Arial" w:eastAsia="Arial" w:hAnsi="Arial"/>
                <w:i w:val="1"/>
                <w:color w:val="ff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0" w:type="dxa"/>
              <w:bottom w:w="0.0" w:type="dxa"/>
              <w:right w:w="10.0" w:type="dxa"/>
            </w:tcMar>
          </w:tcPr>
          <w:p w:rsidR="00000000" w:rsidDel="00000000" w:rsidP="00000000" w:rsidRDefault="00000000" w:rsidRPr="00000000" w14:paraId="0000006A">
            <w:pPr>
              <w:spacing w:line="360" w:lineRule="auto"/>
              <w:ind w:right="-30"/>
              <w:jc w:val="center"/>
              <w:rPr>
                <w:rFonts w:ascii="Arial" w:cs="Arial" w:eastAsia="Arial" w:hAnsi="Arial"/>
                <w:i w:val="1"/>
                <w:color w:val="ff0000"/>
                <w:sz w:val="20"/>
                <w:szCs w:val="20"/>
              </w:rPr>
            </w:pPr>
            <w:r w:rsidDel="00000000" w:rsidR="00000000" w:rsidRPr="00000000">
              <w:rPr>
                <w:rtl w:val="0"/>
              </w:rPr>
            </w:r>
          </w:p>
          <w:p w:rsidR="00000000" w:rsidDel="00000000" w:rsidP="00000000" w:rsidRDefault="00000000" w:rsidRPr="00000000" w14:paraId="0000006B">
            <w:pPr>
              <w:spacing w:line="360" w:lineRule="auto"/>
              <w:ind w:right="-30"/>
              <w:jc w:val="center"/>
              <w:rPr>
                <w:rFonts w:ascii="Arial" w:cs="Arial" w:eastAsia="Arial" w:hAnsi="Arial"/>
                <w:i w:val="1"/>
                <w:color w:val="ff0000"/>
                <w:sz w:val="20"/>
                <w:szCs w:val="20"/>
              </w:rPr>
            </w:pPr>
            <w:r w:rsidDel="00000000" w:rsidR="00000000" w:rsidRPr="00000000">
              <w:rPr>
                <w:rFonts w:ascii="Arial" w:cs="Arial" w:eastAsia="Arial" w:hAnsi="Arial"/>
                <w:i w:val="1"/>
                <w:color w:val="ff0000"/>
                <w:sz w:val="20"/>
                <w:szCs w:val="20"/>
                <w:rtl w:val="0"/>
              </w:rPr>
              <w:t xml:space="preserve">2, 38, 40, 43 e 47.            </w:t>
            </w:r>
          </w:p>
        </w:tc>
      </w:tr>
    </w:tbl>
    <w:p w:rsidR="00000000" w:rsidDel="00000000" w:rsidP="00000000" w:rsidRDefault="00000000" w:rsidRPr="00000000" w14:paraId="0000006C">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751" w:firstLine="0"/>
        <w:jc w:val="both"/>
        <w:rPr/>
      </w:pPr>
      <w:r w:rsidDel="00000000" w:rsidR="00000000" w:rsidRPr="00000000">
        <w:rPr>
          <w:rtl w:val="0"/>
        </w:rPr>
      </w:r>
    </w:p>
    <w:p w:rsidR="00000000" w:rsidDel="00000000" w:rsidP="00000000" w:rsidRDefault="00000000" w:rsidRPr="00000000" w14:paraId="0000006D">
      <w:pPr>
        <w:numPr>
          <w:ilvl w:val="1"/>
          <w:numId w:val="2"/>
        </w:numPr>
        <w:tabs>
          <w:tab w:val="left" w:leader="none" w:pos="1462"/>
        </w:tabs>
        <w:spacing w:before="80" w:lineRule="auto"/>
        <w:ind w:left="1461" w:hanging="709"/>
        <w:jc w:val="both"/>
        <w:rPr/>
      </w:pPr>
      <w:r w:rsidDel="00000000" w:rsidR="00000000" w:rsidRPr="00000000">
        <w:rPr>
          <w:rtl w:val="0"/>
        </w:rPr>
        <w:t xml:space="preserve">A IRP nº </w:t>
      </w:r>
      <w:r w:rsidDel="00000000" w:rsidR="00000000" w:rsidRPr="00000000">
        <w:rPr>
          <w:b w:val="1"/>
          <w:rtl w:val="0"/>
        </w:rPr>
        <w:t xml:space="preserve">006/2025</w:t>
      </w:r>
      <w:r w:rsidDel="00000000" w:rsidR="00000000" w:rsidRPr="00000000">
        <w:rPr>
          <w:rtl w:val="0"/>
        </w:rPr>
        <w:t xml:space="preserve"> foi divulgada, conforme art. 9º do Decreto nº 11.462/2023.</w:t>
      </w:r>
      <w:r w:rsidDel="00000000" w:rsidR="00000000" w:rsidRPr="00000000">
        <mc:AlternateContent>
          <mc:Choice Requires="wpg">
            <w:drawing>
              <wp:anchor allowOverlap="1" behindDoc="1" distB="0" distT="0" distL="0" distR="0" hidden="0" layoutInCell="1" locked="0" relativeHeight="0" simplePos="0">
                <wp:simplePos x="0" y="0"/>
                <wp:positionH relativeFrom="column">
                  <wp:posOffset>1130300</wp:posOffset>
                </wp:positionH>
                <wp:positionV relativeFrom="paragraph">
                  <wp:posOffset>139700</wp:posOffset>
                </wp:positionV>
                <wp:extent cx="5695950" cy="5330825"/>
                <wp:effectExtent b="0" l="0" r="0" t="0"/>
                <wp:wrapNone/>
                <wp:docPr id="2115606161" name=""/>
                <a:graphic>
                  <a:graphicData uri="http://schemas.microsoft.com/office/word/2010/wordprocessingShape">
                    <wps:wsp>
                      <wps:cNvSpPr/>
                      <wps:cNvPr id="19" name="Shape 19"/>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9"/>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5"/>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1"/>
                              </a:lnTo>
                              <a:lnTo>
                                <a:pt x="4815" y="4351"/>
                              </a:lnTo>
                              <a:lnTo>
                                <a:pt x="4873" y="4386"/>
                              </a:lnTo>
                              <a:lnTo>
                                <a:pt x="4929" y="4414"/>
                              </a:lnTo>
                              <a:lnTo>
                                <a:pt x="5007" y="4444"/>
                              </a:lnTo>
                              <a:lnTo>
                                <a:pt x="5086" y="4463"/>
                              </a:lnTo>
                              <a:lnTo>
                                <a:pt x="5165" y="4470"/>
                              </a:lnTo>
                              <a:lnTo>
                                <a:pt x="5245" y="4466"/>
                              </a:lnTo>
                              <a:lnTo>
                                <a:pt x="5324" y="4451"/>
                              </a:lnTo>
                              <a:lnTo>
                                <a:pt x="5391" y="4431"/>
                              </a:lnTo>
                              <a:lnTo>
                                <a:pt x="5457" y="4402"/>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9"/>
                              </a:lnTo>
                              <a:lnTo>
                                <a:pt x="6903" y="336"/>
                              </a:lnTo>
                              <a:lnTo>
                                <a:pt x="6856" y="266"/>
                              </a:lnTo>
                              <a:lnTo>
                                <a:pt x="6911" y="297"/>
                              </a:lnTo>
                              <a:lnTo>
                                <a:pt x="6972" y="331"/>
                              </a:lnTo>
                              <a:lnTo>
                                <a:pt x="7039" y="366"/>
                              </a:lnTo>
                              <a:lnTo>
                                <a:pt x="7112" y="404"/>
                              </a:lnTo>
                              <a:lnTo>
                                <a:pt x="7190" y="443"/>
                              </a:lnTo>
                              <a:lnTo>
                                <a:pt x="7775" y="729"/>
                              </a:lnTo>
                              <a:lnTo>
                                <a:pt x="7846" y="764"/>
                              </a:lnTo>
                              <a:lnTo>
                                <a:pt x="7846" y="478"/>
                              </a:lnTo>
                              <a:lnTo>
                                <a:pt x="7379" y="266"/>
                              </a:lnTo>
                              <a:lnTo>
                                <a:pt x="6799" y="0"/>
                              </a:lnTo>
                              <a:lnTo>
                                <a:pt x="6599" y="200"/>
                              </a:lnTo>
                              <a:lnTo>
                                <a:pt x="6633" y="271"/>
                              </a:lnTo>
                              <a:lnTo>
                                <a:pt x="6737" y="486"/>
                              </a:lnTo>
                              <a:lnTo>
                                <a:pt x="6854" y="729"/>
                              </a:lnTo>
                              <a:lnTo>
                                <a:pt x="6918" y="862"/>
                              </a:lnTo>
                              <a:lnTo>
                                <a:pt x="7354" y="1775"/>
                              </a:lnTo>
                              <a:lnTo>
                                <a:pt x="7492" y="2061"/>
                              </a:lnTo>
                              <a:lnTo>
                                <a:pt x="7596" y="2276"/>
                              </a:lnTo>
                              <a:lnTo>
                                <a:pt x="7793" y="2078"/>
                              </a:lnTo>
                              <a:lnTo>
                                <a:pt x="7759" y="2010"/>
                              </a:lnTo>
                              <a:lnTo>
                                <a:pt x="7724" y="1941"/>
                              </a:lnTo>
                              <a:lnTo>
                                <a:pt x="7552" y="1596"/>
                              </a:lnTo>
                              <a:lnTo>
                                <a:pt x="7517" y="1528"/>
                              </a:lnTo>
                              <a:lnTo>
                                <a:pt x="7482" y="1459"/>
                              </a:lnTo>
                              <a:lnTo>
                                <a:pt x="7702" y="1239"/>
                              </a:lnTo>
                              <a:lnTo>
                                <a:pt x="8069" y="872"/>
                              </a:lnTo>
                              <a:lnTo>
                                <a:pt x="8698" y="1174"/>
                              </a:lnTo>
                              <a:lnTo>
                                <a:pt x="8910" y="962"/>
                              </a:lnTo>
                              <a:close/>
                            </a:path>
                          </a:pathLst>
                        </a:custGeom>
                        <a:solidFill>
                          <a:srgbClr val="C0C0C0">
                            <a:alpha val="48627"/>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column">
                  <wp:posOffset>1130300</wp:posOffset>
                </wp:positionH>
                <wp:positionV relativeFrom="paragraph">
                  <wp:posOffset>139700</wp:posOffset>
                </wp:positionV>
                <wp:extent cx="5695950" cy="5330825"/>
                <wp:effectExtent b="0" l="0" r="0" t="0"/>
                <wp:wrapNone/>
                <wp:docPr id="2115606161"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695950" cy="5330825"/>
                        </a:xfrm>
                        <a:prstGeom prst="rect"/>
                        <a:ln/>
                      </pic:spPr>
                    </pic:pic>
                  </a:graphicData>
                </a:graphic>
              </wp:anchor>
            </w:drawing>
          </mc:Fallback>
        </mc:AlternateContent>
      </w:r>
    </w:p>
    <w:p w:rsidR="00000000" w:rsidDel="00000000" w:rsidP="00000000" w:rsidRDefault="00000000" w:rsidRPr="00000000" w14:paraId="0000006E">
      <w:pPr>
        <w:pBdr>
          <w:top w:color="000000" w:space="0" w:sz="0" w:val="none"/>
          <w:left w:color="000000" w:space="0" w:sz="0" w:val="none"/>
          <w:bottom w:color="000000" w:space="0" w:sz="0" w:val="none"/>
          <w:right w:color="000000" w:space="0" w:sz="0" w:val="none"/>
          <w:between w:color="000000" w:space="0" w:sz="0" w:val="none"/>
        </w:pBdr>
        <w:spacing w:before="5" w:lineRule="auto"/>
        <w:rPr>
          <w:highlight w:val="yellow"/>
        </w:rPr>
      </w:pPr>
      <w:r w:rsidDel="00000000" w:rsidR="00000000" w:rsidRPr="00000000">
        <w:rPr>
          <w:rtl w:val="0"/>
        </w:rPr>
      </w:r>
    </w:p>
    <w:p w:rsidR="00000000" w:rsidDel="00000000" w:rsidP="00000000" w:rsidRDefault="00000000" w:rsidRPr="00000000" w14:paraId="0000006F">
      <w:pPr>
        <w:pBdr>
          <w:top w:color="000000" w:space="0" w:sz="0" w:val="none"/>
          <w:left w:color="000000" w:space="0" w:sz="0" w:val="none"/>
          <w:bottom w:color="000000" w:space="0" w:sz="0" w:val="none"/>
          <w:right w:color="000000" w:space="0" w:sz="0" w:val="none"/>
          <w:between w:color="000000" w:space="0" w:sz="0" w:val="none"/>
        </w:pBdr>
        <w:spacing w:before="5" w:lineRule="auto"/>
        <w:rPr>
          <w:highlight w:val="yellow"/>
        </w:rPr>
      </w:pPr>
      <w:r w:rsidDel="00000000" w:rsidR="00000000" w:rsidRPr="00000000">
        <w:rPr>
          <w:rtl w:val="0"/>
        </w:rPr>
      </w:r>
    </w:p>
    <w:p w:rsidR="00000000" w:rsidDel="00000000" w:rsidP="00000000" w:rsidRDefault="00000000" w:rsidRPr="00000000" w14:paraId="00000070">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DA ADESÃO À ATA DE REGISTRO DE PREÇOS</w:t>
      </w:r>
    </w:p>
    <w:p w:rsidR="00000000" w:rsidDel="00000000" w:rsidP="00000000" w:rsidRDefault="00000000" w:rsidRPr="00000000" w14:paraId="00000071">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09"/>
        <w:jc w:val="both"/>
        <w:rPr/>
      </w:pPr>
      <w:r w:rsidDel="00000000" w:rsidR="00000000" w:rsidRPr="00000000">
        <w:rPr>
          <w:i w:val="1"/>
          <w:color w:val="000000"/>
          <w:rtl w:val="0"/>
        </w:rPr>
        <w:t xml:space="preserve"> </w:t>
      </w:r>
      <w:r w:rsidDel="00000000" w:rsidR="00000000" w:rsidRPr="00000000">
        <w:rPr>
          <w:rtl w:val="0"/>
        </w:rPr>
        <w:t xml:space="preserve">Não será admitida a adesão à ata de registro de preços decorrente desta licitação ou desta contratação direta, conforme justificativa apresentada no despacho de autorização de abertura de procedimento licitatório pela autoridade competente no processo 23069.190214/2024-55</w:t>
      </w:r>
      <w:r w:rsidDel="00000000" w:rsidR="00000000" w:rsidRPr="00000000">
        <w:rPr>
          <w:color w:val="000000"/>
          <w:rtl w:val="0"/>
        </w:rPr>
        <w:t xml:space="preserve">.</w:t>
      </w:r>
      <w:r w:rsidDel="00000000" w:rsidR="00000000" w:rsidRPr="00000000">
        <w:rPr>
          <w:rtl w:val="0"/>
        </w:rPr>
      </w:r>
    </w:p>
    <w:p w:rsidR="00000000" w:rsidDel="00000000" w:rsidP="00000000" w:rsidRDefault="00000000" w:rsidRPr="00000000" w14:paraId="00000072">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0" w:lineRule="auto"/>
        <w:ind w:left="1461" w:right="700" w:firstLine="0"/>
        <w:jc w:val="both"/>
        <w:rPr>
          <w:i w:val="1"/>
          <w:color w:val="000000"/>
        </w:rPr>
      </w:pPr>
      <w:r w:rsidDel="00000000" w:rsidR="00000000" w:rsidRPr="00000000">
        <w:rPr>
          <w:rtl w:val="0"/>
        </w:rPr>
      </w:r>
    </w:p>
    <w:p w:rsidR="00000000" w:rsidDel="00000000" w:rsidP="00000000" w:rsidRDefault="00000000" w:rsidRPr="00000000" w14:paraId="00000073">
      <w:pPr>
        <w:tabs>
          <w:tab w:val="left" w:leader="none" w:pos="1462"/>
        </w:tabs>
        <w:spacing w:before="69" w:lineRule="auto"/>
        <w:ind w:left="751" w:right="700" w:firstLine="0"/>
        <w:rPr>
          <w:b w:val="1"/>
        </w:rPr>
      </w:pPr>
      <w:r w:rsidDel="00000000" w:rsidR="00000000" w:rsidRPr="00000000">
        <w:rPr>
          <w:b w:val="1"/>
          <w:rtl w:val="0"/>
        </w:rPr>
        <w:t xml:space="preserve">Vedação a acréscimo de quantitativos</w:t>
      </w:r>
    </w:p>
    <w:p w:rsidR="00000000" w:rsidDel="00000000" w:rsidP="00000000" w:rsidRDefault="00000000" w:rsidRPr="00000000" w14:paraId="00000074">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0" w:lineRule="auto"/>
        <w:ind w:left="1461" w:right="700" w:hanging="709"/>
        <w:jc w:val="both"/>
        <w:rPr>
          <w:i w:val="1"/>
          <w:color w:val="000000"/>
        </w:rPr>
      </w:pPr>
      <w:r w:rsidDel="00000000" w:rsidR="00000000" w:rsidRPr="00000000">
        <w:rPr>
          <w:color w:val="000000"/>
          <w:rtl w:val="0"/>
        </w:rPr>
        <w:t xml:space="preserve">É vedado efetuar acréscimos nos quantitativos fixados na ata de registro de preços.</w:t>
      </w:r>
      <w:r w:rsidDel="00000000" w:rsidR="00000000" w:rsidRPr="00000000">
        <w:rPr>
          <w:rtl w:val="0"/>
        </w:rPr>
      </w:r>
    </w:p>
    <w:p w:rsidR="00000000" w:rsidDel="00000000" w:rsidP="00000000" w:rsidRDefault="00000000" w:rsidRPr="00000000" w14:paraId="00000075">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0" w:lineRule="auto"/>
        <w:ind w:left="1461" w:right="700" w:firstLine="0"/>
        <w:jc w:val="both"/>
        <w:rPr>
          <w:i w:val="1"/>
          <w:color w:val="000000"/>
        </w:rPr>
      </w:pPr>
      <w:r w:rsidDel="00000000" w:rsidR="00000000" w:rsidRPr="00000000">
        <w:rPr>
          <w:rtl w:val="0"/>
        </w:rPr>
      </w:r>
    </w:p>
    <w:p w:rsidR="00000000" w:rsidDel="00000000" w:rsidP="00000000" w:rsidRDefault="00000000" w:rsidRPr="00000000" w14:paraId="00000076">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77">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VALIDADE, FORMALIZAÇÃO DA ATA DE REGISTRO DE PREÇOS E CADASTRO RESERVA</w:t>
      </w:r>
    </w:p>
    <w:p w:rsidR="00000000" w:rsidDel="00000000" w:rsidP="00000000" w:rsidRDefault="00000000" w:rsidRPr="00000000" w14:paraId="00000078">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color w:val="000000"/>
        </w:rPr>
      </w:pPr>
      <w:r w:rsidDel="00000000" w:rsidR="00000000" w:rsidRPr="00000000">
        <w:rPr>
          <w:color w:val="000000"/>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7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7A">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7B">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7C">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O instrumento contratual de que trata o item 5.2. deverá ser assinado no prazo de validade da ata de registro de preços.</w:t>
      </w:r>
    </w:p>
    <w:p w:rsidR="00000000" w:rsidDel="00000000" w:rsidP="00000000" w:rsidRDefault="00000000" w:rsidRPr="00000000" w14:paraId="0000007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7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7F">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Serão registrados na ata os preços e os quantitativos do adjudicatário, devendo ser observada a possibilidade de o licitante oferecer ou não proposta em quantitativo inferior ao máximo previsto no edital ou no aviso de contratação direta e se obrigar nos limites dela;</w:t>
      </w:r>
    </w:p>
    <w:p w:rsidR="00000000" w:rsidDel="00000000" w:rsidP="00000000" w:rsidRDefault="00000000" w:rsidRPr="00000000" w14:paraId="0000008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Será incluído na ata, na forma de anexo, o registro dos licitantes ou dos fornecedores que:</w:t>
      </w:r>
    </w:p>
    <w:p w:rsidR="00000000" w:rsidDel="00000000" w:rsidP="00000000" w:rsidRDefault="00000000" w:rsidRPr="00000000" w14:paraId="00000081">
      <w:pPr>
        <w:widowControl w:val="1"/>
        <w:pBdr>
          <w:top w:color="000000" w:space="0" w:sz="0" w:val="none"/>
          <w:left w:color="000000" w:space="0" w:sz="0" w:val="none"/>
          <w:bottom w:color="000000" w:space="0" w:sz="0" w:val="none"/>
          <w:right w:color="000000" w:space="0" w:sz="0" w:val="none"/>
          <w:between w:color="000000" w:space="0" w:sz="0" w:val="none"/>
        </w:pBdr>
        <w:spacing w:after="120" w:before="120" w:line="276" w:lineRule="auto"/>
        <w:ind w:left="2127" w:right="700" w:firstLine="720"/>
        <w:jc w:val="both"/>
        <w:rPr>
          <w:color w:val="000000"/>
        </w:rPr>
      </w:pPr>
      <w:r w:rsidDel="00000000" w:rsidR="00000000" w:rsidRPr="00000000">
        <w:rPr>
          <w:color w:val="000000"/>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82">
      <w:pPr>
        <w:widowControl w:val="1"/>
        <w:numPr>
          <w:ilvl w:val="3"/>
          <w:numId w:val="3"/>
        </w:numPr>
        <w:pBdr>
          <w:top w:color="000000" w:space="0" w:sz="0" w:val="none"/>
          <w:left w:color="000000" w:space="0" w:sz="0" w:val="none"/>
          <w:bottom w:color="000000" w:space="0" w:sz="0" w:val="none"/>
          <w:right w:color="000000" w:space="0" w:sz="0" w:val="none"/>
          <w:between w:color="000000" w:space="0" w:sz="0" w:val="none"/>
        </w:pBdr>
        <w:spacing w:after="120" w:before="120" w:line="276" w:lineRule="auto"/>
        <w:ind w:left="3567" w:right="700" w:hanging="720"/>
        <w:jc w:val="both"/>
        <w:rPr>
          <w:color w:val="000000"/>
        </w:rPr>
      </w:pPr>
      <w:r w:rsidDel="00000000" w:rsidR="00000000" w:rsidRPr="00000000">
        <w:rPr>
          <w:color w:val="000000"/>
          <w:rtl w:val="0"/>
        </w:rPr>
        <w:t xml:space="preserve">Mantiverem sua proposta original. </w:t>
      </w:r>
      <w:bookmarkStart w:colFirst="0" w:colLast="0" w:name="bookmark=id.gjdgxs" w:id="1"/>
      <w:bookmarkEnd w:id="1"/>
      <w:r w:rsidDel="00000000" w:rsidR="00000000" w:rsidRPr="00000000">
        <w:rPr>
          <w:rtl w:val="0"/>
        </w:rPr>
      </w:r>
    </w:p>
    <w:p w:rsidR="00000000" w:rsidDel="00000000" w:rsidP="00000000" w:rsidRDefault="00000000" w:rsidRPr="00000000" w14:paraId="00000083">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Será respeitada, nas contratações, a ordem de classificação dos licitantes ou dos fornecedores registrados na ata.</w:t>
      </w:r>
    </w:p>
    <w:p w:rsidR="00000000" w:rsidDel="00000000" w:rsidP="00000000" w:rsidRDefault="00000000" w:rsidRPr="00000000" w14:paraId="00000084">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registro a que se refere o item 5.4.2</w:t>
      </w:r>
      <w:r w:rsidDel="00000000" w:rsidR="00000000" w:rsidRPr="00000000">
        <w:rPr>
          <w:b w:val="1"/>
          <w:color w:val="000000"/>
          <w:rtl w:val="0"/>
        </w:rPr>
        <w:t xml:space="preserve"> </w:t>
      </w:r>
      <w:r w:rsidDel="00000000" w:rsidR="00000000" w:rsidRPr="00000000">
        <w:rPr>
          <w:color w:val="000000"/>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85">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8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2"/>
      <w:bookmarkEnd w:id="2"/>
      <w:r w:rsidDel="00000000" w:rsidR="00000000" w:rsidRPr="00000000">
        <w:rPr>
          <w:rtl w:val="0"/>
        </w:rPr>
      </w:r>
    </w:p>
    <w:p w:rsidR="00000000" w:rsidDel="00000000" w:rsidP="00000000" w:rsidRDefault="00000000" w:rsidRPr="00000000" w14:paraId="00000087">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Quando o licitante vencedor não assinar a ata de registro de preços, no prazo e nas condições estabelecidos no edital ou no aviso de contratação direta; e</w:t>
      </w:r>
    </w:p>
    <w:p w:rsidR="00000000" w:rsidDel="00000000" w:rsidP="00000000" w:rsidRDefault="00000000" w:rsidRPr="00000000" w14:paraId="0000008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rFonts w:ascii="Arial" w:cs="Arial" w:eastAsia="Arial" w:hAnsi="Arial"/>
          <w:i w:val="1"/>
          <w:color w:val="000000"/>
          <w:sz w:val="20"/>
          <w:szCs w:val="20"/>
        </w:rPr>
      </w:pPr>
      <w:r w:rsidDel="00000000" w:rsidR="00000000" w:rsidRPr="00000000">
        <w:rPr>
          <w:color w:val="000000"/>
          <w:rtl w:val="0"/>
        </w:rPr>
        <w:t xml:space="preserve">Quando houver o cancelamento do registro do licitante ou do registro de preços nas hipóteses previstas no item 9</w:t>
      </w:r>
      <w:r w:rsidDel="00000000" w:rsidR="00000000" w:rsidRPr="00000000">
        <w:rPr>
          <w:rFonts w:ascii="Arial" w:cs="Arial" w:eastAsia="Arial" w:hAnsi="Arial"/>
          <w:i w:val="1"/>
          <w:color w:val="000000"/>
          <w:sz w:val="20"/>
          <w:szCs w:val="20"/>
          <w:rtl w:val="0"/>
        </w:rPr>
        <w:t xml:space="preserve">.</w:t>
      </w:r>
    </w:p>
    <w:p w:rsidR="00000000" w:rsidDel="00000000" w:rsidP="00000000" w:rsidRDefault="00000000" w:rsidRPr="00000000" w14:paraId="00000089">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8A">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8B">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rFonts w:ascii="Arial" w:cs="Arial" w:eastAsia="Arial" w:hAnsi="Arial"/>
          <w:i w:val="1"/>
          <w:color w:val="000000"/>
          <w:sz w:val="20"/>
          <w:szCs w:val="20"/>
        </w:rPr>
      </w:pPr>
      <w:r w:rsidDel="00000000" w:rsidR="00000000" w:rsidRPr="00000000">
        <w:rPr>
          <w:color w:val="000000"/>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i w:val="1"/>
          <w:color w:val="000000"/>
          <w:rtl w:val="0"/>
        </w:rPr>
        <w:t xml:space="preserve"> Administração</w:t>
      </w:r>
      <w:r w:rsidDel="00000000" w:rsidR="00000000" w:rsidRPr="00000000">
        <w:rPr>
          <w:rFonts w:ascii="Arial" w:cs="Arial" w:eastAsia="Arial" w:hAnsi="Arial"/>
          <w:i w:val="1"/>
          <w:color w:val="000000"/>
          <w:sz w:val="20"/>
          <w:szCs w:val="20"/>
          <w:rtl w:val="0"/>
        </w:rPr>
        <w:t xml:space="preserve">.</w:t>
      </w:r>
    </w:p>
    <w:p w:rsidR="00000000" w:rsidDel="00000000" w:rsidP="00000000" w:rsidRDefault="00000000" w:rsidRPr="00000000" w14:paraId="0000008C">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8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3"/>
      <w:bookmarkEnd w:id="3"/>
      <w:r w:rsidDel="00000000" w:rsidR="00000000" w:rsidRPr="00000000">
        <w:rPr>
          <w:rtl w:val="0"/>
        </w:rPr>
      </w:r>
    </w:p>
    <w:p w:rsidR="00000000" w:rsidDel="00000000" w:rsidP="00000000" w:rsidRDefault="00000000" w:rsidRPr="00000000" w14:paraId="0000008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tl w:val="0"/>
        </w:rPr>
        <w:t xml:space="preserve">do edital</w:t>
      </w:r>
      <w:r w:rsidDel="00000000" w:rsidR="00000000" w:rsidRPr="00000000">
        <w:rPr>
          <w:color w:val="000000"/>
          <w:rtl w:val="0"/>
        </w:rPr>
        <w:t xml:space="preserve">, poderá:</w:t>
      </w:r>
      <w:r w:rsidDel="00000000" w:rsidR="00000000" w:rsidRPr="00000000">
        <w:rPr>
          <w:rtl w:val="0"/>
        </w:rPr>
      </w:r>
    </w:p>
    <w:p w:rsidR="00000000" w:rsidDel="00000000" w:rsidP="00000000" w:rsidRDefault="00000000" w:rsidRPr="00000000" w14:paraId="0000008F">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9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91">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92">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firstLine="0"/>
        <w:jc w:val="both"/>
        <w:rPr>
          <w:color w:val="000000"/>
        </w:rPr>
      </w:pPr>
      <w:r w:rsidDel="00000000" w:rsidR="00000000" w:rsidRPr="00000000">
        <w:rPr>
          <w:rtl w:val="0"/>
        </w:rPr>
      </w:r>
    </w:p>
    <w:p w:rsidR="00000000" w:rsidDel="00000000" w:rsidP="00000000" w:rsidRDefault="00000000" w:rsidRPr="00000000" w14:paraId="00000093">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94">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hanging="71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ALTERAÇÃO OU ATUALIZAÇÃO DOS PREÇOS REGISTRADOS</w:t>
      </w:r>
    </w:p>
    <w:p w:rsidR="00000000" w:rsidDel="00000000" w:rsidP="00000000" w:rsidRDefault="00000000" w:rsidRPr="00000000" w14:paraId="00000095">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96">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00000" w:rsidDel="00000000" w:rsidP="00000000" w:rsidRDefault="00000000" w:rsidRPr="00000000" w14:paraId="00000097">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9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99">
      <w:pPr>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3510" w:right="700" w:hanging="720"/>
        <w:jc w:val="both"/>
        <w:rPr>
          <w:color w:val="000000"/>
        </w:rPr>
      </w:pPr>
      <w:r w:rsidDel="00000000" w:rsidR="00000000" w:rsidRPr="00000000">
        <w:rPr>
          <w:color w:val="000000"/>
          <w:rtl w:val="0"/>
        </w:rPr>
        <w:t xml:space="preserve">No caso do reajustamento, deverá ser respeitada a contagem da anualidade e o índice previstos para a contratação;  </w:t>
      </w:r>
    </w:p>
    <w:p w:rsidR="00000000" w:rsidDel="00000000" w:rsidP="00000000" w:rsidRDefault="00000000" w:rsidRPr="00000000" w14:paraId="0000009A">
      <w:pPr>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3510" w:right="700" w:hanging="720"/>
        <w:jc w:val="both"/>
        <w:rPr>
          <w:color w:val="000000"/>
        </w:rPr>
      </w:pPr>
      <w:r w:rsidDel="00000000" w:rsidR="00000000" w:rsidRPr="00000000">
        <w:rPr>
          <w:color w:val="000000"/>
          <w:rtl w:val="0"/>
        </w:rPr>
        <w:t xml:space="preserve">No caso da repactuação, poderá ser a pedido do interessado, conforme critérios definidos para a contratação.</w:t>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C">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NEGOCIAÇÃO DE PREÇOS REGISTRADOS</w:t>
      </w:r>
      <w:r w:rsidDel="00000000" w:rsidR="00000000" w:rsidRPr="00000000">
        <w:rPr>
          <w:rtl w:val="0"/>
        </w:rPr>
      </w:r>
    </w:p>
    <w:p w:rsidR="00000000" w:rsidDel="00000000" w:rsidP="00000000" w:rsidRDefault="00000000" w:rsidRPr="00000000" w14:paraId="0000009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9E">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Caso não aceite reduzir seu preço aos valores praticados pelo mercado, o fornecedor será liberado do compromisso assumido quanto ao item registrado, sem aplicação de penalidades administrativas.</w:t>
      </w:r>
    </w:p>
    <w:p w:rsidR="00000000" w:rsidDel="00000000" w:rsidP="00000000" w:rsidRDefault="00000000" w:rsidRPr="00000000" w14:paraId="0000009F">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rsidR="00000000" w:rsidDel="00000000" w:rsidP="00000000" w:rsidRDefault="00000000" w:rsidRPr="00000000" w14:paraId="000000A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4"/>
      <w:bookmarkEnd w:id="4"/>
      <w:r w:rsidDel="00000000" w:rsidR="00000000" w:rsidRPr="00000000">
        <w:rPr>
          <w:rtl w:val="0"/>
        </w:rPr>
      </w:r>
    </w:p>
    <w:p w:rsidR="00000000" w:rsidDel="00000000" w:rsidP="00000000" w:rsidRDefault="00000000" w:rsidRPr="00000000" w14:paraId="000000A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redução do preço registrado, o gerenciador comunicará aos órgãos e às entidades que tiverem firmado contratos decorrentes da ata de registro de preços para que avaliem a conveniência e a oportunidade de diligenciarem negociação com vistas à alteração contratual, observado o disposto no art. 124 da Lei nº 14.133, de 2021.</w:t>
      </w:r>
    </w:p>
    <w:p w:rsidR="00000000" w:rsidDel="00000000" w:rsidP="00000000" w:rsidRDefault="00000000" w:rsidRPr="00000000" w14:paraId="000000A2">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5"/>
      <w:bookmarkEnd w:id="5"/>
      <w:r w:rsidDel="00000000" w:rsidR="00000000" w:rsidRPr="00000000">
        <w:rPr>
          <w:rtl w:val="0"/>
        </w:rPr>
      </w:r>
    </w:p>
    <w:p w:rsidR="00000000" w:rsidDel="00000000" w:rsidP="00000000" w:rsidRDefault="00000000" w:rsidRPr="00000000" w14:paraId="000000A3">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6"/>
      <w:bookmarkEnd w:id="6"/>
      <w:r w:rsidDel="00000000" w:rsidR="00000000" w:rsidRPr="00000000">
        <w:rPr>
          <w:rtl w:val="0"/>
        </w:rPr>
      </w:r>
    </w:p>
    <w:p w:rsidR="00000000" w:rsidDel="00000000" w:rsidP="00000000" w:rsidRDefault="00000000" w:rsidRPr="00000000" w14:paraId="000000A4">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7"/>
      <w:bookmarkEnd w:id="7"/>
      <w:r w:rsidDel="00000000" w:rsidR="00000000" w:rsidRPr="00000000">
        <w:rPr>
          <w:rtl w:val="0"/>
        </w:rPr>
      </w:r>
    </w:p>
    <w:p w:rsidR="00000000" w:rsidDel="00000000" w:rsidP="00000000" w:rsidRDefault="00000000" w:rsidRPr="00000000" w14:paraId="000000A5">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A6">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8"/>
      <w:bookmarkEnd w:id="8"/>
      <w:r w:rsidDel="00000000" w:rsidR="00000000" w:rsidRPr="00000000">
        <w:rPr>
          <w:rtl w:val="0"/>
        </w:rPr>
      </w:r>
    </w:p>
    <w:p w:rsidR="00000000" w:rsidDel="00000000" w:rsidP="00000000" w:rsidRDefault="00000000" w:rsidRPr="00000000" w14:paraId="000000A7">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A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AB">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AC">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 O remanejamento somente poderá ser feito:</w:t>
      </w:r>
      <w:r w:rsidDel="00000000" w:rsidR="00000000" w:rsidRPr="00000000">
        <w:rPr>
          <w:rtl w:val="0"/>
        </w:rPr>
      </w:r>
    </w:p>
    <w:p w:rsidR="00000000" w:rsidDel="00000000" w:rsidP="00000000" w:rsidRDefault="00000000" w:rsidRPr="00000000" w14:paraId="000000AD">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participante; ou</w:t>
      </w:r>
    </w:p>
    <w:p w:rsidR="00000000" w:rsidDel="00000000" w:rsidP="00000000" w:rsidRDefault="00000000" w:rsidRPr="00000000" w14:paraId="000000AE">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não participante.</w:t>
      </w:r>
    </w:p>
    <w:p w:rsidR="00000000" w:rsidDel="00000000" w:rsidP="00000000" w:rsidRDefault="00000000" w:rsidRPr="00000000" w14:paraId="000000AF">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órgão ou entidade gerenciadora que tiver estimado as quantidades que pretende contratar será considerado participante para efeito do remanejamento.</w:t>
      </w:r>
      <w:bookmarkStart w:colFirst="0" w:colLast="0" w:name="bookmark=id.4d34og8" w:id="9"/>
      <w:bookmarkEnd w:id="9"/>
      <w:r w:rsidDel="00000000" w:rsidR="00000000" w:rsidRPr="00000000">
        <w:rPr>
          <w:rtl w:val="0"/>
        </w:rPr>
      </w:r>
    </w:p>
    <w:p w:rsidR="00000000" w:rsidDel="00000000" w:rsidP="00000000" w:rsidRDefault="00000000" w:rsidRPr="00000000" w14:paraId="000000B0">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remanejamento de órgão ou entidade participante para órgão ou entidade não participante, serão observados os limites previstos no art. 32 do Decreto nº 11.462, de 2023.</w:t>
      </w:r>
      <w:r w:rsidDel="00000000" w:rsidR="00000000" w:rsidRPr="00000000">
        <w:rPr>
          <w:rtl w:val="0"/>
        </w:rPr>
      </w:r>
    </w:p>
    <w:p w:rsidR="00000000" w:rsidDel="00000000" w:rsidP="00000000" w:rsidRDefault="00000000" w:rsidRPr="00000000" w14:paraId="000000B1">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B2">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B3">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CANCELAMENTO DO REGISTRO DO LICITANTE VENCEDOR E DOS PREÇOS REGISTRADOS</w:t>
      </w:r>
      <w:bookmarkStart w:colFirst="0" w:colLast="0" w:name="bookmark=id.2s8eyo1" w:id="10"/>
      <w:bookmarkEnd w:id="10"/>
      <w:r w:rsidDel="00000000" w:rsidR="00000000" w:rsidRPr="00000000">
        <w:rPr>
          <w:rtl w:val="0"/>
        </w:rPr>
      </w:r>
    </w:p>
    <w:p w:rsidR="00000000" w:rsidDel="00000000" w:rsidP="00000000" w:rsidRDefault="00000000" w:rsidRPr="00000000" w14:paraId="000000B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registro do fornecedor será cancelado pelo gerenciador, quando o fornecedor:</w:t>
      </w:r>
      <w:bookmarkStart w:colFirst="0" w:colLast="0" w:name="bookmark=id.17dp8vu" w:id="11"/>
      <w:bookmarkEnd w:id="11"/>
      <w:r w:rsidDel="00000000" w:rsidR="00000000" w:rsidRPr="00000000">
        <w:rPr>
          <w:rtl w:val="0"/>
        </w:rPr>
      </w:r>
    </w:p>
    <w:p w:rsidR="00000000" w:rsidDel="00000000" w:rsidP="00000000" w:rsidRDefault="00000000" w:rsidRPr="00000000" w14:paraId="000000B7">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Descumprir as condições da ata de registro de preços, sem motivo justificado;</w:t>
      </w:r>
    </w:p>
    <w:p w:rsidR="00000000" w:rsidDel="00000000" w:rsidP="00000000" w:rsidRDefault="00000000" w:rsidRPr="00000000" w14:paraId="000000B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retirar a nota de empenho, ou instrumento equivalente, no prazo estabelecido pela Administração sem justificativa razoável;</w:t>
      </w:r>
    </w:p>
    <w:p w:rsidR="00000000" w:rsidDel="00000000" w:rsidP="00000000" w:rsidRDefault="00000000" w:rsidRPr="00000000" w14:paraId="000000B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aceitar manter seu preço registrado, na hipótese prevista no artigo 27, § 2º, do Decreto nº 11.462, de 2023; ou</w:t>
      </w:r>
    </w:p>
    <w:p w:rsidR="00000000" w:rsidDel="00000000" w:rsidP="00000000" w:rsidRDefault="00000000" w:rsidRPr="00000000" w14:paraId="000000BA">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Sofrer sanção prevista nos incisos III ou IV do caput do art. 156 da Lei nº 14.133, de 2021.</w:t>
      </w:r>
    </w:p>
    <w:p w:rsidR="00000000" w:rsidDel="00000000" w:rsidP="00000000" w:rsidRDefault="00000000" w:rsidRPr="00000000" w14:paraId="000000BB">
      <w:pPr>
        <w:widowControl w:val="1"/>
        <w:numPr>
          <w:ilvl w:val="3"/>
          <w:numId w:val="5"/>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880" w:right="700" w:hanging="720"/>
        <w:jc w:val="both"/>
        <w:rPr>
          <w:color w:val="000000"/>
        </w:rPr>
      </w:pPr>
      <w:r w:rsidDel="00000000" w:rsidR="00000000" w:rsidRPr="00000000">
        <w:rPr>
          <w:color w:val="000000"/>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BC">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B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B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2"/>
      <w:bookmarkEnd w:id="12"/>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0BF">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Por razão de interesse público;</w:t>
      </w:r>
    </w:p>
    <w:p w:rsidR="00000000" w:rsidDel="00000000" w:rsidP="00000000" w:rsidRDefault="00000000" w:rsidRPr="00000000" w14:paraId="000000C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 pedido do fornecedor, decorrente de caso fortuito ou força maior; ou</w:t>
      </w:r>
    </w:p>
    <w:p w:rsidR="00000000" w:rsidDel="00000000" w:rsidP="00000000" w:rsidRDefault="00000000" w:rsidRPr="00000000" w14:paraId="000000C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DAS PENALIDADES</w:t>
      </w:r>
      <w:r w:rsidDel="00000000" w:rsidR="00000000" w:rsidRPr="00000000">
        <w:rPr>
          <w:rtl w:val="0"/>
        </w:rPr>
      </w:r>
    </w:p>
    <w:p w:rsidR="00000000" w:rsidDel="00000000" w:rsidP="00000000" w:rsidRDefault="00000000" w:rsidRPr="00000000" w14:paraId="000000C4">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descumprimento da Ata de Registro de Preços ensejará aplicação das penalidades estabelecidas</w:t>
      </w:r>
      <w:r w:rsidDel="00000000" w:rsidR="00000000" w:rsidRPr="00000000">
        <w:rPr>
          <w:rtl w:val="0"/>
        </w:rPr>
        <w:t xml:space="preserve"> no edital.</w:t>
      </w:r>
    </w:p>
    <w:p w:rsidR="00000000" w:rsidDel="00000000" w:rsidP="00000000" w:rsidRDefault="00000000" w:rsidRPr="00000000" w14:paraId="000000C5">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As sanções também se aplicam aos integrantes do cadastro de reserva no registro de preços que, convocados, não honrarem o compromisso assumido injustificadamente após terem assinado a ata. </w:t>
      </w:r>
    </w:p>
    <w:p w:rsidR="00000000" w:rsidDel="00000000" w:rsidP="00000000" w:rsidRDefault="00000000" w:rsidRPr="00000000" w14:paraId="000000C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C7">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C8">
      <w:pPr>
        <w:rPr/>
      </w:pPr>
      <w:r w:rsidDel="00000000" w:rsidR="00000000" w:rsidRPr="00000000">
        <w:rPr>
          <w:rtl w:val="0"/>
        </w:rPr>
      </w:r>
    </w:p>
    <w:p w:rsidR="00000000" w:rsidDel="00000000" w:rsidP="00000000" w:rsidRDefault="00000000" w:rsidRPr="00000000" w14:paraId="000000C9">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color w:val="000000"/>
          <w:sz w:val="20"/>
          <w:szCs w:val="20"/>
          <w:rtl w:val="0"/>
        </w:rPr>
        <w:t xml:space="preserve">CONDIÇÕES GERAIS</w:t>
      </w:r>
      <w:r w:rsidDel="00000000" w:rsidR="00000000" w:rsidRPr="00000000">
        <w:rPr>
          <w:rtl w:val="0"/>
        </w:rPr>
      </w:r>
    </w:p>
    <w:p w:rsidR="00000000" w:rsidDel="00000000" w:rsidP="00000000" w:rsidRDefault="00000000" w:rsidRPr="00000000" w14:paraId="000000CA">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As condições gerais de execução do objeto, tais como os prazos para entrega e recebimento, as obrigações da Administração e do fornecedor registrado, penalidades e demais condições do ajuste, encontram-se definidos no Termo de Referência, ANEXO </w:t>
      </w:r>
      <w:r w:rsidDel="00000000" w:rsidR="00000000" w:rsidRPr="00000000">
        <w:rPr>
          <w:i w:val="1"/>
          <w:color w:val="000000"/>
          <w:rtl w:val="0"/>
        </w:rPr>
        <w:t xml:space="preserve">AO EDITAL.</w:t>
      </w:r>
      <w:r w:rsidDel="00000000" w:rsidR="00000000" w:rsidRPr="00000000">
        <w:rPr>
          <w:rtl w:val="0"/>
        </w:rPr>
      </w:r>
    </w:p>
    <w:p w:rsidR="00000000" w:rsidDel="00000000" w:rsidP="00000000" w:rsidRDefault="00000000" w:rsidRPr="00000000" w14:paraId="000000CB">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color w:val="000000"/>
          <w:highlight w:val="white"/>
        </w:rPr>
      </w:pPr>
      <w:r w:rsidDel="00000000" w:rsidR="00000000" w:rsidRPr="00000000">
        <w:rPr>
          <w:color w:val="000000"/>
          <w:highlight w:val="white"/>
          <w:rtl w:val="0"/>
        </w:rPr>
        <w:t xml:space="preserve">No caso de adjudicação por preço global de grupo de itens, só será admitida a contratação de parte de itens do grupo se houver prévia pesquisa de mercado e demonstração de sua vantagem para o órgão ou a entidade.</w:t>
      </w:r>
    </w:p>
    <w:p w:rsidR="00000000" w:rsidDel="00000000" w:rsidP="00000000" w:rsidRDefault="00000000" w:rsidRPr="00000000" w14:paraId="000000CC">
      <w:pPr>
        <w:numPr>
          <w:ilvl w:val="1"/>
          <w:numId w:val="2"/>
        </w:numPr>
        <w:tabs>
          <w:tab w:val="left" w:leader="none" w:pos="1462"/>
        </w:tabs>
        <w:spacing w:before="69" w:lineRule="auto"/>
        <w:ind w:left="1461" w:right="700" w:hanging="709"/>
        <w:jc w:val="both"/>
        <w:rPr/>
      </w:pPr>
      <w:r w:rsidDel="00000000" w:rsidR="00000000" w:rsidRPr="00000000">
        <w:rPr>
          <w:rtl w:val="0"/>
        </w:rPr>
        <w:t xml:space="preserve">O Termo de Responsabilidade sobre a ata de registro de preços compõe anexo a esta Ata de Registro de Preços.</w:t>
      </w:r>
    </w:p>
    <w:p w:rsidR="00000000" w:rsidDel="00000000" w:rsidP="00000000" w:rsidRDefault="00000000" w:rsidRPr="00000000" w14:paraId="000000CD">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firstLine="0"/>
        <w:jc w:val="both"/>
        <w:rPr>
          <w:color w:val="000000"/>
          <w:highlight w:val="yellow"/>
        </w:rPr>
      </w:pPr>
      <w:r w:rsidDel="00000000" w:rsidR="00000000" w:rsidRPr="00000000">
        <w:rPr>
          <w:rtl w:val="0"/>
        </w:rPr>
      </w:r>
    </w:p>
    <w:p w:rsidR="00000000" w:rsidDel="00000000" w:rsidP="00000000" w:rsidRDefault="00000000" w:rsidRPr="00000000" w14:paraId="000000CE">
      <w:pPr>
        <w:rPr/>
      </w:pPr>
      <w:r w:rsidDel="00000000" w:rsidR="00000000" w:rsidRPr="00000000">
        <w:rPr>
          <w:rtl w:val="0"/>
        </w:rPr>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61"/>
          <w:tab w:val="left" w:leader="none" w:pos="1462"/>
        </w:tabs>
        <w:spacing w:after="0" w:before="0" w:line="240" w:lineRule="auto"/>
        <w:ind w:left="1461" w:right="0" w:firstLine="0"/>
        <w:jc w:val="left"/>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0">
      <w:pPr>
        <w:pBdr>
          <w:top w:color="000000" w:space="0" w:sz="0" w:val="none"/>
          <w:left w:color="000000" w:space="0" w:sz="0" w:val="none"/>
          <w:bottom w:color="000000" w:space="0" w:sz="0" w:val="none"/>
          <w:right w:color="000000" w:space="0" w:sz="0" w:val="none"/>
          <w:between w:color="000000" w:space="0" w:sz="0" w:val="none"/>
        </w:pBdr>
        <w:spacing w:before="8" w:lineRule="auto"/>
        <w:rPr>
          <w:color w:val="000000"/>
        </w:rPr>
      </w:pPr>
      <w:r w:rsidDel="00000000" w:rsidR="00000000" w:rsidRPr="00000000">
        <w:rPr>
          <w:rtl w:val="0"/>
        </w:rPr>
      </w:r>
    </w:p>
    <w:p w:rsidR="00000000" w:rsidDel="00000000" w:rsidP="00000000" w:rsidRDefault="00000000" w:rsidRPr="00000000" w14:paraId="000000D1">
      <w:pPr>
        <w:pBdr>
          <w:top w:color="000000" w:space="0" w:sz="0" w:val="none"/>
          <w:left w:color="000000" w:space="0" w:sz="0" w:val="none"/>
          <w:bottom w:color="000000" w:space="0" w:sz="0" w:val="none"/>
          <w:right w:color="000000" w:space="0" w:sz="0" w:val="none"/>
          <w:between w:color="000000" w:space="0" w:sz="0" w:val="none"/>
        </w:pBdr>
        <w:tabs>
          <w:tab w:val="left" w:leader="none" w:pos="2976"/>
          <w:tab w:val="left" w:leader="none" w:pos="4504"/>
        </w:tabs>
        <w:ind w:left="1473" w:firstLine="0"/>
        <w:jc w:val="both"/>
        <w:rPr>
          <w:color w:val="000000"/>
        </w:rPr>
      </w:pPr>
      <w:r w:rsidDel="00000000" w:rsidR="00000000" w:rsidRPr="00000000">
        <w:rPr>
          <w:color w:val="000000"/>
          <w:rtl w:val="0"/>
        </w:rPr>
        <w:t xml:space="preserve">Niterói, RJ,</w:t>
      </w:r>
      <w:r w:rsidDel="00000000" w:rsidR="00000000" w:rsidRPr="00000000">
        <w:rPr>
          <w:color w:val="000000"/>
          <w:u w:val="single"/>
          <w:rtl w:val="0"/>
        </w:rPr>
        <w:tab/>
      </w:r>
      <w:r w:rsidDel="00000000" w:rsidR="00000000" w:rsidRPr="00000000">
        <w:rPr>
          <w:color w:val="000000"/>
          <w:rtl w:val="0"/>
        </w:rPr>
        <w:t xml:space="preserve">de</w:t>
      </w:r>
      <w:r w:rsidDel="00000000" w:rsidR="00000000" w:rsidRPr="00000000">
        <w:rPr>
          <w:color w:val="000000"/>
          <w:u w:val="single"/>
          <w:rtl w:val="0"/>
        </w:rPr>
        <w:tab/>
      </w:r>
      <w:r w:rsidDel="00000000" w:rsidR="00000000" w:rsidRPr="00000000">
        <w:rPr>
          <w:color w:val="000000"/>
          <w:rtl w:val="0"/>
        </w:rPr>
        <w:t xml:space="preserve">de </w:t>
      </w:r>
      <w:r w:rsidDel="00000000" w:rsidR="00000000" w:rsidRPr="00000000">
        <w:rPr>
          <w:rtl w:val="0"/>
        </w:rPr>
        <w:t xml:space="preserve">2025</w:t>
      </w:r>
      <w:r w:rsidDel="00000000" w:rsidR="00000000" w:rsidRPr="00000000">
        <w:rPr>
          <w:color w:val="000000"/>
          <w:rtl w:val="0"/>
        </w:rPr>
        <w:t xml:space="preserve">.</w:t>
      </w:r>
    </w:p>
    <w:p w:rsidR="00000000" w:rsidDel="00000000" w:rsidP="00000000" w:rsidRDefault="00000000" w:rsidRPr="00000000" w14:paraId="000000D2">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D3">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D4">
      <w:pPr>
        <w:pBdr>
          <w:top w:color="000000" w:space="0" w:sz="0" w:val="none"/>
          <w:left w:color="000000" w:space="0" w:sz="0" w:val="none"/>
          <w:bottom w:color="000000" w:space="0" w:sz="0" w:val="none"/>
          <w:right w:color="000000" w:space="0" w:sz="0" w:val="none"/>
          <w:between w:color="000000" w:space="0" w:sz="0" w:val="none"/>
        </w:pBdr>
        <w:spacing w:before="6" w:lineRule="auto"/>
        <w:rPr>
          <w:color w:val="000000"/>
        </w:rPr>
      </w:pPr>
      <w:r w:rsidDel="00000000" w:rsidR="00000000" w:rsidRPr="00000000">
        <w:rPr>
          <w:rtl w:val="0"/>
        </w:rPr>
      </w:r>
    </w:p>
    <w:p w:rsidR="00000000" w:rsidDel="00000000" w:rsidP="00000000" w:rsidRDefault="00000000" w:rsidRPr="00000000" w14:paraId="000000D5">
      <w:pPr>
        <w:pBdr>
          <w:top w:color="000000" w:space="0" w:sz="0" w:val="none"/>
          <w:left w:color="000000" w:space="0" w:sz="0" w:val="none"/>
          <w:bottom w:color="000000" w:space="0" w:sz="0" w:val="none"/>
          <w:right w:color="000000" w:space="0" w:sz="0" w:val="none"/>
          <w:between w:color="000000" w:space="0" w:sz="0" w:val="none"/>
        </w:pBdr>
        <w:ind w:left="3564" w:right="3551" w:firstLine="0"/>
        <w:jc w:val="center"/>
        <w:rPr>
          <w:color w:val="000000"/>
        </w:rPr>
      </w:pPr>
      <w:r w:rsidDel="00000000" w:rsidR="00000000" w:rsidRPr="00000000">
        <w:rPr>
          <w:color w:val="bebebe"/>
          <w:rtl w:val="0"/>
        </w:rPr>
        <w:t xml:space="preserve">DOCUMENTO ASSINADO ELETRONICAMENTE</w:t>
      </w:r>
      <w:r w:rsidDel="00000000" w:rsidR="00000000" w:rsidRPr="00000000">
        <w:rPr>
          <w:rtl w:val="0"/>
        </w:rPr>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3564" w:right="3553" w:firstLine="0"/>
        <w:jc w:val="center"/>
        <w:rPr>
          <w:rFonts w:ascii="Calibri" w:cs="Calibri" w:eastAsia="Calibri" w:hAnsi="Calibri"/>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1"/>
          <w:i w:val="0"/>
          <w:smallCaps w:val="0"/>
          <w:strike w:val="0"/>
          <w:color w:val="000000"/>
          <w:sz w:val="22"/>
          <w:szCs w:val="22"/>
          <w:u w:val="none"/>
          <w:shd w:fill="auto" w:val="clear"/>
          <w:vertAlign w:val="baseline"/>
          <w:rtl w:val="0"/>
        </w:rPr>
        <w:t xml:space="preserve">VERA LÚCIA LAVRADO CUPELLO CAJAZEIRAS</w:t>
      </w:r>
    </w:p>
    <w:p w:rsidR="00000000" w:rsidDel="00000000" w:rsidP="00000000" w:rsidRDefault="00000000" w:rsidRPr="00000000" w14:paraId="000000D7">
      <w:pPr>
        <w:pBdr>
          <w:top w:color="000000" w:space="0" w:sz="0" w:val="none"/>
          <w:left w:color="000000" w:space="0" w:sz="0" w:val="none"/>
          <w:bottom w:color="000000" w:space="0" w:sz="0" w:val="none"/>
          <w:right w:color="000000" w:space="0" w:sz="0" w:val="none"/>
          <w:between w:color="000000" w:space="0" w:sz="0" w:val="none"/>
        </w:pBdr>
        <w:ind w:left="3564" w:right="3551" w:firstLine="0"/>
        <w:jc w:val="center"/>
        <w:rPr>
          <w:color w:val="000000"/>
        </w:rPr>
      </w:pPr>
      <w:r w:rsidDel="00000000" w:rsidR="00000000" w:rsidRPr="00000000">
        <w:rPr>
          <w:color w:val="000000"/>
          <w:rtl w:val="0"/>
        </w:rPr>
        <w:t xml:space="preserve">Pró-Reitora de Administração</w:t>
      </w:r>
    </w:p>
    <w:p w:rsidR="00000000" w:rsidDel="00000000" w:rsidP="00000000" w:rsidRDefault="00000000" w:rsidRPr="00000000" w14:paraId="000000D8">
      <w:pPr>
        <w:rPr>
          <w:color w:val="000000"/>
        </w:rPr>
      </w:pPr>
      <w:r w:rsidDel="00000000" w:rsidR="00000000" w:rsidRPr="00000000">
        <w:rPr>
          <w:rtl w:val="0"/>
        </w:rPr>
      </w:r>
    </w:p>
    <w:sectPr>
      <w:pgSz w:h="16840" w:w="11910" w:orient="portrait"/>
      <w:pgMar w:bottom="280" w:top="460" w:left="380" w:right="3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1313" w:hanging="844"/>
      </w:pPr>
      <w:rPr/>
    </w:lvl>
    <w:lvl w:ilvl="1">
      <w:start w:val="1"/>
      <w:numFmt w:val="decimal"/>
      <w:lvlText w:val="%1.%2."/>
      <w:lvlJc w:val="left"/>
      <w:pPr>
        <w:ind w:left="1313" w:hanging="844"/>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lvl>
    <w:lvl w:ilvl="5">
      <w:start w:val="0"/>
      <w:numFmt w:val="bullet"/>
      <w:lvlText w:val="•"/>
      <w:lvlJc w:val="left"/>
      <w:pPr>
        <w:ind w:left="5611" w:hanging="846"/>
      </w:pPr>
      <w:rPr/>
    </w:lvl>
    <w:lvl w:ilvl="6">
      <w:start w:val="0"/>
      <w:numFmt w:val="bullet"/>
      <w:lvlText w:val="•"/>
      <w:lvlJc w:val="left"/>
      <w:pPr>
        <w:ind w:left="6648" w:hanging="846.0000000000018"/>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2">
    <w:lvl w:ilvl="0">
      <w:start w:val="3"/>
      <w:numFmt w:val="decimal"/>
      <w:lvlText w:val="%1."/>
      <w:lvlJc w:val="left"/>
      <w:pPr>
        <w:ind w:left="1461" w:hanging="709.0000000000001"/>
      </w:pPr>
      <w:rPr>
        <w:rFonts w:ascii="Calibri" w:cs="Calibri" w:eastAsia="Calibri" w:hAnsi="Calibri"/>
        <w:b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
      </w:pPr>
      <w:rPr/>
    </w:lvl>
    <w:lvl w:ilvl="4">
      <w:start w:val="0"/>
      <w:numFmt w:val="bullet"/>
      <w:lvlText w:val="•"/>
      <w:lvlJc w:val="left"/>
      <w:pPr>
        <w:ind w:left="4702" w:hanging="709.0000000000005"/>
      </w:pPr>
      <w:rPr/>
    </w:lvl>
    <w:lvl w:ilvl="5">
      <w:start w:val="0"/>
      <w:numFmt w:val="bullet"/>
      <w:lvlText w:val="•"/>
      <w:lvlJc w:val="left"/>
      <w:pPr>
        <w:ind w:left="5782" w:hanging="708"/>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3">
    <w:lvl w:ilvl="0">
      <w:start w:val="5"/>
      <w:numFmt w:val="decimal"/>
      <w:lvlText w:val="%1"/>
      <w:lvlJc w:val="left"/>
      <w:pPr>
        <w:ind w:left="612" w:hanging="612"/>
      </w:pPr>
      <w:rPr/>
    </w:lvl>
    <w:lvl w:ilvl="1">
      <w:start w:val="4"/>
      <w:numFmt w:val="decimal"/>
      <w:lvlText w:val="%1.%2"/>
      <w:lvlJc w:val="left"/>
      <w:pPr>
        <w:ind w:left="1561" w:hanging="612.0000000000002"/>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2"/>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2"/>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pt-PT"/>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ind w:left="1461" w:hanging="710"/>
    </w:pPr>
    <w:rPr>
      <w:b w:val="1"/>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1" w:default="1">
    <w:name w:val="Normal"/>
    <w:uiPriority w:val="0"/>
    <w:qFormat w:val="1"/>
    <w:pPr>
      <w:widowControl w:val="0"/>
    </w:pPr>
    <w:rPr>
      <w:rFonts w:ascii="Calibri" w:cs="Calibri" w:eastAsia="Calibri" w:hAnsi="Calibri"/>
      <w:sz w:val="22"/>
      <w:szCs w:val="22"/>
      <w:lang w:val="pt-PT"/>
    </w:rPr>
  </w:style>
  <w:style w:type="paragraph" w:styleId="2">
    <w:name w:val="heading 1"/>
    <w:basedOn w:val="1"/>
    <w:next w:val="1"/>
    <w:uiPriority w:val="9"/>
    <w:qFormat w:val="1"/>
    <w:pPr>
      <w:ind w:left="1461" w:hanging="710"/>
      <w:outlineLvl w:val="0"/>
    </w:pPr>
    <w:rPr>
      <w:b w:val="1"/>
      <w:bCs w:val="1"/>
    </w:rPr>
  </w:style>
  <w:style w:type="paragraph" w:styleId="3">
    <w:name w:val="heading 2"/>
    <w:basedOn w:val="1"/>
    <w:next w:val="1"/>
    <w:uiPriority w:val="0"/>
    <w:pPr>
      <w:keepNext w:val="1"/>
      <w:keepLines w:val="1"/>
      <w:spacing w:after="80" w:before="360"/>
      <w:outlineLvl w:val="1"/>
    </w:pPr>
    <w:rPr>
      <w:b w:val="1"/>
      <w:sz w:val="36"/>
      <w:szCs w:val="36"/>
    </w:rPr>
  </w:style>
  <w:style w:type="paragraph" w:styleId="4">
    <w:name w:val="heading 3"/>
    <w:basedOn w:val="1"/>
    <w:next w:val="1"/>
    <w:uiPriority w:val="0"/>
    <w:pPr>
      <w:keepNext w:val="1"/>
      <w:keepLines w:val="1"/>
      <w:spacing w:after="80" w:before="280"/>
      <w:outlineLvl w:val="2"/>
    </w:pPr>
    <w:rPr>
      <w:b w:val="1"/>
      <w:sz w:val="28"/>
      <w:szCs w:val="28"/>
    </w:rPr>
  </w:style>
  <w:style w:type="paragraph" w:styleId="5">
    <w:name w:val="heading 4"/>
    <w:basedOn w:val="1"/>
    <w:next w:val="1"/>
    <w:uiPriority w:val="0"/>
    <w:pPr>
      <w:keepNext w:val="1"/>
      <w:keepLines w:val="1"/>
      <w:spacing w:after="40" w:before="240"/>
      <w:outlineLvl w:val="3"/>
    </w:pPr>
    <w:rPr>
      <w:b w:val="1"/>
      <w:sz w:val="24"/>
      <w:szCs w:val="24"/>
    </w:rPr>
  </w:style>
  <w:style w:type="paragraph" w:styleId="6">
    <w:name w:val="heading 5"/>
    <w:basedOn w:val="1"/>
    <w:next w:val="1"/>
    <w:uiPriority w:val="0"/>
    <w:pPr>
      <w:keepNext w:val="1"/>
      <w:keepLines w:val="1"/>
      <w:spacing w:after="40" w:before="220"/>
      <w:outlineLvl w:val="4"/>
    </w:pPr>
    <w:rPr>
      <w:b w:val="1"/>
    </w:rPr>
  </w:style>
  <w:style w:type="paragraph" w:styleId="7">
    <w:name w:val="heading 6"/>
    <w:basedOn w:val="1"/>
    <w:next w:val="1"/>
    <w:uiPriority w:val="0"/>
    <w:pPr>
      <w:keepNext w:val="1"/>
      <w:keepLines w:val="1"/>
      <w:spacing w:after="40" w:before="200"/>
      <w:outlineLvl w:val="5"/>
    </w:pPr>
    <w:rPr>
      <w:b w:val="1"/>
      <w:sz w:val="20"/>
      <w:szCs w:val="20"/>
    </w:rPr>
  </w:style>
  <w:style w:type="character" w:styleId="8" w:default="1">
    <w:name w:val="Default Paragraph Font"/>
    <w:uiPriority w:val="1"/>
    <w:semiHidden w:val="1"/>
    <w:unhideWhenUsed w:val="1"/>
  </w:style>
  <w:style w:type="table" w:styleId="9" w:default="1">
    <w:name w:val="Normal Table"/>
    <w:uiPriority w:val="99"/>
    <w:semiHidden w:val="1"/>
    <w:unhideWhenUsed w:val="1"/>
    <w:tblPr>
      <w:tblCellMar>
        <w:top w:w="0.0" w:type="dxa"/>
        <w:left w:w="108.0" w:type="dxa"/>
        <w:bottom w:w="0.0" w:type="dxa"/>
        <w:right w:w="108.0" w:type="dxa"/>
      </w:tblCellMar>
    </w:tblPr>
  </w:style>
  <w:style w:type="character" w:styleId="10">
    <w:name w:val="annotation reference"/>
    <w:basedOn w:val="8"/>
    <w:uiPriority w:val="0"/>
    <w:semiHidden w:val="1"/>
    <w:unhideWhenUsed w:val="1"/>
    <w:qFormat w:val="1"/>
    <w:rPr>
      <w:sz w:val="16"/>
      <w:szCs w:val="16"/>
    </w:rPr>
  </w:style>
  <w:style w:type="paragraph" w:styleId="11">
    <w:name w:val="Body Text"/>
    <w:basedOn w:val="1"/>
    <w:uiPriority w:val="1"/>
    <w:qFormat w:val="1"/>
    <w:pPr>
      <w:ind w:left="752"/>
      <w:jc w:val="both"/>
    </w:pPr>
  </w:style>
  <w:style w:type="paragraph" w:styleId="12">
    <w:name w:val="annotation text"/>
    <w:basedOn w:val="1"/>
    <w:link w:val="22"/>
    <w:uiPriority w:val="0"/>
    <w:unhideWhenUsed w:val="1"/>
    <w:pPr>
      <w:widowControl w:val="1"/>
    </w:pPr>
    <w:rPr>
      <w:rFonts w:ascii="Ecofont_Spranq_eco_Sans" w:cs="Tahoma" w:eastAsia="Times New Roman" w:hAnsi="Ecofont_Spranq_eco_Sans"/>
      <w:sz w:val="20"/>
      <w:szCs w:val="20"/>
      <w:lang w:val="pt-BR"/>
    </w:rPr>
  </w:style>
  <w:style w:type="paragraph" w:styleId="13">
    <w:name w:val="Title"/>
    <w:basedOn w:val="1"/>
    <w:next w:val="1"/>
    <w:uiPriority w:val="0"/>
    <w:pPr>
      <w:keepNext w:val="1"/>
      <w:keepLines w:val="1"/>
      <w:spacing w:after="120" w:before="480"/>
    </w:pPr>
    <w:rPr>
      <w:b w:val="1"/>
      <w:sz w:val="72"/>
      <w:szCs w:val="72"/>
    </w:rPr>
  </w:style>
  <w:style w:type="paragraph" w:styleId="14">
    <w:name w:val="header"/>
    <w:basedOn w:val="1"/>
    <w:link w:val="36"/>
    <w:uiPriority w:val="99"/>
    <w:unhideWhenUsed w:val="1"/>
    <w:qFormat w:val="1"/>
    <w:pPr>
      <w:tabs>
        <w:tab w:val="center" w:pos="4252"/>
        <w:tab w:val="right" w:pos="8504"/>
      </w:tabs>
    </w:pPr>
  </w:style>
  <w:style w:type="paragraph" w:styleId="15">
    <w:name w:val="footer"/>
    <w:basedOn w:val="1"/>
    <w:link w:val="37"/>
    <w:uiPriority w:val="99"/>
    <w:unhideWhenUsed w:val="1"/>
    <w:qFormat w:val="1"/>
    <w:pPr>
      <w:tabs>
        <w:tab w:val="center" w:pos="4252"/>
        <w:tab w:val="right" w:pos="8504"/>
      </w:tabs>
    </w:pPr>
  </w:style>
  <w:style w:type="paragraph" w:styleId="16">
    <w:name w:val="Balloon Text"/>
    <w:basedOn w:val="1"/>
    <w:link w:val="40"/>
    <w:uiPriority w:val="99"/>
    <w:semiHidden w:val="1"/>
    <w:unhideWhenUsed w:val="1"/>
    <w:qFormat w:val="1"/>
    <w:rPr>
      <w:rFonts w:ascii="Tahoma" w:cs="Tahoma" w:hAnsi="Tahoma"/>
      <w:sz w:val="16"/>
      <w:szCs w:val="16"/>
    </w:rPr>
  </w:style>
  <w:style w:type="paragraph" w:styleId="17">
    <w:name w:val="Subtitle"/>
    <w:basedOn w:val="1"/>
    <w:next w:val="1"/>
    <w:uiPriority w:val="0"/>
    <w:qFormat w:val="1"/>
    <w:pPr>
      <w:keepNext w:val="1"/>
      <w:keepLines w:val="1"/>
      <w:spacing w:after="80" w:before="360"/>
    </w:pPr>
    <w:rPr>
      <w:rFonts w:ascii="Georgia" w:cs="Georgia" w:eastAsia="Georgia" w:hAnsi="Georgia"/>
      <w:i w:val="1"/>
      <w:color w:val="666666"/>
      <w:sz w:val="48"/>
      <w:szCs w:val="48"/>
    </w:rPr>
  </w:style>
  <w:style w:type="table" w:styleId="18" w:customStyle="1">
    <w:name w:val="Table Normal"/>
    <w:uiPriority w:val="2"/>
    <w:semiHidden w:val="1"/>
    <w:unhideWhenUsed w:val="1"/>
    <w:qFormat w:val="1"/>
    <w:tblPr>
      <w:tblCellMar>
        <w:top w:w="0.0" w:type="dxa"/>
        <w:left w:w="0.0" w:type="dxa"/>
        <w:bottom w:w="0.0" w:type="dxa"/>
        <w:right w:w="0.0" w:type="dxa"/>
      </w:tblCellMar>
    </w:tblPr>
  </w:style>
  <w:style w:type="paragraph" w:styleId="19">
    <w:name w:val="List Paragraph"/>
    <w:basedOn w:val="1"/>
    <w:uiPriority w:val="1"/>
    <w:qFormat w:val="1"/>
    <w:pPr>
      <w:spacing w:before="70"/>
      <w:ind w:left="752"/>
      <w:jc w:val="both"/>
    </w:pPr>
  </w:style>
  <w:style w:type="paragraph" w:styleId="20" w:customStyle="1">
    <w:name w:val="Table Paragraph"/>
    <w:basedOn w:val="1"/>
    <w:uiPriority w:val="1"/>
    <w:qFormat w:val="1"/>
  </w:style>
  <w:style w:type="paragraph" w:styleId="21" w:customStyle="1">
    <w:name w:val="Nivel 01"/>
    <w:basedOn w:val="2"/>
    <w:next w:val="1"/>
    <w:link w:val="31"/>
    <w:uiPriority w:val="0"/>
    <w:qFormat w:val="1"/>
    <w:pPr>
      <w:keepNext w:val="1"/>
      <w:keepLines w:val="1"/>
      <w:widowControl w:val="1"/>
      <w:tabs>
        <w:tab w:val="left" w:pos="567"/>
      </w:tabs>
      <w:spacing w:after="120" w:before="120" w:line="276" w:lineRule="auto"/>
      <w:ind w:left="0" w:firstLine="0"/>
      <w:jc w:val="both"/>
    </w:pPr>
    <w:rPr>
      <w:rFonts w:ascii="Arial" w:cs="Arial" w:hAnsi="Arial" w:eastAsiaTheme="majorEastAsia"/>
      <w:sz w:val="20"/>
      <w:szCs w:val="20"/>
      <w:lang w:val="pt-BR"/>
    </w:rPr>
  </w:style>
  <w:style w:type="character" w:styleId="22" w:customStyle="1">
    <w:name w:val="Texto de comentário Char"/>
    <w:basedOn w:val="8"/>
    <w:link w:val="12"/>
    <w:uiPriority w:val="0"/>
    <w:rPr>
      <w:rFonts w:ascii="Ecofont_Spranq_eco_Sans" w:cs="Tahoma" w:eastAsia="Times New Roman" w:hAnsi="Ecofont_Spranq_eco_Sans"/>
      <w:sz w:val="20"/>
      <w:szCs w:val="20"/>
      <w:lang w:eastAsia="pt-BR" w:val="pt-BR"/>
    </w:rPr>
  </w:style>
  <w:style w:type="paragraph" w:styleId="23" w:customStyle="1">
    <w:name w:val="Nivel 2"/>
    <w:basedOn w:val="1"/>
    <w:link w:val="32"/>
    <w:uiPriority w:val="0"/>
    <w:qFormat w:val="1"/>
    <w:pPr>
      <w:widowControl w:val="1"/>
      <w:adjustRightInd w:val="0"/>
      <w:spacing w:after="120" w:before="120" w:line="276" w:lineRule="auto"/>
      <w:jc w:val="both"/>
    </w:pPr>
    <w:rPr>
      <w:rFonts w:ascii="Arial" w:cs="Arial" w:eastAsia="Times New Roman" w:hAnsi="Arial"/>
      <w:sz w:val="20"/>
      <w:szCs w:val="20"/>
      <w:lang w:val="pt-BR"/>
    </w:rPr>
  </w:style>
  <w:style w:type="paragraph" w:styleId="24" w:customStyle="1">
    <w:name w:val="Nível 2 -Red"/>
    <w:basedOn w:val="23"/>
    <w:link w:val="25"/>
    <w:uiPriority w:val="0"/>
    <w:qFormat w:val="1"/>
    <w:rPr>
      <w:i w:val="1"/>
      <w:iCs w:val="1"/>
      <w:color w:val="ff0000"/>
    </w:rPr>
  </w:style>
  <w:style w:type="character" w:styleId="25" w:customStyle="1">
    <w:name w:val="Nível 2 -Red Char"/>
    <w:basedOn w:val="8"/>
    <w:link w:val="24"/>
    <w:uiPriority w:val="0"/>
    <w:rPr>
      <w:rFonts w:ascii="Arial" w:cs="Arial" w:eastAsia="Times New Roman" w:hAnsi="Arial"/>
      <w:i w:val="1"/>
      <w:iCs w:val="1"/>
      <w:color w:val="ff0000"/>
      <w:sz w:val="20"/>
      <w:szCs w:val="20"/>
      <w:lang w:eastAsia="pt-BR" w:val="pt-BR"/>
    </w:rPr>
  </w:style>
  <w:style w:type="paragraph" w:styleId="26" w:customStyle="1">
    <w:name w:val="Nível 3-R"/>
    <w:basedOn w:val="1"/>
    <w:link w:val="28"/>
    <w:uiPriority w:val="0"/>
    <w:qFormat w:val="1"/>
    <w:pPr>
      <w:widowControl w:val="1"/>
      <w:spacing w:after="120" w:before="120" w:line="276" w:lineRule="auto"/>
      <w:ind w:left="2618" w:hanging="720"/>
      <w:jc w:val="both"/>
    </w:pPr>
    <w:rPr>
      <w:rFonts w:ascii="Arial" w:cs="Arial" w:hAnsi="Arial" w:eastAsiaTheme="minorEastAsia"/>
      <w:i w:val="1"/>
      <w:iCs w:val="1"/>
      <w:color w:val="ff0000"/>
      <w:sz w:val="20"/>
      <w:szCs w:val="20"/>
      <w:lang w:val="pt-BR"/>
    </w:rPr>
  </w:style>
  <w:style w:type="paragraph" w:styleId="27" w:customStyle="1">
    <w:name w:val="Nível 4"/>
    <w:basedOn w:val="1"/>
    <w:link w:val="35"/>
    <w:uiPriority w:val="0"/>
    <w:qFormat w:val="1"/>
    <w:pPr>
      <w:widowControl w:val="1"/>
      <w:spacing w:after="120" w:before="120" w:line="276" w:lineRule="auto"/>
      <w:ind w:left="567"/>
      <w:jc w:val="both"/>
    </w:pPr>
    <w:rPr>
      <w:rFonts w:ascii="Arial" w:cs="Arial" w:eastAsia="Times New Roman" w:hAnsi="Arial"/>
      <w:sz w:val="20"/>
      <w:szCs w:val="20"/>
      <w:lang w:val="pt-BR"/>
    </w:rPr>
  </w:style>
  <w:style w:type="character" w:styleId="28" w:customStyle="1">
    <w:name w:val="Nível 3-R Char"/>
    <w:basedOn w:val="8"/>
    <w:link w:val="26"/>
    <w:uiPriority w:val="0"/>
    <w:rPr>
      <w:rFonts w:ascii="Arial" w:cs="Arial" w:hAnsi="Arial" w:eastAsiaTheme="minorEastAsia"/>
      <w:i w:val="1"/>
      <w:iCs w:val="1"/>
      <w:color w:val="ff0000"/>
      <w:sz w:val="20"/>
      <w:szCs w:val="20"/>
      <w:lang w:val="pt-BR"/>
    </w:rPr>
  </w:style>
  <w:style w:type="paragraph" w:styleId="29" w:customStyle="1">
    <w:name w:val="SubTitNN"/>
    <w:basedOn w:val="1"/>
    <w:link w:val="30"/>
    <w:uiPriority w:val="0"/>
    <w:qFormat w:val="1"/>
    <w:pPr>
      <w:widowControl w:val="1"/>
      <w:spacing w:after="120" w:before="240" w:line="276" w:lineRule="auto"/>
      <w:jc w:val="both"/>
    </w:pPr>
    <w:rPr>
      <w:rFonts w:ascii="Arial" w:cs="Arial" w:eastAsia="Times New Roman" w:hAnsi="Arial"/>
      <w:b w:val="1"/>
      <w:bCs w:val="1"/>
      <w:iCs w:val="1"/>
      <w:sz w:val="20"/>
      <w:szCs w:val="20"/>
      <w:lang w:val="pt-BR"/>
    </w:rPr>
  </w:style>
  <w:style w:type="character" w:styleId="30" w:customStyle="1">
    <w:name w:val="SubTitNN Char"/>
    <w:basedOn w:val="8"/>
    <w:link w:val="29"/>
    <w:uiPriority w:val="0"/>
    <w:qFormat w:val="1"/>
    <w:rPr>
      <w:rFonts w:ascii="Arial" w:cs="Arial" w:eastAsia="Times New Roman" w:hAnsi="Arial"/>
      <w:b w:val="1"/>
      <w:bCs w:val="1"/>
      <w:iCs w:val="1"/>
      <w:sz w:val="20"/>
      <w:szCs w:val="20"/>
      <w:lang w:eastAsia="pt-BR" w:val="pt-BR"/>
    </w:rPr>
  </w:style>
  <w:style w:type="character" w:styleId="31" w:customStyle="1">
    <w:name w:val="Nivel 01 Char"/>
    <w:basedOn w:val="8"/>
    <w:link w:val="21"/>
    <w:uiPriority w:val="0"/>
    <w:qFormat w:val="1"/>
    <w:rPr>
      <w:rFonts w:ascii="Arial" w:cs="Arial" w:hAnsi="Arial" w:eastAsiaTheme="majorEastAsia"/>
      <w:b w:val="1"/>
      <w:bCs w:val="1"/>
      <w:sz w:val="20"/>
      <w:szCs w:val="20"/>
      <w:lang w:val="pt-BR"/>
    </w:rPr>
  </w:style>
  <w:style w:type="character" w:styleId="32" w:customStyle="1">
    <w:name w:val="Nivel 2 Char"/>
    <w:basedOn w:val="8"/>
    <w:link w:val="23"/>
    <w:uiPriority w:val="0"/>
    <w:qFormat w:val="1"/>
    <w:locked w:val="1"/>
    <w:rPr>
      <w:rFonts w:ascii="Arial" w:cs="Arial" w:eastAsia="Times New Roman" w:hAnsi="Arial"/>
      <w:sz w:val="20"/>
      <w:szCs w:val="20"/>
      <w:lang w:val="pt-BR"/>
    </w:rPr>
  </w:style>
  <w:style w:type="paragraph" w:styleId="33" w:customStyle="1">
    <w:name w:val="Nível 3"/>
    <w:basedOn w:val="26"/>
    <w:link w:val="34"/>
    <w:uiPriority w:val="0"/>
    <w:qFormat w:val="1"/>
    <w:pPr>
      <w:ind w:left="284" w:firstLine="0"/>
    </w:pPr>
    <w:rPr>
      <w:rFonts w:eastAsia="Times New Roman"/>
      <w:i w:val="0"/>
      <w:iCs w:val="0"/>
    </w:rPr>
  </w:style>
  <w:style w:type="character" w:styleId="34" w:customStyle="1">
    <w:name w:val="Nível 3 Char"/>
    <w:basedOn w:val="28"/>
    <w:link w:val="33"/>
    <w:uiPriority w:val="0"/>
    <w:qFormat w:val="1"/>
    <w:rPr>
      <w:rFonts w:ascii="Arial" w:cs="Arial" w:eastAsia="Times New Roman" w:hAnsi="Arial"/>
      <w:i w:val="0"/>
      <w:iCs w:val="0"/>
      <w:color w:val="ff0000"/>
      <w:sz w:val="20"/>
      <w:szCs w:val="20"/>
      <w:lang w:val="pt-BR"/>
    </w:rPr>
  </w:style>
  <w:style w:type="character" w:styleId="35" w:customStyle="1">
    <w:name w:val="Nível 4 Char"/>
    <w:basedOn w:val="34"/>
    <w:link w:val="27"/>
    <w:uiPriority w:val="0"/>
    <w:qFormat w:val="1"/>
    <w:rPr>
      <w:rFonts w:ascii="Arial" w:cs="Arial" w:eastAsia="Times New Roman" w:hAnsi="Arial"/>
      <w:color w:val="ff0000"/>
      <w:sz w:val="20"/>
      <w:szCs w:val="20"/>
      <w:lang w:val="pt-BR"/>
    </w:rPr>
  </w:style>
  <w:style w:type="character" w:styleId="36" w:customStyle="1">
    <w:name w:val="Cabeçalho Char"/>
    <w:basedOn w:val="8"/>
    <w:link w:val="14"/>
    <w:uiPriority w:val="99"/>
    <w:qFormat w:val="1"/>
    <w:rPr>
      <w:rFonts w:ascii="Calibri" w:cs="Calibri" w:eastAsia="Calibri" w:hAnsi="Calibri"/>
      <w:lang w:val="pt-PT"/>
    </w:rPr>
  </w:style>
  <w:style w:type="character" w:styleId="37" w:customStyle="1">
    <w:name w:val="Rodapé Char"/>
    <w:basedOn w:val="8"/>
    <w:link w:val="15"/>
    <w:uiPriority w:val="99"/>
    <w:qFormat w:val="1"/>
    <w:rPr>
      <w:rFonts w:ascii="Calibri" w:cs="Calibri" w:eastAsia="Calibri" w:hAnsi="Calibri"/>
      <w:lang w:val="pt-PT"/>
    </w:rPr>
  </w:style>
  <w:style w:type="table" w:styleId="38" w:customStyle="1">
    <w:name w:val="_Style 46"/>
    <w:basedOn w:val="18"/>
    <w:uiPriority w:val="0"/>
    <w:qFormat w:val="1"/>
    <w:tblPr>
      <w:tblCellMar>
        <w:top w:w="0.0" w:type="dxa"/>
        <w:left w:w="0.0" w:type="dxa"/>
        <w:bottom w:w="0.0" w:type="dxa"/>
        <w:right w:w="0.0" w:type="dxa"/>
      </w:tblCellMar>
    </w:tblPr>
  </w:style>
  <w:style w:type="table" w:styleId="39" w:customStyle="1">
    <w:name w:val="_Style 47"/>
    <w:basedOn w:val="18"/>
    <w:uiPriority w:val="0"/>
    <w:qFormat w:val="1"/>
    <w:tblPr>
      <w:tblCellMar>
        <w:top w:w="0.0" w:type="dxa"/>
        <w:left w:w="115.0" w:type="dxa"/>
        <w:bottom w:w="0.0" w:type="dxa"/>
        <w:right w:w="115.0" w:type="dxa"/>
      </w:tblCellMar>
    </w:tblPr>
  </w:style>
  <w:style w:type="character" w:styleId="40" w:customStyle="1">
    <w:name w:val="Texto de balão Char"/>
    <w:basedOn w:val="8"/>
    <w:link w:val="16"/>
    <w:uiPriority w:val="99"/>
    <w:semiHidden w:val="1"/>
    <w:qFormat w:val="1"/>
    <w:rPr>
      <w:rFonts w:ascii="Tahoma" w:cs="Tahoma" w:hAnsi="Tahoma"/>
      <w:sz w:val="16"/>
      <w:szCs w:val="16"/>
    </w:rPr>
  </w:style>
  <w:style w:type="table" w:styleId="41" w:customStyle="1">
    <w:name w:val="_Style 51"/>
    <w:basedOn w:val="18"/>
    <w:uiPriority w:val="0"/>
    <w:qFormat w:val="1"/>
    <w:tblPr>
      <w:tblCellMar>
        <w:top w:w="0.0" w:type="dxa"/>
        <w:left w:w="0.0" w:type="dxa"/>
        <w:bottom w:w="0.0" w:type="dxa"/>
        <w:right w:w="0.0" w:type="dxa"/>
      </w:tblCellMar>
    </w:tblPr>
  </w:style>
  <w:style w:type="table" w:styleId="42" w:customStyle="1">
    <w:name w:val="_Style 61"/>
    <w:basedOn w:val="18"/>
    <w:uiPriority w:val="0"/>
    <w:qFormat w:val="1"/>
    <w:tblPr>
      <w:tblCellMar>
        <w:top w:w="0.0" w:type="dxa"/>
        <w:left w:w="115.0" w:type="dxa"/>
        <w:bottom w:w="0.0" w:type="dxa"/>
        <w:right w:w="115.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paragraph" w:styleId="Subtitle">
    <w:name w:val="Subtitle"/>
    <w:basedOn w:val="Normal"/>
    <w:next w:val="Normal"/>
    <w:pPr>
      <w:keepNext w:val="1"/>
      <w:keepLines w:val="1"/>
      <w:pageBreakBefore w:val="0"/>
      <w:widowControl w:val="0"/>
      <w:pBdr>
        <w:top w:space="0" w:sz="0" w:val="nil"/>
        <w:left w:space="0" w:sz="0" w:val="nil"/>
        <w:bottom w:space="0" w:sz="0" w:val="nil"/>
        <w:right w:space="0" w:sz="0" w:val="nil"/>
        <w:between w:space="0" w:sz="0" w:val="nil"/>
      </w:pBdr>
      <w:shd w:fill="auto" w:val="clear"/>
      <w:spacing w:after="80" w:before="360" w:line="240" w:lineRule="auto"/>
      <w:ind w:left="0" w:right="0" w:firstLine="0"/>
      <w:jc w:val="left"/>
    </w:pPr>
    <w:rPr>
      <w:rFonts w:ascii="Georgia" w:cs="Georgia" w:eastAsia="Georgia" w:hAnsi="Georgia"/>
      <w:b w:val="0"/>
      <w:i w:val="1"/>
      <w:smallCaps w:val="0"/>
      <w:strike w:val="0"/>
      <w:color w:val="666666"/>
      <w:sz w:val="48"/>
      <w:szCs w:val="48"/>
      <w:u w:val="none"/>
      <w:shd w:fill="auto" w:val="clear"/>
      <w:vertAlign w:val="baseline"/>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5.png"/><Relationship Id="rId9" Type="http://schemas.openxmlformats.org/officeDocument/2006/relationships/image" Target="media/image1.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2.jp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yKZk8CAL4bH1Kww2UQ8eH16Xjg==">CgMxLjAyCGguZ2pkZ3hzMglpZC5namRneHMyCmlkLjMwajB6bGwyCmlkLjFmb2I5dGUyCmlkLjN6bnlzaDcyCmlkLjJldDkycDAyCWlkLnR5amN3dDIKaWQuM2R5NnZrbTIKaWQuMXQzaDVzZjIKaWQuNGQzNG9nODIKaWQuMnM4ZXlvMTIKaWQuMTdkcDh2dTIKaWQuM3JkY3JqbjgAciExaXE4WnNrQmNBdjctc1p6UzlMcUljWlR2VVM2Uks4RG4=</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1046-12.2.0.19805</vt:lpwstr>
  </property>
  <property fmtid="{D5CDD505-2E9C-101B-9397-08002B2CF9AE}" pid="6" name="ICV">
    <vt:lpwstr>479C19BEAE9041FBB90345D616F03A1C_12</vt:lpwstr>
  </property>
</Properties>
</file>