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line="276" w:lineRule="auto"/>
        <w:rPr>
          <w:rFonts w:ascii="Arial" w:cs="Arial" w:eastAsia="Arial" w:hAnsi="Arial"/>
          <w:color w:val="000000"/>
        </w:rPr>
      </w:pPr>
      <w:r w:rsidDel="00000000" w:rsidR="00000000" w:rsidRPr="00000000">
        <w:rPr>
          <w:rtl w:val="0"/>
        </w:rPr>
      </w:r>
    </w:p>
    <w:tbl>
      <w:tblPr>
        <w:tblStyle w:val="Table1"/>
        <w:tblW w:w="10885.0" w:type="dxa"/>
        <w:jc w:val="left"/>
        <w:tblInd w:w="185.0" w:type="dxa"/>
        <w:tblBorders>
          <w:top w:color="5f5f5f" w:space="0" w:sz="34" w:val="single"/>
          <w:left w:color="5f5f5f" w:space="0" w:sz="34" w:val="single"/>
          <w:bottom w:color="5f5f5f" w:space="0" w:sz="34" w:val="single"/>
          <w:right w:color="5f5f5f" w:space="0" w:sz="34" w:val="single"/>
          <w:insideH w:color="5f5f5f" w:space="0" w:sz="34" w:val="single"/>
          <w:insideV w:color="5f5f5f" w:space="0" w:sz="34" w:val="single"/>
        </w:tblBorders>
        <w:tblLayout w:type="fixed"/>
        <w:tblLook w:val="0000"/>
      </w:tblPr>
      <w:tblGrid>
        <w:gridCol w:w="617"/>
        <w:gridCol w:w="937"/>
        <w:gridCol w:w="2860"/>
        <w:gridCol w:w="911"/>
        <w:gridCol w:w="674"/>
        <w:gridCol w:w="2123"/>
        <w:gridCol w:w="962"/>
        <w:gridCol w:w="1801"/>
        <w:tblGridChange w:id="0">
          <w:tblGrid>
            <w:gridCol w:w="617"/>
            <w:gridCol w:w="937"/>
            <w:gridCol w:w="2860"/>
            <w:gridCol w:w="911"/>
            <w:gridCol w:w="674"/>
            <w:gridCol w:w="2123"/>
            <w:gridCol w:w="962"/>
            <w:gridCol w:w="1801"/>
          </w:tblGrid>
        </w:tblGridChange>
      </w:tblGrid>
      <w:tr>
        <w:trPr>
          <w:cantSplit w:val="0"/>
          <w:trHeight w:val="12578" w:hRule="atLeast"/>
          <w:tblHeader w:val="0"/>
        </w:trPr>
        <w:tc>
          <w:tcPr>
            <w:gridSpan w:val="8"/>
            <w:tcBorders>
              <w:bottom w:color="000000" w:space="0" w:sz="4" w:val="single"/>
            </w:tcBorders>
          </w:tcPr>
          <w:p w:rsidR="00000000" w:rsidDel="00000000" w:rsidP="00000000" w:rsidRDefault="00000000" w:rsidRPr="00000000" w14:paraId="00000002">
            <w:pPr>
              <w:pBdr>
                <w:top w:space="0" w:sz="0" w:val="nil"/>
                <w:left w:space="0" w:sz="0" w:val="nil"/>
                <w:bottom w:space="0" w:sz="0" w:val="nil"/>
                <w:right w:space="0" w:sz="0" w:val="nil"/>
                <w:between w:space="0" w:sz="0" w:val="nil"/>
              </w:pBdr>
              <w:spacing w:before="3" w:lineRule="auto"/>
              <w:rPr>
                <w:rFonts w:ascii="Times New Roman" w:cs="Times New Roman" w:eastAsia="Times New Roman" w:hAnsi="Times New Roman"/>
                <w:color w:val="000000"/>
                <w:sz w:val="5"/>
                <w:szCs w:val="5"/>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tabs>
                <w:tab w:val="left" w:leader="none" w:pos="5001"/>
                <w:tab w:val="left" w:leader="none" w:pos="9053"/>
              </w:tabs>
              <w:ind w:left="629"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33"/>
                <w:szCs w:val="33"/>
                <w:vertAlign w:val="superscript"/>
              </w:rPr>
              <w:drawing>
                <wp:inline distB="0" distT="0" distL="0" distR="0">
                  <wp:extent cx="684860" cy="370331"/>
                  <wp:effectExtent b="0" l="0" r="0" t="0"/>
                  <wp:docPr id="2115606147"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684860" cy="370331"/>
                          </a:xfrm>
                          <a:prstGeom prst="rect"/>
                          <a:ln/>
                        </pic:spPr>
                      </pic:pic>
                    </a:graphicData>
                  </a:graphic>
                </wp:inline>
              </w:drawing>
            </w:r>
            <w:r w:rsidDel="00000000" w:rsidR="00000000" w:rsidRPr="00000000">
              <w:rPr>
                <w:rFonts w:ascii="Times New Roman" w:cs="Times New Roman" w:eastAsia="Times New Roman" w:hAnsi="Times New Roman"/>
                <w:color w:val="000000"/>
                <w:sz w:val="33"/>
                <w:szCs w:val="33"/>
                <w:vertAlign w:val="superscript"/>
                <w:rtl w:val="0"/>
              </w:rPr>
              <w:tab/>
            </w:r>
            <w:r w:rsidDel="00000000" w:rsidR="00000000" w:rsidRPr="00000000">
              <w:rPr>
                <w:rFonts w:ascii="Times New Roman" w:cs="Times New Roman" w:eastAsia="Times New Roman" w:hAnsi="Times New Roman"/>
                <w:color w:val="000000"/>
                <w:sz w:val="20"/>
                <w:szCs w:val="20"/>
              </w:rPr>
              <w:drawing>
                <wp:inline distB="0" distT="0" distL="0" distR="0">
                  <wp:extent cx="628762" cy="617029"/>
                  <wp:effectExtent b="0" l="0" r="0" t="0"/>
                  <wp:docPr id="2115606149"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628762" cy="617029"/>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tl w:val="0"/>
              </w:rPr>
              <w:tab/>
            </w:r>
            <w:r w:rsidDel="00000000" w:rsidR="00000000" w:rsidRPr="00000000">
              <w:rPr>
                <w:rFonts w:ascii="Times New Roman" w:cs="Times New Roman" w:eastAsia="Times New Roman" w:hAnsi="Times New Roman"/>
                <w:color w:val="000000"/>
                <w:sz w:val="33"/>
                <w:szCs w:val="33"/>
                <w:vertAlign w:val="superscript"/>
              </w:rPr>
              <w:drawing>
                <wp:inline distB="0" distT="0" distL="0" distR="0">
                  <wp:extent cx="927176" cy="196596"/>
                  <wp:effectExtent b="0" l="0" r="0" t="0"/>
                  <wp:docPr id="2115606148"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before="8"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ind w:left="3709" w:right="3595" w:firstLine="1.0000000000002274"/>
              <w:jc w:val="center"/>
              <w:rPr>
                <w:b w:val="1"/>
                <w:color w:val="000000"/>
              </w:rPr>
            </w:pPr>
            <w:r w:rsidDel="00000000" w:rsidR="00000000" w:rsidRPr="00000000">
              <w:rPr>
                <w:b w:val="1"/>
                <w:color w:val="000000"/>
                <w:rtl w:val="0"/>
              </w:rPr>
              <w:t xml:space="preserve">MINISTÉRIO DA EDUCAÇÃO UNIVERSIDADE FEDERAL FLUMINENSE PRO REITORIA DE ADMINISTRAÇÃO</w:t>
            </w:r>
          </w:p>
          <w:p w:rsidR="00000000" w:rsidDel="00000000" w:rsidP="00000000" w:rsidRDefault="00000000" w:rsidRPr="00000000" w14:paraId="00000006">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before="175" w:line="482" w:lineRule="auto"/>
              <w:ind w:left="2681" w:right="2565" w:firstLine="0"/>
              <w:jc w:val="center"/>
              <w:rPr>
                <w:rFonts w:ascii="Arial" w:cs="Arial" w:eastAsia="Arial" w:hAnsi="Arial"/>
                <w:b w:val="1"/>
                <w:color w:val="ff0000"/>
                <w:sz w:val="18"/>
                <w:szCs w:val="18"/>
              </w:rPr>
            </w:pPr>
            <w:r w:rsidDel="00000000" w:rsidR="00000000" w:rsidRPr="00000000">
              <w:rPr>
                <w:rFonts w:ascii="Arial" w:cs="Arial" w:eastAsia="Arial" w:hAnsi="Arial"/>
                <w:b w:val="1"/>
                <w:color w:val="ff0000"/>
                <w:sz w:val="18"/>
                <w:szCs w:val="18"/>
                <w:rtl w:val="0"/>
              </w:rPr>
              <w:t xml:space="preserve">ANEXO VI DO EDITAL DO PE N.º 90.024/2025/AD </w:t>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before="175" w:line="482" w:lineRule="auto"/>
              <w:ind w:left="2681" w:right="2565" w:firstLine="0"/>
              <w:jc w:val="center"/>
              <w:rPr>
                <w:rFonts w:ascii="Arial" w:cs="Arial" w:eastAsia="Arial" w:hAnsi="Arial"/>
                <w:b w:val="1"/>
                <w:color w:val="000000"/>
                <w:sz w:val="18"/>
                <w:szCs w:val="18"/>
              </w:rPr>
            </w:pPr>
            <w:r w:rsidDel="00000000" w:rsidR="00000000" w:rsidRPr="00000000">
              <w:rPr>
                <w:rFonts w:ascii="Arial" w:cs="Arial" w:eastAsia="Arial" w:hAnsi="Arial"/>
                <w:b w:val="1"/>
                <w:color w:val="000000"/>
                <w:sz w:val="18"/>
                <w:szCs w:val="18"/>
                <w:rtl w:val="0"/>
              </w:rPr>
              <w:t xml:space="preserve">MINUTA ATA DE REGISTRO DE PREÇOS</w:t>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before="3" w:lineRule="auto"/>
              <w:rPr>
                <w:rFonts w:ascii="Times New Roman" w:cs="Times New Roman" w:eastAsia="Times New Roman" w:hAnsi="Times New Roman"/>
                <w:color w:val="000000"/>
                <w:sz w:val="21"/>
                <w:szCs w:val="21"/>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pacing w:line="22" w:lineRule="auto"/>
              <w:ind w:left="1254" w:firstLine="0"/>
              <w:rPr>
                <w:rFonts w:ascii="Times New Roman" w:cs="Times New Roman" w:eastAsia="Times New Roman" w:hAnsi="Times New Roman"/>
                <w:color w:val="000000"/>
                <w:sz w:val="2"/>
                <w:szCs w:val="2"/>
              </w:rPr>
            </w:pPr>
            <w:r w:rsidDel="00000000" w:rsidR="00000000" w:rsidRPr="00000000">
              <w:rPr>
                <w:rFonts w:ascii="Times New Roman" w:cs="Times New Roman" w:eastAsia="Times New Roman" w:hAnsi="Times New Roman"/>
                <w:color w:val="000000"/>
                <w:sz w:val="2"/>
                <w:szCs w:val="2"/>
              </w:rPr>
              <mc:AlternateContent>
                <mc:Choice Requires="wpg">
                  <w:drawing>
                    <wp:inline distB="0" distT="0" distL="0" distR="0">
                      <wp:extent cx="5323205" cy="13335"/>
                      <wp:effectExtent b="0" l="0" r="0" t="0"/>
                      <wp:docPr id="2115606145" name=""/>
                      <a:graphic>
                        <a:graphicData uri="http://schemas.microsoft.com/office/word/2010/wordprocessingGroup">
                          <wpg:wgp>
                            <wpg:cNvGrpSpPr/>
                            <wpg:grpSpPr>
                              <a:xfrm>
                                <a:off x="2684375" y="3773325"/>
                                <a:ext cx="5323205" cy="13335"/>
                                <a:chOff x="2684375" y="3773325"/>
                                <a:chExt cx="5323250" cy="13350"/>
                              </a:xfrm>
                            </wpg:grpSpPr>
                            <wpg:grpSp>
                              <wpg:cNvGrpSpPr/>
                              <wpg:grpSpPr>
                                <a:xfrm>
                                  <a:off x="2684398" y="3773333"/>
                                  <a:ext cx="5323205" cy="13335"/>
                                  <a:chOff x="2684375" y="3773100"/>
                                  <a:chExt cx="5323250" cy="13175"/>
                                </a:xfrm>
                              </wpg:grpSpPr>
                              <wps:wsp>
                                <wps:cNvSpPr/>
                                <wps:cNvPr id="4" name="Shape 4"/>
                                <wps:spPr>
                                  <a:xfrm>
                                    <a:off x="2684375" y="3773100"/>
                                    <a:ext cx="5323250" cy="131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7620"/>
                                    <a:chOff x="0" y="0"/>
                                    <a:chExt cx="8383" cy="12"/>
                                  </a:xfrm>
                                </wpg:grpSpPr>
                                <wps:wsp>
                                  <wps:cNvSpPr/>
                                  <wps:cNvPr id="10" name="Shape 10"/>
                                  <wps:spPr>
                                    <a:xfrm>
                                      <a:off x="0" y="0"/>
                                      <a:ext cx="83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 name="Shape 11"/>
                                  <wps:spPr>
                                    <a:xfrm>
                                      <a:off x="0" y="10"/>
                                      <a:ext cx="8383" cy="2"/>
                                    </a:xfrm>
                                    <a:custGeom>
                                      <a:rect b="b" l="l" r="r" t="t"/>
                                      <a:pathLst>
                                        <a:path extrusionOk="0" h="120000" w="8383">
                                          <a:moveTo>
                                            <a:pt x="0" y="0"/>
                                          </a:moveTo>
                                          <a:lnTo>
                                            <a:pt x="2414" y="0"/>
                                          </a:lnTo>
                                          <a:moveTo>
                                            <a:pt x="2416" y="0"/>
                                          </a:moveTo>
                                          <a:lnTo>
                                            <a:pt x="4830" y="0"/>
                                          </a:lnTo>
                                          <a:moveTo>
                                            <a:pt x="4832" y="0"/>
                                          </a:moveTo>
                                          <a:lnTo>
                                            <a:pt x="7246" y="0"/>
                                          </a:lnTo>
                                          <a:moveTo>
                                            <a:pt x="7248" y="0"/>
                                          </a:moveTo>
                                          <a:lnTo>
                                            <a:pt x="8383" y="0"/>
                                          </a:lnTo>
                                        </a:path>
                                      </a:pathLst>
                                    </a:custGeom>
                                    <a:noFill/>
                                    <a:ln cap="flat" cmpd="sng" w="13150">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wgp>
                        </a:graphicData>
                      </a:graphic>
                    </wp:inline>
                  </w:drawing>
                </mc:Choice>
                <mc:Fallback>
                  <w:drawing>
                    <wp:inline distB="0" distT="0" distL="0" distR="0">
                      <wp:extent cx="5323205" cy="13335"/>
                      <wp:effectExtent b="0" l="0" r="0" t="0"/>
                      <wp:docPr id="2115606145" name="image6.png"/>
                      <a:graphic>
                        <a:graphicData uri="http://schemas.openxmlformats.org/drawingml/2006/picture">
                          <pic:pic>
                            <pic:nvPicPr>
                              <pic:cNvPr id="0" name="image6.png"/>
                              <pic:cNvPicPr preferRelativeResize="0"/>
                            </pic:nvPicPr>
                            <pic:blipFill>
                              <a:blip r:embed="rId10"/>
                              <a:srcRect/>
                              <a:stretch>
                                <a:fillRect/>
                              </a:stretch>
                            </pic:blipFill>
                            <pic:spPr>
                              <a:xfrm>
                                <a:off x="0" y="0"/>
                                <a:ext cx="5323205" cy="1333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before="136" w:lineRule="auto"/>
              <w:ind w:left="610" w:right="489" w:firstLine="0"/>
              <w:jc w:val="both"/>
              <w:rPr>
                <w:color w:val="000000"/>
              </w:rPr>
            </w:pPr>
            <w:r w:rsidDel="00000000" w:rsidR="00000000" w:rsidRPr="00000000">
              <w:rPr>
                <w:rtl w:val="0"/>
              </w:rPr>
            </w:r>
          </w:p>
          <w:p w:rsidR="00000000" w:rsidDel="00000000" w:rsidP="00000000" w:rsidRDefault="00000000" w:rsidRPr="00000000" w14:paraId="0000000D">
            <w:pPr>
              <w:tabs>
                <w:tab w:val="center" w:leader="none" w:pos="4779"/>
                <w:tab w:val="right" w:leader="none" w:pos="9198"/>
              </w:tabs>
              <w:spacing w:after="120" w:before="120" w:line="276" w:lineRule="auto"/>
              <w:ind w:left="402" w:right="491" w:firstLine="1016.0000000000001"/>
              <w:jc w:val="both"/>
              <w:rPr/>
            </w:pPr>
            <w:r w:rsidDel="00000000" w:rsidR="00000000" w:rsidRPr="00000000">
              <w:rPr>
                <w:rtl w:val="0"/>
              </w:rPr>
              <w:t xml:space="preserve">A </w:t>
            </w:r>
            <w:r w:rsidDel="00000000" w:rsidR="00000000" w:rsidRPr="00000000">
              <w:rPr>
                <w:b w:val="1"/>
                <w:rtl w:val="0"/>
              </w:rPr>
              <w:t xml:space="preserve">Pró-Reitoria de Administração da Universidade Federal Fluminense (PROAD/UFF), </w:t>
            </w:r>
            <w:r w:rsidDel="00000000" w:rsidR="00000000" w:rsidRPr="00000000">
              <w:rPr>
                <w:rtl w:val="0"/>
              </w:rPr>
              <w:t xml:space="preserve">inscrito no CNPJ/MF sob o nº. 28.523.215/0039-89, situada na Rua Miguel de Frias, 9, 1º andar, Icaraí, Niterói/RJ, CEP 24.220-900, neste ato representada pela Pró-Reitora de Administração, </w:t>
            </w:r>
            <w:r w:rsidDel="00000000" w:rsidR="00000000" w:rsidRPr="00000000">
              <w:rPr>
                <w:b w:val="1"/>
                <w:rtl w:val="0"/>
              </w:rPr>
              <w:t xml:space="preserve">Vera Lucia Lavrado Cupelo Cajazeiras, </w:t>
            </w:r>
            <w:r w:rsidDel="00000000" w:rsidR="00000000" w:rsidRPr="00000000">
              <w:rPr>
                <w:rtl w:val="0"/>
              </w:rPr>
              <w:t xml:space="preserve"> nomeada pela  Portaria nº 68.611/2023, de 10/11/2023, publicada no Boletim de Serviços 14/11/2023, portador da matrícula funcional nº 6308377, considerando o julgamento da licitação na modalidade de pregão, na forma eletrônica, para REGISTRO DE PREÇOS nº 90.024/2025, processo administrativo n.º 23069.151261/2025-64, RESOLVE registrar os preços da(s)  empresa(s) indicada(s) e qualificada(s) nesta ATA, de acordo com a classificação por ela(s) alcançada(s) e na(s)  quantidade(s)  cotada(s), atendendo as condições previstas no Edital de licitação ou Aviso da Contratação Direta, sujeitando-se as partes às normas constantes na Lei nº 14.133, de 1º de abril de 2021, no Decreto n.º 11.462, de 31 de março de 2023, e em conformidade com as disposições a seguir:</w:t>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before="136" w:lineRule="auto"/>
              <w:ind w:left="610" w:right="489" w:firstLine="0"/>
              <w:jc w:val="both"/>
              <w:rPr>
                <w:color w:val="000000"/>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1318"/>
              </w:tabs>
              <w:ind w:left="610" w:firstLine="0"/>
              <w:rPr>
                <w:b w:val="1"/>
                <w:color w:val="000000"/>
              </w:rPr>
            </w:pPr>
            <w:r w:rsidDel="00000000" w:rsidR="00000000" w:rsidRPr="00000000">
              <w:rPr>
                <w:b w:val="1"/>
                <w:color w:val="000000"/>
                <w:rtl w:val="0"/>
              </w:rPr>
              <w:t xml:space="preserve">1.</w:t>
              <w:tab/>
              <w:t xml:space="preserve">DO OBJETO</w:t>
            </w:r>
          </w:p>
          <w:p w:rsidR="00000000" w:rsidDel="00000000" w:rsidP="00000000" w:rsidRDefault="00000000" w:rsidRPr="00000000" w14:paraId="00000010">
            <w:pPr>
              <w:numPr>
                <w:ilvl w:val="1"/>
                <w:numId w:val="2"/>
              </w:numPr>
              <w:pBdr>
                <w:top w:space="0" w:sz="0" w:val="nil"/>
                <w:left w:space="0" w:sz="0" w:val="nil"/>
                <w:bottom w:space="0" w:sz="0" w:val="nil"/>
                <w:right w:space="0" w:sz="0" w:val="nil"/>
                <w:between w:space="0" w:sz="0" w:val="nil"/>
              </w:pBdr>
              <w:tabs>
                <w:tab w:val="left" w:leader="none" w:pos="1314"/>
              </w:tabs>
              <w:spacing w:before="72" w:lineRule="auto"/>
              <w:ind w:left="1313" w:right="489" w:hanging="846"/>
              <w:jc w:val="both"/>
              <w:rPr/>
            </w:pPr>
            <w:r w:rsidDel="00000000" w:rsidR="00000000" w:rsidRPr="00000000">
              <w:rPr>
                <w:color w:val="000000"/>
                <w:rtl w:val="0"/>
              </w:rPr>
              <w:t xml:space="preserve">A presente Ata tem por objeto o registro de preços para a eventual aquisição de </w:t>
            </w:r>
            <w:r w:rsidDel="00000000" w:rsidR="00000000" w:rsidRPr="00000000">
              <w:rPr>
                <w:rtl w:val="0"/>
              </w:rPr>
              <w:t xml:space="preserve">material odontológico 1</w:t>
            </w:r>
            <w:r w:rsidDel="00000000" w:rsidR="00000000" w:rsidRPr="00000000">
              <w:rPr>
                <w:b w:val="1"/>
                <w:rtl w:val="0"/>
              </w:rPr>
              <w:t xml:space="preserve">, </w:t>
            </w:r>
            <w:r w:rsidDel="00000000" w:rsidR="00000000" w:rsidRPr="00000000">
              <w:rPr>
                <w:rtl w:val="0"/>
              </w:rPr>
              <w:t xml:space="preserve">especificado(s) no(s) item(ns) do Termo de Referência e Planilha de Itens, Anexos I e I-A do edital de Pregão nº  90.024/2025, que é parte integrante desta Ata, assim como </w:t>
            </w:r>
            <w:r w:rsidDel="00000000" w:rsidR="00000000" w:rsidRPr="00000000">
              <w:rPr>
                <w:color w:val="000000"/>
                <w:rtl w:val="0"/>
              </w:rPr>
              <w:t xml:space="preserve">a proposta vencedora, independentemente de transcrição.</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before="3" w:lineRule="auto"/>
              <w:rPr>
                <w:rFonts w:ascii="Times New Roman" w:cs="Times New Roman" w:eastAsia="Times New Roman" w:hAnsi="Times New Roman"/>
                <w:color w:val="000000"/>
                <w:sz w:val="29"/>
                <w:szCs w:val="29"/>
              </w:rPr>
            </w:pPr>
            <w:r w:rsidDel="00000000" w:rsidR="00000000" w:rsidRPr="00000000">
              <w:rPr>
                <w:rtl w:val="0"/>
              </w:rPr>
            </w:r>
          </w:p>
          <w:p w:rsidR="00000000" w:rsidDel="00000000" w:rsidP="00000000" w:rsidRDefault="00000000" w:rsidRPr="00000000" w14:paraId="00000012">
            <w:pPr>
              <w:numPr>
                <w:ilvl w:val="2"/>
                <w:numId w:val="2"/>
              </w:numPr>
              <w:pBdr>
                <w:top w:space="0" w:sz="0" w:val="nil"/>
                <w:left w:space="0" w:sz="0" w:val="nil"/>
                <w:bottom w:space="0" w:sz="0" w:val="nil"/>
                <w:right w:space="0" w:sz="0" w:val="nil"/>
                <w:between w:space="0" w:sz="0" w:val="nil"/>
              </w:pBdr>
              <w:tabs>
                <w:tab w:val="left" w:leader="none" w:pos="1462"/>
                <w:tab w:val="left" w:leader="none" w:pos="1463"/>
              </w:tabs>
              <w:ind w:left="1462" w:hanging="846"/>
              <w:rPr>
                <w:b w:val="1"/>
                <w:color w:val="000000"/>
              </w:rPr>
            </w:pPr>
            <w:r w:rsidDel="00000000" w:rsidR="00000000" w:rsidRPr="00000000">
              <w:rPr>
                <w:b w:val="1"/>
                <w:color w:val="000000"/>
                <w:rtl w:val="0"/>
              </w:rPr>
              <w:t xml:space="preserve">DOS PREÇOS, ESPECIFICAÇÕES E QUANTITATIVOS</w:t>
            </w:r>
          </w:p>
          <w:p w:rsidR="00000000" w:rsidDel="00000000" w:rsidP="00000000" w:rsidRDefault="00000000" w:rsidRPr="00000000" w14:paraId="00000013">
            <w:pPr>
              <w:numPr>
                <w:ilvl w:val="3"/>
                <w:numId w:val="2"/>
              </w:numPr>
              <w:pBdr>
                <w:top w:space="0" w:sz="0" w:val="nil"/>
                <w:left w:space="0" w:sz="0" w:val="nil"/>
                <w:bottom w:space="0" w:sz="0" w:val="nil"/>
                <w:right w:space="0" w:sz="0" w:val="nil"/>
                <w:between w:space="0" w:sz="0" w:val="nil"/>
              </w:pBdr>
              <w:tabs>
                <w:tab w:val="left" w:leader="none" w:pos="1462"/>
                <w:tab w:val="left" w:leader="none" w:pos="1463"/>
              </w:tabs>
              <w:spacing w:before="73" w:lineRule="auto"/>
              <w:ind w:left="1462" w:right="488" w:hanging="846"/>
              <w:rPr/>
            </w:pPr>
            <w:r w:rsidDel="00000000" w:rsidR="00000000" w:rsidRPr="00000000">
              <w:rPr>
                <w:color w:val="000000"/>
                <w:rtl w:val="0"/>
              </w:rPr>
              <w:t xml:space="preserve">O preço registrado, as especificações do objeto, a quantidade, fornecedor(es) e as demais condições ofertadas na(s) proposta(s) são as que seguem:</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before="173" w:lineRule="auto"/>
              <w:ind w:left="4309" w:firstLine="0"/>
              <w:rPr>
                <w:b w:val="1"/>
                <w:color w:val="000000"/>
              </w:rPr>
            </w:pPr>
            <w:r w:rsidDel="00000000" w:rsidR="00000000" w:rsidRPr="00000000">
              <w:rPr>
                <w:b w:val="1"/>
                <w:color w:val="000000"/>
                <w:rtl w:val="0"/>
              </w:rPr>
              <w:t xml:space="preserve">Identificação da Empresa</w:t>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5259"/>
                <w:tab w:val="left" w:leader="none" w:pos="8494"/>
              </w:tabs>
              <w:spacing w:before="118" w:line="348" w:lineRule="auto"/>
              <w:ind w:left="610" w:right="2303" w:firstLine="0"/>
              <w:rPr>
                <w:color w:val="000000"/>
                <w:u w:val="single"/>
              </w:rPr>
            </w:pPr>
            <w:r w:rsidDel="00000000" w:rsidR="00000000" w:rsidRPr="00000000">
              <w:rPr>
                <w:color w:val="000000"/>
                <w:rtl w:val="0"/>
              </w:rPr>
              <w:t xml:space="preserve">Razão Social:</w:t>
            </w:r>
            <w:r w:rsidDel="00000000" w:rsidR="00000000" w:rsidRPr="00000000">
              <w:rPr>
                <w:color w:val="000000"/>
                <w:u w:val="single"/>
                <w:rtl w:val="0"/>
              </w:rPr>
              <w:t xml:space="preserve"> </w:t>
              <w:tab/>
              <w:tab/>
            </w:r>
            <w:r w:rsidDel="00000000" w:rsidR="00000000" w:rsidRPr="00000000">
              <w:rPr>
                <w:color w:val="000000"/>
                <w:rtl w:val="0"/>
              </w:rPr>
              <w:t xml:space="preserve"> CNPJ: </w:t>
            </w:r>
            <w:r w:rsidDel="00000000" w:rsidR="00000000" w:rsidRPr="00000000">
              <w:rPr>
                <w:color w:val="000000"/>
                <w:u w:val="single"/>
                <w:rtl w:val="0"/>
              </w:rPr>
              <w:t xml:space="preserve"> </w:t>
              <w:tab/>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5259"/>
                <w:tab w:val="left" w:leader="none" w:pos="8494"/>
              </w:tabs>
              <w:spacing w:before="118" w:line="348" w:lineRule="auto"/>
              <w:ind w:left="610" w:right="2303" w:firstLine="0"/>
              <w:rPr>
                <w:color w:val="000000"/>
              </w:rPr>
            </w:pPr>
            <w:r w:rsidDel="00000000" w:rsidR="00000000" w:rsidRPr="00000000">
              <w:rPr>
                <w:rtl w:val="0"/>
              </w:rPr>
            </w:r>
          </w:p>
        </w:tc>
      </w:tr>
      <w:tr>
        <w:trPr>
          <w:cantSplit w:val="0"/>
          <w:trHeight w:val="901" w:hRule="atLeast"/>
          <w:tblHeader w:val="0"/>
        </w:trPr>
        <w:tc>
          <w:tcPr>
            <w:tcBorders>
              <w:top w:color="000000" w:space="0" w:sz="4" w:val="single"/>
              <w:bottom w:color="000000" w:space="0" w:sz="4" w:val="single"/>
              <w:right w:color="000000" w:space="0" w:sz="4" w:val="single"/>
            </w:tcBorders>
            <w:shd w:fill="d9e0f1" w:val="clear"/>
          </w:tcPr>
          <w:p w:rsidR="00000000" w:rsidDel="00000000" w:rsidP="00000000" w:rsidRDefault="00000000" w:rsidRPr="00000000" w14:paraId="0000001E">
            <w:pPr>
              <w:pBdr>
                <w:top w:space="0" w:sz="0" w:val="nil"/>
                <w:left w:space="0" w:sz="0" w:val="nil"/>
                <w:bottom w:space="0" w:sz="0" w:val="nil"/>
                <w:right w:space="0" w:sz="0" w:val="nil"/>
                <w:between w:space="0" w:sz="0" w:val="nil"/>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ind w:left="56" w:right="5" w:firstLine="0"/>
              <w:jc w:val="center"/>
              <w:rPr>
                <w:b w:val="1"/>
                <w:color w:val="000000"/>
              </w:rPr>
            </w:pPr>
            <w:r w:rsidDel="00000000" w:rsidR="00000000" w:rsidRPr="00000000">
              <w:rPr>
                <w:b w:val="1"/>
                <w:color w:val="000000"/>
                <w:rtl w:val="0"/>
              </w:rPr>
              <w:t xml:space="preserve">ITEM</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0">
            <w:pPr>
              <w:pBdr>
                <w:top w:space="0" w:sz="0" w:val="nil"/>
                <w:left w:space="0" w:sz="0" w:val="nil"/>
                <w:bottom w:space="0" w:sz="0" w:val="nil"/>
                <w:right w:space="0" w:sz="0" w:val="nil"/>
                <w:between w:space="0" w:sz="0" w:val="nil"/>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ind w:left="102" w:firstLine="0"/>
              <w:rPr>
                <w:b w:val="1"/>
                <w:color w:val="000000"/>
              </w:rPr>
            </w:pPr>
            <w:r w:rsidDel="00000000" w:rsidR="00000000" w:rsidRPr="00000000">
              <w:rPr>
                <w:b w:val="1"/>
                <w:color w:val="000000"/>
                <w:rtl w:val="0"/>
              </w:rPr>
              <w:t xml:space="preserve">CATMAT</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2">
            <w:pPr>
              <w:pBdr>
                <w:top w:space="0" w:sz="0" w:val="nil"/>
                <w:left w:space="0" w:sz="0" w:val="nil"/>
                <w:bottom w:space="0" w:sz="0" w:val="nil"/>
                <w:right w:space="0" w:sz="0" w:val="nil"/>
                <w:between w:space="0" w:sz="0" w:val="nil"/>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ind w:left="116" w:firstLine="0"/>
              <w:rPr>
                <w:b w:val="1"/>
                <w:color w:val="000000"/>
              </w:rPr>
            </w:pPr>
            <w:r w:rsidDel="00000000" w:rsidR="00000000" w:rsidRPr="00000000">
              <w:rPr>
                <w:b w:val="1"/>
                <w:color w:val="000000"/>
                <w:rtl w:val="0"/>
              </w:rPr>
              <w:t xml:space="preserve">DESCRIÇÃO COMPLEMENTAR</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4">
            <w:pPr>
              <w:pBdr>
                <w:top w:space="0" w:sz="0" w:val="nil"/>
                <w:left w:space="0" w:sz="0" w:val="nil"/>
                <w:bottom w:space="0" w:sz="0" w:val="nil"/>
                <w:right w:space="0" w:sz="0" w:val="nil"/>
                <w:between w:space="0" w:sz="0" w:val="nil"/>
              </w:pBdr>
              <w:spacing w:before="181" w:lineRule="auto"/>
              <w:ind w:left="101" w:right="11" w:firstLine="166.99999999999994"/>
              <w:rPr>
                <w:b w:val="1"/>
                <w:color w:val="000000"/>
              </w:rPr>
            </w:pPr>
            <w:r w:rsidDel="00000000" w:rsidR="00000000" w:rsidRPr="00000000">
              <w:rPr>
                <w:b w:val="1"/>
                <w:color w:val="000000"/>
                <w:rtl w:val="0"/>
              </w:rPr>
              <w:t xml:space="preserve">UND MEDIDA</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5">
            <w:pPr>
              <w:pBdr>
                <w:top w:space="0" w:sz="0" w:val="nil"/>
                <w:left w:space="0" w:sz="0" w:val="nil"/>
                <w:bottom w:space="0" w:sz="0" w:val="nil"/>
                <w:right w:space="0" w:sz="0" w:val="nil"/>
                <w:between w:space="0" w:sz="0" w:val="nil"/>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ind w:left="99" w:firstLine="0"/>
              <w:rPr>
                <w:b w:val="1"/>
                <w:color w:val="000000"/>
              </w:rPr>
            </w:pPr>
            <w:r w:rsidDel="00000000" w:rsidR="00000000" w:rsidRPr="00000000">
              <w:rPr>
                <w:b w:val="1"/>
                <w:color w:val="000000"/>
                <w:rtl w:val="0"/>
              </w:rPr>
              <w:t xml:space="preserve">QTDA</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7">
            <w:pPr>
              <w:pBdr>
                <w:top w:space="0" w:sz="0" w:val="nil"/>
                <w:left w:space="0" w:sz="0" w:val="nil"/>
                <w:bottom w:space="0" w:sz="0" w:val="nil"/>
                <w:right w:space="0" w:sz="0" w:val="nil"/>
                <w:between w:space="0" w:sz="0" w:val="nil"/>
              </w:pBdr>
              <w:spacing w:before="181" w:lineRule="auto"/>
              <w:ind w:left="1158" w:right="14" w:firstLine="142.99999999999997"/>
              <w:rPr>
                <w:b w:val="1"/>
                <w:color w:val="000000"/>
              </w:rPr>
            </w:pPr>
            <w:r w:rsidDel="00000000" w:rsidR="00000000" w:rsidRPr="00000000">
              <w:rPr>
                <w:b w:val="1"/>
                <w:color w:val="000000"/>
                <w:rtl w:val="0"/>
              </w:rPr>
              <w:t xml:space="preserve">VALOR UNITÁRIO</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8">
            <w:pPr>
              <w:pBdr>
                <w:top w:space="0" w:sz="0" w:val="nil"/>
                <w:left w:space="0" w:sz="0" w:val="nil"/>
                <w:bottom w:space="0" w:sz="0" w:val="nil"/>
                <w:right w:space="0" w:sz="0" w:val="nil"/>
                <w:between w:space="0" w:sz="0" w:val="nil"/>
              </w:pBdr>
              <w:spacing w:before="181" w:lineRule="auto"/>
              <w:ind w:left="209" w:right="113" w:hanging="20"/>
              <w:rPr>
                <w:b w:val="1"/>
                <w:color w:val="000000"/>
              </w:rPr>
            </w:pPr>
            <w:r w:rsidDel="00000000" w:rsidR="00000000" w:rsidRPr="00000000">
              <w:rPr>
                <w:b w:val="1"/>
                <w:color w:val="000000"/>
                <w:rtl w:val="0"/>
              </w:rPr>
              <w:t xml:space="preserve">VALOR TOTAL</w:t>
            </w:r>
          </w:p>
        </w:tc>
        <w:tc>
          <w:tcPr>
            <w:tcBorders>
              <w:top w:color="000000" w:space="0" w:sz="4" w:val="single"/>
              <w:left w:color="000000" w:space="0" w:sz="4" w:val="single"/>
              <w:bottom w:color="000000" w:space="0" w:sz="4" w:val="single"/>
            </w:tcBorders>
            <w:shd w:fill="d9e0f1" w:val="clear"/>
          </w:tcPr>
          <w:p w:rsidR="00000000" w:rsidDel="00000000" w:rsidP="00000000" w:rsidRDefault="00000000" w:rsidRPr="00000000" w14:paraId="00000029">
            <w:pPr>
              <w:pBdr>
                <w:top w:space="0" w:sz="0" w:val="nil"/>
                <w:left w:space="0" w:sz="0" w:val="nil"/>
                <w:bottom w:space="0" w:sz="0" w:val="nil"/>
                <w:right w:space="0" w:sz="0" w:val="nil"/>
                <w:between w:space="0" w:sz="0" w:val="nil"/>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ind w:left="560" w:firstLine="0"/>
              <w:rPr>
                <w:b w:val="1"/>
                <w:color w:val="000000"/>
              </w:rPr>
            </w:pPr>
            <w:r w:rsidDel="00000000" w:rsidR="00000000" w:rsidRPr="00000000">
              <w:rPr>
                <w:b w:val="1"/>
                <w:color w:val="000000"/>
                <w:rtl w:val="0"/>
              </w:rPr>
              <w:t xml:space="preserve">MARCA</w:t>
            </w:r>
          </w:p>
        </w:tc>
      </w:tr>
      <w:tr>
        <w:trPr>
          <w:cantSplit w:val="0"/>
          <w:trHeight w:val="299"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2B">
            <w:pPr>
              <w:pBdr>
                <w:top w:space="0" w:sz="0" w:val="nil"/>
                <w:left w:space="0" w:sz="0" w:val="nil"/>
                <w:bottom w:space="0" w:sz="0" w:val="nil"/>
                <w:right w:space="0" w:sz="0" w:val="nil"/>
                <w:between w:space="0" w:sz="0" w:val="nil"/>
              </w:pBdr>
              <w:spacing w:before="13" w:line="266" w:lineRule="auto"/>
              <w:ind w:left="56" w:right="5" w:firstLine="0"/>
              <w:jc w:val="center"/>
              <w:rPr>
                <w:color w:val="000000"/>
              </w:rPr>
            </w:pPr>
            <w:r w:rsidDel="00000000" w:rsidR="00000000" w:rsidRPr="00000000">
              <w:rPr>
                <w:color w:val="000000"/>
                <w:rtl w:val="0"/>
              </w:rPr>
              <w:t xml:space="preserve">XX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C">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r>
      <w:tr>
        <w:trPr>
          <w:cantSplit w:val="0"/>
          <w:trHeight w:val="299"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33">
            <w:pPr>
              <w:pBdr>
                <w:top w:space="0" w:sz="0" w:val="nil"/>
                <w:left w:space="0" w:sz="0" w:val="nil"/>
                <w:bottom w:space="0" w:sz="0" w:val="nil"/>
                <w:right w:space="0" w:sz="0" w:val="nil"/>
                <w:between w:space="0" w:sz="0" w:val="nil"/>
              </w:pBdr>
              <w:spacing w:before="13" w:line="266" w:lineRule="auto"/>
              <w:ind w:left="56" w:right="5" w:firstLine="0"/>
              <w:jc w:val="center"/>
              <w:rPr>
                <w:color w:val="000000"/>
              </w:rPr>
            </w:pPr>
            <w:r w:rsidDel="00000000" w:rsidR="00000000" w:rsidRPr="00000000">
              <w:rPr>
                <w:color w:val="000000"/>
                <w:rtl w:val="0"/>
              </w:rPr>
              <w:t xml:space="preserve">XX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bookmarkStart w:colFirst="0" w:colLast="0" w:name="_heading=h.1vmazi4pdtv3" w:id="0"/>
            <w:bookmarkEnd w:id="0"/>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r>
      <w:tr>
        <w:trPr>
          <w:cantSplit w:val="0"/>
          <w:trHeight w:val="1294" w:hRule="atLeast"/>
          <w:tblHeader w:val="0"/>
        </w:trPr>
        <w:tc>
          <w:tcPr>
            <w:gridSpan w:val="8"/>
            <w:tcBorders>
              <w:top w:color="000000" w:space="0" w:sz="4" w:val="single"/>
            </w:tcBorders>
          </w:tcPr>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spacing w:before="9" w:lineRule="auto"/>
              <w:rPr>
                <w:rFonts w:ascii="Times New Roman" w:cs="Times New Roman" w:eastAsia="Times New Roman" w:hAnsi="Times New Roman"/>
                <w:color w:val="000000"/>
                <w:sz w:val="29"/>
                <w:szCs w:val="29"/>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spacing w:line="20" w:lineRule="auto"/>
              <w:ind w:left="606" w:firstLine="0"/>
              <w:rPr>
                <w:rFonts w:ascii="Times New Roman" w:cs="Times New Roman" w:eastAsia="Times New Roman" w:hAnsi="Times New Roman"/>
                <w:color w:val="000000"/>
                <w:sz w:val="2"/>
                <w:szCs w:val="2"/>
              </w:rPr>
            </w:pPr>
            <w:r w:rsidDel="00000000" w:rsidR="00000000" w:rsidRPr="00000000">
              <w:rPr>
                <w:rFonts w:ascii="Times New Roman" w:cs="Times New Roman" w:eastAsia="Times New Roman" w:hAnsi="Times New Roman"/>
                <w:color w:val="000000"/>
                <w:sz w:val="2"/>
                <w:szCs w:val="2"/>
              </w:rPr>
              <mc:AlternateContent>
                <mc:Choice Requires="wpg">
                  <w:drawing>
                    <wp:inline distB="0" distT="0" distL="0" distR="0">
                      <wp:extent cx="4312920" cy="5080"/>
                      <wp:effectExtent b="0" l="0" r="0" t="0"/>
                      <wp:docPr id="2115606144" name=""/>
                      <a:graphic>
                        <a:graphicData uri="http://schemas.microsoft.com/office/word/2010/wordprocessingGroup">
                          <wpg:wgp>
                            <wpg:cNvGrpSpPr/>
                            <wpg:grpSpPr>
                              <a:xfrm>
                                <a:off x="3189525" y="3775225"/>
                                <a:ext cx="4312920" cy="5080"/>
                                <a:chOff x="3189525" y="3775225"/>
                                <a:chExt cx="4312950" cy="9550"/>
                              </a:xfrm>
                            </wpg:grpSpPr>
                            <wpg:grpSp>
                              <wpg:cNvGrpSpPr/>
                              <wpg:grpSpPr>
                                <a:xfrm>
                                  <a:off x="3189540" y="3777460"/>
                                  <a:ext cx="4312920" cy="5080"/>
                                  <a:chOff x="3189525" y="3775225"/>
                                  <a:chExt cx="4312300" cy="9550"/>
                                </a:xfrm>
                              </wpg:grpSpPr>
                              <wps:wsp>
                                <wps:cNvSpPr/>
                                <wps:cNvPr id="4" name="Shape 4"/>
                                <wps:spPr>
                                  <a:xfrm>
                                    <a:off x="3189525" y="3775225"/>
                                    <a:ext cx="431230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285" cy="2540"/>
                                    <a:chOff x="0" y="0"/>
                                    <a:chExt cx="6791" cy="4"/>
                                  </a:xfrm>
                                </wpg:grpSpPr>
                                <wps:wsp>
                                  <wps:cNvSpPr/>
                                  <wps:cNvPr id="6" name="Shape 6"/>
                                  <wps:spPr>
                                    <a:xfrm>
                                      <a:off x="0" y="0"/>
                                      <a:ext cx="67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4"/>
                                      <a:ext cx="6791"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wgp>
                        </a:graphicData>
                      </a:graphic>
                    </wp:inline>
                  </w:drawing>
                </mc:Choice>
                <mc:Fallback>
                  <w:drawing>
                    <wp:inline distB="0" distT="0" distL="0" distR="0">
                      <wp:extent cx="4312920" cy="5080"/>
                      <wp:effectExtent b="0" l="0" r="0" t="0"/>
                      <wp:docPr id="2115606144"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4312920" cy="508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tabs>
                <w:tab w:val="left" w:leader="none" w:pos="9024"/>
              </w:tabs>
              <w:ind w:left="1203" w:firstLine="0"/>
              <w:rPr>
                <w:rFonts w:ascii="Verdana" w:cs="Verdana" w:eastAsia="Verdana" w:hAnsi="Verdana"/>
                <w:color w:val="000000"/>
                <w:sz w:val="16"/>
                <w:szCs w:val="16"/>
              </w:rPr>
            </w:pPr>
            <w:r w:rsidDel="00000000" w:rsidR="00000000" w:rsidRPr="00000000">
              <w:rPr>
                <w:rFonts w:ascii="Arial" w:cs="Arial" w:eastAsia="Arial" w:hAnsi="Arial"/>
                <w:color w:val="000000"/>
                <w:sz w:val="12"/>
                <w:szCs w:val="12"/>
                <w:rtl w:val="0"/>
              </w:rPr>
              <w:t xml:space="preserve">Anexo III – Minuta Ata Registro de Preços</w:t>
              <w:tab/>
            </w:r>
            <w:r w:rsidDel="00000000" w:rsidR="00000000" w:rsidRPr="00000000">
              <w:rPr>
                <w:rFonts w:ascii="Verdana" w:cs="Verdana" w:eastAsia="Verdana" w:hAnsi="Verdana"/>
                <w:color w:val="000000"/>
                <w:sz w:val="16"/>
                <w:szCs w:val="16"/>
                <w:rtl w:val="0"/>
              </w:rPr>
              <w:t xml:space="preserve">Pág. 1/8</w:t>
            </w:r>
          </w:p>
        </w:tc>
      </w:tr>
    </w:tbl>
    <w:p w:rsidR="00000000" w:rsidDel="00000000" w:rsidP="00000000" w:rsidRDefault="00000000" w:rsidRPr="00000000" w14:paraId="00000047">
      <w:pPr>
        <w:rPr>
          <w:sz w:val="2"/>
          <w:szCs w:val="2"/>
        </w:rPr>
      </w:pPr>
      <w:r w:rsidDel="00000000" w:rsidR="00000000" w:rsidRPr="00000000">
        <w:rPr>
          <w:rtl w:val="0"/>
        </w:rPr>
      </w:r>
    </w:p>
    <w:p w:rsidR="00000000" w:rsidDel="00000000" w:rsidP="00000000" w:rsidRDefault="00000000" w:rsidRPr="00000000" w14:paraId="00000048">
      <w:pPr>
        <w:rPr>
          <w:rFonts w:ascii="Times New Roman" w:cs="Times New Roman" w:eastAsia="Times New Roman" w:hAnsi="Times New Roman"/>
          <w:sz w:val="20"/>
          <w:szCs w:val="20"/>
        </w:rPr>
      </w:pP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910590</wp:posOffset>
                </wp:positionH>
                <wp:positionV relativeFrom="page">
                  <wp:posOffset>2689226</wp:posOffset>
                </wp:positionV>
                <wp:extent cx="5676900" cy="5311775"/>
                <wp:effectExtent b="0" l="0" r="0" t="0"/>
                <wp:wrapNone/>
                <wp:docPr id="2115606143" name=""/>
                <a:graphic>
                  <a:graphicData uri="http://schemas.microsoft.com/office/word/2010/wordprocessingShape">
                    <wps:wsp>
                      <wps:cNvSpPr/>
                      <wps:cNvPr id="2" name="Shape 2"/>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411"/>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910590</wp:posOffset>
                </wp:positionH>
                <wp:positionV relativeFrom="page">
                  <wp:posOffset>2689226</wp:posOffset>
                </wp:positionV>
                <wp:extent cx="5676900" cy="5311775"/>
                <wp:effectExtent b="0" l="0" r="0" t="0"/>
                <wp:wrapNone/>
                <wp:docPr id="2115606143"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5676900" cy="5311775"/>
                        </a:xfrm>
                        <a:prstGeom prst="rect"/>
                        <a:ln/>
                      </pic:spPr>
                    </pic:pic>
                  </a:graphicData>
                </a:graphic>
              </wp:anchor>
            </w:drawing>
          </mc:Fallback>
        </mc:AlternateContent>
      </w:r>
      <w:r w:rsidDel="00000000" w:rsidR="00000000" w:rsidRPr="00000000">
        <w:rPr>
          <w:rFonts w:ascii="Times New Roman" w:cs="Times New Roman" w:eastAsia="Times New Roman" w:hAnsi="Times New Roman"/>
          <w:sz w:val="20"/>
          <w:szCs w:val="20"/>
          <w:rtl w:val="0"/>
        </w:rPr>
        <w:tab/>
      </w:r>
      <w:r w:rsidDel="00000000" w:rsidR="00000000" w:rsidRPr="00000000">
        <w:rPr>
          <w:rFonts w:ascii="Times New Roman" w:cs="Times New Roman" w:eastAsia="Times New Roman" w:hAnsi="Times New Roman"/>
          <w:sz w:val="33"/>
          <w:szCs w:val="33"/>
          <w:vertAlign w:val="superscript"/>
        </w:rPr>
        <w:drawing>
          <wp:inline distB="0" distT="0" distL="0" distR="0">
            <wp:extent cx="927176" cy="196596"/>
            <wp:effectExtent b="0" l="0" r="0" t="0"/>
            <wp:docPr id="2115606150"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spacing w:before="8" w:lineRule="auto"/>
        <w:rPr>
          <w:rFonts w:ascii="Times New Roman" w:cs="Times New Roman" w:eastAsia="Times New Roman" w:hAnsi="Times New Roman"/>
          <w:color w:val="000000"/>
          <w:sz w:val="15"/>
          <w:szCs w:val="15"/>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spacing w:before="56" w:line="276" w:lineRule="auto"/>
        <w:ind w:left="752" w:right="737" w:firstLine="0"/>
        <w:jc w:val="both"/>
        <w:rPr>
          <w:color w:val="000000"/>
        </w:rPr>
      </w:pPr>
      <w:r w:rsidDel="00000000" w:rsidR="00000000" w:rsidRPr="00000000">
        <w:rPr>
          <w:color w:val="000000"/>
          <w:rtl w:val="0"/>
        </w:rPr>
        <w:t xml:space="preserve">2.2. A listagem do cadastro de reserva referente ao presente registro de preços consta como anexo a esta Ata.</w:t>
      </w:r>
    </w:p>
    <w:p w:rsidR="00000000" w:rsidDel="00000000" w:rsidP="00000000" w:rsidRDefault="00000000" w:rsidRPr="00000000" w14:paraId="0000004B">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4C">
      <w:pPr>
        <w:pStyle w:val="Heading1"/>
        <w:numPr>
          <w:ilvl w:val="0"/>
          <w:numId w:val="1"/>
        </w:numPr>
        <w:tabs>
          <w:tab w:val="left" w:leader="none" w:pos="1461"/>
          <w:tab w:val="left" w:leader="none" w:pos="1462"/>
        </w:tabs>
        <w:spacing w:before="187" w:lineRule="auto"/>
        <w:ind w:left="1461" w:hanging="710"/>
        <w:rPr/>
      </w:pPr>
      <w:r w:rsidDel="00000000" w:rsidR="00000000" w:rsidRPr="00000000">
        <w:rPr>
          <w:rtl w:val="0"/>
        </w:rPr>
        <w:t xml:space="preserve">ÓRGÃO(S) GERENCIADOR E PARTICIPANTE(S)</w:t>
      </w:r>
    </w:p>
    <w:p w:rsidR="00000000" w:rsidDel="00000000" w:rsidP="00000000" w:rsidRDefault="00000000" w:rsidRPr="00000000" w14:paraId="0000004D">
      <w:pPr>
        <w:numPr>
          <w:ilvl w:val="1"/>
          <w:numId w:val="1"/>
        </w:numPr>
        <w:tabs>
          <w:tab w:val="left" w:leader="none" w:pos="1462"/>
        </w:tabs>
        <w:spacing w:before="80" w:lineRule="auto"/>
        <w:ind w:left="1461" w:hanging="709"/>
        <w:jc w:val="both"/>
        <w:rPr>
          <w:color w:val="000000"/>
        </w:rPr>
      </w:pPr>
      <w:r w:rsidDel="00000000" w:rsidR="00000000" w:rsidRPr="00000000">
        <w:rPr>
          <w:color w:val="000000"/>
          <w:rtl w:val="0"/>
        </w:rPr>
        <w:t xml:space="preserve">Além do gerenciador, são órgãos e entidades públicas participantes do registro de preços:</w:t>
      </w:r>
    </w:p>
    <w:p w:rsidR="00000000" w:rsidDel="00000000" w:rsidP="00000000" w:rsidRDefault="00000000" w:rsidRPr="00000000" w14:paraId="0000004E">
      <w:pPr>
        <w:tabs>
          <w:tab w:val="left" w:leader="none" w:pos="1462"/>
        </w:tabs>
        <w:spacing w:before="80" w:lineRule="auto"/>
        <w:ind w:left="752" w:firstLine="0"/>
        <w:jc w:val="both"/>
        <w:rPr>
          <w:color w:val="000000"/>
        </w:rPr>
      </w:pPr>
      <w:r w:rsidDel="00000000" w:rsidR="00000000" w:rsidRPr="00000000">
        <w:rPr>
          <w:rtl w:val="0"/>
        </w:rPr>
      </w:r>
    </w:p>
    <w:tbl>
      <w:tblPr>
        <w:tblStyle w:val="Table2"/>
        <w:tblW w:w="8363.0" w:type="dxa"/>
        <w:jc w:val="left"/>
        <w:tblInd w:w="141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043"/>
        <w:gridCol w:w="4320"/>
        <w:tblGridChange w:id="0">
          <w:tblGrid>
            <w:gridCol w:w="4043"/>
            <w:gridCol w:w="4320"/>
          </w:tblGrid>
        </w:tblGridChange>
      </w:tblGrid>
      <w:tr>
        <w:trPr>
          <w:cantSplit w:val="0"/>
          <w:tblHeader w:val="0"/>
        </w:trPr>
        <w:tc>
          <w:tcPr/>
          <w:p w:rsidR="00000000" w:rsidDel="00000000" w:rsidP="00000000" w:rsidRDefault="00000000" w:rsidRPr="00000000" w14:paraId="0000004F">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Itens nº </w:t>
            </w:r>
          </w:p>
        </w:tc>
        <w:tc>
          <w:tcPr/>
          <w:p w:rsidR="00000000" w:rsidDel="00000000" w:rsidP="00000000" w:rsidRDefault="00000000" w:rsidRPr="00000000" w14:paraId="00000050">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Órgãos Participantes</w:t>
            </w:r>
          </w:p>
        </w:tc>
      </w:tr>
      <w:tr>
        <w:trPr>
          <w:cantSplit w:val="0"/>
          <w:trHeight w:val="1159" w:hRule="atLeast"/>
          <w:tblHeader w:val="0"/>
        </w:trPr>
        <w:tc>
          <w:tcPr/>
          <w:p w:rsidR="00000000" w:rsidDel="00000000" w:rsidP="00000000" w:rsidRDefault="00000000" w:rsidRPr="00000000" w14:paraId="00000051">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sz w:val="20"/>
                <w:szCs w:val="20"/>
                <w:rtl w:val="0"/>
              </w:rPr>
              <w:t xml:space="preserve">01, 02, 04, 09, 10, 11, 12, 13, 15, 17, 18, 19, 20, 22, 25, 27, 28, 31, 21, 34, 35, 36, 40, 47, 49, 53, 54, 56, 57, 59, 62, 68, 69, 70, 76, 79, 85, 86, 87, 95, 97, 98, 100, 101, 115, 116, 117, 120, 121, 123, 127, 129, 130, 132, 133, 134, 135, 137, 140, 141, 142</w:t>
            </w:r>
            <w:r w:rsidDel="00000000" w:rsidR="00000000" w:rsidRPr="00000000">
              <w:rPr>
                <w:rtl w:val="0"/>
              </w:rPr>
            </w:r>
          </w:p>
        </w:tc>
        <w:tc>
          <w:tcPr/>
          <w:p w:rsidR="00000000" w:rsidDel="00000000" w:rsidP="00000000" w:rsidRDefault="00000000" w:rsidRPr="00000000" w14:paraId="00000052">
            <w:pPr>
              <w:rPr/>
            </w:pPr>
            <w:r w:rsidDel="00000000" w:rsidR="00000000" w:rsidRPr="00000000">
              <w:rPr>
                <w:rtl w:val="0"/>
              </w:rPr>
              <w:t xml:space="preserve">ESCOLA DE ARTILHARIA DE COSTA E ANTIAEREA/RJ (UASG 160312)</w:t>
            </w:r>
          </w:p>
        </w:tc>
      </w:tr>
      <w:tr>
        <w:trPr>
          <w:cantSplit w:val="0"/>
          <w:tblHeader w:val="0"/>
        </w:trPr>
        <w:tc>
          <w:tcPr/>
          <w:p w:rsidR="00000000" w:rsidDel="00000000" w:rsidP="00000000" w:rsidRDefault="00000000" w:rsidRPr="00000000" w14:paraId="00000053">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sz w:val="20"/>
                <w:szCs w:val="20"/>
                <w:rtl w:val="0"/>
              </w:rPr>
              <w:t xml:space="preserve">01, 02, 03, 04, 05, 06, 07, 08, 09, 10, 11, 12, 13, 14, 15, 16, 17, 18, 19, 20, 21, 22, 23, 24, 25, 26, 27, 28, 29, 30, 31, 32, 33, 34, 35, 36, 37, 38, 39, 40, 41, 42, 43, 44, 45, 46, 47, 48, 49, 50, 51, 52, 53, 54, 55, 56, 57, 58, 59, 60, 61, 62, 63, 64, 65, 66, 67, 68, 69, 70, 71, 72, 73, 74, 75, 76, 77, 78, 79, 80, 81, 82, 83, 84, 85, 86, 87, 88, 89, 90, 91, 92, 93, 94, 95, 96, 97, 98, 99, 100, 101, 102, 103, 104, 105, 106, 107, 108, 109, 110, 111, 112, 113, 114, 115, 116, 117, 118, 119, 120, 121, 122, 123, 124, 125, 126, 127, 128, 129, 130, 131, 132, 133, 134, 135, 136, 137, 138, 139, 140, 141, 142</w:t>
            </w:r>
            <w:r w:rsidDel="00000000" w:rsidR="00000000" w:rsidRPr="00000000">
              <w:rPr>
                <w:rtl w:val="0"/>
              </w:rPr>
            </w:r>
          </w:p>
        </w:tc>
        <w:tc>
          <w:tcPr/>
          <w:p w:rsidR="00000000" w:rsidDel="00000000" w:rsidP="00000000" w:rsidRDefault="00000000" w:rsidRPr="00000000" w14:paraId="00000054">
            <w:pPr>
              <w:rPr/>
            </w:pPr>
            <w:r w:rsidDel="00000000" w:rsidR="00000000" w:rsidRPr="00000000">
              <w:rPr>
                <w:rtl w:val="0"/>
              </w:rPr>
              <w:t xml:space="preserve">BASE DE FUZILEIROS NAVAIS DO RIO MERITI (UASG 795500)</w:t>
            </w:r>
          </w:p>
        </w:tc>
      </w:tr>
      <w:tr>
        <w:trPr>
          <w:cantSplit w:val="0"/>
          <w:tblHeader w:val="0"/>
        </w:trPr>
        <w:tc>
          <w:tcPr/>
          <w:p w:rsidR="00000000" w:rsidDel="00000000" w:rsidP="00000000" w:rsidRDefault="00000000" w:rsidRPr="00000000" w14:paraId="00000055">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sz w:val="20"/>
                <w:szCs w:val="20"/>
                <w:rtl w:val="0"/>
              </w:rPr>
              <w:t xml:space="preserve">03, 06, 07, 08, 14, 16, 26, 29, 30, 42, 43, 46, 48, 50, 72, 73, 74, 75, 81, 93, 96, 110, 111, 113, 128, 136, 138</w:t>
            </w:r>
            <w:r w:rsidDel="00000000" w:rsidR="00000000" w:rsidRPr="00000000">
              <w:rPr>
                <w:rtl w:val="0"/>
              </w:rPr>
            </w:r>
          </w:p>
        </w:tc>
        <w:tc>
          <w:tcPr/>
          <w:p w:rsidR="00000000" w:rsidDel="00000000" w:rsidP="00000000" w:rsidRDefault="00000000" w:rsidRPr="00000000" w14:paraId="00000056">
            <w:pPr>
              <w:rPr/>
            </w:pPr>
            <w:r w:rsidDel="00000000" w:rsidR="00000000" w:rsidRPr="00000000">
              <w:rPr>
                <w:rtl w:val="0"/>
              </w:rPr>
              <w:t xml:space="preserve">ESCOLA NAVAL (UASG 762400)</w:t>
            </w:r>
          </w:p>
        </w:tc>
      </w:tr>
    </w:tbl>
    <w:p w:rsidR="00000000" w:rsidDel="00000000" w:rsidP="00000000" w:rsidRDefault="00000000" w:rsidRPr="00000000" w14:paraId="00000057">
      <w:pPr>
        <w:tabs>
          <w:tab w:val="left" w:leader="none" w:pos="1462"/>
        </w:tabs>
        <w:spacing w:before="80" w:lineRule="auto"/>
        <w:jc w:val="both"/>
        <w:rPr>
          <w:color w:val="000000"/>
        </w:rPr>
      </w:pPr>
      <w:r w:rsidDel="00000000" w:rsidR="00000000" w:rsidRPr="00000000">
        <w:rPr>
          <w:rtl w:val="0"/>
        </w:rPr>
      </w:r>
    </w:p>
    <w:p w:rsidR="00000000" w:rsidDel="00000000" w:rsidP="00000000" w:rsidRDefault="00000000" w:rsidRPr="00000000" w14:paraId="00000058">
      <w:pPr>
        <w:numPr>
          <w:ilvl w:val="1"/>
          <w:numId w:val="1"/>
        </w:numPr>
        <w:tabs>
          <w:tab w:val="left" w:leader="none" w:pos="1462"/>
        </w:tabs>
        <w:spacing w:before="80" w:lineRule="auto"/>
        <w:ind w:left="1461" w:hanging="709"/>
        <w:jc w:val="both"/>
        <w:rPr/>
      </w:pPr>
      <w:r w:rsidDel="00000000" w:rsidR="00000000" w:rsidRPr="00000000">
        <w:rPr>
          <w:rtl w:val="0"/>
        </w:rPr>
        <w:t xml:space="preserve">A IRP nº </w:t>
      </w:r>
      <w:r w:rsidDel="00000000" w:rsidR="00000000" w:rsidRPr="00000000">
        <w:rPr>
          <w:b w:val="1"/>
          <w:rtl w:val="0"/>
        </w:rPr>
        <w:t xml:space="preserve">008/2025</w:t>
      </w:r>
      <w:r w:rsidDel="00000000" w:rsidR="00000000" w:rsidRPr="00000000">
        <w:rPr>
          <w:rtl w:val="0"/>
        </w:rPr>
        <w:t xml:space="preserve"> foi divulgada, conforme art. 9º do Decreto nº 11.462/2023.</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1155700</wp:posOffset>
                </wp:positionH>
                <wp:positionV relativeFrom="paragraph">
                  <wp:posOffset>165100</wp:posOffset>
                </wp:positionV>
                <wp:extent cx="5676900" cy="5311775"/>
                <wp:effectExtent b="0" l="0" r="0" t="0"/>
                <wp:wrapNone/>
                <wp:docPr id="2115606146" name=""/>
                <a:graphic>
                  <a:graphicData uri="http://schemas.microsoft.com/office/word/2010/wordprocessingShape">
                    <wps:wsp>
                      <wps:cNvSpPr/>
                      <wps:cNvPr id="12" name="Shape 12"/>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9411"/>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1155700</wp:posOffset>
                </wp:positionH>
                <wp:positionV relativeFrom="paragraph">
                  <wp:posOffset>165100</wp:posOffset>
                </wp:positionV>
                <wp:extent cx="5676900" cy="5311775"/>
                <wp:effectExtent b="0" l="0" r="0" t="0"/>
                <wp:wrapNone/>
                <wp:docPr id="2115606146" name="image7.png"/>
                <a:graphic>
                  <a:graphicData uri="http://schemas.openxmlformats.org/drawingml/2006/picture">
                    <pic:pic>
                      <pic:nvPicPr>
                        <pic:cNvPr id="0" name="image7.png"/>
                        <pic:cNvPicPr preferRelativeResize="0"/>
                      </pic:nvPicPr>
                      <pic:blipFill>
                        <a:blip r:embed="rId10"/>
                        <a:srcRect/>
                        <a:stretch>
                          <a:fillRect/>
                        </a:stretch>
                      </pic:blipFill>
                      <pic:spPr>
                        <a:xfrm>
                          <a:off x="0" y="0"/>
                          <a:ext cx="5676900" cy="5311775"/>
                        </a:xfrm>
                        <a:prstGeom prst="rect"/>
                        <a:ln/>
                      </pic:spPr>
                    </pic:pic>
                  </a:graphicData>
                </a:graphic>
              </wp:anchor>
            </w:drawing>
          </mc:Fallback>
        </mc:AlternateContent>
      </w:r>
    </w:p>
    <w:p w:rsidR="00000000" w:rsidDel="00000000" w:rsidP="00000000" w:rsidRDefault="00000000" w:rsidRPr="00000000" w14:paraId="00000059">
      <w:pPr>
        <w:pBdr>
          <w:top w:space="0" w:sz="0" w:val="nil"/>
          <w:left w:space="0" w:sz="0" w:val="nil"/>
          <w:bottom w:space="0" w:sz="0" w:val="nil"/>
          <w:right w:space="0" w:sz="0" w:val="nil"/>
          <w:between w:space="0" w:sz="0" w:val="nil"/>
        </w:pBdr>
        <w:spacing w:before="5" w:lineRule="auto"/>
        <w:rPr>
          <w:highlight w:val="yellow"/>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spacing w:before="5" w:lineRule="auto"/>
        <w:rPr>
          <w:highlight w:val="yellow"/>
        </w:rPr>
      </w:pPr>
      <w:r w:rsidDel="00000000" w:rsidR="00000000" w:rsidRPr="00000000">
        <w:rPr>
          <w:rtl w:val="0"/>
        </w:rPr>
      </w:r>
    </w:p>
    <w:p w:rsidR="00000000" w:rsidDel="00000000" w:rsidP="00000000" w:rsidRDefault="00000000" w:rsidRPr="00000000" w14:paraId="0000005B">
      <w:pPr>
        <w:pStyle w:val="Heading1"/>
        <w:numPr>
          <w:ilvl w:val="0"/>
          <w:numId w:val="1"/>
        </w:numPr>
        <w:tabs>
          <w:tab w:val="left" w:leader="none" w:pos="1461"/>
          <w:tab w:val="left" w:leader="none" w:pos="1462"/>
        </w:tabs>
        <w:ind w:left="1461" w:hanging="710"/>
        <w:rPr/>
      </w:pPr>
      <w:r w:rsidDel="00000000" w:rsidR="00000000" w:rsidRPr="00000000">
        <w:rPr>
          <w:rtl w:val="0"/>
        </w:rPr>
        <w:t xml:space="preserve">DA ADESÃO À ATA DE REGISTRO DE PREÇOS</w:t>
      </w:r>
    </w:p>
    <w:p w:rsidR="00000000" w:rsidDel="00000000" w:rsidP="00000000" w:rsidRDefault="00000000" w:rsidRPr="00000000" w14:paraId="0000005C">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09"/>
        <w:jc w:val="both"/>
        <w:rPr/>
      </w:pPr>
      <w:r w:rsidDel="00000000" w:rsidR="00000000" w:rsidRPr="00000000">
        <w:rPr>
          <w:i w:val="1"/>
          <w:color w:val="000000"/>
          <w:rtl w:val="0"/>
        </w:rPr>
        <w:t xml:space="preserve"> </w:t>
      </w:r>
      <w:r w:rsidDel="00000000" w:rsidR="00000000" w:rsidRPr="00000000">
        <w:rPr>
          <w:rtl w:val="0"/>
        </w:rPr>
        <w:t xml:space="preserve">Não será admitida a adesão à ata de registro de preços decorrente desta licitação ou desta contratação direta, conforme justificativa apresentada no despacho de autorização de abertura de procedimento licitatório pela autoridade competente no processo 23069.151261/2025-64</w:t>
      </w:r>
      <w:r w:rsidDel="00000000" w:rsidR="00000000" w:rsidRPr="00000000">
        <w:rPr>
          <w:color w:val="000000"/>
          <w:rtl w:val="0"/>
        </w:rPr>
        <w:t xml:space="preserve">.</w:t>
      </w: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tabs>
          <w:tab w:val="left" w:leader="none" w:pos="1462"/>
        </w:tabs>
        <w:spacing w:before="70" w:lineRule="auto"/>
        <w:ind w:left="1461" w:right="700" w:firstLine="0"/>
        <w:jc w:val="both"/>
        <w:rPr>
          <w:i w:val="1"/>
          <w:color w:val="000000"/>
        </w:rPr>
      </w:pPr>
      <w:r w:rsidDel="00000000" w:rsidR="00000000" w:rsidRPr="00000000">
        <w:rPr>
          <w:rtl w:val="0"/>
        </w:rPr>
      </w:r>
    </w:p>
    <w:p w:rsidR="00000000" w:rsidDel="00000000" w:rsidP="00000000" w:rsidRDefault="00000000" w:rsidRPr="00000000" w14:paraId="0000005E">
      <w:pPr>
        <w:tabs>
          <w:tab w:val="left" w:leader="none" w:pos="1462"/>
        </w:tabs>
        <w:spacing w:before="69" w:lineRule="auto"/>
        <w:ind w:left="751" w:right="700" w:firstLine="0"/>
        <w:rPr>
          <w:b w:val="1"/>
        </w:rPr>
      </w:pPr>
      <w:r w:rsidDel="00000000" w:rsidR="00000000" w:rsidRPr="00000000">
        <w:rPr>
          <w:b w:val="1"/>
          <w:rtl w:val="0"/>
        </w:rPr>
        <w:t xml:space="preserve">Vedação a acréscimo de quantitativos</w:t>
      </w:r>
    </w:p>
    <w:p w:rsidR="00000000" w:rsidDel="00000000" w:rsidP="00000000" w:rsidRDefault="00000000" w:rsidRPr="00000000" w14:paraId="0000005F">
      <w:pPr>
        <w:numPr>
          <w:ilvl w:val="1"/>
          <w:numId w:val="1"/>
        </w:numPr>
        <w:pBdr>
          <w:top w:space="0" w:sz="0" w:val="nil"/>
          <w:left w:space="0" w:sz="0" w:val="nil"/>
          <w:bottom w:space="0" w:sz="0" w:val="nil"/>
          <w:right w:space="0" w:sz="0" w:val="nil"/>
          <w:between w:space="0" w:sz="0" w:val="nil"/>
        </w:pBdr>
        <w:tabs>
          <w:tab w:val="left" w:leader="none" w:pos="1462"/>
        </w:tabs>
        <w:spacing w:before="70" w:lineRule="auto"/>
        <w:ind w:left="1461" w:right="700" w:hanging="709"/>
        <w:jc w:val="both"/>
        <w:rPr>
          <w:i w:val="1"/>
          <w:color w:val="000000"/>
        </w:rPr>
      </w:pPr>
      <w:r w:rsidDel="00000000" w:rsidR="00000000" w:rsidRPr="00000000">
        <w:rPr>
          <w:color w:val="000000"/>
          <w:rtl w:val="0"/>
        </w:rPr>
        <w:t xml:space="preserve">É vedado efetuar acréscimos nos quantitativos fixados na ata de registro de preços</w:t>
      </w: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61">
      <w:pPr>
        <w:pStyle w:val="Heading1"/>
        <w:numPr>
          <w:ilvl w:val="0"/>
          <w:numId w:val="1"/>
        </w:numPr>
        <w:tabs>
          <w:tab w:val="left" w:leader="none" w:pos="1461"/>
          <w:tab w:val="left" w:leader="none" w:pos="1462"/>
        </w:tabs>
        <w:ind w:left="1461" w:hanging="710"/>
        <w:rPr/>
      </w:pPr>
      <w:r w:rsidDel="00000000" w:rsidR="00000000" w:rsidRPr="00000000">
        <w:rPr>
          <w:rtl w:val="0"/>
        </w:rPr>
        <w:t xml:space="preserve">VALIDADE, FORMALIZAÇÃO DA ATA DE REGISTRO DE PREÇOS E CADASTRO RESERVA</w:t>
      </w:r>
    </w:p>
    <w:p w:rsidR="00000000" w:rsidDel="00000000" w:rsidP="00000000" w:rsidRDefault="00000000" w:rsidRPr="00000000" w14:paraId="00000062">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color w:val="000000"/>
        </w:rPr>
      </w:pPr>
      <w:r w:rsidDel="00000000" w:rsidR="00000000" w:rsidRPr="00000000">
        <w:rPr>
          <w:color w:val="000000"/>
          <w:rtl w:val="0"/>
        </w:rPr>
        <w:t xml:space="preserve">A validade da Ata de Registro de Preços será de 1 (um) ano, contado a partir do primeiro dia útil subsequente à data de divulgação no PNCP, podendo ser prorrogada por igual período, mediante a anuência do fornecedor, desde que comprovado o preço vantajoso.</w:t>
      </w:r>
    </w:p>
    <w:p w:rsidR="00000000" w:rsidDel="00000000" w:rsidP="00000000" w:rsidRDefault="00000000" w:rsidRPr="00000000" w14:paraId="00000063">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rsidR="00000000" w:rsidDel="00000000" w:rsidP="00000000" w:rsidRDefault="00000000" w:rsidRPr="00000000" w14:paraId="00000064">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Na formalização do contrato ou do instrumento substituto deverá haver a indicação da disponibilidade dos créditos orçamentários respectivos.</w:t>
      </w:r>
    </w:p>
    <w:p w:rsidR="00000000" w:rsidDel="00000000" w:rsidP="00000000" w:rsidRDefault="00000000" w:rsidRPr="00000000" w14:paraId="00000065">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r w:rsidDel="00000000" w:rsidR="00000000" w:rsidRPr="00000000">
        <w:rPr>
          <w:rtl w:val="0"/>
        </w:rPr>
      </w:r>
    </w:p>
    <w:p w:rsidR="00000000" w:rsidDel="00000000" w:rsidP="00000000" w:rsidRDefault="00000000" w:rsidRPr="00000000" w14:paraId="00000066">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 O instrumento contratual de que trata o item 5.2. deverá ser assinado no prazo de validade da ata de registro de preços.</w:t>
      </w:r>
    </w:p>
    <w:p w:rsidR="00000000" w:rsidDel="00000000" w:rsidP="00000000" w:rsidRDefault="00000000" w:rsidRPr="00000000" w14:paraId="00000067">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Os contratos decorrentes do sistema de registro de preços poderão ser alterados, observado o art. 124 da Lei nº 14.133, de 2021.</w:t>
      </w:r>
      <w:r w:rsidDel="00000000" w:rsidR="00000000" w:rsidRPr="00000000">
        <w:rPr>
          <w:rtl w:val="0"/>
        </w:rPr>
      </w:r>
    </w:p>
    <w:p w:rsidR="00000000" w:rsidDel="00000000" w:rsidP="00000000" w:rsidRDefault="00000000" w:rsidRPr="00000000" w14:paraId="00000068">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Após a homologação da licitação ou da contratação direta, deverão ser observadas as seguintes condições para formalização da ata de registro de preços:</w:t>
      </w:r>
      <w:r w:rsidDel="00000000" w:rsidR="00000000" w:rsidRPr="00000000">
        <w:rPr>
          <w:rtl w:val="0"/>
        </w:rPr>
      </w:r>
    </w:p>
    <w:p w:rsidR="00000000" w:rsidDel="00000000" w:rsidP="00000000" w:rsidRDefault="00000000" w:rsidRPr="00000000" w14:paraId="00000069">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Serão registrados na ata os preços e os quantitativos do adjudicatário, devendo ser observada a possibilidade de o licitante oferecer ou não proposta em quantitativo inferior ao máximo previsto no edital ou no aviso de contratação direta e se obrigar nos limites dela;</w:t>
      </w:r>
    </w:p>
    <w:p w:rsidR="00000000" w:rsidDel="00000000" w:rsidP="00000000" w:rsidRDefault="00000000" w:rsidRPr="00000000" w14:paraId="0000006A">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Será incluído na ata, na forma de anexo, o registro dos licitantes ou dos fornecedores que:</w:t>
      </w:r>
    </w:p>
    <w:p w:rsidR="00000000" w:rsidDel="00000000" w:rsidP="00000000" w:rsidRDefault="00000000" w:rsidRPr="00000000" w14:paraId="0000006B">
      <w:pPr>
        <w:widowControl w:val="1"/>
        <w:pBdr>
          <w:top w:space="0" w:sz="0" w:val="nil"/>
          <w:left w:space="0" w:sz="0" w:val="nil"/>
          <w:bottom w:space="0" w:sz="0" w:val="nil"/>
          <w:right w:space="0" w:sz="0" w:val="nil"/>
          <w:between w:space="0" w:sz="0" w:val="nil"/>
        </w:pBdr>
        <w:spacing w:after="120" w:before="120" w:line="276" w:lineRule="auto"/>
        <w:ind w:left="2127" w:right="700" w:firstLine="720"/>
        <w:jc w:val="both"/>
        <w:rPr>
          <w:color w:val="000000"/>
        </w:rPr>
      </w:pPr>
      <w:r w:rsidDel="00000000" w:rsidR="00000000" w:rsidRPr="00000000">
        <w:rPr>
          <w:color w:val="000000"/>
          <w:rtl w:val="0"/>
        </w:rPr>
        <w:t xml:space="preserve">5.4.2.1 Aceitarem cotar os bens, as obras ou os serviços com preços iguais aos do adjudicatário, observada a classificação da licitação; e </w:t>
      </w:r>
    </w:p>
    <w:p w:rsidR="00000000" w:rsidDel="00000000" w:rsidP="00000000" w:rsidRDefault="00000000" w:rsidRPr="00000000" w14:paraId="0000006C">
      <w:pPr>
        <w:widowControl w:val="1"/>
        <w:numPr>
          <w:ilvl w:val="3"/>
          <w:numId w:val="3"/>
        </w:numPr>
        <w:pBdr>
          <w:top w:space="0" w:sz="0" w:val="nil"/>
          <w:left w:space="0" w:sz="0" w:val="nil"/>
          <w:bottom w:space="0" w:sz="0" w:val="nil"/>
          <w:right w:space="0" w:sz="0" w:val="nil"/>
          <w:between w:space="0" w:sz="0" w:val="nil"/>
        </w:pBdr>
        <w:spacing w:after="120" w:before="120" w:line="276" w:lineRule="auto"/>
        <w:ind w:left="3567" w:right="700" w:hanging="720"/>
        <w:jc w:val="both"/>
        <w:rPr>
          <w:color w:val="000000"/>
        </w:rPr>
      </w:pPr>
      <w:r w:rsidDel="00000000" w:rsidR="00000000" w:rsidRPr="00000000">
        <w:rPr>
          <w:color w:val="000000"/>
          <w:rtl w:val="0"/>
        </w:rPr>
        <w:t xml:space="preserve">Mantiverem sua proposta original. </w:t>
      </w:r>
      <w:bookmarkStart w:colFirst="0" w:colLast="0" w:name="bookmark=id.gjdgxs" w:id="1"/>
      <w:bookmarkEnd w:id="1"/>
      <w:r w:rsidDel="00000000" w:rsidR="00000000" w:rsidRPr="00000000">
        <w:rPr>
          <w:rtl w:val="0"/>
        </w:rPr>
      </w:r>
    </w:p>
    <w:p w:rsidR="00000000" w:rsidDel="00000000" w:rsidP="00000000" w:rsidRDefault="00000000" w:rsidRPr="00000000" w14:paraId="0000006D">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Será respeitada, nas contratações, a ordem de classificação dos licitantes ou dos fornecedores registrados na ata.</w:t>
      </w:r>
    </w:p>
    <w:p w:rsidR="00000000" w:rsidDel="00000000" w:rsidP="00000000" w:rsidRDefault="00000000" w:rsidRPr="00000000" w14:paraId="0000006E">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O registro a que se refere o item 5.4.2</w:t>
      </w:r>
      <w:r w:rsidDel="00000000" w:rsidR="00000000" w:rsidRPr="00000000">
        <w:rPr>
          <w:b w:val="1"/>
          <w:color w:val="000000"/>
          <w:rtl w:val="0"/>
        </w:rPr>
        <w:t xml:space="preserve"> </w:t>
      </w:r>
      <w:r w:rsidDel="00000000" w:rsidR="00000000" w:rsidRPr="00000000">
        <w:rPr>
          <w:color w:val="000000"/>
          <w:rtl w:val="0"/>
        </w:rPr>
        <w:t xml:space="preserve">tem por objetivo a formação de cadastro de reserva para o caso de impossibilidade de atendimento pelo signatário da ata.</w:t>
      </w:r>
      <w:r w:rsidDel="00000000" w:rsidR="00000000" w:rsidRPr="00000000">
        <w:rPr>
          <w:rtl w:val="0"/>
        </w:rPr>
      </w:r>
    </w:p>
    <w:p w:rsidR="00000000" w:rsidDel="00000000" w:rsidP="00000000" w:rsidRDefault="00000000" w:rsidRPr="00000000" w14:paraId="0000006F">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Para fins da ordem de classificação, os licitantes ou fornecedores que aceitarem reduzir suas propostas para o preço do adjudicatário antecederão aqueles que mantiverem sua proposta original.</w:t>
      </w:r>
      <w:r w:rsidDel="00000000" w:rsidR="00000000" w:rsidRPr="00000000">
        <w:rPr>
          <w:rtl w:val="0"/>
        </w:rPr>
      </w:r>
    </w:p>
    <w:p w:rsidR="00000000" w:rsidDel="00000000" w:rsidP="00000000" w:rsidRDefault="00000000" w:rsidRPr="00000000" w14:paraId="00000070">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A habilitação dos licitantes que comporão o cadastro de reserva a que se refere o item 5.4.2.2 somente será efetuada quando houver necessidade de contratação dos licitantes remanescentes, nas seguintes hipóteses:</w:t>
      </w:r>
      <w:bookmarkStart w:colFirst="0" w:colLast="0" w:name="bookmark=id.30j0zll" w:id="2"/>
      <w:bookmarkEnd w:id="2"/>
      <w:r w:rsidDel="00000000" w:rsidR="00000000" w:rsidRPr="00000000">
        <w:rPr>
          <w:rtl w:val="0"/>
        </w:rPr>
      </w:r>
    </w:p>
    <w:p w:rsidR="00000000" w:rsidDel="00000000" w:rsidP="00000000" w:rsidRDefault="00000000" w:rsidRPr="00000000" w14:paraId="00000071">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Quando o licitante vencedor não assinar a ata de registro de preços, no prazo e nas condições estabelecidos no edital ou no aviso de contratação direta; e</w:t>
      </w:r>
    </w:p>
    <w:p w:rsidR="00000000" w:rsidDel="00000000" w:rsidP="00000000" w:rsidRDefault="00000000" w:rsidRPr="00000000" w14:paraId="00000072">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rFonts w:ascii="Arial" w:cs="Arial" w:eastAsia="Arial" w:hAnsi="Arial"/>
          <w:i w:val="1"/>
          <w:color w:val="000000"/>
          <w:sz w:val="20"/>
          <w:szCs w:val="20"/>
        </w:rPr>
      </w:pPr>
      <w:r w:rsidDel="00000000" w:rsidR="00000000" w:rsidRPr="00000000">
        <w:rPr>
          <w:color w:val="000000"/>
          <w:rtl w:val="0"/>
        </w:rPr>
        <w:t xml:space="preserve">Quando houver o cancelamento do registro do licitante ou do registro de preços nas hipóteses previstas no item 9</w:t>
      </w:r>
      <w:r w:rsidDel="00000000" w:rsidR="00000000" w:rsidRPr="00000000">
        <w:rPr>
          <w:rFonts w:ascii="Arial" w:cs="Arial" w:eastAsia="Arial" w:hAnsi="Arial"/>
          <w:i w:val="1"/>
          <w:color w:val="000000"/>
          <w:sz w:val="20"/>
          <w:szCs w:val="20"/>
          <w:rtl w:val="0"/>
        </w:rPr>
        <w:t xml:space="preserve">.</w:t>
      </w:r>
    </w:p>
    <w:p w:rsidR="00000000" w:rsidDel="00000000" w:rsidP="00000000" w:rsidRDefault="00000000" w:rsidRPr="00000000" w14:paraId="00000073">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O preço registrado com indicação dos licitantes e fornecedores será divulgado no PNCP e ficará disponibilizado durante a vigência da ata de registro de preços.</w:t>
      </w:r>
      <w:r w:rsidDel="00000000" w:rsidR="00000000" w:rsidRPr="00000000">
        <w:rPr>
          <w:rtl w:val="0"/>
        </w:rPr>
      </w:r>
    </w:p>
    <w:p w:rsidR="00000000" w:rsidDel="00000000" w:rsidP="00000000" w:rsidRDefault="00000000" w:rsidRPr="00000000" w14:paraId="00000074">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r w:rsidDel="00000000" w:rsidR="00000000" w:rsidRPr="00000000">
        <w:rPr>
          <w:rtl w:val="0"/>
        </w:rPr>
      </w:r>
    </w:p>
    <w:p w:rsidR="00000000" w:rsidDel="00000000" w:rsidP="00000000" w:rsidRDefault="00000000" w:rsidRPr="00000000" w14:paraId="00000075">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rFonts w:ascii="Arial" w:cs="Arial" w:eastAsia="Arial" w:hAnsi="Arial"/>
          <w:i w:val="1"/>
          <w:color w:val="000000"/>
          <w:sz w:val="20"/>
          <w:szCs w:val="20"/>
        </w:rPr>
      </w:pPr>
      <w:r w:rsidDel="00000000" w:rsidR="00000000" w:rsidRPr="00000000">
        <w:rPr>
          <w:color w:val="000000"/>
          <w:rtl w:val="0"/>
        </w:rPr>
        <w:t xml:space="preserve">O prazo de convocação poderá ser prorrogado 1 (uma) vez, por igual período, mediante solicitação do licitante ou fornecedor convocado, desde que apresentada dentro do prazo, devidamente justificada, e que a justificativa seja aceita pela</w:t>
      </w:r>
      <w:r w:rsidDel="00000000" w:rsidR="00000000" w:rsidRPr="00000000">
        <w:rPr>
          <w:i w:val="1"/>
          <w:color w:val="000000"/>
          <w:rtl w:val="0"/>
        </w:rPr>
        <w:t xml:space="preserve"> Administração</w:t>
      </w:r>
      <w:r w:rsidDel="00000000" w:rsidR="00000000" w:rsidRPr="00000000">
        <w:rPr>
          <w:rFonts w:ascii="Arial" w:cs="Arial" w:eastAsia="Arial" w:hAnsi="Arial"/>
          <w:i w:val="1"/>
          <w:color w:val="000000"/>
          <w:sz w:val="20"/>
          <w:szCs w:val="20"/>
          <w:rtl w:val="0"/>
        </w:rPr>
        <w:t xml:space="preserve">.</w:t>
      </w:r>
    </w:p>
    <w:p w:rsidR="00000000" w:rsidDel="00000000" w:rsidP="00000000" w:rsidRDefault="00000000" w:rsidRPr="00000000" w14:paraId="00000076">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A ata de registro de preços será assinada por meio de assinatura digital e disponibilizada no Sistema de Registro de Preços.</w:t>
      </w:r>
      <w:r w:rsidDel="00000000" w:rsidR="00000000" w:rsidRPr="00000000">
        <w:rPr>
          <w:rtl w:val="0"/>
        </w:rPr>
      </w:r>
    </w:p>
    <w:p w:rsidR="00000000" w:rsidDel="00000000" w:rsidP="00000000" w:rsidRDefault="00000000" w:rsidRPr="00000000" w14:paraId="00000077">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colFirst="0" w:colLast="0" w:name="bookmark=id.1fob9te" w:id="3"/>
      <w:bookmarkEnd w:id="3"/>
      <w:r w:rsidDel="00000000" w:rsidR="00000000" w:rsidRPr="00000000">
        <w:rPr>
          <w:rtl w:val="0"/>
        </w:rPr>
      </w:r>
    </w:p>
    <w:p w:rsidR="00000000" w:rsidDel="00000000" w:rsidP="00000000" w:rsidRDefault="00000000" w:rsidRPr="00000000" w14:paraId="00000078">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Na hipótese de nenhum dos licitantes que trata o item 5.4.2.1, aceitar a contratação nos termos do item anterior, a Administração, observados o valor estimado e sua eventual atualização nos termos </w:t>
      </w:r>
      <w:r w:rsidDel="00000000" w:rsidR="00000000" w:rsidRPr="00000000">
        <w:rPr>
          <w:rtl w:val="0"/>
        </w:rPr>
        <w:t xml:space="preserve">do edital</w:t>
      </w:r>
      <w:r w:rsidDel="00000000" w:rsidR="00000000" w:rsidRPr="00000000">
        <w:rPr>
          <w:color w:val="000000"/>
          <w:rtl w:val="0"/>
        </w:rPr>
        <w:t xml:space="preserve">, poderá:</w:t>
      </w:r>
      <w:r w:rsidDel="00000000" w:rsidR="00000000" w:rsidRPr="00000000">
        <w:rPr>
          <w:rtl w:val="0"/>
        </w:rPr>
      </w:r>
    </w:p>
    <w:p w:rsidR="00000000" w:rsidDel="00000000" w:rsidP="00000000" w:rsidRDefault="00000000" w:rsidRPr="00000000" w14:paraId="00000079">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Convocar para negociação os demais licitantes ou fornecedores remanescentes cujos preços foram registrados sem redução, observada a ordem de classificação, com vistas à obtenção de preço melhor, mesmo que acima do preço do adjudicatário; ou</w:t>
      </w:r>
    </w:p>
    <w:p w:rsidR="00000000" w:rsidDel="00000000" w:rsidP="00000000" w:rsidRDefault="00000000" w:rsidRPr="00000000" w14:paraId="0000007A">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Adjudicar e firmar o contrato nas condições ofertadas pelos licitantes ou fornecedores remanescentes, atendida a ordem classificatória, quando frustrada a negociação de melhor condição.</w:t>
      </w:r>
    </w:p>
    <w:p w:rsidR="00000000" w:rsidDel="00000000" w:rsidP="00000000" w:rsidRDefault="00000000" w:rsidRPr="00000000" w14:paraId="0000007B">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A existência de preços registrados implicará compromisso de fornecimento nas condições estabelecidas, mas não obrigará a Administração a contratar, facultada a realização de licitação específica para a aquisição pretendida, desde que devidamente justificada.</w:t>
      </w: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tabs>
          <w:tab w:val="left" w:leader="none" w:pos="1462"/>
        </w:tabs>
        <w:spacing w:before="69" w:lineRule="auto"/>
        <w:ind w:left="1461" w:right="700" w:firstLine="0"/>
        <w:jc w:val="both"/>
        <w:rPr>
          <w:color w:val="000000"/>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7E">
      <w:pPr>
        <w:pStyle w:val="Heading1"/>
        <w:numPr>
          <w:ilvl w:val="0"/>
          <w:numId w:val="1"/>
        </w:numPr>
        <w:tabs>
          <w:tab w:val="left" w:leader="none" w:pos="1461"/>
          <w:tab w:val="left" w:leader="none" w:pos="1462"/>
        </w:tabs>
        <w:ind w:left="1461" w:hanging="710"/>
        <w:rPr/>
      </w:pPr>
      <w:r w:rsidDel="00000000" w:rsidR="00000000" w:rsidRPr="00000000">
        <w:rPr>
          <w:rtl w:val="0"/>
        </w:rPr>
        <w:t xml:space="preserve">ALTERAÇÃO OU ATUALIZAÇÃO DOS PREÇOS REGISTRADOS</w:t>
      </w:r>
    </w:p>
    <w:p w:rsidR="00000000" w:rsidDel="00000000" w:rsidP="00000000" w:rsidRDefault="00000000" w:rsidRPr="00000000" w14:paraId="0000007F">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Os preços registrados poderão ser alterados ou atualizados em decorrência de eventual redução dos preços praticados no mercado ou de fato que eleve o custo dos bens, das obras ou dos serviços registrados, nas seguintes situações:</w:t>
      </w:r>
      <w:r w:rsidDel="00000000" w:rsidR="00000000" w:rsidRPr="00000000">
        <w:rPr>
          <w:rtl w:val="0"/>
        </w:rPr>
      </w:r>
    </w:p>
    <w:p w:rsidR="00000000" w:rsidDel="00000000" w:rsidP="00000000" w:rsidRDefault="00000000" w:rsidRPr="00000000" w14:paraId="00000080">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rsidR="00000000" w:rsidDel="00000000" w:rsidP="00000000" w:rsidRDefault="00000000" w:rsidRPr="00000000" w14:paraId="00000081">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Em caso de criação, alteração ou extinção de quaisquer tributos ou encargos legais ou a superveniência de disposições legais, com comprovada repercussão sobre os preços registrados; </w:t>
      </w:r>
    </w:p>
    <w:p w:rsidR="00000000" w:rsidDel="00000000" w:rsidP="00000000" w:rsidRDefault="00000000" w:rsidRPr="00000000" w14:paraId="00000082">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Na hipótese de previsão no edital ou no aviso de contratação direta de cláusula de reajustamento ou repactuação sobre os preços registrados, nos termos da Lei nº 14.133, de 2021.</w:t>
      </w:r>
    </w:p>
    <w:p w:rsidR="00000000" w:rsidDel="00000000" w:rsidP="00000000" w:rsidRDefault="00000000" w:rsidRPr="00000000" w14:paraId="00000083">
      <w:pPr>
        <w:widowControl w:val="1"/>
        <w:numPr>
          <w:ilvl w:val="3"/>
          <w:numId w:val="4"/>
        </w:numPr>
        <w:pBdr>
          <w:top w:space="0" w:sz="0" w:val="nil"/>
          <w:left w:space="0" w:sz="0" w:val="nil"/>
          <w:bottom w:space="0" w:sz="0" w:val="nil"/>
          <w:right w:space="0" w:sz="0" w:val="nil"/>
          <w:between w:space="0" w:sz="0" w:val="nil"/>
        </w:pBdr>
        <w:spacing w:after="120" w:before="120" w:lineRule="auto"/>
        <w:ind w:left="3510" w:right="700" w:hanging="720"/>
        <w:jc w:val="both"/>
        <w:rPr>
          <w:color w:val="000000"/>
        </w:rPr>
      </w:pPr>
      <w:r w:rsidDel="00000000" w:rsidR="00000000" w:rsidRPr="00000000">
        <w:rPr>
          <w:color w:val="000000"/>
          <w:rtl w:val="0"/>
        </w:rPr>
        <w:t xml:space="preserve">No caso do reajustamento, deverá ser respeitada a contagem da anualidade e o índice previstos para a contratação;  </w:t>
      </w:r>
    </w:p>
    <w:p w:rsidR="00000000" w:rsidDel="00000000" w:rsidP="00000000" w:rsidRDefault="00000000" w:rsidRPr="00000000" w14:paraId="00000084">
      <w:pPr>
        <w:widowControl w:val="1"/>
        <w:numPr>
          <w:ilvl w:val="3"/>
          <w:numId w:val="4"/>
        </w:numPr>
        <w:pBdr>
          <w:top w:space="0" w:sz="0" w:val="nil"/>
          <w:left w:space="0" w:sz="0" w:val="nil"/>
          <w:bottom w:space="0" w:sz="0" w:val="nil"/>
          <w:right w:space="0" w:sz="0" w:val="nil"/>
          <w:between w:space="0" w:sz="0" w:val="nil"/>
        </w:pBdr>
        <w:spacing w:after="120" w:before="120" w:lineRule="auto"/>
        <w:ind w:left="3510" w:right="700" w:hanging="720"/>
        <w:jc w:val="both"/>
        <w:rPr>
          <w:color w:val="000000"/>
        </w:rPr>
      </w:pPr>
      <w:r w:rsidDel="00000000" w:rsidR="00000000" w:rsidRPr="00000000">
        <w:rPr>
          <w:color w:val="000000"/>
          <w:rtl w:val="0"/>
        </w:rPr>
        <w:t xml:space="preserve">No caso da repactuação, poderá ser a pedido do interessado, conforme critérios definidos para a contratação.</w:t>
      </w:r>
    </w:p>
    <w:p w:rsidR="00000000" w:rsidDel="00000000" w:rsidP="00000000" w:rsidRDefault="00000000" w:rsidRPr="00000000" w14:paraId="00000085">
      <w:pPr>
        <w:pStyle w:val="Heading1"/>
        <w:tabs>
          <w:tab w:val="left" w:leader="none" w:pos="1461"/>
          <w:tab w:val="left" w:leader="none" w:pos="1462"/>
        </w:tabs>
        <w:ind w:firstLine="0"/>
        <w:rPr/>
      </w:pPr>
      <w:r w:rsidDel="00000000" w:rsidR="00000000" w:rsidRPr="00000000">
        <w:rPr>
          <w:rtl w:val="0"/>
        </w:rPr>
      </w:r>
    </w:p>
    <w:p w:rsidR="00000000" w:rsidDel="00000000" w:rsidP="00000000" w:rsidRDefault="00000000" w:rsidRPr="00000000" w14:paraId="00000086">
      <w:pPr>
        <w:keepNext w:val="1"/>
        <w:keepLines w:val="1"/>
        <w:widowControl w:val="1"/>
        <w:numPr>
          <w:ilvl w:val="0"/>
          <w:numId w:val="1"/>
        </w:numPr>
        <w:pBdr>
          <w:top w:space="0" w:sz="0" w:val="nil"/>
          <w:left w:space="0" w:sz="0" w:val="nil"/>
          <w:bottom w:space="0" w:sz="0" w:val="nil"/>
          <w:right w:space="0" w:sz="0" w:val="nil"/>
          <w:between w:space="0" w:sz="0" w:val="nil"/>
        </w:pBd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NEGOCIAÇÃO DE PREÇOS REGISTRADOS</w:t>
      </w:r>
      <w:r w:rsidDel="00000000" w:rsidR="00000000" w:rsidRPr="00000000">
        <w:rPr>
          <w:rtl w:val="0"/>
        </w:rPr>
      </w:r>
    </w:p>
    <w:p w:rsidR="00000000" w:rsidDel="00000000" w:rsidP="00000000" w:rsidRDefault="00000000" w:rsidRPr="00000000" w14:paraId="00000087">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Na hipótese de o preço registrado tornar-se superior ao preço praticado no mercado por motivo superveniente, o órgão ou entidade gerenciadora convocará o fornecedor para negociar a redução do preço registrado.</w:t>
      </w:r>
      <w:r w:rsidDel="00000000" w:rsidR="00000000" w:rsidRPr="00000000">
        <w:rPr>
          <w:rtl w:val="0"/>
        </w:rPr>
      </w:r>
    </w:p>
    <w:p w:rsidR="00000000" w:rsidDel="00000000" w:rsidP="00000000" w:rsidRDefault="00000000" w:rsidRPr="00000000" w14:paraId="00000088">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Caso não aceite reduzir seu preço aos valores praticados pelo mercado, o fornecedor será liberado do compromisso assumido quanto ao item registrado, sem aplicação de penalidades administrativas.</w:t>
      </w:r>
    </w:p>
    <w:p w:rsidR="00000000" w:rsidDel="00000000" w:rsidP="00000000" w:rsidRDefault="00000000" w:rsidRPr="00000000" w14:paraId="00000089">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rsidR="00000000" w:rsidDel="00000000" w:rsidP="00000000" w:rsidRDefault="00000000" w:rsidRPr="00000000" w14:paraId="0000008A">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Se não obtiver êxito nas negociações, o órgão ou entidade gerenciadora procederá ao cancelamento da ata de registro de preços, adotando as medidas cabíveis para obtenção de contratação mais vantajosa.</w:t>
      </w:r>
      <w:bookmarkStart w:colFirst="0" w:colLast="0" w:name="bookmark=id.3znysh7" w:id="4"/>
      <w:bookmarkEnd w:id="4"/>
      <w:r w:rsidDel="00000000" w:rsidR="00000000" w:rsidRPr="00000000">
        <w:rPr>
          <w:rtl w:val="0"/>
        </w:rPr>
      </w:r>
    </w:p>
    <w:p w:rsidR="00000000" w:rsidDel="00000000" w:rsidP="00000000" w:rsidRDefault="00000000" w:rsidRPr="00000000" w14:paraId="0000008B">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rsidR="00000000" w:rsidDel="00000000" w:rsidP="00000000" w:rsidRDefault="00000000" w:rsidRPr="00000000" w14:paraId="0000008C">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colFirst="0" w:colLast="0" w:name="bookmark=id.2et92p0" w:id="5"/>
      <w:bookmarkEnd w:id="5"/>
      <w:r w:rsidDel="00000000" w:rsidR="00000000" w:rsidRPr="00000000">
        <w:rPr>
          <w:rtl w:val="0"/>
        </w:rPr>
      </w:r>
    </w:p>
    <w:p w:rsidR="00000000" w:rsidDel="00000000" w:rsidP="00000000" w:rsidRDefault="00000000" w:rsidRPr="00000000" w14:paraId="0000008D">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Neste caso, o fornecedor encaminhará, juntamente com o pedido de alteração, a documentação comprobatória ou a planilha de custos que demonstre a inviabilidade do preço registrado em relação às condições inicialmente pactuadas.</w:t>
      </w:r>
      <w:bookmarkStart w:colFirst="0" w:colLast="0" w:name="bookmark=id.tyjcwt" w:id="6"/>
      <w:bookmarkEnd w:id="6"/>
      <w:r w:rsidDel="00000000" w:rsidR="00000000" w:rsidRPr="00000000">
        <w:rPr>
          <w:rtl w:val="0"/>
        </w:rPr>
      </w:r>
    </w:p>
    <w:p w:rsidR="00000000" w:rsidDel="00000000" w:rsidP="00000000" w:rsidRDefault="00000000" w:rsidRPr="00000000" w14:paraId="0000008E">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colFirst="0" w:colLast="0" w:name="bookmark=id.3dy6vkm" w:id="7"/>
      <w:bookmarkEnd w:id="7"/>
      <w:r w:rsidDel="00000000" w:rsidR="00000000" w:rsidRPr="00000000">
        <w:rPr>
          <w:rtl w:val="0"/>
        </w:rPr>
      </w:r>
    </w:p>
    <w:p w:rsidR="00000000" w:rsidDel="00000000" w:rsidP="00000000" w:rsidRDefault="00000000" w:rsidRPr="00000000" w14:paraId="0000008F">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Na hipótese de cancelamento do registro do fornecedor, nos termos do item anterior, o gerenciador convocará os fornecedores do cadastro de reserva, na ordem de classificação, para verificar se aceitam manter seus preços registrados, observado o disposto no item 5.7.</w:t>
      </w:r>
    </w:p>
    <w:p w:rsidR="00000000" w:rsidDel="00000000" w:rsidP="00000000" w:rsidRDefault="00000000" w:rsidRPr="00000000" w14:paraId="00000090">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Se não obtiver êxito nas negociações, o órgão ou entidade gerenciadora procederá ao cancelamento da ata de registro de preços, nos termos do item 9.4, e adotará as medidas cabíveis para a obtenção da contratação mais vantajosa.</w:t>
      </w:r>
      <w:bookmarkStart w:colFirst="0" w:colLast="0" w:name="bookmark=id.1t3h5sf" w:id="8"/>
      <w:bookmarkEnd w:id="8"/>
      <w:r w:rsidDel="00000000" w:rsidR="00000000" w:rsidRPr="00000000">
        <w:rPr>
          <w:rtl w:val="0"/>
        </w:rPr>
      </w:r>
    </w:p>
    <w:p w:rsidR="00000000" w:rsidDel="00000000" w:rsidP="00000000" w:rsidRDefault="00000000" w:rsidRPr="00000000" w14:paraId="00000091">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rsidR="00000000" w:rsidDel="00000000" w:rsidP="00000000" w:rsidRDefault="00000000" w:rsidRPr="00000000" w14:paraId="00000092">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keepNext w:val="1"/>
        <w:keepLines w:val="1"/>
        <w:widowControl w:val="1"/>
        <w:numPr>
          <w:ilvl w:val="0"/>
          <w:numId w:val="1"/>
        </w:numPr>
        <w:pBdr>
          <w:top w:space="0" w:sz="0" w:val="nil"/>
          <w:left w:space="0" w:sz="0" w:val="nil"/>
          <w:bottom w:space="0" w:sz="0" w:val="nil"/>
          <w:right w:space="0" w:sz="0" w:val="nil"/>
          <w:between w:space="0" w:sz="0" w:val="nil"/>
        </w:pBd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REMANEJAMENTO DAS QUANTIDADES REGISTRADAS NA ATA DE REGISTRO DE PREÇOS</w:t>
      </w:r>
      <w:r w:rsidDel="00000000" w:rsidR="00000000" w:rsidRPr="00000000">
        <w:rPr>
          <w:rtl w:val="0"/>
        </w:rPr>
      </w:r>
    </w:p>
    <w:p w:rsidR="00000000" w:rsidDel="00000000" w:rsidP="00000000" w:rsidRDefault="00000000" w:rsidRPr="00000000" w14:paraId="00000095">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As quantidades previstas para os itens com preços registrados nas atas de registro de preços poderão ser remanejadas pelo órgão ou entidade gerenciadora entre os órgãos ou as entidades participantes e não participantes do registro de preços.</w:t>
      </w:r>
      <w:r w:rsidDel="00000000" w:rsidR="00000000" w:rsidRPr="00000000">
        <w:rPr>
          <w:rtl w:val="0"/>
        </w:rPr>
      </w:r>
    </w:p>
    <w:p w:rsidR="00000000" w:rsidDel="00000000" w:rsidP="00000000" w:rsidRDefault="00000000" w:rsidRPr="00000000" w14:paraId="00000096">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 O remanejamento somente poderá ser feito:</w:t>
      </w:r>
      <w:r w:rsidDel="00000000" w:rsidR="00000000" w:rsidRPr="00000000">
        <w:rPr>
          <w:rtl w:val="0"/>
        </w:rPr>
      </w:r>
    </w:p>
    <w:p w:rsidR="00000000" w:rsidDel="00000000" w:rsidP="00000000" w:rsidRDefault="00000000" w:rsidRPr="00000000" w14:paraId="00000097">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De órgão ou entidade participante para órgão ou entidade participante; ou</w:t>
      </w:r>
    </w:p>
    <w:p w:rsidR="00000000" w:rsidDel="00000000" w:rsidP="00000000" w:rsidRDefault="00000000" w:rsidRPr="00000000" w14:paraId="00000098">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De órgão ou entidade participante para órgão ou entidade não participante.</w:t>
      </w:r>
    </w:p>
    <w:p w:rsidR="00000000" w:rsidDel="00000000" w:rsidP="00000000" w:rsidRDefault="00000000" w:rsidRPr="00000000" w14:paraId="00000099">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O órgão ou entidade gerenciadora que tiver estimado as quantidades que pretende contratar será considerado participante para efeito do remanejamento.</w:t>
      </w:r>
      <w:bookmarkStart w:colFirst="0" w:colLast="0" w:name="bookmark=id.4d34og8" w:id="9"/>
      <w:bookmarkEnd w:id="9"/>
      <w:r w:rsidDel="00000000" w:rsidR="00000000" w:rsidRPr="00000000">
        <w:rPr>
          <w:rtl w:val="0"/>
        </w:rPr>
      </w:r>
    </w:p>
    <w:p w:rsidR="00000000" w:rsidDel="00000000" w:rsidP="00000000" w:rsidRDefault="00000000" w:rsidRPr="00000000" w14:paraId="0000009A">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Na hipótese de remanejamento de órgão ou entidade participante para órgão ou entidade não participante, serão observados os limites previstos no art. 32 do Decreto nº 11.462, de 2023.</w:t>
      </w:r>
      <w:r w:rsidDel="00000000" w:rsidR="00000000" w:rsidRPr="00000000">
        <w:rPr>
          <w:rtl w:val="0"/>
        </w:rPr>
      </w:r>
    </w:p>
    <w:p w:rsidR="00000000" w:rsidDel="00000000" w:rsidP="00000000" w:rsidRDefault="00000000" w:rsidRPr="00000000" w14:paraId="0000009B">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r w:rsidDel="00000000" w:rsidR="00000000" w:rsidRPr="00000000">
        <w:rPr>
          <w:rtl w:val="0"/>
        </w:rPr>
      </w:r>
    </w:p>
    <w:p w:rsidR="00000000" w:rsidDel="00000000" w:rsidP="00000000" w:rsidRDefault="00000000" w:rsidRPr="00000000" w14:paraId="0000009C">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r w:rsidDel="00000000" w:rsidR="00000000" w:rsidRPr="00000000">
        <w:rPr>
          <w:rtl w:val="0"/>
        </w:rPr>
      </w:r>
    </w:p>
    <w:p w:rsidR="00000000" w:rsidDel="00000000" w:rsidP="00000000" w:rsidRDefault="00000000" w:rsidRPr="00000000" w14:paraId="0000009D">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r w:rsidDel="00000000" w:rsidR="00000000" w:rsidRPr="00000000">
        <w:rPr>
          <w:rtl w:val="0"/>
        </w:rPr>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keepNext w:val="1"/>
        <w:keepLines w:val="1"/>
        <w:widowControl w:val="1"/>
        <w:numPr>
          <w:ilvl w:val="0"/>
          <w:numId w:val="1"/>
        </w:numPr>
        <w:pBdr>
          <w:top w:space="0" w:sz="0" w:val="nil"/>
          <w:left w:space="0" w:sz="0" w:val="nil"/>
          <w:bottom w:space="0" w:sz="0" w:val="nil"/>
          <w:right w:space="0" w:sz="0" w:val="nil"/>
          <w:between w:space="0" w:sz="0" w:val="nil"/>
        </w:pBd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CANCELAMENTO DO REGISTRO DO LICITANTE VENCEDOR E DOS PREÇOS REGISTRADOS</w:t>
      </w:r>
      <w:bookmarkStart w:colFirst="0" w:colLast="0" w:name="bookmark=id.2s8eyo1" w:id="10"/>
      <w:bookmarkEnd w:id="10"/>
      <w:r w:rsidDel="00000000" w:rsidR="00000000" w:rsidRPr="00000000">
        <w:rPr>
          <w:rtl w:val="0"/>
        </w:rPr>
      </w:r>
    </w:p>
    <w:p w:rsidR="00000000" w:rsidDel="00000000" w:rsidP="00000000" w:rsidRDefault="00000000" w:rsidRPr="00000000" w14:paraId="000000A0">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O registro do fornecedor será cancelado pelo gerenciador, quando o fornecedor:</w:t>
      </w:r>
      <w:bookmarkStart w:colFirst="0" w:colLast="0" w:name="bookmark=id.17dp8vu" w:id="11"/>
      <w:bookmarkEnd w:id="11"/>
      <w:r w:rsidDel="00000000" w:rsidR="00000000" w:rsidRPr="00000000">
        <w:rPr>
          <w:rtl w:val="0"/>
        </w:rPr>
      </w:r>
    </w:p>
    <w:p w:rsidR="00000000" w:rsidDel="00000000" w:rsidP="00000000" w:rsidRDefault="00000000" w:rsidRPr="00000000" w14:paraId="000000A1">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Descumprir as condições da ata de registro de preços, sem motivo justificado;</w:t>
      </w:r>
    </w:p>
    <w:p w:rsidR="00000000" w:rsidDel="00000000" w:rsidP="00000000" w:rsidRDefault="00000000" w:rsidRPr="00000000" w14:paraId="000000A2">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Não retirar a nota de empenho, ou instrumento equivalente, no prazo estabelecido pela Administração sem justificativa razoável;</w:t>
      </w:r>
    </w:p>
    <w:p w:rsidR="00000000" w:rsidDel="00000000" w:rsidP="00000000" w:rsidRDefault="00000000" w:rsidRPr="00000000" w14:paraId="000000A3">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Não aceitar manter seu preço registrado, na hipótese prevista no artigo 27, § 2º, do Decreto nº 11.462, de 2023; ou</w:t>
      </w:r>
    </w:p>
    <w:p w:rsidR="00000000" w:rsidDel="00000000" w:rsidP="00000000" w:rsidRDefault="00000000" w:rsidRPr="00000000" w14:paraId="000000A4">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 Sofrer sanção prevista nos incisos III ou IV do caput do art. 156 da Lei nº 14.133, de 2021.</w:t>
      </w:r>
    </w:p>
    <w:p w:rsidR="00000000" w:rsidDel="00000000" w:rsidP="00000000" w:rsidRDefault="00000000" w:rsidRPr="00000000" w14:paraId="000000A5">
      <w:pPr>
        <w:widowControl w:val="1"/>
        <w:numPr>
          <w:ilvl w:val="3"/>
          <w:numId w:val="5"/>
        </w:numPr>
        <w:pBdr>
          <w:top w:space="0" w:sz="0" w:val="nil"/>
          <w:left w:space="0" w:sz="0" w:val="nil"/>
          <w:bottom w:space="0" w:sz="0" w:val="nil"/>
          <w:right w:space="0" w:sz="0" w:val="nil"/>
          <w:between w:space="0" w:sz="0" w:val="nil"/>
        </w:pBdr>
        <w:spacing w:after="120" w:before="120" w:lineRule="auto"/>
        <w:ind w:left="2880" w:right="700" w:hanging="720"/>
        <w:jc w:val="both"/>
        <w:rPr>
          <w:color w:val="000000"/>
        </w:rPr>
      </w:pPr>
      <w:r w:rsidDel="00000000" w:rsidR="00000000" w:rsidRPr="00000000">
        <w:rPr>
          <w:color w:val="000000"/>
          <w:rtl w:val="0"/>
        </w:rPr>
        <w:t xml:space="preserve">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000000" w:rsidDel="00000000" w:rsidP="00000000" w:rsidRDefault="00000000" w:rsidRPr="00000000" w14:paraId="000000A6">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 O cancelamento de registros nas hipóteses previstas no item 9.1 será formalizado por despacho do órgão ou da entidade gerenciadora, garantidos os princípios do contraditório e da ampla defesa.</w:t>
      </w:r>
      <w:r w:rsidDel="00000000" w:rsidR="00000000" w:rsidRPr="00000000">
        <w:rPr>
          <w:rtl w:val="0"/>
        </w:rPr>
      </w:r>
    </w:p>
    <w:p w:rsidR="00000000" w:rsidDel="00000000" w:rsidP="00000000" w:rsidRDefault="00000000" w:rsidRPr="00000000" w14:paraId="000000A7">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Na hipótese de cancelamento do registro do fornecedor, o órgão ou a entidade gerenciadora poderá convocar os licitantes que compõem o cadastro de reserva, observada a ordem de classificação.</w:t>
      </w:r>
      <w:r w:rsidDel="00000000" w:rsidR="00000000" w:rsidRPr="00000000">
        <w:rPr>
          <w:rtl w:val="0"/>
        </w:rPr>
      </w:r>
    </w:p>
    <w:p w:rsidR="00000000" w:rsidDel="00000000" w:rsidP="00000000" w:rsidRDefault="00000000" w:rsidRPr="00000000" w14:paraId="000000A8">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O cancelamento dos preços registrados poderá ser realizado pelo gerenciador, em determinada ata de registro de preços, total ou parcialmente, nas seguintes hipóteses, desde que devidamente comprovadas e justificadas:</w:t>
      </w:r>
      <w:bookmarkStart w:colFirst="0" w:colLast="0" w:name="bookmark=id.3rdcrjn" w:id="12"/>
      <w:bookmarkEnd w:id="12"/>
      <w:r w:rsidDel="00000000" w:rsidR="00000000" w:rsidRPr="00000000">
        <w:rPr>
          <w:color w:val="000000"/>
          <w:rtl w:val="0"/>
        </w:rPr>
        <w:t xml:space="preserve"> </w:t>
      </w:r>
      <w:r w:rsidDel="00000000" w:rsidR="00000000" w:rsidRPr="00000000">
        <w:rPr>
          <w:rtl w:val="0"/>
        </w:rPr>
      </w:r>
    </w:p>
    <w:p w:rsidR="00000000" w:rsidDel="00000000" w:rsidP="00000000" w:rsidRDefault="00000000" w:rsidRPr="00000000" w14:paraId="000000A9">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Por razão de interesse público;</w:t>
      </w:r>
    </w:p>
    <w:p w:rsidR="00000000" w:rsidDel="00000000" w:rsidP="00000000" w:rsidRDefault="00000000" w:rsidRPr="00000000" w14:paraId="000000AA">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A pedido do fornecedor, decorrente de caso fortuito ou força maior; ou</w:t>
      </w:r>
    </w:p>
    <w:p w:rsidR="00000000" w:rsidDel="00000000" w:rsidP="00000000" w:rsidRDefault="00000000" w:rsidRPr="00000000" w14:paraId="000000AB">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Se não houver êxito nas negociações, nas hipóteses em que o preço de mercado tornar-se superior ou inferior ao preço registrado, nos termos do artigos 26, § 3º e  27, § 4º, ambos do Decreto nº 11.462, de 2023. </w:t>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keepNext w:val="1"/>
        <w:keepLines w:val="1"/>
        <w:widowControl w:val="1"/>
        <w:numPr>
          <w:ilvl w:val="0"/>
          <w:numId w:val="1"/>
        </w:numPr>
        <w:pBdr>
          <w:top w:space="0" w:sz="0" w:val="nil"/>
          <w:left w:space="0" w:sz="0" w:val="nil"/>
          <w:bottom w:space="0" w:sz="0" w:val="nil"/>
          <w:right w:space="0" w:sz="0" w:val="nil"/>
          <w:between w:space="0" w:sz="0" w:val="nil"/>
        </w:pBd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DAS PENALIDADES</w:t>
      </w:r>
      <w:r w:rsidDel="00000000" w:rsidR="00000000" w:rsidRPr="00000000">
        <w:rPr>
          <w:rtl w:val="0"/>
        </w:rPr>
      </w:r>
    </w:p>
    <w:p w:rsidR="00000000" w:rsidDel="00000000" w:rsidP="00000000" w:rsidRDefault="00000000" w:rsidRPr="00000000" w14:paraId="000000AE">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O descumprimento da Ata de Registro de Preços ensejará aplicação das penalidades estabelecidas</w:t>
      </w:r>
      <w:r w:rsidDel="00000000" w:rsidR="00000000" w:rsidRPr="00000000">
        <w:rPr>
          <w:rtl w:val="0"/>
        </w:rPr>
        <w:t xml:space="preserve"> no edital.</w:t>
      </w:r>
    </w:p>
    <w:p w:rsidR="00000000" w:rsidDel="00000000" w:rsidP="00000000" w:rsidRDefault="00000000" w:rsidRPr="00000000" w14:paraId="000000AF">
      <w:pPr>
        <w:widowControl w:val="1"/>
        <w:numPr>
          <w:ilvl w:val="2"/>
          <w:numId w:val="1"/>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As sanções também se aplicam aos integrantes do cadastro de reserva no registro de preços que, convocados, não honrarem o compromisso assumido injustificadamente após terem assinado a ata. </w:t>
      </w:r>
    </w:p>
    <w:p w:rsidR="00000000" w:rsidDel="00000000" w:rsidP="00000000" w:rsidRDefault="00000000" w:rsidRPr="00000000" w14:paraId="000000B0">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r w:rsidDel="00000000" w:rsidR="00000000" w:rsidRPr="00000000">
        <w:rPr>
          <w:rtl w:val="0"/>
        </w:rPr>
      </w:r>
    </w:p>
    <w:p w:rsidR="00000000" w:rsidDel="00000000" w:rsidP="00000000" w:rsidRDefault="00000000" w:rsidRPr="00000000" w14:paraId="000000B1">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O órgão ou entidade participante deverá comunicar ao órgão gerenciador qualquer das ocorrências previstas no item 9.1, dada a necessidade de instauração de procedimento para cancelamento do registro do fornecedor.</w:t>
      </w:r>
      <w:r w:rsidDel="00000000" w:rsidR="00000000" w:rsidRPr="00000000">
        <w:rPr>
          <w:rtl w:val="0"/>
        </w:rPr>
      </w:r>
    </w:p>
    <w:p w:rsidR="00000000" w:rsidDel="00000000" w:rsidP="00000000" w:rsidRDefault="00000000" w:rsidRPr="00000000" w14:paraId="000000B2">
      <w:pPr>
        <w:rPr/>
      </w:pPr>
      <w:r w:rsidDel="00000000" w:rsidR="00000000" w:rsidRPr="00000000">
        <w:rPr>
          <w:rtl w:val="0"/>
        </w:rPr>
      </w:r>
    </w:p>
    <w:p w:rsidR="00000000" w:rsidDel="00000000" w:rsidP="00000000" w:rsidRDefault="00000000" w:rsidRPr="00000000" w14:paraId="000000B3">
      <w:pPr>
        <w:keepNext w:val="1"/>
        <w:keepLines w:val="1"/>
        <w:widowControl w:val="1"/>
        <w:numPr>
          <w:ilvl w:val="0"/>
          <w:numId w:val="1"/>
        </w:numPr>
        <w:pBdr>
          <w:top w:space="0" w:sz="0" w:val="nil"/>
          <w:left w:space="0" w:sz="0" w:val="nil"/>
          <w:bottom w:space="0" w:sz="0" w:val="nil"/>
          <w:right w:space="0" w:sz="0" w:val="nil"/>
          <w:between w:space="0" w:sz="0" w:val="nil"/>
        </w:pBd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CONDIÇÕES GERAIS</w:t>
      </w:r>
      <w:r w:rsidDel="00000000" w:rsidR="00000000" w:rsidRPr="00000000">
        <w:rPr>
          <w:rtl w:val="0"/>
        </w:rPr>
      </w:r>
    </w:p>
    <w:p w:rsidR="00000000" w:rsidDel="00000000" w:rsidP="00000000" w:rsidRDefault="00000000" w:rsidRPr="00000000" w14:paraId="000000B4">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As condições gerais de execução do objeto, tais como os prazos para entrega e recebimento, as obrigações da Administração e do fornecedor registrado, penalidades e demais condições do ajuste, encontram-se definidos no Termo de Referência, ANEXO </w:t>
      </w:r>
      <w:r w:rsidDel="00000000" w:rsidR="00000000" w:rsidRPr="00000000">
        <w:rPr>
          <w:i w:val="1"/>
          <w:color w:val="000000"/>
          <w:rtl w:val="0"/>
        </w:rPr>
        <w:t xml:space="preserve">AO EDITAL.</w:t>
      </w:r>
      <w:r w:rsidDel="00000000" w:rsidR="00000000" w:rsidRPr="00000000">
        <w:rPr>
          <w:rtl w:val="0"/>
        </w:rPr>
      </w:r>
    </w:p>
    <w:p w:rsidR="00000000" w:rsidDel="00000000" w:rsidP="00000000" w:rsidRDefault="00000000" w:rsidRPr="00000000" w14:paraId="000000B5">
      <w:pPr>
        <w:numPr>
          <w:ilvl w:val="1"/>
          <w:numId w:val="1"/>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color w:val="000000"/>
          <w:highlight w:val="white"/>
        </w:rPr>
      </w:pPr>
      <w:r w:rsidDel="00000000" w:rsidR="00000000" w:rsidRPr="00000000">
        <w:rPr>
          <w:color w:val="000000"/>
          <w:highlight w:val="white"/>
          <w:rtl w:val="0"/>
        </w:rPr>
        <w:t xml:space="preserve">No caso de adjudicação por preço global de grupo de itens, só será admitida a contratação de parte de itens do grupo se houver prévia pesquisa de mercado e demonstração de sua vantagem para o órgão ou a entidade.</w:t>
      </w:r>
    </w:p>
    <w:p w:rsidR="00000000" w:rsidDel="00000000" w:rsidP="00000000" w:rsidRDefault="00000000" w:rsidRPr="00000000" w14:paraId="000000B6">
      <w:pPr>
        <w:numPr>
          <w:ilvl w:val="1"/>
          <w:numId w:val="1"/>
        </w:numPr>
        <w:tabs>
          <w:tab w:val="left" w:leader="none" w:pos="1462"/>
        </w:tabs>
        <w:spacing w:before="69" w:lineRule="auto"/>
        <w:ind w:left="1461" w:right="700" w:hanging="709"/>
        <w:jc w:val="both"/>
        <w:rPr/>
      </w:pPr>
      <w:r w:rsidDel="00000000" w:rsidR="00000000" w:rsidRPr="00000000">
        <w:rPr>
          <w:rtl w:val="0"/>
        </w:rPr>
        <w:t xml:space="preserve">O Termo de Responsabilidade sobre a ata de registro de preços compõe anexo a esta Ata de Registro de Preços.</w:t>
      </w:r>
    </w:p>
    <w:p w:rsidR="00000000" w:rsidDel="00000000" w:rsidP="00000000" w:rsidRDefault="00000000" w:rsidRPr="00000000" w14:paraId="000000B7">
      <w:pPr>
        <w:pBdr>
          <w:top w:space="0" w:sz="0" w:val="nil"/>
          <w:left w:space="0" w:sz="0" w:val="nil"/>
          <w:bottom w:space="0" w:sz="0" w:val="nil"/>
          <w:right w:space="0" w:sz="0" w:val="nil"/>
          <w:between w:space="0" w:sz="0" w:val="nil"/>
        </w:pBdr>
        <w:tabs>
          <w:tab w:val="left" w:leader="none" w:pos="1462"/>
        </w:tabs>
        <w:spacing w:before="69" w:lineRule="auto"/>
        <w:ind w:left="1461" w:right="700" w:firstLine="0"/>
        <w:jc w:val="both"/>
        <w:rPr>
          <w:color w:val="000000"/>
          <w:highlight w:val="yellow"/>
        </w:rPr>
      </w:pPr>
      <w:r w:rsidDel="00000000" w:rsidR="00000000" w:rsidRPr="00000000">
        <w:rPr>
          <w:rtl w:val="0"/>
        </w:rPr>
      </w:r>
    </w:p>
    <w:p w:rsidR="00000000" w:rsidDel="00000000" w:rsidP="00000000" w:rsidRDefault="00000000" w:rsidRPr="00000000" w14:paraId="000000B8">
      <w:pPr>
        <w:rPr/>
      </w:pPr>
      <w:r w:rsidDel="00000000" w:rsidR="00000000" w:rsidRPr="00000000">
        <w:rPr>
          <w:rtl w:val="0"/>
        </w:rPr>
      </w:r>
    </w:p>
    <w:p w:rsidR="00000000" w:rsidDel="00000000" w:rsidP="00000000" w:rsidRDefault="00000000" w:rsidRPr="00000000" w14:paraId="000000B9">
      <w:pPr>
        <w:pStyle w:val="Heading1"/>
        <w:tabs>
          <w:tab w:val="left" w:leader="none" w:pos="1461"/>
          <w:tab w:val="left" w:leader="none" w:pos="1462"/>
        </w:tabs>
        <w:ind w:firstLine="0"/>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spacing w:before="8" w:lineRule="auto"/>
        <w:rPr>
          <w:color w:val="000000"/>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tabs>
          <w:tab w:val="left" w:leader="none" w:pos="2976"/>
          <w:tab w:val="left" w:leader="none" w:pos="4504"/>
        </w:tabs>
        <w:ind w:left="1473" w:firstLine="0"/>
        <w:jc w:val="both"/>
        <w:rPr>
          <w:color w:val="000000"/>
        </w:rPr>
      </w:pPr>
      <w:r w:rsidDel="00000000" w:rsidR="00000000" w:rsidRPr="00000000">
        <w:rPr>
          <w:color w:val="000000"/>
          <w:rtl w:val="0"/>
        </w:rPr>
        <w:t xml:space="preserve">Niterói, RJ,</w:t>
      </w:r>
      <w:r w:rsidDel="00000000" w:rsidR="00000000" w:rsidRPr="00000000">
        <w:rPr>
          <w:color w:val="000000"/>
          <w:u w:val="single"/>
          <w:rtl w:val="0"/>
        </w:rPr>
        <w:tab/>
      </w:r>
      <w:r w:rsidDel="00000000" w:rsidR="00000000" w:rsidRPr="00000000">
        <w:rPr>
          <w:color w:val="000000"/>
          <w:rtl w:val="0"/>
        </w:rPr>
        <w:t xml:space="preserve">de</w:t>
      </w:r>
      <w:r w:rsidDel="00000000" w:rsidR="00000000" w:rsidRPr="00000000">
        <w:rPr>
          <w:color w:val="000000"/>
          <w:u w:val="single"/>
          <w:rtl w:val="0"/>
        </w:rPr>
        <w:tab/>
      </w:r>
      <w:r w:rsidDel="00000000" w:rsidR="00000000" w:rsidRPr="00000000">
        <w:rPr>
          <w:color w:val="000000"/>
          <w:rtl w:val="0"/>
        </w:rPr>
        <w:t xml:space="preserve">de </w:t>
      </w:r>
      <w:r w:rsidDel="00000000" w:rsidR="00000000" w:rsidRPr="00000000">
        <w:rPr>
          <w:rtl w:val="0"/>
        </w:rPr>
        <w:t xml:space="preserve">2025</w:t>
      </w:r>
      <w:r w:rsidDel="00000000" w:rsidR="00000000" w:rsidRPr="00000000">
        <w:rPr>
          <w:color w:val="000000"/>
          <w:rtl w:val="0"/>
        </w:rPr>
        <w:t xml:space="preserve">.</w:t>
      </w:r>
    </w:p>
    <w:p w:rsidR="00000000" w:rsidDel="00000000" w:rsidP="00000000" w:rsidRDefault="00000000" w:rsidRPr="00000000" w14:paraId="000000BC">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spacing w:before="6" w:lineRule="auto"/>
        <w:rPr>
          <w:color w:val="000000"/>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ind w:left="3564" w:right="3551" w:firstLine="0"/>
        <w:jc w:val="center"/>
        <w:rPr>
          <w:color w:val="000000"/>
        </w:rPr>
      </w:pPr>
      <w:r w:rsidDel="00000000" w:rsidR="00000000" w:rsidRPr="00000000">
        <w:rPr>
          <w:color w:val="bebebe"/>
          <w:rtl w:val="0"/>
        </w:rPr>
        <w:t xml:space="preserve">DOCUMENTO ASSINADO ELETRONICAMENTE</w:t>
      </w:r>
      <w:r w:rsidDel="00000000" w:rsidR="00000000" w:rsidRPr="00000000">
        <w:rPr>
          <w:rtl w:val="0"/>
        </w:rPr>
      </w:r>
    </w:p>
    <w:p w:rsidR="00000000" w:rsidDel="00000000" w:rsidP="00000000" w:rsidRDefault="00000000" w:rsidRPr="00000000" w14:paraId="000000C0">
      <w:pPr>
        <w:pStyle w:val="Heading1"/>
        <w:spacing w:before="1" w:lineRule="auto"/>
        <w:ind w:left="3564" w:right="3553" w:firstLine="0"/>
        <w:jc w:val="center"/>
        <w:rPr/>
      </w:pPr>
      <w:r w:rsidDel="00000000" w:rsidR="00000000" w:rsidRPr="00000000">
        <w:rPr>
          <w:rtl w:val="0"/>
        </w:rPr>
        <w:t xml:space="preserve">VERA LÚCIA LAVRADO CUPELLO CAJAZEIRAS</w:t>
      </w:r>
    </w:p>
    <w:p w:rsidR="00000000" w:rsidDel="00000000" w:rsidP="00000000" w:rsidRDefault="00000000" w:rsidRPr="00000000" w14:paraId="000000C1">
      <w:pPr>
        <w:pBdr>
          <w:top w:space="0" w:sz="0" w:val="nil"/>
          <w:left w:space="0" w:sz="0" w:val="nil"/>
          <w:bottom w:space="0" w:sz="0" w:val="nil"/>
          <w:right w:space="0" w:sz="0" w:val="nil"/>
          <w:between w:space="0" w:sz="0" w:val="nil"/>
        </w:pBdr>
        <w:ind w:left="3564" w:right="3551" w:firstLine="0"/>
        <w:jc w:val="center"/>
        <w:rPr>
          <w:color w:val="000000"/>
        </w:rPr>
      </w:pPr>
      <w:r w:rsidDel="00000000" w:rsidR="00000000" w:rsidRPr="00000000">
        <w:rPr>
          <w:color w:val="000000"/>
          <w:rtl w:val="0"/>
        </w:rPr>
        <w:t xml:space="preserve">Pró-Reitora de Administração</w:t>
      </w:r>
    </w:p>
    <w:p w:rsidR="00000000" w:rsidDel="00000000" w:rsidP="00000000" w:rsidRDefault="00000000" w:rsidRPr="00000000" w14:paraId="000000C2">
      <w:pPr>
        <w:rPr>
          <w:color w:val="000000"/>
        </w:rPr>
      </w:pPr>
      <w:r w:rsidDel="00000000" w:rsidR="00000000" w:rsidRPr="00000000">
        <w:rPr>
          <w:rtl w:val="0"/>
        </w:rPr>
      </w:r>
    </w:p>
    <w:sectPr>
      <w:pgSz w:h="16840" w:w="11910" w:orient="portrait"/>
      <w:pgMar w:bottom="280" w:top="460" w:left="380" w:right="3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3"/>
      <w:numFmt w:val="decimal"/>
      <w:lvlText w:val="%1."/>
      <w:lvlJc w:val="left"/>
      <w:pPr>
        <w:ind w:left="1461" w:hanging="709.0000000000001"/>
      </w:pPr>
      <w:rPr>
        <w:rFonts w:ascii="Calibri" w:cs="Calibri" w:eastAsia="Calibri" w:hAnsi="Calibri"/>
        <w:b w:val="1"/>
        <w:sz w:val="22"/>
        <w:szCs w:val="22"/>
      </w:rPr>
    </w:lvl>
    <w:lvl w:ilvl="1">
      <w:start w:val="1"/>
      <w:numFmt w:val="decimal"/>
      <w:lvlText w:val="%1.%2."/>
      <w:lvlJc w:val="left"/>
      <w:pPr>
        <w:ind w:left="1461" w:hanging="709.0000000000001"/>
      </w:pPr>
      <w:rPr>
        <w:rFonts w:ascii="Calibri" w:cs="Calibri" w:eastAsia="Calibri" w:hAnsi="Calibri"/>
        <w:sz w:val="22"/>
        <w:szCs w:val="22"/>
      </w:rPr>
    </w:lvl>
    <w:lvl w:ilvl="2">
      <w:start w:val="1"/>
      <w:numFmt w:val="decimal"/>
      <w:lvlText w:val="%1.%2.%3."/>
      <w:lvlJc w:val="left"/>
      <w:pPr>
        <w:ind w:left="752" w:hanging="709"/>
      </w:pPr>
      <w:rPr/>
    </w:lvl>
    <w:lvl w:ilvl="3">
      <w:start w:val="0"/>
      <w:numFmt w:val="bullet"/>
      <w:lvlText w:val="•"/>
      <w:lvlJc w:val="left"/>
      <w:pPr>
        <w:ind w:left="3621" w:hanging="708"/>
      </w:pPr>
      <w:rPr/>
    </w:lvl>
    <w:lvl w:ilvl="4">
      <w:start w:val="0"/>
      <w:numFmt w:val="bullet"/>
      <w:lvlText w:val="•"/>
      <w:lvlJc w:val="left"/>
      <w:pPr>
        <w:ind w:left="4702" w:hanging="709.0000000000005"/>
      </w:pPr>
      <w:rPr/>
    </w:lvl>
    <w:lvl w:ilvl="5">
      <w:start w:val="0"/>
      <w:numFmt w:val="bullet"/>
      <w:lvlText w:val="•"/>
      <w:lvlJc w:val="left"/>
      <w:pPr>
        <w:ind w:left="5782" w:hanging="708"/>
      </w:pPr>
      <w:rPr/>
    </w:lvl>
    <w:lvl w:ilvl="6">
      <w:start w:val="0"/>
      <w:numFmt w:val="bullet"/>
      <w:lvlText w:val="•"/>
      <w:lvlJc w:val="left"/>
      <w:pPr>
        <w:ind w:left="6863" w:hanging="709"/>
      </w:pPr>
      <w:rPr/>
    </w:lvl>
    <w:lvl w:ilvl="7">
      <w:start w:val="0"/>
      <w:numFmt w:val="bullet"/>
      <w:lvlText w:val="•"/>
      <w:lvlJc w:val="left"/>
      <w:pPr>
        <w:ind w:left="7944" w:hanging="709"/>
      </w:pPr>
      <w:rPr/>
    </w:lvl>
    <w:lvl w:ilvl="8">
      <w:start w:val="0"/>
      <w:numFmt w:val="bullet"/>
      <w:lvlText w:val="•"/>
      <w:lvlJc w:val="left"/>
      <w:pPr>
        <w:ind w:left="9024" w:hanging="709"/>
      </w:pPr>
      <w:rPr/>
    </w:lvl>
  </w:abstractNum>
  <w:abstractNum w:abstractNumId="2">
    <w:lvl w:ilvl="0">
      <w:start w:val="1"/>
      <w:numFmt w:val="decimal"/>
      <w:lvlText w:val="%1"/>
      <w:lvlJc w:val="left"/>
      <w:pPr>
        <w:ind w:left="1313" w:hanging="844.9999999999999"/>
      </w:pPr>
      <w:rPr/>
    </w:lvl>
    <w:lvl w:ilvl="1">
      <w:start w:val="1"/>
      <w:numFmt w:val="decimal"/>
      <w:lvlText w:val="%1.%2."/>
      <w:lvlJc w:val="left"/>
      <w:pPr>
        <w:ind w:left="1313" w:hanging="844.9999999999999"/>
      </w:pPr>
      <w:rPr>
        <w:rFonts w:ascii="Calibri" w:cs="Calibri" w:eastAsia="Calibri" w:hAnsi="Calibri"/>
        <w:sz w:val="22"/>
        <w:szCs w:val="22"/>
      </w:rPr>
    </w:lvl>
    <w:lvl w:ilvl="2">
      <w:start w:val="2"/>
      <w:numFmt w:val="decimal"/>
      <w:lvlText w:val="%3."/>
      <w:lvlJc w:val="left"/>
      <w:pPr>
        <w:ind w:left="1462" w:hanging="846"/>
      </w:pPr>
      <w:rPr>
        <w:rFonts w:ascii="Calibri" w:cs="Calibri" w:eastAsia="Calibri" w:hAnsi="Calibri"/>
        <w:b w:val="1"/>
        <w:sz w:val="22"/>
        <w:szCs w:val="22"/>
      </w:rPr>
    </w:lvl>
    <w:lvl w:ilvl="3">
      <w:start w:val="1"/>
      <w:numFmt w:val="decimal"/>
      <w:lvlText w:val="%3.%4."/>
      <w:lvlJc w:val="left"/>
      <w:pPr>
        <w:ind w:left="1462" w:hanging="846"/>
      </w:pPr>
      <w:rPr>
        <w:rFonts w:ascii="Calibri" w:cs="Calibri" w:eastAsia="Calibri" w:hAnsi="Calibri"/>
        <w:sz w:val="22"/>
        <w:szCs w:val="22"/>
      </w:rPr>
    </w:lvl>
    <w:lvl w:ilvl="4">
      <w:start w:val="0"/>
      <w:numFmt w:val="bullet"/>
      <w:lvlText w:val="•"/>
      <w:lvlJc w:val="left"/>
      <w:pPr>
        <w:ind w:left="4573" w:hanging="845"/>
      </w:pPr>
      <w:rPr/>
    </w:lvl>
    <w:lvl w:ilvl="5">
      <w:start w:val="0"/>
      <w:numFmt w:val="bullet"/>
      <w:lvlText w:val="•"/>
      <w:lvlJc w:val="left"/>
      <w:pPr>
        <w:ind w:left="5611" w:hanging="846"/>
      </w:pPr>
      <w:rPr/>
    </w:lvl>
    <w:lvl w:ilvl="6">
      <w:start w:val="0"/>
      <w:numFmt w:val="bullet"/>
      <w:lvlText w:val="•"/>
      <w:lvlJc w:val="left"/>
      <w:pPr>
        <w:ind w:left="6648" w:hanging="846.0000000000009"/>
      </w:pPr>
      <w:rPr/>
    </w:lvl>
    <w:lvl w:ilvl="7">
      <w:start w:val="0"/>
      <w:numFmt w:val="bullet"/>
      <w:lvlText w:val="•"/>
      <w:lvlJc w:val="left"/>
      <w:pPr>
        <w:ind w:left="7686" w:hanging="846"/>
      </w:pPr>
      <w:rPr/>
    </w:lvl>
    <w:lvl w:ilvl="8">
      <w:start w:val="0"/>
      <w:numFmt w:val="bullet"/>
      <w:lvlText w:val="•"/>
      <w:lvlJc w:val="left"/>
      <w:pPr>
        <w:ind w:left="8724" w:hanging="846"/>
      </w:pPr>
      <w:rPr/>
    </w:lvl>
  </w:abstractNum>
  <w:abstractNum w:abstractNumId="3">
    <w:lvl w:ilvl="0">
      <w:start w:val="5"/>
      <w:numFmt w:val="decimal"/>
      <w:lvlText w:val="%1"/>
      <w:lvlJc w:val="left"/>
      <w:pPr>
        <w:ind w:left="612" w:hanging="612"/>
      </w:pPr>
      <w:rPr/>
    </w:lvl>
    <w:lvl w:ilvl="1">
      <w:start w:val="4"/>
      <w:numFmt w:val="decimal"/>
      <w:lvlText w:val="%1.%2"/>
      <w:lvlJc w:val="left"/>
      <w:pPr>
        <w:ind w:left="1561" w:hanging="612.0000000000001"/>
      </w:pPr>
      <w:rPr/>
    </w:lvl>
    <w:lvl w:ilvl="2">
      <w:start w:val="2"/>
      <w:numFmt w:val="decimal"/>
      <w:lvlText w:val="%1.%2.%3"/>
      <w:lvlJc w:val="left"/>
      <w:pPr>
        <w:ind w:left="2618" w:hanging="720"/>
      </w:pPr>
      <w:rPr/>
    </w:lvl>
    <w:lvl w:ilvl="3">
      <w:start w:val="2"/>
      <w:numFmt w:val="decimal"/>
      <w:lvlText w:val="%1.%2.%3.%4"/>
      <w:lvlJc w:val="left"/>
      <w:pPr>
        <w:ind w:left="3567" w:hanging="720"/>
      </w:pPr>
      <w:rPr/>
    </w:lvl>
    <w:lvl w:ilvl="4">
      <w:start w:val="1"/>
      <w:numFmt w:val="decimal"/>
      <w:lvlText w:val="%1.%2.%3.%4.%5"/>
      <w:lvlJc w:val="left"/>
      <w:pPr>
        <w:ind w:left="4876" w:hanging="1080"/>
      </w:pPr>
      <w:rPr/>
    </w:lvl>
    <w:lvl w:ilvl="5">
      <w:start w:val="1"/>
      <w:numFmt w:val="decimal"/>
      <w:lvlText w:val="%1.%2.%3.%4.%5.%6"/>
      <w:lvlJc w:val="left"/>
      <w:pPr>
        <w:ind w:left="5825" w:hanging="1080"/>
      </w:pPr>
      <w:rPr/>
    </w:lvl>
    <w:lvl w:ilvl="6">
      <w:start w:val="1"/>
      <w:numFmt w:val="decimal"/>
      <w:lvlText w:val="%1.%2.%3.%4.%5.%6.%7"/>
      <w:lvlJc w:val="left"/>
      <w:pPr>
        <w:ind w:left="7134" w:hanging="1440"/>
      </w:pPr>
      <w:rPr/>
    </w:lvl>
    <w:lvl w:ilvl="7">
      <w:start w:val="1"/>
      <w:numFmt w:val="decimal"/>
      <w:lvlText w:val="%1.%2.%3.%4.%5.%6.%7.%8"/>
      <w:lvlJc w:val="left"/>
      <w:pPr>
        <w:ind w:left="8083" w:hanging="1440"/>
      </w:pPr>
      <w:rPr/>
    </w:lvl>
    <w:lvl w:ilvl="8">
      <w:start w:val="1"/>
      <w:numFmt w:val="decimal"/>
      <w:lvlText w:val="%1.%2.%3.%4.%5.%6.%7.%8.%9"/>
      <w:lvlJc w:val="left"/>
      <w:pPr>
        <w:ind w:left="9392" w:hanging="1800"/>
      </w:pPr>
      <w:rPr/>
    </w:lvl>
  </w:abstractNum>
  <w:abstractNum w:abstractNumId="4">
    <w:lvl w:ilvl="0">
      <w:start w:val="6"/>
      <w:numFmt w:val="decimal"/>
      <w:lvlText w:val="%1"/>
      <w:lvlJc w:val="left"/>
      <w:pPr>
        <w:ind w:left="612" w:hanging="612"/>
      </w:pPr>
      <w:rPr/>
    </w:lvl>
    <w:lvl w:ilvl="1">
      <w:start w:val="1"/>
      <w:numFmt w:val="decimal"/>
      <w:lvlText w:val="%1.%2"/>
      <w:lvlJc w:val="left"/>
      <w:pPr>
        <w:ind w:left="1542" w:hanging="612.0000000000001"/>
      </w:pPr>
      <w:rPr/>
    </w:lvl>
    <w:lvl w:ilvl="2">
      <w:start w:val="3"/>
      <w:numFmt w:val="decimal"/>
      <w:lvlText w:val="%1.%2.%3"/>
      <w:lvlJc w:val="left"/>
      <w:pPr>
        <w:ind w:left="2580" w:hanging="720"/>
      </w:pPr>
      <w:rPr/>
    </w:lvl>
    <w:lvl w:ilvl="3">
      <w:start w:val="1"/>
      <w:numFmt w:val="decimal"/>
      <w:lvlText w:val="%1.%2.%3.%4"/>
      <w:lvlJc w:val="left"/>
      <w:pPr>
        <w:ind w:left="3510" w:hanging="720"/>
      </w:pPr>
      <w:rPr/>
    </w:lvl>
    <w:lvl w:ilvl="4">
      <w:start w:val="1"/>
      <w:numFmt w:val="decimal"/>
      <w:lvlText w:val="%1.%2.%3.%4.%5"/>
      <w:lvlJc w:val="left"/>
      <w:pPr>
        <w:ind w:left="4800" w:hanging="1080"/>
      </w:pPr>
      <w:rPr/>
    </w:lvl>
    <w:lvl w:ilvl="5">
      <w:start w:val="1"/>
      <w:numFmt w:val="decimal"/>
      <w:lvlText w:val="%1.%2.%3.%4.%5.%6"/>
      <w:lvlJc w:val="left"/>
      <w:pPr>
        <w:ind w:left="5730" w:hanging="1080"/>
      </w:pPr>
      <w:rPr/>
    </w:lvl>
    <w:lvl w:ilvl="6">
      <w:start w:val="1"/>
      <w:numFmt w:val="decimal"/>
      <w:lvlText w:val="%1.%2.%3.%4.%5.%6.%7"/>
      <w:lvlJc w:val="left"/>
      <w:pPr>
        <w:ind w:left="7020" w:hanging="1440"/>
      </w:pPr>
      <w:rPr/>
    </w:lvl>
    <w:lvl w:ilvl="7">
      <w:start w:val="1"/>
      <w:numFmt w:val="decimal"/>
      <w:lvlText w:val="%1.%2.%3.%4.%5.%6.%7.%8"/>
      <w:lvlJc w:val="left"/>
      <w:pPr>
        <w:ind w:left="7950" w:hanging="1440"/>
      </w:pPr>
      <w:rPr/>
    </w:lvl>
    <w:lvl w:ilvl="8">
      <w:start w:val="1"/>
      <w:numFmt w:val="decimal"/>
      <w:lvlText w:val="%1.%2.%3.%4.%5.%6.%7.%8.%9"/>
      <w:lvlJc w:val="left"/>
      <w:pPr>
        <w:ind w:left="8880" w:hanging="1440"/>
      </w:pPr>
      <w:rPr/>
    </w:lvl>
  </w:abstractNum>
  <w:abstractNum w:abstractNumId="5">
    <w:lvl w:ilvl="0">
      <w:start w:val="9"/>
      <w:numFmt w:val="decimal"/>
      <w:lvlText w:val="%1"/>
      <w:lvlJc w:val="left"/>
      <w:pPr>
        <w:ind w:left="612" w:hanging="612"/>
      </w:pPr>
      <w:rPr/>
    </w:lvl>
    <w:lvl w:ilvl="1">
      <w:start w:val="1"/>
      <w:numFmt w:val="decimal"/>
      <w:lvlText w:val="%1.%2"/>
      <w:lvlJc w:val="left"/>
      <w:pPr>
        <w:ind w:left="1332" w:hanging="612.0000000000001"/>
      </w:pPr>
      <w:rPr/>
    </w:lvl>
    <w:lvl w:ilvl="2">
      <w:start w:val="4"/>
      <w:numFmt w:val="decimal"/>
      <w:lvlText w:val="%1.%2.%3"/>
      <w:lvlJc w:val="left"/>
      <w:pPr>
        <w:ind w:left="2160" w:hanging="720"/>
      </w:pPr>
      <w:rPr/>
    </w:lvl>
    <w:lvl w:ilvl="3">
      <w:start w:val="1"/>
      <w:numFmt w:val="decimal"/>
      <w:lvlText w:val="%1.%2.%3.%4"/>
      <w:lvlJc w:val="left"/>
      <w:pPr>
        <w:ind w:left="2880" w:hanging="720"/>
      </w:pPr>
      <w:rPr/>
    </w:lvl>
    <w:lvl w:ilvl="4">
      <w:start w:val="1"/>
      <w:numFmt w:val="decimal"/>
      <w:lvlText w:val="%1.%2.%3.%4.%5"/>
      <w:lvlJc w:val="left"/>
      <w:pPr>
        <w:ind w:left="3960" w:hanging="1080"/>
      </w:pPr>
      <w:rPr/>
    </w:lvl>
    <w:lvl w:ilvl="5">
      <w:start w:val="1"/>
      <w:numFmt w:val="decimal"/>
      <w:lvlText w:val="%1.%2.%3.%4.%5.%6"/>
      <w:lvlJc w:val="left"/>
      <w:pPr>
        <w:ind w:left="4680" w:hanging="1080"/>
      </w:pPr>
      <w:rPr/>
    </w:lvl>
    <w:lvl w:ilvl="6">
      <w:start w:val="1"/>
      <w:numFmt w:val="decimal"/>
      <w:lvlText w:val="%1.%2.%3.%4.%5.%6.%7"/>
      <w:lvlJc w:val="left"/>
      <w:pPr>
        <w:ind w:left="5760" w:hanging="1440"/>
      </w:pPr>
      <w:rPr/>
    </w:lvl>
    <w:lvl w:ilvl="7">
      <w:start w:val="1"/>
      <w:numFmt w:val="decimal"/>
      <w:lvlText w:val="%1.%2.%3.%4.%5.%6.%7.%8"/>
      <w:lvlJc w:val="left"/>
      <w:pPr>
        <w:ind w:left="6480" w:hanging="1440"/>
      </w:pPr>
      <w:rPr/>
    </w:lvl>
    <w:lvl w:ilvl="8">
      <w:start w:val="1"/>
      <w:numFmt w:val="decimal"/>
      <w:lvlText w:val="%1.%2.%3.%4.%5.%6.%7.%8.%9"/>
      <w:lvlJc w:val="left"/>
      <w:pPr>
        <w:ind w:left="7200" w:hanging="144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PT"/>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1461" w:hanging="710"/>
    </w:pPr>
    <w:rPr>
      <w:b w:val="1"/>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Ttulo1">
    <w:name w:val="heading 1"/>
    <w:basedOn w:val="Normal"/>
    <w:uiPriority w:val="9"/>
    <w:qFormat w:val="1"/>
    <w:pPr>
      <w:ind w:left="1461" w:hanging="710"/>
      <w:outlineLvl w:val="0"/>
    </w:pPr>
    <w:rPr>
      <w:b w:val="1"/>
      <w:bCs w:val="1"/>
    </w:rPr>
  </w:style>
  <w:style w:type="paragraph" w:styleId="Ttulo2">
    <w:name w:val="heading 2"/>
    <w:basedOn w:val="Normal"/>
    <w:next w:val="Normal"/>
    <w:pPr>
      <w:keepNext w:val="1"/>
      <w:keepLines w:val="1"/>
      <w:spacing w:after="80" w:before="360"/>
      <w:outlineLvl w:val="1"/>
    </w:pPr>
    <w:rPr>
      <w:b w:val="1"/>
      <w:sz w:val="36"/>
      <w:szCs w:val="36"/>
    </w:rPr>
  </w:style>
  <w:style w:type="paragraph" w:styleId="Ttulo3">
    <w:name w:val="heading 3"/>
    <w:basedOn w:val="Normal"/>
    <w:next w:val="Normal"/>
    <w:pPr>
      <w:keepNext w:val="1"/>
      <w:keepLines w:val="1"/>
      <w:spacing w:after="80" w:before="280"/>
      <w:outlineLvl w:val="2"/>
    </w:pPr>
    <w:rPr>
      <w:b w:val="1"/>
      <w:sz w:val="28"/>
      <w:szCs w:val="28"/>
    </w:rPr>
  </w:style>
  <w:style w:type="paragraph" w:styleId="Ttulo4">
    <w:name w:val="heading 4"/>
    <w:basedOn w:val="Normal"/>
    <w:next w:val="Normal"/>
    <w:pPr>
      <w:keepNext w:val="1"/>
      <w:keepLines w:val="1"/>
      <w:spacing w:after="40" w:before="240"/>
      <w:outlineLvl w:val="3"/>
    </w:pPr>
    <w:rPr>
      <w:b w:val="1"/>
      <w:sz w:val="24"/>
      <w:szCs w:val="24"/>
    </w:rPr>
  </w:style>
  <w:style w:type="paragraph" w:styleId="Ttulo5">
    <w:name w:val="heading 5"/>
    <w:basedOn w:val="Normal"/>
    <w:next w:val="Normal"/>
    <w:pPr>
      <w:keepNext w:val="1"/>
      <w:keepLines w:val="1"/>
      <w:spacing w:after="40" w:before="220"/>
      <w:outlineLvl w:val="4"/>
    </w:pPr>
    <w:rPr>
      <w:b w:val="1"/>
    </w:rPr>
  </w:style>
  <w:style w:type="paragraph" w:styleId="Ttulo6">
    <w:name w:val="heading 6"/>
    <w:basedOn w:val="Normal"/>
    <w:next w:val="Normal"/>
    <w:pPr>
      <w:keepNext w:val="1"/>
      <w:keepLines w:val="1"/>
      <w:spacing w:after="40" w:before="200"/>
      <w:outlineLvl w:val="5"/>
    </w:pPr>
    <w:rPr>
      <w:b w:val="1"/>
      <w:sz w:val="20"/>
      <w:szCs w:val="20"/>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pPr>
      <w:keepNext w:val="1"/>
      <w:keepLines w:val="1"/>
      <w:spacing w:after="120" w:before="480"/>
    </w:pPr>
    <w:rPr>
      <w:b w:val="1"/>
      <w:sz w:val="72"/>
      <w:szCs w:val="72"/>
    </w:rPr>
  </w:style>
  <w:style w:type="table" w:styleId="TableNormal0" w:customStyle="1">
    <w:name w:val="Table Normal"/>
    <w:uiPriority w:val="2"/>
    <w:semiHidden w:val="1"/>
    <w:unhideWhenUsed w:val="1"/>
    <w:qFormat w:val="1"/>
    <w:tblPr>
      <w:tblInd w:w="0.0" w:type="dxa"/>
      <w:tblCellMar>
        <w:top w:w="0.0" w:type="dxa"/>
        <w:left w:w="0.0" w:type="dxa"/>
        <w:bottom w:w="0.0" w:type="dxa"/>
        <w:right w:w="0.0" w:type="dxa"/>
      </w:tblCellMar>
    </w:tblPr>
  </w:style>
  <w:style w:type="paragraph" w:styleId="Corpodetexto">
    <w:name w:val="Body Text"/>
    <w:basedOn w:val="Normal"/>
    <w:uiPriority w:val="1"/>
    <w:qFormat w:val="1"/>
    <w:pPr>
      <w:ind w:left="752"/>
      <w:jc w:val="both"/>
    </w:pPr>
  </w:style>
  <w:style w:type="paragraph" w:styleId="PargrafodaLista">
    <w:name w:val="List Paragraph"/>
    <w:basedOn w:val="Normal"/>
    <w:uiPriority w:val="1"/>
    <w:qFormat w:val="1"/>
    <w:pPr>
      <w:spacing w:before="70"/>
      <w:ind w:left="752"/>
      <w:jc w:val="both"/>
    </w:pPr>
  </w:style>
  <w:style w:type="paragraph" w:styleId="TableParagraph" w:customStyle="1">
    <w:name w:val="Table Paragraph"/>
    <w:basedOn w:val="Normal"/>
    <w:uiPriority w:val="1"/>
    <w:qFormat w:val="1"/>
  </w:style>
  <w:style w:type="paragraph" w:styleId="Nivel01" w:customStyle="1">
    <w:name w:val="Nivel 01"/>
    <w:basedOn w:val="Ttulo1"/>
    <w:next w:val="Normal"/>
    <w:link w:val="Nivel01Char"/>
    <w:qFormat w:val="1"/>
    <w:rsid w:val="00D967C5"/>
    <w:pPr>
      <w:keepNext w:val="1"/>
      <w:keepLines w:val="1"/>
      <w:widowControl w:val="1"/>
      <w:tabs>
        <w:tab w:val="left" w:pos="567"/>
      </w:tabs>
      <w:spacing w:after="120" w:before="120" w:line="276" w:lineRule="auto"/>
      <w:ind w:left="0" w:firstLine="0"/>
      <w:jc w:val="both"/>
    </w:pPr>
    <w:rPr>
      <w:rFonts w:ascii="Arial" w:cs="Arial" w:hAnsi="Arial" w:eastAsiaTheme="majorEastAsia"/>
      <w:sz w:val="20"/>
      <w:szCs w:val="20"/>
      <w:lang w:val="pt-BR"/>
    </w:rPr>
  </w:style>
  <w:style w:type="character" w:styleId="Refdecomentrio">
    <w:name w:val="annotation reference"/>
    <w:basedOn w:val="Fontepargpadro"/>
    <w:semiHidden w:val="1"/>
    <w:unhideWhenUsed w:val="1"/>
    <w:rsid w:val="00D967C5"/>
    <w:rPr>
      <w:sz w:val="16"/>
      <w:szCs w:val="16"/>
    </w:rPr>
  </w:style>
  <w:style w:type="paragraph" w:styleId="Textodecomentrio">
    <w:name w:val="annotation text"/>
    <w:basedOn w:val="Normal"/>
    <w:link w:val="TextodecomentrioChar"/>
    <w:unhideWhenUsed w:val="1"/>
    <w:rsid w:val="00D967C5"/>
    <w:pPr>
      <w:widowControl w:val="1"/>
    </w:pPr>
    <w:rPr>
      <w:rFonts w:ascii="Ecofont_Spranq_eco_Sans" w:cs="Tahoma" w:eastAsia="Times New Roman" w:hAnsi="Ecofont_Spranq_eco_Sans"/>
      <w:sz w:val="20"/>
      <w:szCs w:val="20"/>
      <w:lang w:val="pt-BR"/>
    </w:rPr>
  </w:style>
  <w:style w:type="character" w:styleId="TextodecomentrioChar" w:customStyle="1">
    <w:name w:val="Texto de comentário Char"/>
    <w:basedOn w:val="Fontepargpadro"/>
    <w:link w:val="Textodecomentrio"/>
    <w:rsid w:val="00D967C5"/>
    <w:rPr>
      <w:rFonts w:ascii="Ecofont_Spranq_eco_Sans" w:cs="Tahoma" w:eastAsia="Times New Roman" w:hAnsi="Ecofont_Spranq_eco_Sans"/>
      <w:sz w:val="20"/>
      <w:szCs w:val="20"/>
      <w:lang w:eastAsia="pt-BR" w:val="pt-BR"/>
    </w:rPr>
  </w:style>
  <w:style w:type="paragraph" w:styleId="Nivel2" w:customStyle="1">
    <w:name w:val="Nivel 2"/>
    <w:basedOn w:val="Normal"/>
    <w:link w:val="Nivel2Char"/>
    <w:qFormat w:val="1"/>
    <w:rsid w:val="00D967C5"/>
    <w:pPr>
      <w:widowControl w:val="1"/>
      <w:adjustRightInd w:val="0"/>
      <w:spacing w:after="120" w:before="120" w:line="276" w:lineRule="auto"/>
      <w:jc w:val="both"/>
    </w:pPr>
    <w:rPr>
      <w:rFonts w:ascii="Arial" w:cs="Arial" w:eastAsia="Times New Roman" w:hAnsi="Arial"/>
      <w:sz w:val="20"/>
      <w:szCs w:val="20"/>
      <w:lang w:val="pt-BR"/>
    </w:rPr>
  </w:style>
  <w:style w:type="paragraph" w:styleId="Nvel2-Red" w:customStyle="1">
    <w:name w:val="Nível 2 -Red"/>
    <w:basedOn w:val="Nivel2"/>
    <w:link w:val="Nvel2-RedChar"/>
    <w:qFormat w:val="1"/>
    <w:rsid w:val="00D967C5"/>
    <w:rPr>
      <w:i w:val="1"/>
      <w:iCs w:val="1"/>
      <w:color w:val="ff0000"/>
    </w:rPr>
  </w:style>
  <w:style w:type="character" w:styleId="Nvel2-RedChar" w:customStyle="1">
    <w:name w:val="Nível 2 -Red Char"/>
    <w:basedOn w:val="Fontepargpadro"/>
    <w:link w:val="Nvel2-Red"/>
    <w:rsid w:val="00D967C5"/>
    <w:rPr>
      <w:rFonts w:ascii="Arial" w:cs="Arial" w:eastAsia="Times New Roman" w:hAnsi="Arial"/>
      <w:i w:val="1"/>
      <w:iCs w:val="1"/>
      <w:color w:val="ff0000"/>
      <w:sz w:val="20"/>
      <w:szCs w:val="20"/>
      <w:lang w:eastAsia="pt-BR" w:val="pt-BR"/>
    </w:rPr>
  </w:style>
  <w:style w:type="paragraph" w:styleId="Nvel3-R" w:customStyle="1">
    <w:name w:val="Nível 3-R"/>
    <w:basedOn w:val="Normal"/>
    <w:link w:val="Nvel3-RChar"/>
    <w:qFormat w:val="1"/>
    <w:rsid w:val="00D967C5"/>
    <w:pPr>
      <w:widowControl w:val="1"/>
      <w:spacing w:after="120" w:before="120" w:line="276" w:lineRule="auto"/>
      <w:ind w:left="2618" w:hanging="720"/>
      <w:jc w:val="both"/>
    </w:pPr>
    <w:rPr>
      <w:rFonts w:ascii="Arial" w:cs="Arial" w:hAnsi="Arial" w:eastAsiaTheme="minorEastAsia"/>
      <w:i w:val="1"/>
      <w:iCs w:val="1"/>
      <w:color w:val="ff0000"/>
      <w:sz w:val="20"/>
      <w:szCs w:val="20"/>
      <w:lang w:val="pt-BR"/>
    </w:rPr>
  </w:style>
  <w:style w:type="paragraph" w:styleId="Nvel4" w:customStyle="1">
    <w:name w:val="Nível 4"/>
    <w:basedOn w:val="Normal"/>
    <w:link w:val="Nvel4Char"/>
    <w:qFormat w:val="1"/>
    <w:rsid w:val="00D967C5"/>
    <w:pPr>
      <w:widowControl w:val="1"/>
      <w:spacing w:after="120" w:before="120" w:line="276" w:lineRule="auto"/>
      <w:ind w:left="567"/>
      <w:jc w:val="both"/>
    </w:pPr>
    <w:rPr>
      <w:rFonts w:ascii="Arial" w:cs="Arial" w:eastAsia="Times New Roman" w:hAnsi="Arial"/>
      <w:sz w:val="20"/>
      <w:szCs w:val="20"/>
      <w:lang w:val="pt-BR"/>
    </w:rPr>
  </w:style>
  <w:style w:type="character" w:styleId="Nvel3-RChar" w:customStyle="1">
    <w:name w:val="Nível 3-R Char"/>
    <w:basedOn w:val="Fontepargpadro"/>
    <w:link w:val="Nvel3-R"/>
    <w:rsid w:val="00D967C5"/>
    <w:rPr>
      <w:rFonts w:ascii="Arial" w:cs="Arial" w:hAnsi="Arial" w:eastAsiaTheme="minorEastAsia"/>
      <w:i w:val="1"/>
      <w:iCs w:val="1"/>
      <w:color w:val="ff0000"/>
      <w:sz w:val="20"/>
      <w:szCs w:val="20"/>
      <w:lang w:val="pt-BR"/>
    </w:rPr>
  </w:style>
  <w:style w:type="paragraph" w:styleId="SubTitNN" w:customStyle="1">
    <w:name w:val="SubTitNN"/>
    <w:basedOn w:val="Normal"/>
    <w:link w:val="SubTitNNChar"/>
    <w:qFormat w:val="1"/>
    <w:rsid w:val="009112FC"/>
    <w:pPr>
      <w:widowControl w:val="1"/>
      <w:spacing w:after="120" w:before="240" w:line="276" w:lineRule="auto"/>
      <w:jc w:val="both"/>
    </w:pPr>
    <w:rPr>
      <w:rFonts w:ascii="Arial" w:cs="Arial" w:eastAsia="Times New Roman" w:hAnsi="Arial"/>
      <w:b w:val="1"/>
      <w:bCs w:val="1"/>
      <w:iCs w:val="1"/>
      <w:sz w:val="20"/>
      <w:szCs w:val="20"/>
      <w:lang w:val="pt-BR"/>
    </w:rPr>
  </w:style>
  <w:style w:type="character" w:styleId="SubTitNNChar" w:customStyle="1">
    <w:name w:val="SubTitNN Char"/>
    <w:basedOn w:val="Fontepargpadro"/>
    <w:link w:val="SubTitNN"/>
    <w:rsid w:val="009112FC"/>
    <w:rPr>
      <w:rFonts w:ascii="Arial" w:cs="Arial" w:eastAsia="Times New Roman" w:hAnsi="Arial"/>
      <w:b w:val="1"/>
      <w:bCs w:val="1"/>
      <w:iCs w:val="1"/>
      <w:sz w:val="20"/>
      <w:szCs w:val="20"/>
      <w:lang w:eastAsia="pt-BR" w:val="pt-BR"/>
    </w:rPr>
  </w:style>
  <w:style w:type="character" w:styleId="Nivel01Char" w:customStyle="1">
    <w:name w:val="Nivel 01 Char"/>
    <w:basedOn w:val="Fontepargpadro"/>
    <w:link w:val="Nivel01"/>
    <w:rsid w:val="0048288D"/>
    <w:rPr>
      <w:rFonts w:ascii="Arial" w:cs="Arial" w:hAnsi="Arial" w:eastAsiaTheme="majorEastAsia"/>
      <w:b w:val="1"/>
      <w:bCs w:val="1"/>
      <w:sz w:val="20"/>
      <w:szCs w:val="20"/>
      <w:lang w:val="pt-BR"/>
    </w:rPr>
  </w:style>
  <w:style w:type="character" w:styleId="Nivel2Char" w:customStyle="1">
    <w:name w:val="Nivel 2 Char"/>
    <w:basedOn w:val="Fontepargpadro"/>
    <w:link w:val="Nivel2"/>
    <w:locked w:val="1"/>
    <w:rsid w:val="0048288D"/>
    <w:rPr>
      <w:rFonts w:ascii="Arial" w:cs="Arial" w:eastAsia="Times New Roman" w:hAnsi="Arial"/>
      <w:sz w:val="20"/>
      <w:szCs w:val="20"/>
      <w:lang w:val="pt-BR"/>
    </w:rPr>
  </w:style>
  <w:style w:type="paragraph" w:styleId="Nvel3" w:customStyle="1">
    <w:name w:val="Nível 3"/>
    <w:basedOn w:val="Nvel3-R"/>
    <w:link w:val="Nvel3Char"/>
    <w:qFormat w:val="1"/>
    <w:rsid w:val="0048288D"/>
    <w:pPr>
      <w:ind w:left="284" w:firstLine="0"/>
    </w:pPr>
    <w:rPr>
      <w:rFonts w:eastAsia="Times New Roman"/>
      <w:i w:val="0"/>
      <w:iCs w:val="0"/>
    </w:rPr>
  </w:style>
  <w:style w:type="character" w:styleId="Nvel3Char" w:customStyle="1">
    <w:name w:val="Nível 3 Char"/>
    <w:basedOn w:val="Nvel3-RChar"/>
    <w:link w:val="Nvel3"/>
    <w:rsid w:val="0048288D"/>
    <w:rPr>
      <w:rFonts w:ascii="Arial" w:cs="Arial" w:eastAsia="Times New Roman" w:hAnsi="Arial"/>
      <w:i w:val="0"/>
      <w:iCs w:val="0"/>
      <w:color w:val="ff0000"/>
      <w:sz w:val="20"/>
      <w:szCs w:val="20"/>
      <w:lang w:val="pt-BR"/>
    </w:rPr>
  </w:style>
  <w:style w:type="character" w:styleId="Nvel4Char" w:customStyle="1">
    <w:name w:val="Nível 4 Char"/>
    <w:basedOn w:val="Nvel3Char"/>
    <w:link w:val="Nvel4"/>
    <w:rsid w:val="00CF6112"/>
    <w:rPr>
      <w:rFonts w:ascii="Arial" w:cs="Arial" w:eastAsia="Times New Roman" w:hAnsi="Arial"/>
      <w:i w:val="0"/>
      <w:iCs w:val="0"/>
      <w:color w:val="ff0000"/>
      <w:sz w:val="20"/>
      <w:szCs w:val="20"/>
      <w:lang w:val="pt-BR"/>
    </w:rPr>
  </w:style>
  <w:style w:type="paragraph" w:styleId="Cabealho">
    <w:name w:val="header"/>
    <w:basedOn w:val="Normal"/>
    <w:link w:val="CabealhoChar"/>
    <w:uiPriority w:val="99"/>
    <w:unhideWhenUsed w:val="1"/>
    <w:rsid w:val="00DC364E"/>
    <w:pPr>
      <w:tabs>
        <w:tab w:val="center" w:pos="4252"/>
        <w:tab w:val="right" w:pos="8504"/>
      </w:tabs>
    </w:pPr>
  </w:style>
  <w:style w:type="character" w:styleId="CabealhoChar" w:customStyle="1">
    <w:name w:val="Cabeçalho Char"/>
    <w:basedOn w:val="Fontepargpadro"/>
    <w:link w:val="Cabealho"/>
    <w:uiPriority w:val="99"/>
    <w:rsid w:val="00DC364E"/>
    <w:rPr>
      <w:rFonts w:ascii="Calibri" w:cs="Calibri" w:eastAsia="Calibri" w:hAnsi="Calibri"/>
      <w:lang w:val="pt-PT"/>
    </w:rPr>
  </w:style>
  <w:style w:type="paragraph" w:styleId="Rodap">
    <w:name w:val="footer"/>
    <w:basedOn w:val="Normal"/>
    <w:link w:val="RodapChar"/>
    <w:uiPriority w:val="99"/>
    <w:unhideWhenUsed w:val="1"/>
    <w:rsid w:val="00DC364E"/>
    <w:pPr>
      <w:tabs>
        <w:tab w:val="center" w:pos="4252"/>
        <w:tab w:val="right" w:pos="8504"/>
      </w:tabs>
    </w:pPr>
  </w:style>
  <w:style w:type="character" w:styleId="RodapChar" w:customStyle="1">
    <w:name w:val="Rodapé Char"/>
    <w:basedOn w:val="Fontepargpadro"/>
    <w:link w:val="Rodap"/>
    <w:uiPriority w:val="99"/>
    <w:qFormat w:val="1"/>
    <w:rsid w:val="00DC364E"/>
    <w:rPr>
      <w:rFonts w:ascii="Calibri" w:cs="Calibri" w:eastAsia="Calibri" w:hAnsi="Calibri"/>
      <w:lang w:val="pt-PT"/>
    </w:rPr>
  </w:style>
  <w:style w:type="paragraph" w:styleId="Subttulo">
    <w:name w:val="Subtitle"/>
    <w:basedOn w:val="Normal"/>
    <w:next w:val="Normal"/>
    <w:pPr>
      <w:keepNext w:val="1"/>
      <w:keepLines w:val="1"/>
      <w:spacing w:after="80" w:before="360"/>
    </w:pPr>
    <w:rPr>
      <w:rFonts w:ascii="Georgia" w:cs="Georgia" w:eastAsia="Georgia" w:hAnsi="Georgia"/>
      <w:i w:val="1"/>
      <w:color w:val="666666"/>
      <w:sz w:val="48"/>
      <w:szCs w:val="48"/>
    </w:rPr>
  </w:style>
  <w:style w:type="table" w:styleId="a" w:customStyle="1">
    <w:basedOn w:val="TableNormal0"/>
    <w:tblPr>
      <w:tblStyleRowBandSize w:val="1"/>
      <w:tblStyleColBandSize w:val="1"/>
      <w:tblInd w:w="0.0" w:type="dxa"/>
      <w:tblCellMar>
        <w:top w:w="0.0" w:type="dxa"/>
        <w:left w:w="0.0" w:type="dxa"/>
        <w:bottom w:w="0.0" w:type="dxa"/>
        <w:right w:w="0.0" w:type="dxa"/>
      </w:tblCellMar>
    </w:tblPr>
  </w:style>
  <w:style w:type="table" w:styleId="a0" w:customStyle="1">
    <w:basedOn w:val="TableNormal0"/>
    <w:tblPr>
      <w:tblStyleRowBandSize w:val="1"/>
      <w:tblStyleColBandSize w:val="1"/>
      <w:tblInd w:w="0.0" w:type="dxa"/>
      <w:tblCellMar>
        <w:top w:w="0.0" w:type="dxa"/>
        <w:left w:w="115.0" w:type="dxa"/>
        <w:bottom w:w="0.0" w:type="dxa"/>
        <w:right w:w="115.0" w:type="dxa"/>
      </w:tblCellMar>
    </w:tblPr>
  </w:style>
  <w:style w:type="paragraph" w:styleId="Textodebalo">
    <w:name w:val="Balloon Text"/>
    <w:basedOn w:val="Normal"/>
    <w:link w:val="TextodebaloChar"/>
    <w:uiPriority w:val="99"/>
    <w:semiHidden w:val="1"/>
    <w:unhideWhenUsed w:val="1"/>
    <w:rsid w:val="00217EE1"/>
    <w:rPr>
      <w:rFonts w:ascii="Tahoma" w:cs="Tahoma" w:hAnsi="Tahoma"/>
      <w:sz w:val="16"/>
      <w:szCs w:val="16"/>
    </w:rPr>
  </w:style>
  <w:style w:type="character" w:styleId="TextodebaloChar" w:customStyle="1">
    <w:name w:val="Texto de balão Char"/>
    <w:basedOn w:val="Fontepargpadro"/>
    <w:link w:val="Textodebalo"/>
    <w:uiPriority w:val="99"/>
    <w:semiHidden w:val="1"/>
    <w:rsid w:val="00217EE1"/>
    <w:rPr>
      <w:rFonts w:ascii="Tahoma" w:cs="Tahoma" w:hAnsi="Tahoma"/>
      <w:sz w:val="16"/>
      <w:szCs w:val="16"/>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6.png"/><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eUcp8izVOL5Pr2nzXum8PQhiEQ==">CgMxLjAyDmguMXZtYXppNHBkdHYzMglpZC5namRneHMyCmlkLjMwajB6bGwyCmlkLjFmb2I5dGUyCmlkLjN6bnlzaDcyCmlkLjJldDkycDAyCWlkLnR5amN3dDIKaWQuM2R5NnZrbTIKaWQuMXQzaDVzZjIKaWQuNGQzNG9nODIKaWQuMnM4ZXlvMTIKaWQuMTdkcDh2dTIKaWQuM3JkY3JqbjgAciExSkVvUjlJbWlYQ1ZPbEJHNXNQS210VVd3dVVhTF9BQlk=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2023-07-10T16:33:00Z</dcterms:created>
  <dc:creator>Adriano</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ies>
</file>