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F56530">
      <w:pPr>
        <w:spacing w:after="288" w:afterLines="120" w:line="276" w:lineRule="auto"/>
        <w:jc w:val="center"/>
        <w:rPr>
          <w:rFonts w:ascii="Arial" w:hAnsi="Arial" w:cs="Arial"/>
          <w:b/>
          <w:bCs/>
          <w:color w:val="000000" w:themeColor="text1"/>
          <w:sz w:val="20"/>
          <w:szCs w:val="20"/>
          <w14:textFill>
            <w14:solidFill>
              <w14:schemeClr w14:val="tx1"/>
            </w14:solidFill>
          </w14:textFill>
        </w:rPr>
      </w:pPr>
      <w:r>
        <w:rPr>
          <w:rFonts w:ascii="Arial" w:hAnsi="Arial" w:cs="Arial"/>
          <w:b/>
          <w:bCs/>
          <w:color w:val="000000" w:themeColor="text1"/>
          <w:sz w:val="20"/>
          <w:szCs w:val="20"/>
          <w14:textFill>
            <w14:solidFill>
              <w14:schemeClr w14:val="tx1"/>
            </w14:solidFill>
          </w14:textFill>
        </w:rPr>
        <w:t>MODELO DE TERMO DE CONTRATO</w:t>
      </w:r>
      <w:r>
        <w:rPr>
          <w:rFonts w:ascii="Arial" w:hAnsi="Arial" w:cs="Arial"/>
          <w:b/>
          <w:bCs/>
          <w:color w:val="000000" w:themeColor="text1"/>
          <w:sz w:val="20"/>
          <w:szCs w:val="20"/>
          <w14:textFill>
            <w14:solidFill>
              <w14:schemeClr w14:val="tx1"/>
            </w14:solidFill>
          </w14:textFill>
        </w:rPr>
        <w:br w:type="textWrapping"/>
      </w:r>
      <w:r>
        <w:rPr>
          <w:rFonts w:ascii="Arial" w:hAnsi="Arial" w:cs="Arial"/>
          <w:b/>
          <w:bCs/>
          <w:color w:val="000000" w:themeColor="text1"/>
          <w:sz w:val="20"/>
          <w:szCs w:val="20"/>
          <w14:textFill>
            <w14:solidFill>
              <w14:schemeClr w14:val="tx1"/>
            </w14:solidFill>
          </w14:textFill>
        </w:rPr>
        <w:t>Lei nº 14.133, de 1º de abril de 2021</w:t>
      </w:r>
      <w:r>
        <w:rPr>
          <w:rFonts w:ascii="Arial" w:hAnsi="Arial" w:cs="Arial"/>
          <w:b/>
          <w:bCs/>
          <w:color w:val="000000" w:themeColor="text1"/>
          <w:sz w:val="20"/>
          <w:szCs w:val="20"/>
          <w14:textFill>
            <w14:solidFill>
              <w14:schemeClr w14:val="tx1"/>
            </w14:solidFill>
          </w14:textFill>
        </w:rPr>
        <w:br w:type="textWrapping"/>
      </w:r>
      <w:r>
        <w:rPr>
          <w:rFonts w:ascii="Arial" w:hAnsi="Arial" w:cs="Arial"/>
          <w:b/>
          <w:bCs/>
          <w:color w:val="000000" w:themeColor="text1"/>
          <w:sz w:val="20"/>
          <w:szCs w:val="20"/>
          <w14:textFill>
            <w14:solidFill>
              <w14:schemeClr w14:val="tx1"/>
            </w14:solidFill>
          </w14:textFill>
        </w:rPr>
        <w:t>SERVIÇOS – LICITAÇÃO</w:t>
      </w:r>
    </w:p>
    <w:p w14:paraId="1A80153D">
      <w:pPr>
        <w:spacing w:before="120" w:after="288" w:afterLines="120" w:line="276" w:lineRule="auto"/>
        <w:ind w:firstLine="709"/>
        <w:jc w:val="center"/>
        <w:rPr>
          <w:rFonts w:ascii="Arial" w:hAnsi="Arial" w:cs="Arial"/>
          <w:b/>
          <w:bCs/>
          <w:color w:val="000000" w:themeColor="text1"/>
          <w:sz w:val="20"/>
          <w:szCs w:val="20"/>
          <w14:textFill>
            <w14:solidFill>
              <w14:schemeClr w14:val="tx1"/>
            </w14:solidFill>
          </w14:textFill>
        </w:rPr>
      </w:pPr>
      <w:r>
        <w:rPr>
          <w:rFonts w:ascii="Arial" w:hAnsi="Arial" w:cs="Arial"/>
          <w:color w:val="000000"/>
          <w:sz w:val="20"/>
          <w:szCs w:val="20"/>
        </w:rPr>
        <w:drawing>
          <wp:anchor distT="0" distB="0" distL="114300" distR="114300" simplePos="0" relativeHeight="251659264" behindDoc="0" locked="0" layoutInCell="1" allowOverlap="1">
            <wp:simplePos x="0" y="0"/>
            <wp:positionH relativeFrom="margin">
              <wp:align>center</wp:align>
            </wp:positionH>
            <wp:positionV relativeFrom="paragraph">
              <wp:posOffset>67945</wp:posOffset>
            </wp:positionV>
            <wp:extent cx="737870" cy="806450"/>
            <wp:effectExtent l="0" t="0" r="508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738000" cy="806400"/>
                    </a:xfrm>
                    <a:prstGeom prst="rect">
                      <a:avLst/>
                    </a:prstGeom>
                    <a:noFill/>
                    <a:ln>
                      <a:noFill/>
                    </a:ln>
                  </pic:spPr>
                </pic:pic>
              </a:graphicData>
            </a:graphic>
          </wp:anchor>
        </w:drawing>
      </w:r>
    </w:p>
    <w:p w14:paraId="5A18CB3E">
      <w:pPr>
        <w:spacing w:before="120" w:after="288" w:afterLines="120" w:line="276" w:lineRule="auto"/>
        <w:ind w:firstLine="709"/>
        <w:jc w:val="center"/>
        <w:rPr>
          <w:rFonts w:ascii="Arial" w:hAnsi="Arial" w:cs="Arial"/>
          <w:b/>
          <w:i/>
          <w:color w:val="FF0000"/>
          <w:sz w:val="20"/>
          <w:szCs w:val="20"/>
        </w:rPr>
      </w:pPr>
    </w:p>
    <w:p w14:paraId="5F3AB8AB">
      <w:pPr>
        <w:spacing w:before="120" w:after="288" w:afterLines="120" w:line="276" w:lineRule="auto"/>
        <w:ind w:firstLine="709"/>
        <w:jc w:val="center"/>
        <w:rPr>
          <w:rFonts w:ascii="Arial" w:hAnsi="Arial" w:cs="Arial"/>
          <w:b/>
          <w:i/>
          <w:color w:val="FF0000"/>
          <w:sz w:val="20"/>
          <w:szCs w:val="20"/>
        </w:rPr>
      </w:pPr>
    </w:p>
    <w:p w14:paraId="3B7387BA">
      <w:pPr>
        <w:spacing w:before="120" w:after="288" w:afterLines="120" w:line="312" w:lineRule="auto"/>
        <w:jc w:val="center"/>
        <w:rPr>
          <w:rFonts w:ascii="Arial" w:hAnsi="Arial" w:eastAsia="Times New Roman" w:cs="Arial"/>
          <w:b/>
          <w:iCs/>
          <w:sz w:val="20"/>
          <w:szCs w:val="20"/>
        </w:rPr>
      </w:pPr>
      <w:r>
        <w:rPr>
          <w:rFonts w:ascii="Arial" w:hAnsi="Arial" w:cs="Arial"/>
          <w:b/>
          <w:iCs/>
          <w:sz w:val="20"/>
          <w:szCs w:val="20"/>
        </w:rPr>
        <w:t>UNIVERSIDADE FEDERAL FLUMINENSE</w:t>
      </w:r>
    </w:p>
    <w:p w14:paraId="5A2ABDAA">
      <w:pPr>
        <w:spacing w:before="120" w:after="288" w:afterLines="120" w:line="312" w:lineRule="auto"/>
        <w:jc w:val="center"/>
        <w:rPr>
          <w:rFonts w:ascii="Arial" w:hAnsi="Arial" w:cs="Arial"/>
          <w:bCs/>
          <w:color w:val="000000"/>
          <w:sz w:val="20"/>
          <w:szCs w:val="20"/>
        </w:rPr>
      </w:pPr>
      <w:r>
        <w:rPr>
          <w:rFonts w:ascii="Arial" w:hAnsi="Arial" w:cs="Arial"/>
          <w:color w:val="000000"/>
          <w:sz w:val="20"/>
          <w:szCs w:val="20"/>
        </w:rPr>
        <w:t>(Processo Administrativo n</w:t>
      </w:r>
      <w:r>
        <w:rPr>
          <w:rFonts w:ascii="Arial" w:hAnsi="Arial" w:cs="Arial"/>
          <w:bCs/>
          <w:color w:val="000000"/>
          <w:sz w:val="20"/>
          <w:szCs w:val="20"/>
        </w:rPr>
        <w:t>° 23069.157185/2024-10)</w:t>
      </w:r>
    </w:p>
    <w:p w14:paraId="34BB0D75">
      <w:pPr>
        <w:pStyle w:val="114"/>
        <w:spacing w:after="288" w:afterLines="120" w:line="312" w:lineRule="auto"/>
        <w:ind w:right="-170"/>
        <w:rPr>
          <w:bCs w:val="0"/>
        </w:rPr>
      </w:pPr>
      <w:r>
        <w:rPr>
          <w:bCs w:val="0"/>
        </w:rPr>
        <w:t xml:space="preserve">CONTRATO ADMINISTRATIVO Nº ......../...., QUE FAZEM ENTRE SI A UNIÃO, POR INTERMÉDIO DA UNIVERSIDADE FEDERAL FLUMINENSE E ............................................................. </w:t>
      </w:r>
    </w:p>
    <w:p w14:paraId="0761B9E7">
      <w:pPr>
        <w:spacing w:before="120" w:after="120" w:line="276" w:lineRule="auto"/>
        <w:ind w:firstLine="1418"/>
        <w:jc w:val="both"/>
        <w:rPr>
          <w:rFonts w:ascii="Arial" w:hAnsi="Arial" w:eastAsia="Arial" w:cs="Arial"/>
          <w:sz w:val="20"/>
          <w:szCs w:val="20"/>
        </w:rPr>
      </w:pPr>
      <w:r>
        <w:rPr>
          <w:rFonts w:ascii="Arial" w:hAnsi="Arial" w:eastAsia="Arial" w:cs="Arial"/>
          <w:sz w:val="20"/>
          <w:szCs w:val="20"/>
        </w:rPr>
        <w:t xml:space="preserve">A Universidade Federal Fluminense, autarquia Federal, vinculada ao Ministério da Educação, com sede na Rua Miguel de Frias nº 09, Icaraí, Niterói, Estado do Rio de Janeiro, RJ, inscrita no CNPJ sob o nº 28.523.215/0001-06, neste ato representada pelo seu Magnífico Reitor, Professor ANTONIO CLÁUDIO LUCAS DA NOBREGA, nomeado por Decreto Presidencial publicado no DOU de 22/11/2022, portador da Matrícula Funcional nº 6310674, doravante denominado CONTRATANTE, e o(a) .............................., inscrito(a) no CNPJ/MF sob o nº ............................, sediado(a) na ..................................., em ............................. doravante designado CONTRATADO, neste ato representado(a) por .................................. (nome e função no contratado), conforme atos constitutivos da empresa OU procuração apresentada nos autos, tendo em vista o que consta no Processo nº </w:t>
      </w:r>
      <w:r>
        <w:rPr>
          <w:rFonts w:ascii="Arial" w:hAnsi="Arial" w:cs="Arial"/>
          <w:bCs/>
          <w:sz w:val="20"/>
          <w:szCs w:val="20"/>
        </w:rPr>
        <w:t xml:space="preserve">23069.157185/2024-10 </w:t>
      </w:r>
      <w:r>
        <w:rPr>
          <w:rFonts w:ascii="Arial" w:hAnsi="Arial" w:eastAsia="Arial" w:cs="Arial"/>
          <w:sz w:val="20"/>
          <w:szCs w:val="20"/>
        </w:rPr>
        <w:t>e em observância às disposições da Lei nº 14.133, de 1º de abril de 2021, e demais legislação aplicável, resolvem celebrar o presente Termo de Contrato, decorrente do Pregão Eletrônico n.</w:t>
      </w:r>
      <w:r>
        <w:rPr>
          <w:rFonts w:hint="default" w:ascii="Arial" w:hAnsi="Arial" w:eastAsia="Arial" w:cs="Arial"/>
          <w:sz w:val="20"/>
          <w:szCs w:val="20"/>
          <w:lang w:val="pt-BR"/>
        </w:rPr>
        <w:t xml:space="preserve"> 90.027</w:t>
      </w:r>
      <w:bookmarkStart w:id="9" w:name="_GoBack"/>
      <w:bookmarkEnd w:id="9"/>
      <w:r>
        <w:rPr>
          <w:rFonts w:ascii="Arial" w:hAnsi="Arial" w:eastAsia="Arial" w:cs="Arial"/>
          <w:sz w:val="20"/>
          <w:szCs w:val="20"/>
        </w:rPr>
        <w:t>/2025, mediante as cláusulas e condições a seguir enunciadas.</w:t>
      </w:r>
    </w:p>
    <w:p w14:paraId="37593036">
      <w:pPr>
        <w:pStyle w:val="39"/>
        <w:numPr>
          <w:ilvl w:val="0"/>
          <w:numId w:val="3"/>
        </w:numPr>
      </w:pPr>
      <w:r>
        <w:t>CLÁUSULA PRIMEIRA – OBJETO (</w:t>
      </w:r>
      <w:r>
        <w:fldChar w:fldCharType="begin"/>
      </w:r>
      <w:r>
        <w:instrText xml:space="preserve"> HYPERLINK "http://www.planalto.gov.br/ccivil_03/_ato2019-2022/2021/lei/L14133.htm" \l "art92" </w:instrText>
      </w:r>
      <w:r>
        <w:fldChar w:fldCharType="separate"/>
      </w:r>
      <w:r>
        <w:t>art. 92, I e II</w:t>
      </w:r>
      <w:r>
        <w:fldChar w:fldCharType="end"/>
      </w:r>
      <w:r>
        <w:t>)</w:t>
      </w:r>
    </w:p>
    <w:p w14:paraId="1E2FEF82">
      <w:pPr>
        <w:pStyle w:val="56"/>
        <w:numPr>
          <w:ilvl w:val="1"/>
          <w:numId w:val="3"/>
        </w:numPr>
        <w:ind w:left="0" w:firstLine="0"/>
      </w:pPr>
      <w:r>
        <w:t>Contratação de serviços de controle de vetores, pragas urbanas e insetos nas instalações da Universidade Federal Fluminense (UFF), municípios de Niterói, Volta Redonda, Angra dos Reis, Nova Friburgo, Petrópolis, Cachoeira de Macacu, Santo Antônio de Pádua, Rio das Ostras, Macaé, Campos dos Goytacazes e Iguaba Grande (RJ), contemplando descupinização, desratização, desinsetização, controle de pombos, remoção de abelhas, vespas e marimbondos, e assemelhados em caráter preventivo e corretivo, nos termos da tabela abaixo, conforme condições e exigências estabelecidas no Termo de Referência e seus Anexos.</w:t>
      </w:r>
    </w:p>
    <w:p w14:paraId="11336AAC">
      <w:pPr>
        <w:pStyle w:val="39"/>
        <w:numPr>
          <w:ilvl w:val="0"/>
          <w:numId w:val="0"/>
        </w:numPr>
        <w:ind w:left="360" w:hanging="360"/>
      </w:pPr>
    </w:p>
    <w:tbl>
      <w:tblPr>
        <w:tblStyle w:val="8"/>
        <w:tblW w:w="0" w:type="auto"/>
        <w:tblInd w:w="80" w:type="dxa"/>
        <w:tblLayout w:type="autofit"/>
        <w:tblCellMar>
          <w:top w:w="0" w:type="dxa"/>
          <w:left w:w="70" w:type="dxa"/>
          <w:bottom w:w="0" w:type="dxa"/>
          <w:right w:w="70" w:type="dxa"/>
        </w:tblCellMar>
      </w:tblPr>
      <w:tblGrid>
        <w:gridCol w:w="600"/>
        <w:gridCol w:w="482"/>
        <w:gridCol w:w="4388"/>
        <w:gridCol w:w="757"/>
        <w:gridCol w:w="1123"/>
        <w:gridCol w:w="836"/>
        <w:gridCol w:w="927"/>
        <w:gridCol w:w="585"/>
      </w:tblGrid>
      <w:tr w14:paraId="3382A6BA">
        <w:tblPrEx>
          <w:tblCellMar>
            <w:top w:w="0" w:type="dxa"/>
            <w:left w:w="70" w:type="dxa"/>
            <w:bottom w:w="0" w:type="dxa"/>
            <w:right w:w="70" w:type="dxa"/>
          </w:tblCellMar>
        </w:tblPrEx>
        <w:trPr>
          <w:trHeight w:val="1134" w:hRule="atLeast"/>
          <w:tblHeader/>
        </w:trPr>
        <w:tc>
          <w:tcPr>
            <w:tcW w:w="0" w:type="auto"/>
            <w:tcBorders>
              <w:top w:val="single" w:color="auto" w:sz="8" w:space="0"/>
              <w:left w:val="single" w:color="auto" w:sz="8" w:space="0"/>
              <w:bottom w:val="nil"/>
              <w:right w:val="single" w:color="auto" w:sz="4" w:space="0"/>
            </w:tcBorders>
            <w:shd w:val="clear" w:color="000000" w:fill="DCE6F1"/>
            <w:vAlign w:val="center"/>
          </w:tcPr>
          <w:p w14:paraId="6587CA62">
            <w:pPr>
              <w:jc w:val="center"/>
              <w:rPr>
                <w:rFonts w:asciiTheme="minorHAnsi" w:hAnsiTheme="minorHAnsi" w:cstheme="minorHAnsi"/>
                <w:b/>
                <w:bCs/>
                <w:sz w:val="16"/>
                <w:szCs w:val="16"/>
              </w:rPr>
            </w:pPr>
            <w:r>
              <w:rPr>
                <w:rFonts w:asciiTheme="minorHAnsi" w:hAnsiTheme="minorHAnsi" w:cstheme="minorHAnsi"/>
                <w:b/>
                <w:bCs/>
                <w:sz w:val="16"/>
                <w:szCs w:val="16"/>
              </w:rPr>
              <w:t>Grupo</w:t>
            </w:r>
          </w:p>
        </w:tc>
        <w:tc>
          <w:tcPr>
            <w:tcW w:w="0" w:type="auto"/>
            <w:tcBorders>
              <w:top w:val="single" w:color="auto" w:sz="8" w:space="0"/>
              <w:left w:val="nil"/>
              <w:bottom w:val="nil"/>
              <w:right w:val="single" w:color="auto" w:sz="4" w:space="0"/>
            </w:tcBorders>
            <w:shd w:val="clear" w:color="000000" w:fill="DCE6F1"/>
            <w:vAlign w:val="center"/>
          </w:tcPr>
          <w:p w14:paraId="256C06B7">
            <w:pPr>
              <w:jc w:val="center"/>
              <w:rPr>
                <w:rFonts w:asciiTheme="minorHAnsi" w:hAnsiTheme="minorHAnsi" w:cstheme="minorHAnsi"/>
                <w:b/>
                <w:bCs/>
                <w:sz w:val="16"/>
                <w:szCs w:val="16"/>
              </w:rPr>
            </w:pPr>
            <w:r>
              <w:rPr>
                <w:rFonts w:asciiTheme="minorHAnsi" w:hAnsiTheme="minorHAnsi" w:cstheme="minorHAnsi"/>
                <w:b/>
                <w:bCs/>
                <w:sz w:val="16"/>
                <w:szCs w:val="16"/>
              </w:rPr>
              <w:t>Item</w:t>
            </w:r>
          </w:p>
        </w:tc>
        <w:tc>
          <w:tcPr>
            <w:tcW w:w="0" w:type="auto"/>
            <w:tcBorders>
              <w:top w:val="single" w:color="auto" w:sz="8" w:space="0"/>
              <w:left w:val="nil"/>
              <w:bottom w:val="nil"/>
              <w:right w:val="single" w:color="auto" w:sz="4" w:space="0"/>
            </w:tcBorders>
            <w:shd w:val="clear" w:color="000000" w:fill="DCE6F1"/>
            <w:vAlign w:val="center"/>
          </w:tcPr>
          <w:p w14:paraId="3C4A70A6">
            <w:pPr>
              <w:jc w:val="center"/>
              <w:rPr>
                <w:rFonts w:asciiTheme="minorHAnsi" w:hAnsiTheme="minorHAnsi" w:cstheme="minorHAnsi"/>
                <w:b/>
                <w:bCs/>
                <w:sz w:val="16"/>
                <w:szCs w:val="16"/>
              </w:rPr>
            </w:pPr>
            <w:r>
              <w:rPr>
                <w:rFonts w:asciiTheme="minorHAnsi" w:hAnsiTheme="minorHAnsi" w:cstheme="minorHAnsi"/>
                <w:b/>
                <w:bCs/>
                <w:sz w:val="16"/>
                <w:szCs w:val="16"/>
              </w:rPr>
              <w:t>Descrição</w:t>
            </w:r>
          </w:p>
        </w:tc>
        <w:tc>
          <w:tcPr>
            <w:tcW w:w="0" w:type="auto"/>
            <w:tcBorders>
              <w:top w:val="single" w:color="auto" w:sz="8" w:space="0"/>
              <w:left w:val="nil"/>
              <w:bottom w:val="nil"/>
              <w:right w:val="single" w:color="auto" w:sz="4" w:space="0"/>
            </w:tcBorders>
            <w:shd w:val="clear" w:color="000000" w:fill="DCE6F1"/>
            <w:vAlign w:val="center"/>
          </w:tcPr>
          <w:p w14:paraId="0ED065CD">
            <w:pPr>
              <w:jc w:val="center"/>
              <w:rPr>
                <w:rFonts w:asciiTheme="minorHAnsi" w:hAnsiTheme="minorHAnsi" w:cstheme="minorHAnsi"/>
                <w:b/>
                <w:bCs/>
                <w:sz w:val="16"/>
                <w:szCs w:val="16"/>
              </w:rPr>
            </w:pPr>
            <w:r>
              <w:rPr>
                <w:rFonts w:asciiTheme="minorHAnsi" w:hAnsiTheme="minorHAnsi" w:cstheme="minorHAnsi"/>
                <w:b/>
                <w:bCs/>
                <w:sz w:val="16"/>
                <w:szCs w:val="16"/>
              </w:rPr>
              <w:t>Unidade</w:t>
            </w:r>
          </w:p>
        </w:tc>
        <w:tc>
          <w:tcPr>
            <w:tcW w:w="0" w:type="auto"/>
            <w:tcBorders>
              <w:top w:val="single" w:color="auto" w:sz="8" w:space="0"/>
              <w:left w:val="nil"/>
              <w:bottom w:val="nil"/>
              <w:right w:val="single" w:color="auto" w:sz="4" w:space="0"/>
            </w:tcBorders>
            <w:shd w:val="clear" w:color="000000" w:fill="DCE6F1"/>
            <w:vAlign w:val="center"/>
          </w:tcPr>
          <w:p w14:paraId="6BDE269D">
            <w:pPr>
              <w:jc w:val="center"/>
              <w:rPr>
                <w:rFonts w:asciiTheme="minorHAnsi" w:hAnsiTheme="minorHAnsi" w:cstheme="minorHAnsi"/>
                <w:b/>
                <w:bCs/>
                <w:sz w:val="16"/>
                <w:szCs w:val="16"/>
              </w:rPr>
            </w:pPr>
            <w:r>
              <w:rPr>
                <w:rFonts w:asciiTheme="minorHAnsi" w:hAnsiTheme="minorHAnsi" w:cstheme="minorHAnsi"/>
                <w:b/>
                <w:bCs/>
                <w:sz w:val="16"/>
                <w:szCs w:val="16"/>
              </w:rPr>
              <w:t>Quantidade Estimada</w:t>
            </w:r>
          </w:p>
        </w:tc>
        <w:tc>
          <w:tcPr>
            <w:tcW w:w="0" w:type="auto"/>
            <w:tcBorders>
              <w:top w:val="single" w:color="auto" w:sz="8" w:space="0"/>
              <w:left w:val="nil"/>
              <w:bottom w:val="nil"/>
              <w:right w:val="single" w:color="auto" w:sz="4" w:space="0"/>
            </w:tcBorders>
            <w:shd w:val="clear" w:color="000000" w:fill="DCE6F1"/>
            <w:vAlign w:val="center"/>
          </w:tcPr>
          <w:p w14:paraId="447C3744">
            <w:pPr>
              <w:jc w:val="center"/>
              <w:rPr>
                <w:rFonts w:asciiTheme="minorHAnsi" w:hAnsiTheme="minorHAnsi" w:cstheme="minorHAnsi"/>
                <w:b/>
                <w:bCs/>
                <w:sz w:val="16"/>
                <w:szCs w:val="16"/>
              </w:rPr>
            </w:pPr>
            <w:r>
              <w:rPr>
                <w:rFonts w:asciiTheme="minorHAnsi" w:hAnsiTheme="minorHAnsi" w:cstheme="minorHAnsi"/>
                <w:b/>
                <w:bCs/>
                <w:sz w:val="16"/>
                <w:szCs w:val="16"/>
              </w:rPr>
              <w:t>Valor Unitário (R$)</w:t>
            </w:r>
          </w:p>
        </w:tc>
        <w:tc>
          <w:tcPr>
            <w:tcW w:w="0" w:type="auto"/>
            <w:tcBorders>
              <w:top w:val="single" w:color="auto" w:sz="8" w:space="0"/>
              <w:left w:val="nil"/>
              <w:bottom w:val="nil"/>
              <w:right w:val="single" w:color="auto" w:sz="4" w:space="0"/>
            </w:tcBorders>
            <w:shd w:val="clear" w:color="000000" w:fill="DCE6F1"/>
            <w:vAlign w:val="center"/>
          </w:tcPr>
          <w:p w14:paraId="6C610AA3">
            <w:pPr>
              <w:jc w:val="center"/>
              <w:rPr>
                <w:rFonts w:asciiTheme="minorHAnsi" w:hAnsiTheme="minorHAnsi" w:cstheme="minorHAnsi"/>
                <w:b/>
                <w:bCs/>
                <w:sz w:val="16"/>
                <w:szCs w:val="16"/>
              </w:rPr>
            </w:pPr>
            <w:r>
              <w:rPr>
                <w:rFonts w:asciiTheme="minorHAnsi" w:hAnsiTheme="minorHAnsi" w:cstheme="minorHAnsi"/>
                <w:b/>
                <w:bCs/>
                <w:sz w:val="16"/>
                <w:szCs w:val="16"/>
              </w:rPr>
              <w:t>Valor por Aplicação</w:t>
            </w:r>
          </w:p>
        </w:tc>
        <w:tc>
          <w:tcPr>
            <w:tcW w:w="0" w:type="auto"/>
            <w:tcBorders>
              <w:top w:val="single" w:color="auto" w:sz="8" w:space="0"/>
              <w:left w:val="nil"/>
              <w:bottom w:val="nil"/>
              <w:right w:val="single" w:color="auto" w:sz="8" w:space="0"/>
            </w:tcBorders>
            <w:shd w:val="clear" w:color="000000" w:fill="DCE6F1"/>
            <w:vAlign w:val="center"/>
          </w:tcPr>
          <w:p w14:paraId="61E1EE5F">
            <w:pPr>
              <w:jc w:val="center"/>
              <w:rPr>
                <w:rFonts w:asciiTheme="minorHAnsi" w:hAnsiTheme="minorHAnsi" w:cstheme="minorHAnsi"/>
                <w:b/>
                <w:bCs/>
                <w:sz w:val="16"/>
                <w:szCs w:val="16"/>
              </w:rPr>
            </w:pPr>
            <w:r>
              <w:rPr>
                <w:rFonts w:asciiTheme="minorHAnsi" w:hAnsiTheme="minorHAnsi" w:cstheme="minorHAnsi"/>
                <w:b/>
                <w:bCs/>
                <w:sz w:val="16"/>
                <w:szCs w:val="16"/>
              </w:rPr>
              <w:t xml:space="preserve">Valor Total </w:t>
            </w:r>
          </w:p>
        </w:tc>
      </w:tr>
      <w:tr w14:paraId="02621460">
        <w:tblPrEx>
          <w:tblCellMar>
            <w:top w:w="0" w:type="dxa"/>
            <w:left w:w="70" w:type="dxa"/>
            <w:bottom w:w="0" w:type="dxa"/>
            <w:right w:w="70" w:type="dxa"/>
          </w:tblCellMar>
        </w:tblPrEx>
        <w:trPr>
          <w:trHeight w:val="1701" w:hRule="atLeast"/>
        </w:trPr>
        <w:tc>
          <w:tcPr>
            <w:tcW w:w="0" w:type="auto"/>
            <w:vMerge w:val="restart"/>
            <w:tcBorders>
              <w:top w:val="single" w:color="auto" w:sz="8" w:space="0"/>
              <w:left w:val="single" w:color="auto" w:sz="8" w:space="0"/>
              <w:bottom w:val="single" w:color="000000" w:sz="8" w:space="0"/>
              <w:right w:val="single" w:color="auto" w:sz="4" w:space="0"/>
            </w:tcBorders>
            <w:shd w:val="clear" w:color="auto" w:fill="auto"/>
            <w:noWrap/>
            <w:vAlign w:val="center"/>
          </w:tcPr>
          <w:p w14:paraId="3642FCD8">
            <w:pPr>
              <w:jc w:val="center"/>
              <w:rPr>
                <w:rFonts w:asciiTheme="minorHAnsi" w:hAnsiTheme="minorHAnsi" w:cstheme="minorHAnsi"/>
                <w:sz w:val="16"/>
                <w:szCs w:val="16"/>
              </w:rPr>
            </w:pPr>
            <w:r>
              <w:rPr>
                <w:rFonts w:asciiTheme="minorHAnsi" w:hAnsiTheme="minorHAnsi" w:cstheme="minorHAnsi"/>
                <w:sz w:val="16"/>
                <w:szCs w:val="16"/>
              </w:rPr>
              <w:t>1</w:t>
            </w:r>
          </w:p>
        </w:tc>
        <w:tc>
          <w:tcPr>
            <w:tcW w:w="0" w:type="auto"/>
            <w:tcBorders>
              <w:top w:val="single" w:color="auto" w:sz="8" w:space="0"/>
              <w:left w:val="nil"/>
              <w:bottom w:val="single" w:color="auto" w:sz="4" w:space="0"/>
              <w:right w:val="single" w:color="auto" w:sz="4" w:space="0"/>
            </w:tcBorders>
            <w:shd w:val="clear" w:color="auto" w:fill="auto"/>
            <w:noWrap/>
            <w:vAlign w:val="center"/>
          </w:tcPr>
          <w:p w14:paraId="42EACB0D">
            <w:pPr>
              <w:jc w:val="center"/>
              <w:rPr>
                <w:rFonts w:asciiTheme="minorHAnsi" w:hAnsiTheme="minorHAnsi" w:cstheme="minorHAnsi"/>
                <w:sz w:val="16"/>
                <w:szCs w:val="16"/>
              </w:rPr>
            </w:pPr>
            <w:r>
              <w:rPr>
                <w:rFonts w:asciiTheme="minorHAnsi" w:hAnsiTheme="minorHAnsi" w:cstheme="minorHAnsi"/>
                <w:sz w:val="16"/>
                <w:szCs w:val="16"/>
              </w:rPr>
              <w:t>1</w:t>
            </w:r>
          </w:p>
        </w:tc>
        <w:tc>
          <w:tcPr>
            <w:tcW w:w="0" w:type="auto"/>
            <w:tcBorders>
              <w:top w:val="single" w:color="auto" w:sz="8" w:space="0"/>
              <w:left w:val="nil"/>
              <w:bottom w:val="single" w:color="auto" w:sz="4" w:space="0"/>
              <w:right w:val="single" w:color="auto" w:sz="4" w:space="0"/>
            </w:tcBorders>
            <w:shd w:val="clear" w:color="auto" w:fill="auto"/>
            <w:vAlign w:val="center"/>
          </w:tcPr>
          <w:p w14:paraId="447C90BB">
            <w:pPr>
              <w:jc w:val="center"/>
              <w:rPr>
                <w:rFonts w:asciiTheme="minorHAnsi" w:hAnsiTheme="minorHAnsi" w:cstheme="minorHAnsi"/>
                <w:sz w:val="16"/>
                <w:szCs w:val="16"/>
              </w:rPr>
            </w:pPr>
            <w:r>
              <w:rPr>
                <w:rFonts w:asciiTheme="minorHAnsi" w:hAnsiTheme="minorHAnsi" w:cstheme="minorHAnsi"/>
                <w:sz w:val="16"/>
                <w:szCs w:val="16"/>
              </w:rPr>
              <w:t xml:space="preserve">Controle sanitário integrado para desinsetização, abrangendo insetos como baratas, traças e mosquitos, incluindo suas larvas e filhotes, nas fontes, caixas de esgoto, galerias e em áreas internas e externas das edificações. Realização de desratização para combate a ratos, e desinsetização para escorpiões, com pulverização geral em móveis, rodapés, ralos, banheiros, copas, tubulações de esgoto e estacionamentos NO MUNICÍPIO DE NITERÓI </w:t>
            </w:r>
          </w:p>
        </w:tc>
        <w:tc>
          <w:tcPr>
            <w:tcW w:w="0" w:type="auto"/>
            <w:tcBorders>
              <w:top w:val="single" w:color="auto" w:sz="8" w:space="0"/>
              <w:left w:val="nil"/>
              <w:bottom w:val="single" w:color="auto" w:sz="4" w:space="0"/>
              <w:right w:val="single" w:color="auto" w:sz="4" w:space="0"/>
            </w:tcBorders>
            <w:shd w:val="clear" w:color="auto" w:fill="auto"/>
            <w:noWrap/>
            <w:vAlign w:val="center"/>
          </w:tcPr>
          <w:p w14:paraId="79C93C0F">
            <w:pPr>
              <w:jc w:val="center"/>
              <w:rPr>
                <w:rFonts w:asciiTheme="minorHAnsi" w:hAnsiTheme="minorHAnsi" w:cstheme="minorHAnsi"/>
                <w:sz w:val="16"/>
                <w:szCs w:val="16"/>
              </w:rPr>
            </w:pPr>
            <w:r>
              <w:rPr>
                <w:rFonts w:asciiTheme="minorHAnsi" w:hAnsiTheme="minorHAnsi" w:cstheme="minorHAnsi"/>
                <w:sz w:val="16"/>
                <w:szCs w:val="16"/>
              </w:rPr>
              <w:t>M2</w:t>
            </w:r>
          </w:p>
        </w:tc>
        <w:tc>
          <w:tcPr>
            <w:tcW w:w="0" w:type="auto"/>
            <w:tcBorders>
              <w:top w:val="single" w:color="auto" w:sz="8" w:space="0"/>
              <w:left w:val="nil"/>
              <w:bottom w:val="single" w:color="auto" w:sz="4" w:space="0"/>
              <w:right w:val="single" w:color="auto" w:sz="4" w:space="0"/>
            </w:tcBorders>
            <w:shd w:val="clear" w:color="auto" w:fill="auto"/>
            <w:noWrap/>
            <w:vAlign w:val="center"/>
          </w:tcPr>
          <w:p w14:paraId="3811FB65">
            <w:pPr>
              <w:jc w:val="center"/>
              <w:rPr>
                <w:rFonts w:asciiTheme="minorHAnsi" w:hAnsiTheme="minorHAnsi" w:cstheme="minorHAnsi"/>
                <w:sz w:val="16"/>
                <w:szCs w:val="16"/>
              </w:rPr>
            </w:pPr>
            <w:r>
              <w:rPr>
                <w:rFonts w:asciiTheme="minorHAnsi" w:hAnsiTheme="minorHAnsi" w:cstheme="minorHAnsi"/>
                <w:sz w:val="16"/>
                <w:szCs w:val="16"/>
              </w:rPr>
              <w:t xml:space="preserve">    531.694,09 </w:t>
            </w:r>
          </w:p>
        </w:tc>
        <w:tc>
          <w:tcPr>
            <w:tcW w:w="0" w:type="auto"/>
            <w:tcBorders>
              <w:top w:val="single" w:color="auto" w:sz="8" w:space="0"/>
              <w:left w:val="nil"/>
              <w:bottom w:val="single" w:color="auto" w:sz="4" w:space="0"/>
              <w:right w:val="single" w:color="auto" w:sz="4" w:space="0"/>
            </w:tcBorders>
            <w:shd w:val="clear" w:color="auto" w:fill="auto"/>
            <w:noWrap/>
            <w:vAlign w:val="center"/>
          </w:tcPr>
          <w:p w14:paraId="24E6138E">
            <w:pPr>
              <w:rPr>
                <w:rFonts w:asciiTheme="minorHAnsi" w:hAnsiTheme="minorHAnsi" w:cstheme="minorHAnsi"/>
                <w:sz w:val="16"/>
                <w:szCs w:val="16"/>
              </w:rPr>
            </w:pPr>
          </w:p>
        </w:tc>
        <w:tc>
          <w:tcPr>
            <w:tcW w:w="0" w:type="auto"/>
            <w:tcBorders>
              <w:top w:val="single" w:color="auto" w:sz="8" w:space="0"/>
              <w:left w:val="nil"/>
              <w:bottom w:val="single" w:color="auto" w:sz="4" w:space="0"/>
              <w:right w:val="single" w:color="auto" w:sz="4" w:space="0"/>
            </w:tcBorders>
            <w:shd w:val="clear" w:color="auto" w:fill="auto"/>
            <w:noWrap/>
            <w:vAlign w:val="center"/>
          </w:tcPr>
          <w:p w14:paraId="2988FB77">
            <w:pPr>
              <w:jc w:val="center"/>
              <w:rPr>
                <w:rFonts w:asciiTheme="minorHAnsi" w:hAnsiTheme="minorHAnsi" w:cstheme="minorHAnsi"/>
                <w:sz w:val="16"/>
                <w:szCs w:val="16"/>
              </w:rPr>
            </w:pPr>
          </w:p>
        </w:tc>
        <w:tc>
          <w:tcPr>
            <w:tcW w:w="0" w:type="auto"/>
            <w:tcBorders>
              <w:top w:val="single" w:color="auto" w:sz="8" w:space="0"/>
              <w:left w:val="nil"/>
              <w:bottom w:val="single" w:color="auto" w:sz="4" w:space="0"/>
              <w:right w:val="single" w:color="auto" w:sz="8" w:space="0"/>
            </w:tcBorders>
            <w:shd w:val="clear" w:color="auto" w:fill="auto"/>
            <w:noWrap/>
            <w:vAlign w:val="center"/>
          </w:tcPr>
          <w:p w14:paraId="0723C5A6">
            <w:pPr>
              <w:rPr>
                <w:rFonts w:asciiTheme="minorHAnsi" w:hAnsiTheme="minorHAnsi" w:cstheme="minorHAnsi"/>
                <w:sz w:val="16"/>
                <w:szCs w:val="16"/>
              </w:rPr>
            </w:pPr>
          </w:p>
        </w:tc>
      </w:tr>
      <w:tr w14:paraId="2D046C3E">
        <w:tblPrEx>
          <w:tblCellMar>
            <w:top w:w="0" w:type="dxa"/>
            <w:left w:w="70" w:type="dxa"/>
            <w:bottom w:w="0" w:type="dxa"/>
            <w:right w:w="70" w:type="dxa"/>
          </w:tblCellMar>
        </w:tblPrEx>
        <w:trPr>
          <w:trHeight w:val="1056" w:hRule="atLeast"/>
        </w:trPr>
        <w:tc>
          <w:tcPr>
            <w:tcW w:w="0" w:type="auto"/>
            <w:vMerge w:val="continue"/>
            <w:tcBorders>
              <w:top w:val="single" w:color="auto" w:sz="8" w:space="0"/>
              <w:left w:val="single" w:color="auto" w:sz="8" w:space="0"/>
              <w:bottom w:val="single" w:color="000000" w:sz="8" w:space="0"/>
              <w:right w:val="single" w:color="auto" w:sz="4" w:space="0"/>
            </w:tcBorders>
            <w:vAlign w:val="center"/>
          </w:tcPr>
          <w:p w14:paraId="43A137C6">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1AE578AE">
            <w:pPr>
              <w:jc w:val="center"/>
              <w:rPr>
                <w:rFonts w:asciiTheme="minorHAnsi" w:hAnsiTheme="minorHAnsi" w:cstheme="minorHAnsi"/>
                <w:sz w:val="16"/>
                <w:szCs w:val="16"/>
              </w:rPr>
            </w:pPr>
            <w:r>
              <w:rPr>
                <w:rFonts w:asciiTheme="minorHAnsi" w:hAnsiTheme="minorHAnsi" w:cstheme="minorHAnsi"/>
                <w:sz w:val="16"/>
                <w:szCs w:val="16"/>
              </w:rPr>
              <w:t>2</w:t>
            </w:r>
          </w:p>
        </w:tc>
        <w:tc>
          <w:tcPr>
            <w:tcW w:w="0" w:type="auto"/>
            <w:tcBorders>
              <w:top w:val="nil"/>
              <w:left w:val="nil"/>
              <w:bottom w:val="single" w:color="auto" w:sz="4" w:space="0"/>
              <w:right w:val="single" w:color="auto" w:sz="4" w:space="0"/>
            </w:tcBorders>
            <w:shd w:val="clear" w:color="auto" w:fill="auto"/>
            <w:vAlign w:val="center"/>
          </w:tcPr>
          <w:p w14:paraId="70536534">
            <w:pPr>
              <w:jc w:val="center"/>
              <w:rPr>
                <w:rFonts w:asciiTheme="minorHAnsi" w:hAnsiTheme="minorHAnsi" w:cstheme="minorHAnsi"/>
                <w:sz w:val="16"/>
                <w:szCs w:val="16"/>
              </w:rPr>
            </w:pPr>
            <w:r>
              <w:rPr>
                <w:rFonts w:asciiTheme="minorHAnsi" w:hAnsiTheme="minorHAnsi" w:cstheme="minorHAnsi"/>
                <w:sz w:val="16"/>
                <w:szCs w:val="16"/>
              </w:rPr>
              <w:t>Serviço de descupinização utilizando tratamento químico (por meio de pulverização, injeção ou criação de barreira química) e/ou tratamento físico (como aplicação de calor, frio ou micro-ondas) nas áreas internas e externas das edificações, abrangendo estruturas, divisórias, móveis e outras superfícies suscetíveis NO MUNICÍPIO DE NITERÓI.</w:t>
            </w:r>
          </w:p>
        </w:tc>
        <w:tc>
          <w:tcPr>
            <w:tcW w:w="0" w:type="auto"/>
            <w:tcBorders>
              <w:top w:val="nil"/>
              <w:left w:val="nil"/>
              <w:bottom w:val="single" w:color="auto" w:sz="4" w:space="0"/>
              <w:right w:val="single" w:color="auto" w:sz="4" w:space="0"/>
            </w:tcBorders>
            <w:shd w:val="clear" w:color="auto" w:fill="auto"/>
            <w:noWrap/>
            <w:vAlign w:val="center"/>
          </w:tcPr>
          <w:p w14:paraId="4A5E6C5C">
            <w:pPr>
              <w:jc w:val="center"/>
              <w:rPr>
                <w:rFonts w:asciiTheme="minorHAnsi" w:hAnsiTheme="minorHAnsi" w:cstheme="minorHAnsi"/>
                <w:sz w:val="16"/>
                <w:szCs w:val="16"/>
              </w:rPr>
            </w:pPr>
            <w:r>
              <w:rPr>
                <w:rFonts w:asciiTheme="minorHAnsi" w:hAnsiTheme="minorHAnsi" w:cstheme="minorHAnsi"/>
                <w:sz w:val="16"/>
                <w:szCs w:val="16"/>
              </w:rPr>
              <w:t>M2</w:t>
            </w:r>
          </w:p>
        </w:tc>
        <w:tc>
          <w:tcPr>
            <w:tcW w:w="0" w:type="auto"/>
            <w:tcBorders>
              <w:top w:val="nil"/>
              <w:left w:val="nil"/>
              <w:bottom w:val="single" w:color="auto" w:sz="4" w:space="0"/>
              <w:right w:val="single" w:color="auto" w:sz="4" w:space="0"/>
            </w:tcBorders>
            <w:shd w:val="clear" w:color="auto" w:fill="auto"/>
            <w:noWrap/>
            <w:vAlign w:val="center"/>
          </w:tcPr>
          <w:p w14:paraId="236FD1A0">
            <w:pPr>
              <w:jc w:val="center"/>
              <w:rPr>
                <w:rFonts w:asciiTheme="minorHAnsi" w:hAnsiTheme="minorHAnsi" w:cstheme="minorHAnsi"/>
                <w:sz w:val="16"/>
                <w:szCs w:val="16"/>
              </w:rPr>
            </w:pPr>
            <w:r>
              <w:rPr>
                <w:rFonts w:asciiTheme="minorHAnsi" w:hAnsiTheme="minorHAnsi" w:cstheme="minorHAnsi"/>
                <w:sz w:val="16"/>
                <w:szCs w:val="16"/>
              </w:rPr>
              <w:t xml:space="preserve">    531.694,09 </w:t>
            </w:r>
          </w:p>
        </w:tc>
        <w:tc>
          <w:tcPr>
            <w:tcW w:w="0" w:type="auto"/>
            <w:tcBorders>
              <w:top w:val="nil"/>
              <w:left w:val="nil"/>
              <w:bottom w:val="single" w:color="auto" w:sz="4" w:space="0"/>
              <w:right w:val="single" w:color="auto" w:sz="4" w:space="0"/>
            </w:tcBorders>
            <w:shd w:val="clear" w:color="auto" w:fill="auto"/>
            <w:noWrap/>
            <w:vAlign w:val="center"/>
          </w:tcPr>
          <w:p w14:paraId="13C9B68D">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3C6D0761">
            <w:pPr>
              <w:jc w:val="cente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3DC0EB01">
            <w:pPr>
              <w:rPr>
                <w:rFonts w:asciiTheme="minorHAnsi" w:hAnsiTheme="minorHAnsi" w:cstheme="minorHAnsi"/>
                <w:sz w:val="16"/>
                <w:szCs w:val="16"/>
              </w:rPr>
            </w:pPr>
          </w:p>
        </w:tc>
      </w:tr>
      <w:tr w14:paraId="3368ABCA">
        <w:tblPrEx>
          <w:tblCellMar>
            <w:top w:w="0" w:type="dxa"/>
            <w:left w:w="70" w:type="dxa"/>
            <w:bottom w:w="0" w:type="dxa"/>
            <w:right w:w="70" w:type="dxa"/>
          </w:tblCellMar>
        </w:tblPrEx>
        <w:trPr>
          <w:trHeight w:val="522" w:hRule="atLeast"/>
        </w:trPr>
        <w:tc>
          <w:tcPr>
            <w:tcW w:w="0" w:type="auto"/>
            <w:vMerge w:val="continue"/>
            <w:tcBorders>
              <w:top w:val="single" w:color="auto" w:sz="8" w:space="0"/>
              <w:left w:val="single" w:color="auto" w:sz="8" w:space="0"/>
              <w:bottom w:val="single" w:color="000000" w:sz="8" w:space="0"/>
              <w:right w:val="single" w:color="auto" w:sz="4" w:space="0"/>
            </w:tcBorders>
            <w:vAlign w:val="center"/>
          </w:tcPr>
          <w:p w14:paraId="1DB94910">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6834A9AD">
            <w:pPr>
              <w:jc w:val="center"/>
              <w:rPr>
                <w:rFonts w:asciiTheme="minorHAnsi" w:hAnsiTheme="minorHAnsi" w:cstheme="minorHAnsi"/>
                <w:sz w:val="16"/>
                <w:szCs w:val="16"/>
              </w:rPr>
            </w:pPr>
            <w:r>
              <w:rPr>
                <w:rFonts w:asciiTheme="minorHAnsi" w:hAnsiTheme="minorHAnsi" w:cstheme="minorHAnsi"/>
                <w:sz w:val="16"/>
                <w:szCs w:val="16"/>
              </w:rPr>
              <w:t>3</w:t>
            </w:r>
          </w:p>
        </w:tc>
        <w:tc>
          <w:tcPr>
            <w:tcW w:w="0" w:type="auto"/>
            <w:tcBorders>
              <w:top w:val="nil"/>
              <w:left w:val="nil"/>
              <w:bottom w:val="single" w:color="auto" w:sz="4" w:space="0"/>
              <w:right w:val="single" w:color="auto" w:sz="4" w:space="0"/>
            </w:tcBorders>
            <w:shd w:val="clear" w:color="auto" w:fill="auto"/>
            <w:vAlign w:val="center"/>
          </w:tcPr>
          <w:p w14:paraId="475E3AE6">
            <w:pPr>
              <w:jc w:val="center"/>
              <w:rPr>
                <w:rFonts w:asciiTheme="minorHAnsi" w:hAnsiTheme="minorHAnsi" w:cstheme="minorHAnsi"/>
                <w:sz w:val="16"/>
                <w:szCs w:val="16"/>
              </w:rPr>
            </w:pPr>
            <w:r>
              <w:rPr>
                <w:rFonts w:asciiTheme="minorHAnsi" w:hAnsiTheme="minorHAnsi" w:cstheme="minorHAnsi"/>
                <w:sz w:val="16"/>
                <w:szCs w:val="16"/>
              </w:rPr>
              <w:t>Serviço de remoção de abelhas e vespas, incluindo a captura e remoção de colmeias de abelhas, vespas e marimbondos. A empresa contratada será responsável pela transferência e realocação das colmeias para um local adequado NO MUNICÍPIO DE NITERÓI.</w:t>
            </w:r>
          </w:p>
        </w:tc>
        <w:tc>
          <w:tcPr>
            <w:tcW w:w="0" w:type="auto"/>
            <w:tcBorders>
              <w:top w:val="nil"/>
              <w:left w:val="nil"/>
              <w:bottom w:val="single" w:color="auto" w:sz="4" w:space="0"/>
              <w:right w:val="single" w:color="auto" w:sz="4" w:space="0"/>
            </w:tcBorders>
            <w:shd w:val="clear" w:color="auto" w:fill="auto"/>
            <w:noWrap/>
            <w:vAlign w:val="center"/>
          </w:tcPr>
          <w:p w14:paraId="0506565C">
            <w:pPr>
              <w:jc w:val="center"/>
              <w:rPr>
                <w:rFonts w:asciiTheme="minorHAnsi" w:hAnsiTheme="minorHAnsi" w:cstheme="minorHAnsi"/>
                <w:sz w:val="16"/>
                <w:szCs w:val="16"/>
              </w:rPr>
            </w:pPr>
            <w:r>
              <w:rPr>
                <w:rFonts w:asciiTheme="minorHAnsi" w:hAnsiTheme="minorHAnsi" w:cstheme="minorHAnsi"/>
                <w:sz w:val="16"/>
                <w:szCs w:val="16"/>
              </w:rPr>
              <w:t>SERVIÇO</w:t>
            </w:r>
          </w:p>
        </w:tc>
        <w:tc>
          <w:tcPr>
            <w:tcW w:w="0" w:type="auto"/>
            <w:tcBorders>
              <w:top w:val="nil"/>
              <w:left w:val="nil"/>
              <w:bottom w:val="single" w:color="auto" w:sz="4" w:space="0"/>
              <w:right w:val="single" w:color="auto" w:sz="4" w:space="0"/>
            </w:tcBorders>
            <w:shd w:val="clear" w:color="auto" w:fill="auto"/>
            <w:noWrap/>
            <w:vAlign w:val="center"/>
          </w:tcPr>
          <w:p w14:paraId="5F2BC1DD">
            <w:pPr>
              <w:jc w:val="center"/>
              <w:rPr>
                <w:rFonts w:asciiTheme="minorHAnsi" w:hAnsiTheme="minorHAnsi" w:cstheme="minorHAnsi"/>
                <w:sz w:val="16"/>
                <w:szCs w:val="16"/>
              </w:rPr>
            </w:pPr>
            <w:r>
              <w:rPr>
                <w:rFonts w:asciiTheme="minorHAnsi" w:hAnsiTheme="minorHAnsi" w:cstheme="minorHAnsi"/>
                <w:sz w:val="16"/>
                <w:szCs w:val="16"/>
              </w:rPr>
              <w:t xml:space="preserve">           20,00 </w:t>
            </w:r>
          </w:p>
        </w:tc>
        <w:tc>
          <w:tcPr>
            <w:tcW w:w="0" w:type="auto"/>
            <w:tcBorders>
              <w:top w:val="nil"/>
              <w:left w:val="nil"/>
              <w:bottom w:val="single" w:color="auto" w:sz="4" w:space="0"/>
              <w:right w:val="single" w:color="auto" w:sz="4" w:space="0"/>
            </w:tcBorders>
            <w:shd w:val="clear" w:color="auto" w:fill="auto"/>
            <w:noWrap/>
            <w:vAlign w:val="center"/>
          </w:tcPr>
          <w:p w14:paraId="2CB92F33">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5754914A">
            <w:pPr>
              <w:jc w:val="cente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6256B4F3">
            <w:pPr>
              <w:rPr>
                <w:rFonts w:asciiTheme="minorHAnsi" w:hAnsiTheme="minorHAnsi" w:cstheme="minorHAnsi"/>
                <w:sz w:val="16"/>
                <w:szCs w:val="16"/>
              </w:rPr>
            </w:pPr>
          </w:p>
        </w:tc>
      </w:tr>
      <w:tr w14:paraId="46E65E9F">
        <w:tblPrEx>
          <w:tblCellMar>
            <w:top w:w="0" w:type="dxa"/>
            <w:left w:w="70" w:type="dxa"/>
            <w:bottom w:w="0" w:type="dxa"/>
            <w:right w:w="70" w:type="dxa"/>
          </w:tblCellMar>
        </w:tblPrEx>
        <w:trPr>
          <w:trHeight w:val="664" w:hRule="atLeast"/>
        </w:trPr>
        <w:tc>
          <w:tcPr>
            <w:tcW w:w="0" w:type="auto"/>
            <w:vMerge w:val="continue"/>
            <w:tcBorders>
              <w:top w:val="single" w:color="auto" w:sz="8" w:space="0"/>
              <w:left w:val="single" w:color="auto" w:sz="8" w:space="0"/>
              <w:bottom w:val="single" w:color="000000" w:sz="8" w:space="0"/>
              <w:right w:val="single" w:color="auto" w:sz="4" w:space="0"/>
            </w:tcBorders>
            <w:vAlign w:val="center"/>
          </w:tcPr>
          <w:p w14:paraId="5193323C">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16FAF713">
            <w:pPr>
              <w:jc w:val="center"/>
              <w:rPr>
                <w:rFonts w:asciiTheme="minorHAnsi" w:hAnsiTheme="minorHAnsi" w:cstheme="minorHAnsi"/>
                <w:sz w:val="16"/>
                <w:szCs w:val="16"/>
              </w:rPr>
            </w:pPr>
            <w:r>
              <w:rPr>
                <w:rFonts w:asciiTheme="minorHAnsi" w:hAnsiTheme="minorHAnsi" w:cstheme="minorHAnsi"/>
                <w:sz w:val="16"/>
                <w:szCs w:val="16"/>
              </w:rPr>
              <w:t>4</w:t>
            </w:r>
          </w:p>
        </w:tc>
        <w:tc>
          <w:tcPr>
            <w:tcW w:w="0" w:type="auto"/>
            <w:tcBorders>
              <w:top w:val="nil"/>
              <w:left w:val="nil"/>
              <w:bottom w:val="single" w:color="auto" w:sz="4" w:space="0"/>
              <w:right w:val="single" w:color="auto" w:sz="4" w:space="0"/>
            </w:tcBorders>
            <w:shd w:val="clear" w:color="auto" w:fill="auto"/>
            <w:vAlign w:val="center"/>
          </w:tcPr>
          <w:p w14:paraId="34E54E1F">
            <w:pPr>
              <w:jc w:val="center"/>
              <w:rPr>
                <w:rFonts w:asciiTheme="minorHAnsi" w:hAnsiTheme="minorHAnsi" w:cstheme="minorHAnsi"/>
                <w:sz w:val="16"/>
                <w:szCs w:val="16"/>
              </w:rPr>
            </w:pPr>
            <w:r>
              <w:rPr>
                <w:rFonts w:asciiTheme="minorHAnsi" w:hAnsiTheme="minorHAnsi" w:cstheme="minorHAnsi"/>
                <w:sz w:val="16"/>
                <w:szCs w:val="16"/>
              </w:rPr>
              <w:t>Serviço de controle de pombos e piolhos de pombos nas instalações da UFF, incluindo a remoção de ninhos, limpeza de estruturas, aplicação de repelentes e barreiras físicas, além de pulverização geral contra piolhos de pombos em todo o campus. NO MUNICÍPIO DE NITERÓI.</w:t>
            </w:r>
          </w:p>
        </w:tc>
        <w:tc>
          <w:tcPr>
            <w:tcW w:w="0" w:type="auto"/>
            <w:tcBorders>
              <w:top w:val="nil"/>
              <w:left w:val="nil"/>
              <w:bottom w:val="single" w:color="auto" w:sz="4" w:space="0"/>
              <w:right w:val="single" w:color="auto" w:sz="4" w:space="0"/>
            </w:tcBorders>
            <w:shd w:val="clear" w:color="auto" w:fill="auto"/>
            <w:noWrap/>
            <w:vAlign w:val="center"/>
          </w:tcPr>
          <w:p w14:paraId="5BF2DA45">
            <w:pPr>
              <w:jc w:val="center"/>
              <w:rPr>
                <w:rFonts w:asciiTheme="minorHAnsi" w:hAnsiTheme="minorHAnsi" w:cstheme="minorHAnsi"/>
                <w:sz w:val="16"/>
                <w:szCs w:val="16"/>
              </w:rPr>
            </w:pPr>
            <w:r>
              <w:rPr>
                <w:rFonts w:asciiTheme="minorHAnsi" w:hAnsiTheme="minorHAnsi" w:cstheme="minorHAnsi"/>
                <w:sz w:val="16"/>
                <w:szCs w:val="16"/>
              </w:rPr>
              <w:t>M2</w:t>
            </w:r>
          </w:p>
        </w:tc>
        <w:tc>
          <w:tcPr>
            <w:tcW w:w="0" w:type="auto"/>
            <w:tcBorders>
              <w:top w:val="nil"/>
              <w:left w:val="nil"/>
              <w:bottom w:val="single" w:color="auto" w:sz="4" w:space="0"/>
              <w:right w:val="single" w:color="auto" w:sz="4" w:space="0"/>
            </w:tcBorders>
            <w:shd w:val="clear" w:color="auto" w:fill="auto"/>
            <w:noWrap/>
            <w:vAlign w:val="center"/>
          </w:tcPr>
          <w:p w14:paraId="0EAC6F32">
            <w:pPr>
              <w:jc w:val="center"/>
              <w:rPr>
                <w:rFonts w:asciiTheme="minorHAnsi" w:hAnsiTheme="minorHAnsi" w:cstheme="minorHAnsi"/>
                <w:sz w:val="16"/>
                <w:szCs w:val="16"/>
              </w:rPr>
            </w:pPr>
            <w:r>
              <w:rPr>
                <w:rFonts w:asciiTheme="minorHAnsi" w:hAnsiTheme="minorHAnsi" w:cstheme="minorHAnsi"/>
                <w:sz w:val="16"/>
                <w:szCs w:val="16"/>
              </w:rPr>
              <w:t xml:space="preserve">      15.000,00 </w:t>
            </w:r>
          </w:p>
        </w:tc>
        <w:tc>
          <w:tcPr>
            <w:tcW w:w="0" w:type="auto"/>
            <w:tcBorders>
              <w:top w:val="nil"/>
              <w:left w:val="nil"/>
              <w:bottom w:val="single" w:color="auto" w:sz="4" w:space="0"/>
              <w:right w:val="single" w:color="auto" w:sz="4" w:space="0"/>
            </w:tcBorders>
            <w:shd w:val="clear" w:color="auto" w:fill="auto"/>
            <w:noWrap/>
            <w:vAlign w:val="center"/>
          </w:tcPr>
          <w:p w14:paraId="08329ABF">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1867531A">
            <w:pPr>
              <w:jc w:val="cente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4EEBCB62">
            <w:pPr>
              <w:rPr>
                <w:rFonts w:asciiTheme="minorHAnsi" w:hAnsiTheme="minorHAnsi" w:cstheme="minorHAnsi"/>
                <w:sz w:val="16"/>
                <w:szCs w:val="16"/>
              </w:rPr>
            </w:pPr>
          </w:p>
        </w:tc>
      </w:tr>
      <w:tr w14:paraId="3213EF2D">
        <w:tblPrEx>
          <w:tblCellMar>
            <w:top w:w="0" w:type="dxa"/>
            <w:left w:w="70" w:type="dxa"/>
            <w:bottom w:w="0" w:type="dxa"/>
            <w:right w:w="70" w:type="dxa"/>
          </w:tblCellMar>
        </w:tblPrEx>
        <w:trPr>
          <w:trHeight w:val="270" w:hRule="atLeast"/>
        </w:trPr>
        <w:tc>
          <w:tcPr>
            <w:tcW w:w="0" w:type="auto"/>
            <w:vMerge w:val="continue"/>
            <w:tcBorders>
              <w:top w:val="single" w:color="auto" w:sz="8" w:space="0"/>
              <w:left w:val="single" w:color="auto" w:sz="8" w:space="0"/>
              <w:bottom w:val="single" w:color="000000" w:sz="8" w:space="0"/>
              <w:right w:val="single" w:color="auto" w:sz="4" w:space="0"/>
            </w:tcBorders>
            <w:vAlign w:val="center"/>
          </w:tcPr>
          <w:p w14:paraId="0EC8C272">
            <w:pPr>
              <w:rPr>
                <w:rFonts w:asciiTheme="minorHAnsi" w:hAnsiTheme="minorHAnsi" w:cstheme="minorHAnsi"/>
                <w:sz w:val="16"/>
                <w:szCs w:val="16"/>
              </w:rPr>
            </w:pPr>
          </w:p>
        </w:tc>
        <w:tc>
          <w:tcPr>
            <w:tcW w:w="0" w:type="auto"/>
            <w:gridSpan w:val="6"/>
            <w:tcBorders>
              <w:top w:val="single" w:color="auto" w:sz="4" w:space="0"/>
              <w:left w:val="nil"/>
              <w:bottom w:val="single" w:color="auto" w:sz="8" w:space="0"/>
              <w:right w:val="single" w:color="auto" w:sz="4" w:space="0"/>
            </w:tcBorders>
            <w:shd w:val="clear" w:color="auto" w:fill="auto"/>
            <w:noWrap/>
            <w:vAlign w:val="center"/>
          </w:tcPr>
          <w:p w14:paraId="46D84A3C">
            <w:pPr>
              <w:jc w:val="center"/>
              <w:rPr>
                <w:rFonts w:asciiTheme="minorHAnsi" w:hAnsiTheme="minorHAnsi" w:cstheme="minorHAnsi"/>
                <w:sz w:val="16"/>
                <w:szCs w:val="16"/>
              </w:rPr>
            </w:pPr>
            <w:r>
              <w:rPr>
                <w:rFonts w:asciiTheme="minorHAnsi" w:hAnsiTheme="minorHAnsi" w:cstheme="minorHAnsi"/>
                <w:sz w:val="16"/>
                <w:szCs w:val="16"/>
              </w:rPr>
              <w:t>TOTAL GRUPO 1</w:t>
            </w:r>
          </w:p>
        </w:tc>
        <w:tc>
          <w:tcPr>
            <w:tcW w:w="0" w:type="auto"/>
            <w:tcBorders>
              <w:top w:val="nil"/>
              <w:left w:val="nil"/>
              <w:bottom w:val="single" w:color="auto" w:sz="8" w:space="0"/>
              <w:right w:val="single" w:color="auto" w:sz="8" w:space="0"/>
            </w:tcBorders>
            <w:shd w:val="clear" w:color="auto" w:fill="auto"/>
            <w:noWrap/>
            <w:vAlign w:val="center"/>
          </w:tcPr>
          <w:p w14:paraId="72A4A9D3">
            <w:pPr>
              <w:rPr>
                <w:rFonts w:asciiTheme="minorHAnsi" w:hAnsiTheme="minorHAnsi" w:cstheme="minorHAnsi"/>
                <w:sz w:val="16"/>
                <w:szCs w:val="16"/>
              </w:rPr>
            </w:pPr>
            <w:r>
              <w:rPr>
                <w:rFonts w:asciiTheme="minorHAnsi" w:hAnsiTheme="minorHAnsi" w:cstheme="minorHAnsi"/>
                <w:sz w:val="16"/>
                <w:szCs w:val="16"/>
              </w:rPr>
              <w:t xml:space="preserve"> </w:t>
            </w:r>
          </w:p>
        </w:tc>
      </w:tr>
      <w:tr w14:paraId="453E9111">
        <w:tblPrEx>
          <w:tblCellMar>
            <w:top w:w="0" w:type="dxa"/>
            <w:left w:w="70" w:type="dxa"/>
            <w:bottom w:w="0" w:type="dxa"/>
            <w:right w:w="70" w:type="dxa"/>
          </w:tblCellMar>
        </w:tblPrEx>
        <w:trPr>
          <w:trHeight w:val="1310" w:hRule="atLeast"/>
        </w:trPr>
        <w:tc>
          <w:tcPr>
            <w:tcW w:w="0" w:type="auto"/>
            <w:vMerge w:val="restart"/>
            <w:tcBorders>
              <w:top w:val="nil"/>
              <w:left w:val="single" w:color="auto" w:sz="8" w:space="0"/>
              <w:bottom w:val="single" w:color="000000" w:sz="8" w:space="0"/>
              <w:right w:val="single" w:color="auto" w:sz="4" w:space="0"/>
            </w:tcBorders>
            <w:shd w:val="clear" w:color="auto" w:fill="auto"/>
            <w:noWrap/>
            <w:vAlign w:val="center"/>
          </w:tcPr>
          <w:p w14:paraId="41CB5E00">
            <w:pPr>
              <w:jc w:val="center"/>
              <w:rPr>
                <w:rFonts w:asciiTheme="minorHAnsi" w:hAnsiTheme="minorHAnsi" w:cstheme="minorHAnsi"/>
                <w:sz w:val="16"/>
                <w:szCs w:val="16"/>
              </w:rPr>
            </w:pPr>
            <w:r>
              <w:rPr>
                <w:rFonts w:asciiTheme="minorHAnsi" w:hAnsiTheme="minorHAnsi" w:cstheme="minorHAnsi"/>
                <w:sz w:val="16"/>
                <w:szCs w:val="16"/>
              </w:rPr>
              <w:t>2</w:t>
            </w:r>
          </w:p>
        </w:tc>
        <w:tc>
          <w:tcPr>
            <w:tcW w:w="0" w:type="auto"/>
            <w:tcBorders>
              <w:top w:val="nil"/>
              <w:left w:val="nil"/>
              <w:bottom w:val="single" w:color="auto" w:sz="4" w:space="0"/>
              <w:right w:val="single" w:color="auto" w:sz="4" w:space="0"/>
            </w:tcBorders>
            <w:shd w:val="clear" w:color="auto" w:fill="auto"/>
            <w:noWrap/>
            <w:vAlign w:val="center"/>
          </w:tcPr>
          <w:p w14:paraId="31E1F8DF">
            <w:pPr>
              <w:jc w:val="center"/>
              <w:rPr>
                <w:rFonts w:asciiTheme="minorHAnsi" w:hAnsiTheme="minorHAnsi" w:cstheme="minorHAnsi"/>
                <w:sz w:val="16"/>
                <w:szCs w:val="16"/>
              </w:rPr>
            </w:pPr>
            <w:r>
              <w:rPr>
                <w:rFonts w:asciiTheme="minorHAnsi" w:hAnsiTheme="minorHAnsi" w:cstheme="minorHAnsi"/>
                <w:sz w:val="16"/>
                <w:szCs w:val="16"/>
              </w:rPr>
              <w:t>5</w:t>
            </w:r>
          </w:p>
        </w:tc>
        <w:tc>
          <w:tcPr>
            <w:tcW w:w="0" w:type="auto"/>
            <w:tcBorders>
              <w:top w:val="nil"/>
              <w:left w:val="nil"/>
              <w:bottom w:val="single" w:color="auto" w:sz="4" w:space="0"/>
              <w:right w:val="single" w:color="auto" w:sz="4" w:space="0"/>
            </w:tcBorders>
            <w:shd w:val="clear" w:color="auto" w:fill="auto"/>
            <w:vAlign w:val="center"/>
          </w:tcPr>
          <w:p w14:paraId="451558CE">
            <w:pPr>
              <w:jc w:val="center"/>
              <w:rPr>
                <w:rFonts w:asciiTheme="minorHAnsi" w:hAnsiTheme="minorHAnsi" w:cstheme="minorHAnsi"/>
                <w:sz w:val="16"/>
                <w:szCs w:val="16"/>
              </w:rPr>
            </w:pPr>
            <w:r>
              <w:rPr>
                <w:rFonts w:asciiTheme="minorHAnsi" w:hAnsiTheme="minorHAnsi" w:cstheme="minorHAnsi"/>
                <w:sz w:val="16"/>
                <w:szCs w:val="16"/>
              </w:rPr>
              <w:t>Controle sanitário integrado para desinsetização, abrangendo insetos como baratas, traças e mosquitos, incluindo suas larvas e filhotes, nas fontes, caixas de esgoto, galerias e em áreas internas e externas das edificações. Realização de desratização para combate a ratos, e desinsetização para escorpiões, com pulverização geral em móveis, rodapés, ralos, banheiros, copas, tubulações de esgoto e estacionamentos NOS MUNICÍPIOS DE VOLTA REDONDA E ANGRA DOS REIS.</w:t>
            </w:r>
          </w:p>
        </w:tc>
        <w:tc>
          <w:tcPr>
            <w:tcW w:w="0" w:type="auto"/>
            <w:tcBorders>
              <w:top w:val="nil"/>
              <w:left w:val="nil"/>
              <w:bottom w:val="single" w:color="auto" w:sz="4" w:space="0"/>
              <w:right w:val="single" w:color="auto" w:sz="4" w:space="0"/>
            </w:tcBorders>
            <w:shd w:val="clear" w:color="auto" w:fill="auto"/>
            <w:noWrap/>
            <w:vAlign w:val="center"/>
          </w:tcPr>
          <w:p w14:paraId="5EFCAFD9">
            <w:pPr>
              <w:jc w:val="center"/>
              <w:rPr>
                <w:rFonts w:asciiTheme="minorHAnsi" w:hAnsiTheme="minorHAnsi" w:cstheme="minorHAnsi"/>
                <w:sz w:val="16"/>
                <w:szCs w:val="16"/>
              </w:rPr>
            </w:pPr>
            <w:r>
              <w:rPr>
                <w:rFonts w:asciiTheme="minorHAnsi" w:hAnsiTheme="minorHAnsi" w:cstheme="minorHAnsi"/>
                <w:sz w:val="16"/>
                <w:szCs w:val="16"/>
              </w:rPr>
              <w:t>M2</w:t>
            </w:r>
          </w:p>
        </w:tc>
        <w:tc>
          <w:tcPr>
            <w:tcW w:w="0" w:type="auto"/>
            <w:tcBorders>
              <w:top w:val="nil"/>
              <w:left w:val="nil"/>
              <w:bottom w:val="single" w:color="auto" w:sz="4" w:space="0"/>
              <w:right w:val="single" w:color="auto" w:sz="4" w:space="0"/>
            </w:tcBorders>
            <w:shd w:val="clear" w:color="auto" w:fill="auto"/>
            <w:noWrap/>
            <w:vAlign w:val="center"/>
          </w:tcPr>
          <w:p w14:paraId="1EF30FF2">
            <w:pPr>
              <w:jc w:val="center"/>
              <w:rPr>
                <w:rFonts w:asciiTheme="minorHAnsi" w:hAnsiTheme="minorHAnsi" w:cstheme="minorHAnsi"/>
                <w:sz w:val="16"/>
                <w:szCs w:val="16"/>
              </w:rPr>
            </w:pPr>
            <w:r>
              <w:rPr>
                <w:rFonts w:asciiTheme="minorHAnsi" w:hAnsiTheme="minorHAnsi" w:cstheme="minorHAnsi"/>
                <w:sz w:val="16"/>
                <w:szCs w:val="16"/>
              </w:rPr>
              <w:t xml:space="preserve">      63.151,81 </w:t>
            </w:r>
          </w:p>
        </w:tc>
        <w:tc>
          <w:tcPr>
            <w:tcW w:w="0" w:type="auto"/>
            <w:tcBorders>
              <w:top w:val="nil"/>
              <w:left w:val="nil"/>
              <w:bottom w:val="single" w:color="auto" w:sz="4" w:space="0"/>
              <w:right w:val="single" w:color="auto" w:sz="4" w:space="0"/>
            </w:tcBorders>
            <w:shd w:val="clear" w:color="auto" w:fill="auto"/>
            <w:noWrap/>
            <w:vAlign w:val="center"/>
          </w:tcPr>
          <w:p w14:paraId="6DB770E8">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317364C0">
            <w:pP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32ECE5F4">
            <w:pPr>
              <w:rPr>
                <w:rFonts w:asciiTheme="minorHAnsi" w:hAnsiTheme="minorHAnsi" w:cstheme="minorHAnsi"/>
                <w:sz w:val="16"/>
                <w:szCs w:val="16"/>
              </w:rPr>
            </w:pPr>
          </w:p>
        </w:tc>
      </w:tr>
      <w:tr w14:paraId="27988490">
        <w:tblPrEx>
          <w:tblCellMar>
            <w:top w:w="0" w:type="dxa"/>
            <w:left w:w="70" w:type="dxa"/>
            <w:bottom w:w="0" w:type="dxa"/>
            <w:right w:w="70" w:type="dxa"/>
          </w:tblCellMar>
        </w:tblPrEx>
        <w:trPr>
          <w:trHeight w:val="385" w:hRule="atLeast"/>
        </w:trPr>
        <w:tc>
          <w:tcPr>
            <w:tcW w:w="0" w:type="auto"/>
            <w:vMerge w:val="continue"/>
            <w:tcBorders>
              <w:top w:val="nil"/>
              <w:left w:val="single" w:color="auto" w:sz="8" w:space="0"/>
              <w:bottom w:val="single" w:color="000000" w:sz="8" w:space="0"/>
              <w:right w:val="single" w:color="auto" w:sz="4" w:space="0"/>
            </w:tcBorders>
            <w:vAlign w:val="center"/>
          </w:tcPr>
          <w:p w14:paraId="0C500156">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744FF0A5">
            <w:pPr>
              <w:jc w:val="center"/>
              <w:rPr>
                <w:rFonts w:asciiTheme="minorHAnsi" w:hAnsiTheme="minorHAnsi" w:cstheme="minorHAnsi"/>
                <w:sz w:val="16"/>
                <w:szCs w:val="16"/>
              </w:rPr>
            </w:pPr>
            <w:r>
              <w:rPr>
                <w:rFonts w:asciiTheme="minorHAnsi" w:hAnsiTheme="minorHAnsi" w:cstheme="minorHAnsi"/>
                <w:sz w:val="16"/>
                <w:szCs w:val="16"/>
              </w:rPr>
              <w:t>6</w:t>
            </w:r>
          </w:p>
        </w:tc>
        <w:tc>
          <w:tcPr>
            <w:tcW w:w="0" w:type="auto"/>
            <w:tcBorders>
              <w:top w:val="nil"/>
              <w:left w:val="nil"/>
              <w:bottom w:val="single" w:color="auto" w:sz="4" w:space="0"/>
              <w:right w:val="single" w:color="auto" w:sz="4" w:space="0"/>
            </w:tcBorders>
            <w:shd w:val="clear" w:color="auto" w:fill="auto"/>
            <w:vAlign w:val="center"/>
          </w:tcPr>
          <w:p w14:paraId="39CFD0D2">
            <w:pPr>
              <w:jc w:val="center"/>
              <w:rPr>
                <w:rFonts w:asciiTheme="minorHAnsi" w:hAnsiTheme="minorHAnsi" w:cstheme="minorHAnsi"/>
                <w:sz w:val="16"/>
                <w:szCs w:val="16"/>
              </w:rPr>
            </w:pPr>
            <w:r>
              <w:rPr>
                <w:rFonts w:asciiTheme="minorHAnsi" w:hAnsiTheme="minorHAnsi" w:cstheme="minorHAnsi"/>
                <w:sz w:val="16"/>
                <w:szCs w:val="16"/>
              </w:rPr>
              <w:t>Serviço de descupinização utilizando tratamento químico (por meio de pulverização, injeção ou criação de barreira química) e/ou tratamento físico (como aplicação de calor, frio ou micro-ondas) nas áreas internas e externas das edificações, abrangendo estruturas, divisórias, móveis e outras superfícies suscetíveis NOS MUNICÍPIOS DE VOLTA REDONDA E ANGRA DOS REIS.</w:t>
            </w:r>
          </w:p>
        </w:tc>
        <w:tc>
          <w:tcPr>
            <w:tcW w:w="0" w:type="auto"/>
            <w:tcBorders>
              <w:top w:val="nil"/>
              <w:left w:val="nil"/>
              <w:bottom w:val="single" w:color="auto" w:sz="4" w:space="0"/>
              <w:right w:val="single" w:color="auto" w:sz="4" w:space="0"/>
            </w:tcBorders>
            <w:shd w:val="clear" w:color="auto" w:fill="auto"/>
            <w:noWrap/>
            <w:vAlign w:val="center"/>
          </w:tcPr>
          <w:p w14:paraId="748ACAE6">
            <w:pPr>
              <w:jc w:val="center"/>
              <w:rPr>
                <w:rFonts w:asciiTheme="minorHAnsi" w:hAnsiTheme="minorHAnsi" w:cstheme="minorHAnsi"/>
                <w:sz w:val="16"/>
                <w:szCs w:val="16"/>
              </w:rPr>
            </w:pPr>
            <w:r>
              <w:rPr>
                <w:rFonts w:asciiTheme="minorHAnsi" w:hAnsiTheme="minorHAnsi" w:cstheme="minorHAnsi"/>
                <w:sz w:val="16"/>
                <w:szCs w:val="16"/>
              </w:rPr>
              <w:t>M2</w:t>
            </w:r>
          </w:p>
        </w:tc>
        <w:tc>
          <w:tcPr>
            <w:tcW w:w="0" w:type="auto"/>
            <w:tcBorders>
              <w:top w:val="nil"/>
              <w:left w:val="nil"/>
              <w:bottom w:val="single" w:color="auto" w:sz="4" w:space="0"/>
              <w:right w:val="single" w:color="auto" w:sz="4" w:space="0"/>
            </w:tcBorders>
            <w:shd w:val="clear" w:color="auto" w:fill="auto"/>
            <w:noWrap/>
            <w:vAlign w:val="center"/>
          </w:tcPr>
          <w:p w14:paraId="0B96C5C1">
            <w:pPr>
              <w:jc w:val="center"/>
              <w:rPr>
                <w:rFonts w:asciiTheme="minorHAnsi" w:hAnsiTheme="minorHAnsi" w:cstheme="minorHAnsi"/>
                <w:sz w:val="16"/>
                <w:szCs w:val="16"/>
              </w:rPr>
            </w:pPr>
            <w:r>
              <w:rPr>
                <w:rFonts w:asciiTheme="minorHAnsi" w:hAnsiTheme="minorHAnsi" w:cstheme="minorHAnsi"/>
                <w:sz w:val="16"/>
                <w:szCs w:val="16"/>
              </w:rPr>
              <w:t xml:space="preserve">      63.151,81 </w:t>
            </w:r>
          </w:p>
        </w:tc>
        <w:tc>
          <w:tcPr>
            <w:tcW w:w="0" w:type="auto"/>
            <w:tcBorders>
              <w:top w:val="nil"/>
              <w:left w:val="nil"/>
              <w:bottom w:val="single" w:color="auto" w:sz="4" w:space="0"/>
              <w:right w:val="single" w:color="auto" w:sz="4" w:space="0"/>
            </w:tcBorders>
            <w:shd w:val="clear" w:color="auto" w:fill="auto"/>
            <w:noWrap/>
            <w:vAlign w:val="center"/>
          </w:tcPr>
          <w:p w14:paraId="322D3BAE">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0C574F64">
            <w:pP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0C8D6641">
            <w:pPr>
              <w:rPr>
                <w:rFonts w:asciiTheme="minorHAnsi" w:hAnsiTheme="minorHAnsi" w:cstheme="minorHAnsi"/>
                <w:sz w:val="16"/>
                <w:szCs w:val="16"/>
              </w:rPr>
            </w:pPr>
          </w:p>
        </w:tc>
      </w:tr>
      <w:tr w14:paraId="2EF4599D">
        <w:tblPrEx>
          <w:tblCellMar>
            <w:top w:w="0" w:type="dxa"/>
            <w:left w:w="70" w:type="dxa"/>
            <w:bottom w:w="0" w:type="dxa"/>
            <w:right w:w="70" w:type="dxa"/>
          </w:tblCellMar>
        </w:tblPrEx>
        <w:trPr>
          <w:trHeight w:val="365" w:hRule="atLeast"/>
        </w:trPr>
        <w:tc>
          <w:tcPr>
            <w:tcW w:w="0" w:type="auto"/>
            <w:vMerge w:val="continue"/>
            <w:tcBorders>
              <w:top w:val="nil"/>
              <w:left w:val="single" w:color="auto" w:sz="8" w:space="0"/>
              <w:bottom w:val="single" w:color="000000" w:sz="8" w:space="0"/>
              <w:right w:val="single" w:color="auto" w:sz="4" w:space="0"/>
            </w:tcBorders>
            <w:vAlign w:val="center"/>
          </w:tcPr>
          <w:p w14:paraId="21223D97">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39A182F4">
            <w:pPr>
              <w:jc w:val="center"/>
              <w:rPr>
                <w:rFonts w:asciiTheme="minorHAnsi" w:hAnsiTheme="minorHAnsi" w:cstheme="minorHAnsi"/>
                <w:sz w:val="16"/>
                <w:szCs w:val="16"/>
              </w:rPr>
            </w:pPr>
            <w:r>
              <w:rPr>
                <w:rFonts w:asciiTheme="minorHAnsi" w:hAnsiTheme="minorHAnsi" w:cstheme="minorHAnsi"/>
                <w:sz w:val="16"/>
                <w:szCs w:val="16"/>
              </w:rPr>
              <w:t>7</w:t>
            </w:r>
          </w:p>
        </w:tc>
        <w:tc>
          <w:tcPr>
            <w:tcW w:w="0" w:type="auto"/>
            <w:tcBorders>
              <w:top w:val="nil"/>
              <w:left w:val="nil"/>
              <w:bottom w:val="single" w:color="auto" w:sz="4" w:space="0"/>
              <w:right w:val="single" w:color="auto" w:sz="4" w:space="0"/>
            </w:tcBorders>
            <w:shd w:val="clear" w:color="auto" w:fill="auto"/>
            <w:vAlign w:val="center"/>
          </w:tcPr>
          <w:p w14:paraId="04298DDB">
            <w:pPr>
              <w:jc w:val="center"/>
              <w:rPr>
                <w:rFonts w:asciiTheme="minorHAnsi" w:hAnsiTheme="minorHAnsi" w:cstheme="minorHAnsi"/>
                <w:sz w:val="16"/>
                <w:szCs w:val="16"/>
              </w:rPr>
            </w:pPr>
            <w:r>
              <w:rPr>
                <w:rFonts w:asciiTheme="minorHAnsi" w:hAnsiTheme="minorHAnsi" w:cstheme="minorHAnsi"/>
                <w:sz w:val="16"/>
                <w:szCs w:val="16"/>
              </w:rPr>
              <w:t>Serviço de remoção de abelhas e vespas, incluindo a captura e remoção de colmeias de abelhas, vespas e marimbondos. A empresa contratada será responsável pela transferência e realocação das colmeias para um local adequado NOS MUNICÍPIOS DE VOLTA REDONDA E ANGRA DOS REIS.</w:t>
            </w:r>
          </w:p>
        </w:tc>
        <w:tc>
          <w:tcPr>
            <w:tcW w:w="0" w:type="auto"/>
            <w:tcBorders>
              <w:top w:val="nil"/>
              <w:left w:val="nil"/>
              <w:bottom w:val="single" w:color="auto" w:sz="4" w:space="0"/>
              <w:right w:val="single" w:color="auto" w:sz="4" w:space="0"/>
            </w:tcBorders>
            <w:shd w:val="clear" w:color="auto" w:fill="auto"/>
            <w:noWrap/>
            <w:vAlign w:val="center"/>
          </w:tcPr>
          <w:p w14:paraId="4933BB69">
            <w:pPr>
              <w:jc w:val="center"/>
              <w:rPr>
                <w:rFonts w:asciiTheme="minorHAnsi" w:hAnsiTheme="minorHAnsi" w:cstheme="minorHAnsi"/>
                <w:sz w:val="16"/>
                <w:szCs w:val="16"/>
              </w:rPr>
            </w:pPr>
            <w:r>
              <w:rPr>
                <w:rFonts w:asciiTheme="minorHAnsi" w:hAnsiTheme="minorHAnsi" w:cstheme="minorHAnsi"/>
                <w:sz w:val="16"/>
                <w:szCs w:val="16"/>
              </w:rPr>
              <w:t>SERVIÇO</w:t>
            </w:r>
          </w:p>
        </w:tc>
        <w:tc>
          <w:tcPr>
            <w:tcW w:w="0" w:type="auto"/>
            <w:tcBorders>
              <w:top w:val="nil"/>
              <w:left w:val="nil"/>
              <w:bottom w:val="single" w:color="auto" w:sz="4" w:space="0"/>
              <w:right w:val="single" w:color="auto" w:sz="4" w:space="0"/>
            </w:tcBorders>
            <w:shd w:val="clear" w:color="auto" w:fill="auto"/>
            <w:noWrap/>
            <w:vAlign w:val="center"/>
          </w:tcPr>
          <w:p w14:paraId="60A99577">
            <w:pPr>
              <w:jc w:val="center"/>
              <w:rPr>
                <w:rFonts w:asciiTheme="minorHAnsi" w:hAnsiTheme="minorHAnsi" w:cstheme="minorHAnsi"/>
                <w:sz w:val="16"/>
                <w:szCs w:val="16"/>
              </w:rPr>
            </w:pPr>
            <w:r>
              <w:rPr>
                <w:rFonts w:asciiTheme="minorHAnsi" w:hAnsiTheme="minorHAnsi" w:cstheme="minorHAnsi"/>
                <w:sz w:val="16"/>
                <w:szCs w:val="16"/>
              </w:rPr>
              <w:t xml:space="preserve">           10,00 </w:t>
            </w:r>
          </w:p>
        </w:tc>
        <w:tc>
          <w:tcPr>
            <w:tcW w:w="0" w:type="auto"/>
            <w:tcBorders>
              <w:top w:val="nil"/>
              <w:left w:val="nil"/>
              <w:bottom w:val="single" w:color="auto" w:sz="4" w:space="0"/>
              <w:right w:val="single" w:color="auto" w:sz="4" w:space="0"/>
            </w:tcBorders>
            <w:shd w:val="clear" w:color="auto" w:fill="auto"/>
            <w:noWrap/>
            <w:vAlign w:val="center"/>
          </w:tcPr>
          <w:p w14:paraId="64D7ECC4">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4AA302AE">
            <w:pP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6AAAA121">
            <w:pPr>
              <w:rPr>
                <w:rFonts w:asciiTheme="minorHAnsi" w:hAnsiTheme="minorHAnsi" w:cstheme="minorHAnsi"/>
                <w:sz w:val="16"/>
                <w:szCs w:val="16"/>
              </w:rPr>
            </w:pPr>
          </w:p>
        </w:tc>
      </w:tr>
      <w:tr w14:paraId="7973BF0A">
        <w:tblPrEx>
          <w:tblCellMar>
            <w:top w:w="0" w:type="dxa"/>
            <w:left w:w="70" w:type="dxa"/>
            <w:bottom w:w="0" w:type="dxa"/>
            <w:right w:w="70" w:type="dxa"/>
          </w:tblCellMar>
        </w:tblPrEx>
        <w:trPr>
          <w:trHeight w:val="439" w:hRule="atLeast"/>
        </w:trPr>
        <w:tc>
          <w:tcPr>
            <w:tcW w:w="0" w:type="auto"/>
            <w:vMerge w:val="continue"/>
            <w:tcBorders>
              <w:top w:val="nil"/>
              <w:left w:val="single" w:color="auto" w:sz="8" w:space="0"/>
              <w:bottom w:val="single" w:color="000000" w:sz="8" w:space="0"/>
              <w:right w:val="single" w:color="auto" w:sz="4" w:space="0"/>
            </w:tcBorders>
            <w:vAlign w:val="center"/>
          </w:tcPr>
          <w:p w14:paraId="6F1EA1B7">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052EE6D7">
            <w:pPr>
              <w:jc w:val="center"/>
              <w:rPr>
                <w:rFonts w:asciiTheme="minorHAnsi" w:hAnsiTheme="minorHAnsi" w:cstheme="minorHAnsi"/>
                <w:sz w:val="16"/>
                <w:szCs w:val="16"/>
              </w:rPr>
            </w:pPr>
            <w:r>
              <w:rPr>
                <w:rFonts w:asciiTheme="minorHAnsi" w:hAnsiTheme="minorHAnsi" w:cstheme="minorHAnsi"/>
                <w:sz w:val="16"/>
                <w:szCs w:val="16"/>
              </w:rPr>
              <w:t>8</w:t>
            </w:r>
          </w:p>
        </w:tc>
        <w:tc>
          <w:tcPr>
            <w:tcW w:w="0" w:type="auto"/>
            <w:tcBorders>
              <w:top w:val="nil"/>
              <w:left w:val="nil"/>
              <w:bottom w:val="single" w:color="auto" w:sz="4" w:space="0"/>
              <w:right w:val="single" w:color="auto" w:sz="4" w:space="0"/>
            </w:tcBorders>
            <w:shd w:val="clear" w:color="auto" w:fill="auto"/>
            <w:vAlign w:val="center"/>
          </w:tcPr>
          <w:p w14:paraId="735A753C">
            <w:pPr>
              <w:jc w:val="center"/>
              <w:rPr>
                <w:rFonts w:asciiTheme="minorHAnsi" w:hAnsiTheme="minorHAnsi" w:cstheme="minorHAnsi"/>
                <w:sz w:val="16"/>
                <w:szCs w:val="16"/>
              </w:rPr>
            </w:pPr>
            <w:r>
              <w:rPr>
                <w:rFonts w:asciiTheme="minorHAnsi" w:hAnsiTheme="minorHAnsi" w:cstheme="minorHAnsi"/>
                <w:sz w:val="16"/>
                <w:szCs w:val="16"/>
              </w:rPr>
              <w:t>Serviço de controle de pombos e piolhos de pombos nas instalações da UFF, incluindo a remoção de ninhos, limpeza de estruturas, aplicação de repelentes e barreiras físicas, além de pulverização geral contra piolhos de pombos em todo o campus.  NOS MUNICÍPIOS DE VOLTA REDONDA E ANGRA DOS REIS.</w:t>
            </w:r>
          </w:p>
        </w:tc>
        <w:tc>
          <w:tcPr>
            <w:tcW w:w="0" w:type="auto"/>
            <w:tcBorders>
              <w:top w:val="nil"/>
              <w:left w:val="nil"/>
              <w:bottom w:val="single" w:color="auto" w:sz="4" w:space="0"/>
              <w:right w:val="single" w:color="auto" w:sz="4" w:space="0"/>
            </w:tcBorders>
            <w:shd w:val="clear" w:color="auto" w:fill="auto"/>
            <w:noWrap/>
            <w:vAlign w:val="center"/>
          </w:tcPr>
          <w:p w14:paraId="7050624D">
            <w:pPr>
              <w:jc w:val="center"/>
              <w:rPr>
                <w:rFonts w:asciiTheme="minorHAnsi" w:hAnsiTheme="minorHAnsi" w:cstheme="minorHAnsi"/>
                <w:sz w:val="16"/>
                <w:szCs w:val="16"/>
              </w:rPr>
            </w:pPr>
            <w:r>
              <w:rPr>
                <w:rFonts w:asciiTheme="minorHAnsi" w:hAnsiTheme="minorHAnsi" w:cstheme="minorHAnsi"/>
                <w:sz w:val="16"/>
                <w:szCs w:val="16"/>
              </w:rPr>
              <w:t>M2</w:t>
            </w:r>
          </w:p>
        </w:tc>
        <w:tc>
          <w:tcPr>
            <w:tcW w:w="0" w:type="auto"/>
            <w:tcBorders>
              <w:top w:val="nil"/>
              <w:left w:val="nil"/>
              <w:bottom w:val="single" w:color="auto" w:sz="4" w:space="0"/>
              <w:right w:val="single" w:color="auto" w:sz="4" w:space="0"/>
            </w:tcBorders>
            <w:shd w:val="clear" w:color="auto" w:fill="auto"/>
            <w:noWrap/>
            <w:vAlign w:val="center"/>
          </w:tcPr>
          <w:p w14:paraId="56D80634">
            <w:pPr>
              <w:jc w:val="center"/>
              <w:rPr>
                <w:rFonts w:asciiTheme="minorHAnsi" w:hAnsiTheme="minorHAnsi" w:cstheme="minorHAnsi"/>
                <w:sz w:val="16"/>
                <w:szCs w:val="16"/>
              </w:rPr>
            </w:pPr>
            <w:r>
              <w:rPr>
                <w:rFonts w:asciiTheme="minorHAnsi" w:hAnsiTheme="minorHAnsi" w:cstheme="minorHAnsi"/>
                <w:sz w:val="16"/>
                <w:szCs w:val="16"/>
              </w:rPr>
              <w:t xml:space="preserve">       2.300,00 </w:t>
            </w:r>
          </w:p>
        </w:tc>
        <w:tc>
          <w:tcPr>
            <w:tcW w:w="0" w:type="auto"/>
            <w:tcBorders>
              <w:top w:val="nil"/>
              <w:left w:val="nil"/>
              <w:bottom w:val="single" w:color="auto" w:sz="4" w:space="0"/>
              <w:right w:val="single" w:color="auto" w:sz="4" w:space="0"/>
            </w:tcBorders>
            <w:shd w:val="clear" w:color="auto" w:fill="auto"/>
            <w:noWrap/>
            <w:vAlign w:val="center"/>
          </w:tcPr>
          <w:p w14:paraId="3872D7D3">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28CE98D0">
            <w:pP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18C93144">
            <w:pPr>
              <w:rPr>
                <w:rFonts w:asciiTheme="minorHAnsi" w:hAnsiTheme="minorHAnsi" w:cstheme="minorHAnsi"/>
                <w:sz w:val="16"/>
                <w:szCs w:val="16"/>
              </w:rPr>
            </w:pPr>
          </w:p>
        </w:tc>
      </w:tr>
      <w:tr w14:paraId="19538469">
        <w:tblPrEx>
          <w:tblCellMar>
            <w:top w:w="0" w:type="dxa"/>
            <w:left w:w="70" w:type="dxa"/>
            <w:bottom w:w="0" w:type="dxa"/>
            <w:right w:w="70" w:type="dxa"/>
          </w:tblCellMar>
        </w:tblPrEx>
        <w:trPr>
          <w:trHeight w:val="270" w:hRule="atLeast"/>
        </w:trPr>
        <w:tc>
          <w:tcPr>
            <w:tcW w:w="0" w:type="auto"/>
            <w:vMerge w:val="continue"/>
            <w:tcBorders>
              <w:top w:val="nil"/>
              <w:left w:val="single" w:color="auto" w:sz="8" w:space="0"/>
              <w:bottom w:val="single" w:color="000000" w:sz="8" w:space="0"/>
              <w:right w:val="single" w:color="auto" w:sz="4" w:space="0"/>
            </w:tcBorders>
            <w:vAlign w:val="center"/>
          </w:tcPr>
          <w:p w14:paraId="6874CB75">
            <w:pPr>
              <w:rPr>
                <w:rFonts w:asciiTheme="minorHAnsi" w:hAnsiTheme="minorHAnsi" w:cstheme="minorHAnsi"/>
                <w:sz w:val="16"/>
                <w:szCs w:val="16"/>
              </w:rPr>
            </w:pPr>
          </w:p>
        </w:tc>
        <w:tc>
          <w:tcPr>
            <w:tcW w:w="0" w:type="auto"/>
            <w:gridSpan w:val="6"/>
            <w:tcBorders>
              <w:top w:val="single" w:color="auto" w:sz="4" w:space="0"/>
              <w:left w:val="nil"/>
              <w:bottom w:val="single" w:color="auto" w:sz="8" w:space="0"/>
              <w:right w:val="single" w:color="auto" w:sz="4" w:space="0"/>
            </w:tcBorders>
            <w:shd w:val="clear" w:color="auto" w:fill="auto"/>
            <w:noWrap/>
            <w:vAlign w:val="center"/>
          </w:tcPr>
          <w:p w14:paraId="63AE25D6">
            <w:pPr>
              <w:jc w:val="center"/>
              <w:rPr>
                <w:rFonts w:asciiTheme="minorHAnsi" w:hAnsiTheme="minorHAnsi" w:cstheme="minorHAnsi"/>
                <w:sz w:val="16"/>
                <w:szCs w:val="16"/>
              </w:rPr>
            </w:pPr>
            <w:r>
              <w:rPr>
                <w:rFonts w:asciiTheme="minorHAnsi" w:hAnsiTheme="minorHAnsi" w:cstheme="minorHAnsi"/>
                <w:sz w:val="16"/>
                <w:szCs w:val="16"/>
              </w:rPr>
              <w:t>TOTAL GRUPO 2</w:t>
            </w:r>
          </w:p>
        </w:tc>
        <w:tc>
          <w:tcPr>
            <w:tcW w:w="0" w:type="auto"/>
            <w:tcBorders>
              <w:top w:val="nil"/>
              <w:left w:val="nil"/>
              <w:bottom w:val="single" w:color="auto" w:sz="8" w:space="0"/>
              <w:right w:val="single" w:color="auto" w:sz="8" w:space="0"/>
            </w:tcBorders>
            <w:shd w:val="clear" w:color="auto" w:fill="auto"/>
            <w:noWrap/>
            <w:vAlign w:val="center"/>
          </w:tcPr>
          <w:p w14:paraId="2AEE76E2">
            <w:pPr>
              <w:rPr>
                <w:rFonts w:asciiTheme="minorHAnsi" w:hAnsiTheme="minorHAnsi" w:cstheme="minorHAnsi"/>
                <w:sz w:val="16"/>
                <w:szCs w:val="16"/>
              </w:rPr>
            </w:pPr>
          </w:p>
        </w:tc>
      </w:tr>
      <w:tr w14:paraId="7BC8A11C">
        <w:tblPrEx>
          <w:tblCellMar>
            <w:top w:w="0" w:type="dxa"/>
            <w:left w:w="70" w:type="dxa"/>
            <w:bottom w:w="0" w:type="dxa"/>
            <w:right w:w="70" w:type="dxa"/>
          </w:tblCellMar>
        </w:tblPrEx>
        <w:trPr>
          <w:trHeight w:val="1765" w:hRule="atLeast"/>
        </w:trPr>
        <w:tc>
          <w:tcPr>
            <w:tcW w:w="0" w:type="auto"/>
            <w:vMerge w:val="restart"/>
            <w:tcBorders>
              <w:top w:val="nil"/>
              <w:left w:val="single" w:color="auto" w:sz="8" w:space="0"/>
              <w:bottom w:val="single" w:color="000000" w:sz="8" w:space="0"/>
              <w:right w:val="single" w:color="auto" w:sz="4" w:space="0"/>
            </w:tcBorders>
            <w:shd w:val="clear" w:color="auto" w:fill="auto"/>
            <w:noWrap/>
            <w:vAlign w:val="center"/>
          </w:tcPr>
          <w:p w14:paraId="340B6E7C">
            <w:pPr>
              <w:jc w:val="center"/>
              <w:rPr>
                <w:rFonts w:asciiTheme="minorHAnsi" w:hAnsiTheme="minorHAnsi" w:cstheme="minorHAnsi"/>
                <w:sz w:val="16"/>
                <w:szCs w:val="16"/>
              </w:rPr>
            </w:pPr>
            <w:r>
              <w:rPr>
                <w:rFonts w:asciiTheme="minorHAnsi" w:hAnsiTheme="minorHAnsi" w:cstheme="minorHAnsi"/>
                <w:sz w:val="16"/>
                <w:szCs w:val="16"/>
              </w:rPr>
              <w:t>3</w:t>
            </w:r>
          </w:p>
        </w:tc>
        <w:tc>
          <w:tcPr>
            <w:tcW w:w="0" w:type="auto"/>
            <w:tcBorders>
              <w:top w:val="nil"/>
              <w:left w:val="nil"/>
              <w:bottom w:val="single" w:color="auto" w:sz="4" w:space="0"/>
              <w:right w:val="single" w:color="auto" w:sz="4" w:space="0"/>
            </w:tcBorders>
            <w:shd w:val="clear" w:color="auto" w:fill="auto"/>
            <w:noWrap/>
            <w:vAlign w:val="center"/>
          </w:tcPr>
          <w:p w14:paraId="359A69AF">
            <w:pPr>
              <w:jc w:val="center"/>
              <w:rPr>
                <w:rFonts w:asciiTheme="minorHAnsi" w:hAnsiTheme="minorHAnsi" w:cstheme="minorHAnsi"/>
                <w:sz w:val="16"/>
                <w:szCs w:val="16"/>
              </w:rPr>
            </w:pPr>
            <w:r>
              <w:rPr>
                <w:rFonts w:asciiTheme="minorHAnsi" w:hAnsiTheme="minorHAnsi" w:cstheme="minorHAnsi"/>
                <w:sz w:val="16"/>
                <w:szCs w:val="16"/>
              </w:rPr>
              <w:t>9</w:t>
            </w:r>
          </w:p>
        </w:tc>
        <w:tc>
          <w:tcPr>
            <w:tcW w:w="0" w:type="auto"/>
            <w:tcBorders>
              <w:top w:val="nil"/>
              <w:left w:val="nil"/>
              <w:bottom w:val="single" w:color="auto" w:sz="4" w:space="0"/>
              <w:right w:val="single" w:color="auto" w:sz="4" w:space="0"/>
            </w:tcBorders>
            <w:shd w:val="clear" w:color="auto" w:fill="auto"/>
            <w:vAlign w:val="center"/>
          </w:tcPr>
          <w:p w14:paraId="7FD521DB">
            <w:pPr>
              <w:jc w:val="center"/>
              <w:rPr>
                <w:rFonts w:asciiTheme="minorHAnsi" w:hAnsiTheme="minorHAnsi" w:cstheme="minorHAnsi"/>
                <w:sz w:val="16"/>
                <w:szCs w:val="16"/>
              </w:rPr>
            </w:pPr>
            <w:r>
              <w:rPr>
                <w:rFonts w:asciiTheme="minorHAnsi" w:hAnsiTheme="minorHAnsi" w:cstheme="minorHAnsi"/>
                <w:sz w:val="16"/>
                <w:szCs w:val="16"/>
              </w:rPr>
              <w:t>Controle sanitário integrado para desinsetização, abrangendo insetos como baratas, traças e mosquitos, incluindo suas larvas e filhotes, nas fontes, caixas de esgoto, galerias e em áreas internas e externas das edificações. Realização de desratização para combate a ratos, e desinsetização para escorpiões, com pulverização geral em móveis, rodapés, ralos, banheiros, copas, tubulações de esgoto e estacionamentos NOS MUNICÍPIOS DE CACHOEIRAS DE MACACU, NOVA FRIBURGO E PETRÓPOLIS.</w:t>
            </w:r>
          </w:p>
        </w:tc>
        <w:tc>
          <w:tcPr>
            <w:tcW w:w="0" w:type="auto"/>
            <w:tcBorders>
              <w:top w:val="nil"/>
              <w:left w:val="nil"/>
              <w:bottom w:val="single" w:color="auto" w:sz="4" w:space="0"/>
              <w:right w:val="single" w:color="auto" w:sz="4" w:space="0"/>
            </w:tcBorders>
            <w:shd w:val="clear" w:color="auto" w:fill="auto"/>
            <w:noWrap/>
            <w:vAlign w:val="center"/>
          </w:tcPr>
          <w:p w14:paraId="2E80D31C">
            <w:pPr>
              <w:jc w:val="center"/>
              <w:rPr>
                <w:rFonts w:asciiTheme="minorHAnsi" w:hAnsiTheme="minorHAnsi" w:cstheme="minorHAnsi"/>
                <w:sz w:val="16"/>
                <w:szCs w:val="16"/>
              </w:rPr>
            </w:pPr>
            <w:r>
              <w:rPr>
                <w:rFonts w:asciiTheme="minorHAnsi" w:hAnsiTheme="minorHAnsi" w:cstheme="minorHAnsi"/>
                <w:sz w:val="16"/>
                <w:szCs w:val="16"/>
              </w:rPr>
              <w:t>M2</w:t>
            </w:r>
          </w:p>
        </w:tc>
        <w:tc>
          <w:tcPr>
            <w:tcW w:w="0" w:type="auto"/>
            <w:tcBorders>
              <w:top w:val="nil"/>
              <w:left w:val="nil"/>
              <w:bottom w:val="single" w:color="auto" w:sz="4" w:space="0"/>
              <w:right w:val="single" w:color="auto" w:sz="4" w:space="0"/>
            </w:tcBorders>
            <w:shd w:val="clear" w:color="auto" w:fill="auto"/>
            <w:noWrap/>
            <w:vAlign w:val="center"/>
          </w:tcPr>
          <w:p w14:paraId="1F2F9917">
            <w:pPr>
              <w:jc w:val="center"/>
              <w:rPr>
                <w:rFonts w:asciiTheme="minorHAnsi" w:hAnsiTheme="minorHAnsi" w:cstheme="minorHAnsi"/>
                <w:sz w:val="16"/>
                <w:szCs w:val="16"/>
              </w:rPr>
            </w:pPr>
            <w:r>
              <w:rPr>
                <w:rFonts w:asciiTheme="minorHAnsi" w:hAnsiTheme="minorHAnsi" w:cstheme="minorHAnsi"/>
                <w:sz w:val="16"/>
                <w:szCs w:val="16"/>
              </w:rPr>
              <w:t xml:space="preserve">      27.250,98 </w:t>
            </w:r>
          </w:p>
        </w:tc>
        <w:tc>
          <w:tcPr>
            <w:tcW w:w="0" w:type="auto"/>
            <w:tcBorders>
              <w:top w:val="nil"/>
              <w:left w:val="nil"/>
              <w:bottom w:val="single" w:color="auto" w:sz="4" w:space="0"/>
              <w:right w:val="single" w:color="auto" w:sz="4" w:space="0"/>
            </w:tcBorders>
            <w:shd w:val="clear" w:color="auto" w:fill="auto"/>
            <w:noWrap/>
            <w:vAlign w:val="center"/>
          </w:tcPr>
          <w:p w14:paraId="0010B883">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1C833310">
            <w:pP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704AAC80">
            <w:pPr>
              <w:rPr>
                <w:rFonts w:asciiTheme="minorHAnsi" w:hAnsiTheme="minorHAnsi" w:cstheme="minorHAnsi"/>
                <w:sz w:val="16"/>
                <w:szCs w:val="16"/>
              </w:rPr>
            </w:pPr>
          </w:p>
        </w:tc>
      </w:tr>
      <w:tr w14:paraId="3157BBCE">
        <w:tblPrEx>
          <w:tblCellMar>
            <w:top w:w="0" w:type="dxa"/>
            <w:left w:w="70" w:type="dxa"/>
            <w:bottom w:w="0" w:type="dxa"/>
            <w:right w:w="70" w:type="dxa"/>
          </w:tblCellMar>
        </w:tblPrEx>
        <w:trPr>
          <w:trHeight w:val="1368" w:hRule="atLeast"/>
        </w:trPr>
        <w:tc>
          <w:tcPr>
            <w:tcW w:w="0" w:type="auto"/>
            <w:vMerge w:val="continue"/>
            <w:tcBorders>
              <w:top w:val="nil"/>
              <w:left w:val="single" w:color="auto" w:sz="8" w:space="0"/>
              <w:bottom w:val="single" w:color="000000" w:sz="8" w:space="0"/>
              <w:right w:val="single" w:color="auto" w:sz="4" w:space="0"/>
            </w:tcBorders>
            <w:vAlign w:val="center"/>
          </w:tcPr>
          <w:p w14:paraId="5AD99DB1">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69836624">
            <w:pPr>
              <w:jc w:val="center"/>
              <w:rPr>
                <w:rFonts w:asciiTheme="minorHAnsi" w:hAnsiTheme="minorHAnsi" w:cstheme="minorHAnsi"/>
                <w:sz w:val="16"/>
                <w:szCs w:val="16"/>
              </w:rPr>
            </w:pPr>
            <w:r>
              <w:rPr>
                <w:rFonts w:asciiTheme="minorHAnsi" w:hAnsiTheme="minorHAnsi" w:cstheme="minorHAnsi"/>
                <w:sz w:val="16"/>
                <w:szCs w:val="16"/>
              </w:rPr>
              <w:t>10</w:t>
            </w:r>
          </w:p>
        </w:tc>
        <w:tc>
          <w:tcPr>
            <w:tcW w:w="0" w:type="auto"/>
            <w:tcBorders>
              <w:top w:val="nil"/>
              <w:left w:val="nil"/>
              <w:bottom w:val="single" w:color="auto" w:sz="4" w:space="0"/>
              <w:right w:val="single" w:color="auto" w:sz="4" w:space="0"/>
            </w:tcBorders>
            <w:shd w:val="clear" w:color="auto" w:fill="auto"/>
            <w:vAlign w:val="center"/>
          </w:tcPr>
          <w:p w14:paraId="70F260EC">
            <w:pPr>
              <w:jc w:val="center"/>
              <w:rPr>
                <w:rFonts w:asciiTheme="minorHAnsi" w:hAnsiTheme="minorHAnsi" w:cstheme="minorHAnsi"/>
                <w:sz w:val="16"/>
                <w:szCs w:val="16"/>
              </w:rPr>
            </w:pPr>
            <w:r>
              <w:rPr>
                <w:rFonts w:asciiTheme="minorHAnsi" w:hAnsiTheme="minorHAnsi" w:cstheme="minorHAnsi"/>
                <w:sz w:val="16"/>
                <w:szCs w:val="16"/>
              </w:rPr>
              <w:t>Serviço de descupinização utilizando tratamento químico (por meio de pulverização, injeção ou criação de barreira química) e/ou tratamento físico (como aplicação de calor, frio ou micro-ondas) nas áreas internas e externas das edificações, abrangendo estruturas, divisórias, móveis e outras superfícies suscetíveis NOS MUNICÍPIOS DE CACHOEIRAS DE MACACU, NOVA FRIBURGO E PETRÓPOLIS.</w:t>
            </w:r>
          </w:p>
        </w:tc>
        <w:tc>
          <w:tcPr>
            <w:tcW w:w="0" w:type="auto"/>
            <w:tcBorders>
              <w:top w:val="nil"/>
              <w:left w:val="nil"/>
              <w:bottom w:val="single" w:color="auto" w:sz="4" w:space="0"/>
              <w:right w:val="single" w:color="auto" w:sz="4" w:space="0"/>
            </w:tcBorders>
            <w:shd w:val="clear" w:color="auto" w:fill="auto"/>
            <w:noWrap/>
            <w:vAlign w:val="center"/>
          </w:tcPr>
          <w:p w14:paraId="1D7D2284">
            <w:pPr>
              <w:jc w:val="center"/>
              <w:rPr>
                <w:rFonts w:asciiTheme="minorHAnsi" w:hAnsiTheme="minorHAnsi" w:cstheme="minorHAnsi"/>
                <w:sz w:val="16"/>
                <w:szCs w:val="16"/>
              </w:rPr>
            </w:pPr>
            <w:r>
              <w:rPr>
                <w:rFonts w:asciiTheme="minorHAnsi" w:hAnsiTheme="minorHAnsi" w:cstheme="minorHAnsi"/>
                <w:sz w:val="16"/>
                <w:szCs w:val="16"/>
              </w:rPr>
              <w:t>M2</w:t>
            </w:r>
          </w:p>
        </w:tc>
        <w:tc>
          <w:tcPr>
            <w:tcW w:w="0" w:type="auto"/>
            <w:tcBorders>
              <w:top w:val="nil"/>
              <w:left w:val="nil"/>
              <w:bottom w:val="single" w:color="auto" w:sz="4" w:space="0"/>
              <w:right w:val="single" w:color="auto" w:sz="4" w:space="0"/>
            </w:tcBorders>
            <w:shd w:val="clear" w:color="auto" w:fill="auto"/>
            <w:noWrap/>
            <w:vAlign w:val="center"/>
          </w:tcPr>
          <w:p w14:paraId="64A1E144">
            <w:pPr>
              <w:jc w:val="center"/>
              <w:rPr>
                <w:rFonts w:asciiTheme="minorHAnsi" w:hAnsiTheme="minorHAnsi" w:cstheme="minorHAnsi"/>
                <w:sz w:val="16"/>
                <w:szCs w:val="16"/>
              </w:rPr>
            </w:pPr>
            <w:r>
              <w:rPr>
                <w:rFonts w:asciiTheme="minorHAnsi" w:hAnsiTheme="minorHAnsi" w:cstheme="minorHAnsi"/>
                <w:sz w:val="16"/>
                <w:szCs w:val="16"/>
              </w:rPr>
              <w:t xml:space="preserve">      27.250,98 </w:t>
            </w:r>
          </w:p>
        </w:tc>
        <w:tc>
          <w:tcPr>
            <w:tcW w:w="0" w:type="auto"/>
            <w:tcBorders>
              <w:top w:val="nil"/>
              <w:left w:val="nil"/>
              <w:bottom w:val="single" w:color="auto" w:sz="4" w:space="0"/>
              <w:right w:val="single" w:color="auto" w:sz="4" w:space="0"/>
            </w:tcBorders>
            <w:shd w:val="clear" w:color="auto" w:fill="auto"/>
            <w:noWrap/>
            <w:vAlign w:val="center"/>
          </w:tcPr>
          <w:p w14:paraId="314BDA33">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45FEB0F7">
            <w:pP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56D7D6C9">
            <w:pPr>
              <w:rPr>
                <w:rFonts w:asciiTheme="minorHAnsi" w:hAnsiTheme="minorHAnsi" w:cstheme="minorHAnsi"/>
                <w:sz w:val="16"/>
                <w:szCs w:val="16"/>
              </w:rPr>
            </w:pPr>
          </w:p>
        </w:tc>
      </w:tr>
      <w:tr w14:paraId="26707B4B">
        <w:tblPrEx>
          <w:tblCellMar>
            <w:top w:w="0" w:type="dxa"/>
            <w:left w:w="70" w:type="dxa"/>
            <w:bottom w:w="0" w:type="dxa"/>
            <w:right w:w="70" w:type="dxa"/>
          </w:tblCellMar>
        </w:tblPrEx>
        <w:trPr>
          <w:trHeight w:val="922" w:hRule="atLeast"/>
        </w:trPr>
        <w:tc>
          <w:tcPr>
            <w:tcW w:w="0" w:type="auto"/>
            <w:vMerge w:val="continue"/>
            <w:tcBorders>
              <w:top w:val="nil"/>
              <w:left w:val="single" w:color="auto" w:sz="8" w:space="0"/>
              <w:bottom w:val="single" w:color="000000" w:sz="8" w:space="0"/>
              <w:right w:val="single" w:color="auto" w:sz="4" w:space="0"/>
            </w:tcBorders>
            <w:vAlign w:val="center"/>
          </w:tcPr>
          <w:p w14:paraId="0DCC9F10">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7DFED863">
            <w:pPr>
              <w:jc w:val="center"/>
              <w:rPr>
                <w:rFonts w:asciiTheme="minorHAnsi" w:hAnsiTheme="minorHAnsi" w:cstheme="minorHAnsi"/>
                <w:sz w:val="16"/>
                <w:szCs w:val="16"/>
              </w:rPr>
            </w:pPr>
            <w:r>
              <w:rPr>
                <w:rFonts w:asciiTheme="minorHAnsi" w:hAnsiTheme="minorHAnsi" w:cstheme="minorHAnsi"/>
                <w:sz w:val="16"/>
                <w:szCs w:val="16"/>
              </w:rPr>
              <w:t>11</w:t>
            </w:r>
          </w:p>
        </w:tc>
        <w:tc>
          <w:tcPr>
            <w:tcW w:w="0" w:type="auto"/>
            <w:tcBorders>
              <w:top w:val="nil"/>
              <w:left w:val="nil"/>
              <w:bottom w:val="single" w:color="auto" w:sz="4" w:space="0"/>
              <w:right w:val="single" w:color="auto" w:sz="4" w:space="0"/>
            </w:tcBorders>
            <w:shd w:val="clear" w:color="auto" w:fill="auto"/>
            <w:vAlign w:val="center"/>
          </w:tcPr>
          <w:p w14:paraId="34C05B48">
            <w:pPr>
              <w:jc w:val="center"/>
              <w:rPr>
                <w:rFonts w:asciiTheme="minorHAnsi" w:hAnsiTheme="minorHAnsi" w:cstheme="minorHAnsi"/>
                <w:sz w:val="16"/>
                <w:szCs w:val="16"/>
              </w:rPr>
            </w:pPr>
            <w:r>
              <w:rPr>
                <w:rFonts w:asciiTheme="minorHAnsi" w:hAnsiTheme="minorHAnsi" w:cstheme="minorHAnsi"/>
                <w:sz w:val="16"/>
                <w:szCs w:val="16"/>
              </w:rPr>
              <w:t>Serviço de remoção de abelhas e vespas, incluindo a captura e remoção de colmeias de abelhas, vespas e marimbondos. A empresa contratada será responsável pela transferência e realocação das colmeias para um local adequado NOS MUNICÍPIOS DE CACHOEIRAS DE MACACU, NOVA FRIBURGO E PETRÓPOLIS.</w:t>
            </w:r>
          </w:p>
        </w:tc>
        <w:tc>
          <w:tcPr>
            <w:tcW w:w="0" w:type="auto"/>
            <w:tcBorders>
              <w:top w:val="nil"/>
              <w:left w:val="nil"/>
              <w:bottom w:val="single" w:color="auto" w:sz="4" w:space="0"/>
              <w:right w:val="single" w:color="auto" w:sz="4" w:space="0"/>
            </w:tcBorders>
            <w:shd w:val="clear" w:color="auto" w:fill="auto"/>
            <w:noWrap/>
            <w:vAlign w:val="center"/>
          </w:tcPr>
          <w:p w14:paraId="527AA2CF">
            <w:pPr>
              <w:jc w:val="center"/>
              <w:rPr>
                <w:rFonts w:asciiTheme="minorHAnsi" w:hAnsiTheme="minorHAnsi" w:cstheme="minorHAnsi"/>
                <w:sz w:val="16"/>
                <w:szCs w:val="16"/>
              </w:rPr>
            </w:pPr>
            <w:r>
              <w:rPr>
                <w:rFonts w:asciiTheme="minorHAnsi" w:hAnsiTheme="minorHAnsi" w:cstheme="minorHAnsi"/>
                <w:sz w:val="16"/>
                <w:szCs w:val="16"/>
              </w:rPr>
              <w:t>SERVIÇO</w:t>
            </w:r>
          </w:p>
        </w:tc>
        <w:tc>
          <w:tcPr>
            <w:tcW w:w="0" w:type="auto"/>
            <w:tcBorders>
              <w:top w:val="nil"/>
              <w:left w:val="nil"/>
              <w:bottom w:val="single" w:color="auto" w:sz="4" w:space="0"/>
              <w:right w:val="single" w:color="auto" w:sz="4" w:space="0"/>
            </w:tcBorders>
            <w:shd w:val="clear" w:color="auto" w:fill="auto"/>
            <w:noWrap/>
            <w:vAlign w:val="center"/>
          </w:tcPr>
          <w:p w14:paraId="45C4CE3E">
            <w:pPr>
              <w:jc w:val="center"/>
              <w:rPr>
                <w:rFonts w:asciiTheme="minorHAnsi" w:hAnsiTheme="minorHAnsi" w:cstheme="minorHAnsi"/>
                <w:sz w:val="16"/>
                <w:szCs w:val="16"/>
              </w:rPr>
            </w:pPr>
            <w:r>
              <w:rPr>
                <w:rFonts w:asciiTheme="minorHAnsi" w:hAnsiTheme="minorHAnsi" w:cstheme="minorHAnsi"/>
                <w:sz w:val="16"/>
                <w:szCs w:val="16"/>
              </w:rPr>
              <w:t xml:space="preserve">           10,00 </w:t>
            </w:r>
          </w:p>
        </w:tc>
        <w:tc>
          <w:tcPr>
            <w:tcW w:w="0" w:type="auto"/>
            <w:tcBorders>
              <w:top w:val="nil"/>
              <w:left w:val="nil"/>
              <w:bottom w:val="single" w:color="auto" w:sz="4" w:space="0"/>
              <w:right w:val="single" w:color="auto" w:sz="4" w:space="0"/>
            </w:tcBorders>
            <w:shd w:val="clear" w:color="auto" w:fill="auto"/>
            <w:noWrap/>
            <w:vAlign w:val="center"/>
          </w:tcPr>
          <w:p w14:paraId="2A2901B5">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023346CA">
            <w:pP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042F522F">
            <w:pPr>
              <w:rPr>
                <w:rFonts w:asciiTheme="minorHAnsi" w:hAnsiTheme="minorHAnsi" w:cstheme="minorHAnsi"/>
                <w:sz w:val="16"/>
                <w:szCs w:val="16"/>
              </w:rPr>
            </w:pPr>
          </w:p>
        </w:tc>
      </w:tr>
      <w:tr w14:paraId="7CC78686">
        <w:tblPrEx>
          <w:tblCellMar>
            <w:top w:w="0" w:type="dxa"/>
            <w:left w:w="70" w:type="dxa"/>
            <w:bottom w:w="0" w:type="dxa"/>
            <w:right w:w="70" w:type="dxa"/>
          </w:tblCellMar>
        </w:tblPrEx>
        <w:trPr>
          <w:trHeight w:val="1280" w:hRule="atLeast"/>
        </w:trPr>
        <w:tc>
          <w:tcPr>
            <w:tcW w:w="0" w:type="auto"/>
            <w:vMerge w:val="continue"/>
            <w:tcBorders>
              <w:top w:val="nil"/>
              <w:left w:val="single" w:color="auto" w:sz="8" w:space="0"/>
              <w:bottom w:val="single" w:color="000000" w:sz="8" w:space="0"/>
              <w:right w:val="single" w:color="auto" w:sz="4" w:space="0"/>
            </w:tcBorders>
            <w:vAlign w:val="center"/>
          </w:tcPr>
          <w:p w14:paraId="4436A8C7">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7FF5C241">
            <w:pPr>
              <w:jc w:val="center"/>
              <w:rPr>
                <w:rFonts w:asciiTheme="minorHAnsi" w:hAnsiTheme="minorHAnsi" w:cstheme="minorHAnsi"/>
                <w:sz w:val="16"/>
                <w:szCs w:val="16"/>
              </w:rPr>
            </w:pPr>
            <w:r>
              <w:rPr>
                <w:rFonts w:asciiTheme="minorHAnsi" w:hAnsiTheme="minorHAnsi" w:cstheme="minorHAnsi"/>
                <w:sz w:val="16"/>
                <w:szCs w:val="16"/>
              </w:rPr>
              <w:t>12</w:t>
            </w:r>
          </w:p>
        </w:tc>
        <w:tc>
          <w:tcPr>
            <w:tcW w:w="0" w:type="auto"/>
            <w:tcBorders>
              <w:top w:val="nil"/>
              <w:left w:val="nil"/>
              <w:bottom w:val="single" w:color="auto" w:sz="4" w:space="0"/>
              <w:right w:val="single" w:color="auto" w:sz="4" w:space="0"/>
            </w:tcBorders>
            <w:shd w:val="clear" w:color="auto" w:fill="auto"/>
            <w:vAlign w:val="center"/>
          </w:tcPr>
          <w:p w14:paraId="122A259C">
            <w:pPr>
              <w:jc w:val="center"/>
              <w:rPr>
                <w:rFonts w:asciiTheme="minorHAnsi" w:hAnsiTheme="minorHAnsi" w:cstheme="minorHAnsi"/>
                <w:sz w:val="16"/>
                <w:szCs w:val="16"/>
              </w:rPr>
            </w:pPr>
            <w:r>
              <w:rPr>
                <w:rFonts w:asciiTheme="minorHAnsi" w:hAnsiTheme="minorHAnsi" w:cstheme="minorHAnsi"/>
                <w:sz w:val="16"/>
                <w:szCs w:val="16"/>
              </w:rPr>
              <w:t>Serviço de controle de pombos e piolhos de pombos nas instalações da UFF, incluindo a remoção de ninhos, limpeza de estruturas, aplicação de repelentes e barreiras físicas, além de pulverização geral contra piolhos de pombos em todo o campus.  NOS MUNICÍPIOS DE CACHOEIRAS DE MACACU, NOVA FRIBURGO E PETRÓPOLIS.</w:t>
            </w:r>
          </w:p>
        </w:tc>
        <w:tc>
          <w:tcPr>
            <w:tcW w:w="0" w:type="auto"/>
            <w:tcBorders>
              <w:top w:val="nil"/>
              <w:left w:val="nil"/>
              <w:bottom w:val="single" w:color="auto" w:sz="4" w:space="0"/>
              <w:right w:val="single" w:color="auto" w:sz="4" w:space="0"/>
            </w:tcBorders>
            <w:shd w:val="clear" w:color="auto" w:fill="auto"/>
            <w:noWrap/>
            <w:vAlign w:val="center"/>
          </w:tcPr>
          <w:p w14:paraId="75F19E05">
            <w:pPr>
              <w:jc w:val="center"/>
              <w:rPr>
                <w:rFonts w:asciiTheme="minorHAnsi" w:hAnsiTheme="minorHAnsi" w:cstheme="minorHAnsi"/>
                <w:sz w:val="16"/>
                <w:szCs w:val="16"/>
              </w:rPr>
            </w:pPr>
            <w:r>
              <w:rPr>
                <w:rFonts w:asciiTheme="minorHAnsi" w:hAnsiTheme="minorHAnsi" w:cstheme="minorHAnsi"/>
                <w:sz w:val="16"/>
                <w:szCs w:val="16"/>
              </w:rPr>
              <w:t>M2</w:t>
            </w:r>
          </w:p>
        </w:tc>
        <w:tc>
          <w:tcPr>
            <w:tcW w:w="0" w:type="auto"/>
            <w:tcBorders>
              <w:top w:val="nil"/>
              <w:left w:val="nil"/>
              <w:bottom w:val="single" w:color="auto" w:sz="4" w:space="0"/>
              <w:right w:val="single" w:color="auto" w:sz="4" w:space="0"/>
            </w:tcBorders>
            <w:shd w:val="clear" w:color="auto" w:fill="auto"/>
            <w:noWrap/>
            <w:vAlign w:val="center"/>
          </w:tcPr>
          <w:p w14:paraId="5148298A">
            <w:pPr>
              <w:jc w:val="center"/>
              <w:rPr>
                <w:rFonts w:asciiTheme="minorHAnsi" w:hAnsiTheme="minorHAnsi" w:cstheme="minorHAnsi"/>
                <w:sz w:val="16"/>
                <w:szCs w:val="16"/>
              </w:rPr>
            </w:pPr>
            <w:r>
              <w:rPr>
                <w:rFonts w:asciiTheme="minorHAnsi" w:hAnsiTheme="minorHAnsi" w:cstheme="minorHAnsi"/>
                <w:sz w:val="16"/>
                <w:szCs w:val="16"/>
              </w:rPr>
              <w:t xml:space="preserve">       1.200,00 </w:t>
            </w:r>
          </w:p>
        </w:tc>
        <w:tc>
          <w:tcPr>
            <w:tcW w:w="0" w:type="auto"/>
            <w:tcBorders>
              <w:top w:val="nil"/>
              <w:left w:val="nil"/>
              <w:bottom w:val="single" w:color="auto" w:sz="4" w:space="0"/>
              <w:right w:val="single" w:color="auto" w:sz="4" w:space="0"/>
            </w:tcBorders>
            <w:shd w:val="clear" w:color="auto" w:fill="auto"/>
            <w:noWrap/>
            <w:vAlign w:val="center"/>
          </w:tcPr>
          <w:p w14:paraId="586E798F">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213A4868">
            <w:pP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53F86F02">
            <w:pPr>
              <w:rPr>
                <w:rFonts w:asciiTheme="minorHAnsi" w:hAnsiTheme="minorHAnsi" w:cstheme="minorHAnsi"/>
                <w:sz w:val="16"/>
                <w:szCs w:val="16"/>
              </w:rPr>
            </w:pPr>
          </w:p>
        </w:tc>
      </w:tr>
      <w:tr w14:paraId="3CAFD9CE">
        <w:tblPrEx>
          <w:tblCellMar>
            <w:top w:w="0" w:type="dxa"/>
            <w:left w:w="70" w:type="dxa"/>
            <w:bottom w:w="0" w:type="dxa"/>
            <w:right w:w="70" w:type="dxa"/>
          </w:tblCellMar>
        </w:tblPrEx>
        <w:trPr>
          <w:trHeight w:val="270" w:hRule="atLeast"/>
        </w:trPr>
        <w:tc>
          <w:tcPr>
            <w:tcW w:w="0" w:type="auto"/>
            <w:vMerge w:val="continue"/>
            <w:tcBorders>
              <w:top w:val="nil"/>
              <w:left w:val="single" w:color="auto" w:sz="8" w:space="0"/>
              <w:bottom w:val="single" w:color="000000" w:sz="8" w:space="0"/>
              <w:right w:val="single" w:color="auto" w:sz="4" w:space="0"/>
            </w:tcBorders>
            <w:vAlign w:val="center"/>
          </w:tcPr>
          <w:p w14:paraId="0D80CAFA">
            <w:pPr>
              <w:rPr>
                <w:rFonts w:asciiTheme="minorHAnsi" w:hAnsiTheme="minorHAnsi" w:cstheme="minorHAnsi"/>
                <w:sz w:val="16"/>
                <w:szCs w:val="16"/>
              </w:rPr>
            </w:pPr>
          </w:p>
        </w:tc>
        <w:tc>
          <w:tcPr>
            <w:tcW w:w="0" w:type="auto"/>
            <w:gridSpan w:val="6"/>
            <w:tcBorders>
              <w:top w:val="single" w:color="auto" w:sz="4" w:space="0"/>
              <w:left w:val="nil"/>
              <w:bottom w:val="single" w:color="auto" w:sz="8" w:space="0"/>
              <w:right w:val="single" w:color="auto" w:sz="4" w:space="0"/>
            </w:tcBorders>
            <w:shd w:val="clear" w:color="auto" w:fill="auto"/>
            <w:noWrap/>
            <w:vAlign w:val="center"/>
          </w:tcPr>
          <w:p w14:paraId="20F79BE2">
            <w:pPr>
              <w:jc w:val="center"/>
              <w:rPr>
                <w:rFonts w:asciiTheme="minorHAnsi" w:hAnsiTheme="minorHAnsi" w:cstheme="minorHAnsi"/>
                <w:sz w:val="16"/>
                <w:szCs w:val="16"/>
              </w:rPr>
            </w:pPr>
            <w:r>
              <w:rPr>
                <w:rFonts w:asciiTheme="minorHAnsi" w:hAnsiTheme="minorHAnsi" w:cstheme="minorHAnsi"/>
                <w:sz w:val="16"/>
                <w:szCs w:val="16"/>
              </w:rPr>
              <w:t>TOTAL GRUPO 3</w:t>
            </w:r>
          </w:p>
        </w:tc>
        <w:tc>
          <w:tcPr>
            <w:tcW w:w="0" w:type="auto"/>
            <w:tcBorders>
              <w:top w:val="nil"/>
              <w:left w:val="nil"/>
              <w:bottom w:val="single" w:color="auto" w:sz="8" w:space="0"/>
              <w:right w:val="single" w:color="auto" w:sz="8" w:space="0"/>
            </w:tcBorders>
            <w:shd w:val="clear" w:color="auto" w:fill="auto"/>
            <w:noWrap/>
            <w:vAlign w:val="center"/>
          </w:tcPr>
          <w:p w14:paraId="5623F661">
            <w:pPr>
              <w:rPr>
                <w:rFonts w:asciiTheme="minorHAnsi" w:hAnsiTheme="minorHAnsi" w:cstheme="minorHAnsi"/>
                <w:sz w:val="16"/>
                <w:szCs w:val="16"/>
              </w:rPr>
            </w:pPr>
          </w:p>
        </w:tc>
      </w:tr>
      <w:tr w14:paraId="72C51053">
        <w:tblPrEx>
          <w:tblCellMar>
            <w:top w:w="0" w:type="dxa"/>
            <w:left w:w="70" w:type="dxa"/>
            <w:bottom w:w="0" w:type="dxa"/>
            <w:right w:w="70" w:type="dxa"/>
          </w:tblCellMar>
        </w:tblPrEx>
        <w:trPr>
          <w:trHeight w:val="1871" w:hRule="atLeast"/>
        </w:trPr>
        <w:tc>
          <w:tcPr>
            <w:tcW w:w="0" w:type="auto"/>
            <w:vMerge w:val="restart"/>
            <w:tcBorders>
              <w:top w:val="nil"/>
              <w:left w:val="single" w:color="auto" w:sz="8" w:space="0"/>
              <w:bottom w:val="single" w:color="000000" w:sz="8" w:space="0"/>
              <w:right w:val="single" w:color="auto" w:sz="4" w:space="0"/>
            </w:tcBorders>
            <w:shd w:val="clear" w:color="auto" w:fill="auto"/>
            <w:noWrap/>
            <w:vAlign w:val="center"/>
          </w:tcPr>
          <w:p w14:paraId="41438343">
            <w:pPr>
              <w:jc w:val="center"/>
              <w:rPr>
                <w:rFonts w:asciiTheme="minorHAnsi" w:hAnsiTheme="minorHAnsi" w:cstheme="minorHAnsi"/>
                <w:sz w:val="16"/>
                <w:szCs w:val="16"/>
              </w:rPr>
            </w:pPr>
            <w:r>
              <w:rPr>
                <w:rFonts w:asciiTheme="minorHAnsi" w:hAnsiTheme="minorHAnsi" w:cstheme="minorHAnsi"/>
                <w:sz w:val="16"/>
                <w:szCs w:val="16"/>
              </w:rPr>
              <w:t>4</w:t>
            </w:r>
          </w:p>
        </w:tc>
        <w:tc>
          <w:tcPr>
            <w:tcW w:w="0" w:type="auto"/>
            <w:tcBorders>
              <w:top w:val="nil"/>
              <w:left w:val="nil"/>
              <w:bottom w:val="single" w:color="auto" w:sz="4" w:space="0"/>
              <w:right w:val="single" w:color="auto" w:sz="4" w:space="0"/>
            </w:tcBorders>
            <w:shd w:val="clear" w:color="auto" w:fill="auto"/>
            <w:noWrap/>
            <w:vAlign w:val="center"/>
          </w:tcPr>
          <w:p w14:paraId="560F697F">
            <w:pPr>
              <w:jc w:val="center"/>
              <w:rPr>
                <w:rFonts w:asciiTheme="minorHAnsi" w:hAnsiTheme="minorHAnsi" w:cstheme="minorHAnsi"/>
                <w:sz w:val="16"/>
                <w:szCs w:val="16"/>
              </w:rPr>
            </w:pPr>
            <w:r>
              <w:rPr>
                <w:rFonts w:asciiTheme="minorHAnsi" w:hAnsiTheme="minorHAnsi" w:cstheme="minorHAnsi"/>
                <w:sz w:val="16"/>
                <w:szCs w:val="16"/>
              </w:rPr>
              <w:t>13</w:t>
            </w:r>
          </w:p>
        </w:tc>
        <w:tc>
          <w:tcPr>
            <w:tcW w:w="0" w:type="auto"/>
            <w:tcBorders>
              <w:top w:val="nil"/>
              <w:left w:val="nil"/>
              <w:bottom w:val="single" w:color="auto" w:sz="4" w:space="0"/>
              <w:right w:val="single" w:color="auto" w:sz="4" w:space="0"/>
            </w:tcBorders>
            <w:shd w:val="clear" w:color="auto" w:fill="auto"/>
            <w:vAlign w:val="center"/>
          </w:tcPr>
          <w:p w14:paraId="284F03E8">
            <w:pPr>
              <w:jc w:val="center"/>
              <w:rPr>
                <w:rFonts w:asciiTheme="minorHAnsi" w:hAnsiTheme="minorHAnsi" w:cstheme="minorHAnsi"/>
                <w:sz w:val="16"/>
                <w:szCs w:val="16"/>
              </w:rPr>
            </w:pPr>
            <w:r>
              <w:rPr>
                <w:rFonts w:asciiTheme="minorHAnsi" w:hAnsiTheme="minorHAnsi" w:cstheme="minorHAnsi"/>
                <w:sz w:val="16"/>
                <w:szCs w:val="16"/>
              </w:rPr>
              <w:t>Controle sanitário integrado para desinsetização, abrangendo insetos como baratas, traças e mosquitos, incluindo suas larvas e filhotes, nas fontes, caixas de esgoto, galerias e em áreas internas e externas das edificações. Realização de desratização para combate a ratos, e desinsetização para escorpiões, com pulverização geral em móveis, rodapés, ralos, banheiros, copas, tubulações de esgoto e estacionamentos NOS MUNICÍPIOS DE CAMPOS DOS GOYTACAZES, IGUABA GRANDE, MACAÉ, RIO DAS OSTRAS E SANTO ANTÔNIO DE PÁDUA.</w:t>
            </w:r>
          </w:p>
        </w:tc>
        <w:tc>
          <w:tcPr>
            <w:tcW w:w="0" w:type="auto"/>
            <w:tcBorders>
              <w:top w:val="nil"/>
              <w:left w:val="nil"/>
              <w:bottom w:val="single" w:color="auto" w:sz="4" w:space="0"/>
              <w:right w:val="single" w:color="auto" w:sz="4" w:space="0"/>
            </w:tcBorders>
            <w:shd w:val="clear" w:color="auto" w:fill="auto"/>
            <w:noWrap/>
            <w:vAlign w:val="center"/>
          </w:tcPr>
          <w:p w14:paraId="7A559BCB">
            <w:pPr>
              <w:jc w:val="center"/>
              <w:rPr>
                <w:rFonts w:asciiTheme="minorHAnsi" w:hAnsiTheme="minorHAnsi" w:cstheme="minorHAnsi"/>
                <w:sz w:val="16"/>
                <w:szCs w:val="16"/>
              </w:rPr>
            </w:pPr>
            <w:r>
              <w:rPr>
                <w:rFonts w:asciiTheme="minorHAnsi" w:hAnsiTheme="minorHAnsi" w:cstheme="minorHAnsi"/>
                <w:sz w:val="16"/>
                <w:szCs w:val="16"/>
              </w:rPr>
              <w:t>M2</w:t>
            </w:r>
          </w:p>
        </w:tc>
        <w:tc>
          <w:tcPr>
            <w:tcW w:w="0" w:type="auto"/>
            <w:tcBorders>
              <w:top w:val="nil"/>
              <w:left w:val="nil"/>
              <w:bottom w:val="single" w:color="auto" w:sz="4" w:space="0"/>
              <w:right w:val="single" w:color="auto" w:sz="4" w:space="0"/>
            </w:tcBorders>
            <w:shd w:val="clear" w:color="auto" w:fill="auto"/>
            <w:noWrap/>
            <w:vAlign w:val="center"/>
          </w:tcPr>
          <w:p w14:paraId="4146A3A5">
            <w:pPr>
              <w:jc w:val="center"/>
              <w:rPr>
                <w:rFonts w:asciiTheme="minorHAnsi" w:hAnsiTheme="minorHAnsi" w:cstheme="minorHAnsi"/>
                <w:sz w:val="16"/>
                <w:szCs w:val="16"/>
              </w:rPr>
            </w:pPr>
            <w:r>
              <w:rPr>
                <w:rFonts w:asciiTheme="minorHAnsi" w:hAnsiTheme="minorHAnsi" w:cstheme="minorHAnsi"/>
                <w:sz w:val="16"/>
                <w:szCs w:val="16"/>
              </w:rPr>
              <w:t xml:space="preserve">    141.177,82 </w:t>
            </w:r>
          </w:p>
        </w:tc>
        <w:tc>
          <w:tcPr>
            <w:tcW w:w="0" w:type="auto"/>
            <w:tcBorders>
              <w:top w:val="nil"/>
              <w:left w:val="nil"/>
              <w:bottom w:val="single" w:color="auto" w:sz="4" w:space="0"/>
              <w:right w:val="single" w:color="auto" w:sz="4" w:space="0"/>
            </w:tcBorders>
            <w:shd w:val="clear" w:color="auto" w:fill="auto"/>
            <w:noWrap/>
            <w:vAlign w:val="center"/>
          </w:tcPr>
          <w:p w14:paraId="4E00D62B">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112518AC">
            <w:pP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57304B49">
            <w:pPr>
              <w:rPr>
                <w:rFonts w:asciiTheme="minorHAnsi" w:hAnsiTheme="minorHAnsi" w:cstheme="minorHAnsi"/>
                <w:sz w:val="16"/>
                <w:szCs w:val="16"/>
              </w:rPr>
            </w:pPr>
          </w:p>
        </w:tc>
      </w:tr>
      <w:tr w14:paraId="6FBF7BBB">
        <w:tblPrEx>
          <w:tblCellMar>
            <w:top w:w="0" w:type="dxa"/>
            <w:left w:w="70" w:type="dxa"/>
            <w:bottom w:w="0" w:type="dxa"/>
            <w:right w:w="70" w:type="dxa"/>
          </w:tblCellMar>
        </w:tblPrEx>
        <w:trPr>
          <w:trHeight w:val="1547" w:hRule="atLeast"/>
        </w:trPr>
        <w:tc>
          <w:tcPr>
            <w:tcW w:w="0" w:type="auto"/>
            <w:vMerge w:val="continue"/>
            <w:tcBorders>
              <w:top w:val="nil"/>
              <w:left w:val="single" w:color="auto" w:sz="8" w:space="0"/>
              <w:bottom w:val="single" w:color="000000" w:sz="8" w:space="0"/>
              <w:right w:val="single" w:color="auto" w:sz="4" w:space="0"/>
            </w:tcBorders>
            <w:vAlign w:val="center"/>
          </w:tcPr>
          <w:p w14:paraId="0D103412">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41AA4A04">
            <w:pPr>
              <w:jc w:val="center"/>
              <w:rPr>
                <w:rFonts w:asciiTheme="minorHAnsi" w:hAnsiTheme="minorHAnsi" w:cstheme="minorHAnsi"/>
                <w:sz w:val="16"/>
                <w:szCs w:val="16"/>
              </w:rPr>
            </w:pPr>
            <w:r>
              <w:rPr>
                <w:rFonts w:asciiTheme="minorHAnsi" w:hAnsiTheme="minorHAnsi" w:cstheme="minorHAnsi"/>
                <w:sz w:val="16"/>
                <w:szCs w:val="16"/>
              </w:rPr>
              <w:t>14</w:t>
            </w:r>
          </w:p>
        </w:tc>
        <w:tc>
          <w:tcPr>
            <w:tcW w:w="0" w:type="auto"/>
            <w:tcBorders>
              <w:top w:val="nil"/>
              <w:left w:val="nil"/>
              <w:bottom w:val="single" w:color="auto" w:sz="4" w:space="0"/>
              <w:right w:val="single" w:color="auto" w:sz="4" w:space="0"/>
            </w:tcBorders>
            <w:shd w:val="clear" w:color="auto" w:fill="auto"/>
            <w:vAlign w:val="center"/>
          </w:tcPr>
          <w:p w14:paraId="3CE64D20">
            <w:pPr>
              <w:jc w:val="center"/>
              <w:rPr>
                <w:rFonts w:asciiTheme="minorHAnsi" w:hAnsiTheme="minorHAnsi" w:cstheme="minorHAnsi"/>
                <w:sz w:val="16"/>
                <w:szCs w:val="16"/>
              </w:rPr>
            </w:pPr>
            <w:r>
              <w:rPr>
                <w:rFonts w:asciiTheme="minorHAnsi" w:hAnsiTheme="minorHAnsi" w:cstheme="minorHAnsi"/>
                <w:sz w:val="16"/>
                <w:szCs w:val="16"/>
              </w:rPr>
              <w:t>Serviço de descupinização utilizando tratamento químico (por meio de pulverização, injeção ou criação de barreira química) e/ou tratamento físico (como aplicação de calor, frio ou micro-ondas) nas áreas internas e externas das edificações, abrangendo estruturas, divisórias, móveis e outras superfícies suscetíveis NOS MUNICÍPIOS DE CAMPOS DOS GOYTACAZES, IGUABA GRANDE, MACAÉ, RIO DAS OSTRAS E SANTO ANTÔNIO DE PÁDUA.</w:t>
            </w:r>
          </w:p>
        </w:tc>
        <w:tc>
          <w:tcPr>
            <w:tcW w:w="0" w:type="auto"/>
            <w:tcBorders>
              <w:top w:val="nil"/>
              <w:left w:val="nil"/>
              <w:bottom w:val="single" w:color="auto" w:sz="4" w:space="0"/>
              <w:right w:val="single" w:color="auto" w:sz="4" w:space="0"/>
            </w:tcBorders>
            <w:shd w:val="clear" w:color="auto" w:fill="auto"/>
            <w:noWrap/>
            <w:vAlign w:val="center"/>
          </w:tcPr>
          <w:p w14:paraId="6A299E03">
            <w:pPr>
              <w:jc w:val="center"/>
              <w:rPr>
                <w:rFonts w:asciiTheme="minorHAnsi" w:hAnsiTheme="minorHAnsi" w:cstheme="minorHAnsi"/>
                <w:sz w:val="16"/>
                <w:szCs w:val="16"/>
              </w:rPr>
            </w:pPr>
            <w:r>
              <w:rPr>
                <w:rFonts w:asciiTheme="minorHAnsi" w:hAnsiTheme="minorHAnsi" w:cstheme="minorHAnsi"/>
                <w:sz w:val="16"/>
                <w:szCs w:val="16"/>
              </w:rPr>
              <w:t>M2</w:t>
            </w:r>
          </w:p>
        </w:tc>
        <w:tc>
          <w:tcPr>
            <w:tcW w:w="0" w:type="auto"/>
            <w:tcBorders>
              <w:top w:val="nil"/>
              <w:left w:val="nil"/>
              <w:bottom w:val="single" w:color="auto" w:sz="4" w:space="0"/>
              <w:right w:val="single" w:color="auto" w:sz="4" w:space="0"/>
            </w:tcBorders>
            <w:shd w:val="clear" w:color="auto" w:fill="auto"/>
            <w:noWrap/>
            <w:vAlign w:val="center"/>
          </w:tcPr>
          <w:p w14:paraId="599FCDAD">
            <w:pPr>
              <w:jc w:val="center"/>
              <w:rPr>
                <w:rFonts w:asciiTheme="minorHAnsi" w:hAnsiTheme="minorHAnsi" w:cstheme="minorHAnsi"/>
                <w:sz w:val="16"/>
                <w:szCs w:val="16"/>
              </w:rPr>
            </w:pPr>
            <w:r>
              <w:rPr>
                <w:rFonts w:asciiTheme="minorHAnsi" w:hAnsiTheme="minorHAnsi" w:cstheme="minorHAnsi"/>
                <w:sz w:val="16"/>
                <w:szCs w:val="16"/>
              </w:rPr>
              <w:t xml:space="preserve">    141.177,82 </w:t>
            </w:r>
          </w:p>
        </w:tc>
        <w:tc>
          <w:tcPr>
            <w:tcW w:w="0" w:type="auto"/>
            <w:tcBorders>
              <w:top w:val="nil"/>
              <w:left w:val="nil"/>
              <w:bottom w:val="single" w:color="auto" w:sz="4" w:space="0"/>
              <w:right w:val="single" w:color="auto" w:sz="4" w:space="0"/>
            </w:tcBorders>
            <w:shd w:val="clear" w:color="auto" w:fill="auto"/>
            <w:noWrap/>
            <w:vAlign w:val="center"/>
          </w:tcPr>
          <w:p w14:paraId="62A257F6">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09156AB6">
            <w:pP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15AB82A4">
            <w:pPr>
              <w:rPr>
                <w:rFonts w:asciiTheme="minorHAnsi" w:hAnsiTheme="minorHAnsi" w:cstheme="minorHAnsi"/>
                <w:sz w:val="16"/>
                <w:szCs w:val="16"/>
              </w:rPr>
            </w:pPr>
          </w:p>
        </w:tc>
      </w:tr>
      <w:tr w14:paraId="57D9C5E6">
        <w:tblPrEx>
          <w:tblCellMar>
            <w:top w:w="0" w:type="dxa"/>
            <w:left w:w="70" w:type="dxa"/>
            <w:bottom w:w="0" w:type="dxa"/>
            <w:right w:w="70" w:type="dxa"/>
          </w:tblCellMar>
        </w:tblPrEx>
        <w:trPr>
          <w:trHeight w:val="1198" w:hRule="atLeast"/>
        </w:trPr>
        <w:tc>
          <w:tcPr>
            <w:tcW w:w="0" w:type="auto"/>
            <w:vMerge w:val="continue"/>
            <w:tcBorders>
              <w:top w:val="nil"/>
              <w:left w:val="single" w:color="auto" w:sz="8" w:space="0"/>
              <w:bottom w:val="single" w:color="000000" w:sz="8" w:space="0"/>
              <w:right w:val="single" w:color="auto" w:sz="4" w:space="0"/>
            </w:tcBorders>
            <w:vAlign w:val="center"/>
          </w:tcPr>
          <w:p w14:paraId="1FFAB0F1">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6F62D8B4">
            <w:pPr>
              <w:jc w:val="center"/>
              <w:rPr>
                <w:rFonts w:asciiTheme="minorHAnsi" w:hAnsiTheme="minorHAnsi" w:cstheme="minorHAnsi"/>
                <w:sz w:val="16"/>
                <w:szCs w:val="16"/>
              </w:rPr>
            </w:pPr>
            <w:r>
              <w:rPr>
                <w:rFonts w:asciiTheme="minorHAnsi" w:hAnsiTheme="minorHAnsi" w:cstheme="minorHAnsi"/>
                <w:sz w:val="16"/>
                <w:szCs w:val="16"/>
              </w:rPr>
              <w:t>15</w:t>
            </w:r>
          </w:p>
        </w:tc>
        <w:tc>
          <w:tcPr>
            <w:tcW w:w="0" w:type="auto"/>
            <w:tcBorders>
              <w:top w:val="nil"/>
              <w:left w:val="nil"/>
              <w:bottom w:val="single" w:color="auto" w:sz="4" w:space="0"/>
              <w:right w:val="single" w:color="auto" w:sz="4" w:space="0"/>
            </w:tcBorders>
            <w:shd w:val="clear" w:color="auto" w:fill="auto"/>
            <w:vAlign w:val="center"/>
          </w:tcPr>
          <w:p w14:paraId="3E205259">
            <w:pPr>
              <w:jc w:val="center"/>
              <w:rPr>
                <w:rFonts w:asciiTheme="minorHAnsi" w:hAnsiTheme="minorHAnsi" w:cstheme="minorHAnsi"/>
                <w:sz w:val="16"/>
                <w:szCs w:val="16"/>
              </w:rPr>
            </w:pPr>
            <w:r>
              <w:rPr>
                <w:rFonts w:asciiTheme="minorHAnsi" w:hAnsiTheme="minorHAnsi" w:cstheme="minorHAnsi"/>
                <w:sz w:val="16"/>
                <w:szCs w:val="16"/>
              </w:rPr>
              <w:t>Serviço de remoção de abelhas e vespas, incluindo a captura e remoção de colmeias de abelhas, vespas e marimbondos. A empresa contratada será responsável pela transferência e realocação das colmeias para um local adequado NOS MUNICÍPIOS DE CAMPOS DOS GOYTACAZES, IGUABA GRANDE, MACAÉ, RIO DAS OSTRAS E SANTO ANTÔNIO DE PÁDUA.</w:t>
            </w:r>
          </w:p>
        </w:tc>
        <w:tc>
          <w:tcPr>
            <w:tcW w:w="0" w:type="auto"/>
            <w:tcBorders>
              <w:top w:val="nil"/>
              <w:left w:val="nil"/>
              <w:bottom w:val="single" w:color="auto" w:sz="4" w:space="0"/>
              <w:right w:val="single" w:color="auto" w:sz="4" w:space="0"/>
            </w:tcBorders>
            <w:shd w:val="clear" w:color="auto" w:fill="auto"/>
            <w:noWrap/>
            <w:vAlign w:val="center"/>
          </w:tcPr>
          <w:p w14:paraId="7903FBF7">
            <w:pPr>
              <w:jc w:val="center"/>
              <w:rPr>
                <w:rFonts w:asciiTheme="minorHAnsi" w:hAnsiTheme="minorHAnsi" w:cstheme="minorHAnsi"/>
                <w:sz w:val="16"/>
                <w:szCs w:val="16"/>
              </w:rPr>
            </w:pPr>
            <w:r>
              <w:rPr>
                <w:rFonts w:asciiTheme="minorHAnsi" w:hAnsiTheme="minorHAnsi" w:cstheme="minorHAnsi"/>
                <w:sz w:val="16"/>
                <w:szCs w:val="16"/>
              </w:rPr>
              <w:t>SERVIÇO</w:t>
            </w:r>
          </w:p>
        </w:tc>
        <w:tc>
          <w:tcPr>
            <w:tcW w:w="0" w:type="auto"/>
            <w:tcBorders>
              <w:top w:val="nil"/>
              <w:left w:val="nil"/>
              <w:bottom w:val="single" w:color="auto" w:sz="4" w:space="0"/>
              <w:right w:val="single" w:color="auto" w:sz="4" w:space="0"/>
            </w:tcBorders>
            <w:shd w:val="clear" w:color="auto" w:fill="auto"/>
            <w:noWrap/>
            <w:vAlign w:val="center"/>
          </w:tcPr>
          <w:p w14:paraId="28E6388E">
            <w:pPr>
              <w:jc w:val="center"/>
              <w:rPr>
                <w:rFonts w:asciiTheme="minorHAnsi" w:hAnsiTheme="minorHAnsi" w:cstheme="minorHAnsi"/>
                <w:sz w:val="16"/>
                <w:szCs w:val="16"/>
              </w:rPr>
            </w:pPr>
            <w:r>
              <w:rPr>
                <w:rFonts w:asciiTheme="minorHAnsi" w:hAnsiTheme="minorHAnsi" w:cstheme="minorHAnsi"/>
                <w:sz w:val="16"/>
                <w:szCs w:val="16"/>
              </w:rPr>
              <w:t xml:space="preserve">           10,00 </w:t>
            </w:r>
          </w:p>
        </w:tc>
        <w:tc>
          <w:tcPr>
            <w:tcW w:w="0" w:type="auto"/>
            <w:tcBorders>
              <w:top w:val="nil"/>
              <w:left w:val="nil"/>
              <w:bottom w:val="single" w:color="auto" w:sz="4" w:space="0"/>
              <w:right w:val="single" w:color="auto" w:sz="4" w:space="0"/>
            </w:tcBorders>
            <w:shd w:val="clear" w:color="auto" w:fill="auto"/>
            <w:noWrap/>
            <w:vAlign w:val="center"/>
          </w:tcPr>
          <w:p w14:paraId="231462F3">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6024C311">
            <w:pP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7D5C4541">
            <w:pPr>
              <w:rPr>
                <w:rFonts w:asciiTheme="minorHAnsi" w:hAnsiTheme="minorHAnsi" w:cstheme="minorHAnsi"/>
                <w:sz w:val="16"/>
                <w:szCs w:val="16"/>
              </w:rPr>
            </w:pPr>
          </w:p>
        </w:tc>
      </w:tr>
      <w:tr w14:paraId="43D369CA">
        <w:tblPrEx>
          <w:tblCellMar>
            <w:top w:w="0" w:type="dxa"/>
            <w:left w:w="70" w:type="dxa"/>
            <w:bottom w:w="0" w:type="dxa"/>
            <w:right w:w="70" w:type="dxa"/>
          </w:tblCellMar>
        </w:tblPrEx>
        <w:trPr>
          <w:trHeight w:val="1057" w:hRule="atLeast"/>
        </w:trPr>
        <w:tc>
          <w:tcPr>
            <w:tcW w:w="0" w:type="auto"/>
            <w:vMerge w:val="continue"/>
            <w:tcBorders>
              <w:top w:val="nil"/>
              <w:left w:val="single" w:color="auto" w:sz="8" w:space="0"/>
              <w:bottom w:val="single" w:color="000000" w:sz="8" w:space="0"/>
              <w:right w:val="single" w:color="auto" w:sz="4" w:space="0"/>
            </w:tcBorders>
            <w:vAlign w:val="center"/>
          </w:tcPr>
          <w:p w14:paraId="5889E8FC">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3DBC02FC">
            <w:pPr>
              <w:jc w:val="center"/>
              <w:rPr>
                <w:rFonts w:asciiTheme="minorHAnsi" w:hAnsiTheme="minorHAnsi" w:cstheme="minorHAnsi"/>
                <w:sz w:val="16"/>
                <w:szCs w:val="16"/>
              </w:rPr>
            </w:pPr>
            <w:r>
              <w:rPr>
                <w:rFonts w:asciiTheme="minorHAnsi" w:hAnsiTheme="minorHAnsi" w:cstheme="minorHAnsi"/>
                <w:sz w:val="16"/>
                <w:szCs w:val="16"/>
              </w:rPr>
              <w:t>16</w:t>
            </w:r>
          </w:p>
        </w:tc>
        <w:tc>
          <w:tcPr>
            <w:tcW w:w="0" w:type="auto"/>
            <w:tcBorders>
              <w:top w:val="nil"/>
              <w:left w:val="nil"/>
              <w:bottom w:val="single" w:color="auto" w:sz="4" w:space="0"/>
              <w:right w:val="single" w:color="auto" w:sz="4" w:space="0"/>
            </w:tcBorders>
            <w:shd w:val="clear" w:color="auto" w:fill="auto"/>
            <w:vAlign w:val="center"/>
          </w:tcPr>
          <w:p w14:paraId="70CB458D">
            <w:pPr>
              <w:jc w:val="center"/>
              <w:rPr>
                <w:rFonts w:asciiTheme="minorHAnsi" w:hAnsiTheme="minorHAnsi" w:cstheme="minorHAnsi"/>
                <w:sz w:val="16"/>
                <w:szCs w:val="16"/>
              </w:rPr>
            </w:pPr>
            <w:r>
              <w:rPr>
                <w:rFonts w:asciiTheme="minorHAnsi" w:hAnsiTheme="minorHAnsi" w:cstheme="minorHAnsi"/>
                <w:sz w:val="16"/>
                <w:szCs w:val="16"/>
              </w:rPr>
              <w:t>Serviço de controle de pombos e piolhos de pombos nas instalações da UFF, incluindo a remoção de ninhos, limpeza de estruturas, aplicação de repelentes e barreiras físicas, além de pulverização geral contra piolhos de pombos em todo o campus.  NOS MUNICÍPIOS DE CAMPOS DOS GOYTACAZES, IGUABA GRANDE, MACAÉ, RIO DAS OSTRAS E SANTO ANTÔNIO DE PÁDUA.</w:t>
            </w:r>
          </w:p>
        </w:tc>
        <w:tc>
          <w:tcPr>
            <w:tcW w:w="0" w:type="auto"/>
            <w:tcBorders>
              <w:top w:val="nil"/>
              <w:left w:val="nil"/>
              <w:bottom w:val="single" w:color="auto" w:sz="4" w:space="0"/>
              <w:right w:val="single" w:color="auto" w:sz="4" w:space="0"/>
            </w:tcBorders>
            <w:shd w:val="clear" w:color="auto" w:fill="auto"/>
            <w:noWrap/>
            <w:vAlign w:val="center"/>
          </w:tcPr>
          <w:p w14:paraId="4138216B">
            <w:pPr>
              <w:jc w:val="center"/>
              <w:rPr>
                <w:rFonts w:asciiTheme="minorHAnsi" w:hAnsiTheme="minorHAnsi" w:cstheme="minorHAnsi"/>
                <w:sz w:val="16"/>
                <w:szCs w:val="16"/>
              </w:rPr>
            </w:pPr>
            <w:r>
              <w:rPr>
                <w:rFonts w:asciiTheme="minorHAnsi" w:hAnsiTheme="minorHAnsi" w:cstheme="minorHAnsi"/>
                <w:sz w:val="16"/>
                <w:szCs w:val="16"/>
              </w:rPr>
              <w:t>M2</w:t>
            </w:r>
          </w:p>
        </w:tc>
        <w:tc>
          <w:tcPr>
            <w:tcW w:w="0" w:type="auto"/>
            <w:tcBorders>
              <w:top w:val="nil"/>
              <w:left w:val="nil"/>
              <w:bottom w:val="single" w:color="auto" w:sz="4" w:space="0"/>
              <w:right w:val="single" w:color="auto" w:sz="4" w:space="0"/>
            </w:tcBorders>
            <w:shd w:val="clear" w:color="auto" w:fill="auto"/>
            <w:noWrap/>
            <w:vAlign w:val="center"/>
          </w:tcPr>
          <w:p w14:paraId="2166CEA1">
            <w:pPr>
              <w:jc w:val="center"/>
              <w:rPr>
                <w:rFonts w:asciiTheme="minorHAnsi" w:hAnsiTheme="minorHAnsi" w:cstheme="minorHAnsi"/>
                <w:sz w:val="16"/>
                <w:szCs w:val="16"/>
              </w:rPr>
            </w:pPr>
            <w:r>
              <w:rPr>
                <w:rFonts w:asciiTheme="minorHAnsi" w:hAnsiTheme="minorHAnsi" w:cstheme="minorHAnsi"/>
                <w:sz w:val="16"/>
                <w:szCs w:val="16"/>
              </w:rPr>
              <w:t xml:space="preserve">       2.500,00 </w:t>
            </w:r>
          </w:p>
        </w:tc>
        <w:tc>
          <w:tcPr>
            <w:tcW w:w="0" w:type="auto"/>
            <w:tcBorders>
              <w:top w:val="nil"/>
              <w:left w:val="nil"/>
              <w:bottom w:val="single" w:color="auto" w:sz="4" w:space="0"/>
              <w:right w:val="single" w:color="auto" w:sz="4" w:space="0"/>
            </w:tcBorders>
            <w:shd w:val="clear" w:color="auto" w:fill="auto"/>
            <w:noWrap/>
            <w:vAlign w:val="center"/>
          </w:tcPr>
          <w:p w14:paraId="0011B848">
            <w:pPr>
              <w:rPr>
                <w:rFonts w:asciiTheme="minorHAnsi" w:hAnsiTheme="minorHAnsi" w:cstheme="minorHAnsi"/>
                <w:sz w:val="16"/>
                <w:szCs w:val="16"/>
              </w:rPr>
            </w:pPr>
          </w:p>
        </w:tc>
        <w:tc>
          <w:tcPr>
            <w:tcW w:w="0" w:type="auto"/>
            <w:tcBorders>
              <w:top w:val="nil"/>
              <w:left w:val="nil"/>
              <w:bottom w:val="single" w:color="auto" w:sz="4" w:space="0"/>
              <w:right w:val="single" w:color="auto" w:sz="4" w:space="0"/>
            </w:tcBorders>
            <w:shd w:val="clear" w:color="auto" w:fill="auto"/>
            <w:noWrap/>
            <w:vAlign w:val="center"/>
          </w:tcPr>
          <w:p w14:paraId="42D741B4">
            <w:pPr>
              <w:rPr>
                <w:rFonts w:asciiTheme="minorHAnsi" w:hAnsiTheme="minorHAnsi" w:cstheme="minorHAnsi"/>
                <w:sz w:val="16"/>
                <w:szCs w:val="16"/>
              </w:rPr>
            </w:pPr>
          </w:p>
        </w:tc>
        <w:tc>
          <w:tcPr>
            <w:tcW w:w="0" w:type="auto"/>
            <w:tcBorders>
              <w:top w:val="nil"/>
              <w:left w:val="nil"/>
              <w:bottom w:val="single" w:color="auto" w:sz="4" w:space="0"/>
              <w:right w:val="single" w:color="auto" w:sz="8" w:space="0"/>
            </w:tcBorders>
            <w:shd w:val="clear" w:color="auto" w:fill="auto"/>
            <w:noWrap/>
            <w:vAlign w:val="center"/>
          </w:tcPr>
          <w:p w14:paraId="57005BED">
            <w:pPr>
              <w:rPr>
                <w:rFonts w:asciiTheme="minorHAnsi" w:hAnsiTheme="minorHAnsi" w:cstheme="minorHAnsi"/>
                <w:sz w:val="16"/>
                <w:szCs w:val="16"/>
              </w:rPr>
            </w:pPr>
          </w:p>
        </w:tc>
      </w:tr>
      <w:tr w14:paraId="10617924">
        <w:tblPrEx>
          <w:tblCellMar>
            <w:top w:w="0" w:type="dxa"/>
            <w:left w:w="70" w:type="dxa"/>
            <w:bottom w:w="0" w:type="dxa"/>
            <w:right w:w="70" w:type="dxa"/>
          </w:tblCellMar>
        </w:tblPrEx>
        <w:trPr>
          <w:trHeight w:val="270" w:hRule="atLeast"/>
        </w:trPr>
        <w:tc>
          <w:tcPr>
            <w:tcW w:w="0" w:type="auto"/>
            <w:vMerge w:val="continue"/>
            <w:tcBorders>
              <w:top w:val="nil"/>
              <w:left w:val="single" w:color="auto" w:sz="8" w:space="0"/>
              <w:bottom w:val="single" w:color="000000" w:sz="8" w:space="0"/>
              <w:right w:val="single" w:color="auto" w:sz="4" w:space="0"/>
            </w:tcBorders>
            <w:vAlign w:val="center"/>
          </w:tcPr>
          <w:p w14:paraId="208E4A4B">
            <w:pPr>
              <w:rPr>
                <w:rFonts w:asciiTheme="minorHAnsi" w:hAnsiTheme="minorHAnsi" w:cstheme="minorHAnsi"/>
                <w:sz w:val="16"/>
                <w:szCs w:val="16"/>
              </w:rPr>
            </w:pPr>
          </w:p>
        </w:tc>
        <w:tc>
          <w:tcPr>
            <w:tcW w:w="0" w:type="auto"/>
            <w:gridSpan w:val="6"/>
            <w:tcBorders>
              <w:top w:val="single" w:color="auto" w:sz="4" w:space="0"/>
              <w:left w:val="nil"/>
              <w:bottom w:val="single" w:color="auto" w:sz="8" w:space="0"/>
              <w:right w:val="single" w:color="auto" w:sz="4" w:space="0"/>
            </w:tcBorders>
            <w:shd w:val="clear" w:color="auto" w:fill="auto"/>
            <w:noWrap/>
            <w:vAlign w:val="bottom"/>
          </w:tcPr>
          <w:p w14:paraId="0DC4E5E8">
            <w:pPr>
              <w:jc w:val="center"/>
              <w:rPr>
                <w:rFonts w:asciiTheme="minorHAnsi" w:hAnsiTheme="minorHAnsi" w:cstheme="minorHAnsi"/>
                <w:sz w:val="16"/>
                <w:szCs w:val="16"/>
              </w:rPr>
            </w:pPr>
            <w:r>
              <w:rPr>
                <w:rFonts w:asciiTheme="minorHAnsi" w:hAnsiTheme="minorHAnsi" w:cstheme="minorHAnsi"/>
                <w:sz w:val="16"/>
                <w:szCs w:val="16"/>
              </w:rPr>
              <w:t>TOTAL GRUPO 4</w:t>
            </w:r>
          </w:p>
        </w:tc>
        <w:tc>
          <w:tcPr>
            <w:tcW w:w="0" w:type="auto"/>
            <w:tcBorders>
              <w:top w:val="nil"/>
              <w:left w:val="nil"/>
              <w:bottom w:val="single" w:color="auto" w:sz="8" w:space="0"/>
              <w:right w:val="single" w:color="auto" w:sz="8" w:space="0"/>
            </w:tcBorders>
            <w:shd w:val="clear" w:color="auto" w:fill="auto"/>
            <w:noWrap/>
            <w:vAlign w:val="center"/>
          </w:tcPr>
          <w:p w14:paraId="55B4B3C5">
            <w:pPr>
              <w:rPr>
                <w:rFonts w:asciiTheme="minorHAnsi" w:hAnsiTheme="minorHAnsi" w:cstheme="minorHAnsi"/>
                <w:sz w:val="16"/>
                <w:szCs w:val="16"/>
              </w:rPr>
            </w:pPr>
          </w:p>
        </w:tc>
      </w:tr>
      <w:tr w14:paraId="4053CE53">
        <w:tblPrEx>
          <w:tblCellMar>
            <w:top w:w="0" w:type="dxa"/>
            <w:left w:w="70" w:type="dxa"/>
            <w:bottom w:w="0" w:type="dxa"/>
            <w:right w:w="70" w:type="dxa"/>
          </w:tblCellMar>
        </w:tblPrEx>
        <w:trPr>
          <w:trHeight w:val="270" w:hRule="atLeast"/>
        </w:trPr>
        <w:tc>
          <w:tcPr>
            <w:tcW w:w="0" w:type="auto"/>
            <w:gridSpan w:val="7"/>
            <w:tcBorders>
              <w:top w:val="single" w:color="auto" w:sz="8" w:space="0"/>
              <w:left w:val="single" w:color="auto" w:sz="8" w:space="0"/>
              <w:bottom w:val="single" w:color="auto" w:sz="8" w:space="0"/>
              <w:right w:val="single" w:color="auto" w:sz="4" w:space="0"/>
            </w:tcBorders>
            <w:shd w:val="clear" w:color="auto" w:fill="auto"/>
            <w:noWrap/>
            <w:vAlign w:val="bottom"/>
          </w:tcPr>
          <w:p w14:paraId="06711520">
            <w:pPr>
              <w:jc w:val="center"/>
              <w:rPr>
                <w:rFonts w:asciiTheme="minorHAnsi" w:hAnsiTheme="minorHAnsi" w:cstheme="minorHAnsi"/>
                <w:sz w:val="16"/>
                <w:szCs w:val="16"/>
              </w:rPr>
            </w:pPr>
            <w:r>
              <w:rPr>
                <w:rFonts w:asciiTheme="minorHAnsi" w:hAnsiTheme="minorHAnsi" w:cstheme="minorHAnsi"/>
                <w:sz w:val="16"/>
                <w:szCs w:val="16"/>
              </w:rPr>
              <w:t>TOTAL LOTES 1, 2, 3 E 4</w:t>
            </w:r>
          </w:p>
        </w:tc>
        <w:tc>
          <w:tcPr>
            <w:tcW w:w="0" w:type="auto"/>
            <w:tcBorders>
              <w:top w:val="nil"/>
              <w:left w:val="nil"/>
              <w:bottom w:val="single" w:color="auto" w:sz="8" w:space="0"/>
              <w:right w:val="single" w:color="auto" w:sz="8" w:space="0"/>
            </w:tcBorders>
            <w:shd w:val="clear" w:color="auto" w:fill="auto"/>
            <w:noWrap/>
            <w:vAlign w:val="bottom"/>
          </w:tcPr>
          <w:p w14:paraId="3B442532">
            <w:pPr>
              <w:rPr>
                <w:rFonts w:asciiTheme="minorHAnsi" w:hAnsiTheme="minorHAnsi" w:cstheme="minorHAnsi"/>
                <w:sz w:val="16"/>
                <w:szCs w:val="16"/>
              </w:rPr>
            </w:pPr>
          </w:p>
        </w:tc>
      </w:tr>
    </w:tbl>
    <w:p w14:paraId="26F5DB0C"/>
    <w:p w14:paraId="2C5A0350">
      <w:pPr>
        <w:pStyle w:val="56"/>
        <w:numPr>
          <w:ilvl w:val="1"/>
          <w:numId w:val="3"/>
        </w:numPr>
        <w:ind w:left="0" w:firstLine="0"/>
      </w:pPr>
      <w:r>
        <w:t>Vinculam esta contratação, independentemente de transcrição:</w:t>
      </w:r>
    </w:p>
    <w:p w14:paraId="143DEB0F">
      <w:pPr>
        <w:pStyle w:val="58"/>
        <w:ind w:left="284" w:firstLine="0"/>
      </w:pPr>
      <w:r>
        <w:t>O Termo de Referência;</w:t>
      </w:r>
    </w:p>
    <w:p w14:paraId="266F4D82">
      <w:pPr>
        <w:pStyle w:val="58"/>
        <w:ind w:left="284" w:firstLine="0"/>
      </w:pPr>
      <w:r>
        <w:t>O Edital da Licitação;</w:t>
      </w:r>
    </w:p>
    <w:p w14:paraId="16FD2A67">
      <w:pPr>
        <w:pStyle w:val="58"/>
        <w:ind w:left="284" w:firstLine="0"/>
      </w:pPr>
      <w:r>
        <w:t>A Proposta do contratado;</w:t>
      </w:r>
    </w:p>
    <w:p w14:paraId="09507169">
      <w:pPr>
        <w:pStyle w:val="58"/>
        <w:ind w:left="284" w:firstLine="0"/>
      </w:pPr>
      <w:r>
        <w:t>Eventuais anexos dos documentos supracitados.</w:t>
      </w:r>
    </w:p>
    <w:p w14:paraId="6E1B8143">
      <w:pPr>
        <w:pStyle w:val="39"/>
        <w:numPr>
          <w:ilvl w:val="0"/>
          <w:numId w:val="3"/>
        </w:numPr>
      </w:pPr>
      <w:r>
        <w:t>CLÁUSULA SEGUNDA – VIGÊNCIA E PRORROGAÇÃO</w:t>
      </w:r>
    </w:p>
    <w:p w14:paraId="0367CD4D">
      <w:pPr>
        <w:pStyle w:val="56"/>
        <w:numPr>
          <w:ilvl w:val="1"/>
          <w:numId w:val="3"/>
        </w:numPr>
        <w:ind w:left="0" w:firstLine="0"/>
      </w:pPr>
      <w:r>
        <w:t xml:space="preserve">O prazo de vigência da contratação é de 12 (doze) meses contados da assinatura das partes,  prorrogável por até 10 anos, na forma dos </w:t>
      </w:r>
      <w:r>
        <w:fldChar w:fldCharType="begin"/>
      </w:r>
      <w:r>
        <w:instrText xml:space="preserve"> HYPERLINK "http://www.planalto.gov.br/ccivil_03/_ato2019-2022/2021/lei/L14133.htm" \l "art106" </w:instrText>
      </w:r>
      <w:r>
        <w:fldChar w:fldCharType="separate"/>
      </w:r>
      <w:r>
        <w:t>artigos 106 e 107 da Lei n° 14.133, de 2021.</w:t>
      </w:r>
      <w:r>
        <w:fldChar w:fldCharType="end"/>
      </w:r>
    </w:p>
    <w:p w14:paraId="49E9BD10">
      <w:pPr>
        <w:pStyle w:val="56"/>
        <w:numPr>
          <w:ilvl w:val="1"/>
          <w:numId w:val="3"/>
        </w:numPr>
        <w:ind w:left="0" w:firstLine="0"/>
      </w:pPr>
      <w: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2706E774">
      <w:pPr>
        <w:pStyle w:val="56"/>
        <w:numPr>
          <w:ilvl w:val="1"/>
          <w:numId w:val="4"/>
        </w:numPr>
        <w:ind w:left="284" w:firstLine="0"/>
        <w:rPr>
          <w:iCs/>
          <w:color w:val="auto"/>
        </w:rPr>
      </w:pPr>
      <w:r>
        <w:rPr>
          <w:iCs/>
          <w:color w:val="auto"/>
        </w:rPr>
        <w:t>Estar formalmente demonstrado no processo que a forma de prestação dos serviços tem natureza continuada;</w:t>
      </w:r>
    </w:p>
    <w:p w14:paraId="4EEA2269">
      <w:pPr>
        <w:pStyle w:val="56"/>
        <w:numPr>
          <w:ilvl w:val="1"/>
          <w:numId w:val="4"/>
        </w:numPr>
        <w:ind w:left="284" w:firstLine="0"/>
        <w:rPr>
          <w:iCs/>
          <w:color w:val="auto"/>
        </w:rPr>
      </w:pPr>
      <w:r>
        <w:rPr>
          <w:iCs/>
          <w:color w:val="auto"/>
        </w:rPr>
        <w:t xml:space="preserve">Seja juntado relatório que discorra sobre a execução do contrato, com informações de que os serviços tenham sido prestados regularmente;  </w:t>
      </w:r>
    </w:p>
    <w:p w14:paraId="0736E4C0">
      <w:pPr>
        <w:pStyle w:val="56"/>
        <w:numPr>
          <w:ilvl w:val="1"/>
          <w:numId w:val="4"/>
        </w:numPr>
        <w:ind w:left="284" w:firstLine="0"/>
        <w:rPr>
          <w:iCs/>
          <w:color w:val="auto"/>
        </w:rPr>
      </w:pPr>
      <w:r>
        <w:rPr>
          <w:iCs/>
          <w:color w:val="auto"/>
        </w:rPr>
        <w:t xml:space="preserve">Seja juntada justificativa e motivo, por escrito, de que a Administração mantém interesse na realização do serviço;  </w:t>
      </w:r>
    </w:p>
    <w:p w14:paraId="5FF23B9E">
      <w:pPr>
        <w:pStyle w:val="56"/>
        <w:numPr>
          <w:ilvl w:val="1"/>
          <w:numId w:val="4"/>
        </w:numPr>
        <w:ind w:left="284" w:firstLine="0"/>
        <w:rPr>
          <w:iCs/>
          <w:color w:val="auto"/>
        </w:rPr>
      </w:pPr>
      <w:r>
        <w:rPr>
          <w:iCs/>
          <w:color w:val="auto"/>
        </w:rPr>
        <w:t xml:space="preserve">Haja manifestação expressa do contratado informando o interesse na prorrogação; </w:t>
      </w:r>
    </w:p>
    <w:p w14:paraId="6AE5FA22">
      <w:pPr>
        <w:pStyle w:val="56"/>
        <w:numPr>
          <w:ilvl w:val="1"/>
          <w:numId w:val="4"/>
        </w:numPr>
        <w:ind w:left="284" w:firstLine="0"/>
        <w:rPr>
          <w:iCs/>
          <w:color w:val="auto"/>
        </w:rPr>
      </w:pPr>
      <w:r>
        <w:rPr>
          <w:iCs/>
          <w:color w:val="auto"/>
        </w:rPr>
        <w:t>Seja comprovado que o contratado mantém as condições iniciais de habilitação.</w:t>
      </w:r>
    </w:p>
    <w:p w14:paraId="13B9CD1C">
      <w:pPr>
        <w:pStyle w:val="56"/>
        <w:numPr>
          <w:ilvl w:val="1"/>
          <w:numId w:val="3"/>
        </w:numPr>
        <w:ind w:left="0" w:firstLine="0"/>
      </w:pPr>
      <w:r>
        <w:t>O contratado não tem direito subjetivo à prorrogação contratual.</w:t>
      </w:r>
    </w:p>
    <w:p w14:paraId="59FE6E3B">
      <w:pPr>
        <w:pStyle w:val="56"/>
        <w:numPr>
          <w:ilvl w:val="1"/>
          <w:numId w:val="3"/>
        </w:numPr>
        <w:ind w:left="0" w:firstLine="0"/>
      </w:pPr>
      <w:r>
        <w:t xml:space="preserve">A prorrogação de contrato deverá ser promovida mediante celebração de termo aditivo. </w:t>
      </w:r>
    </w:p>
    <w:p w14:paraId="4FB9E193">
      <w:pPr>
        <w:pStyle w:val="56"/>
        <w:numPr>
          <w:ilvl w:val="1"/>
          <w:numId w:val="3"/>
        </w:numPr>
        <w:ind w:left="0" w:firstLine="0"/>
      </w:pPr>
      <w:r>
        <w:t>Nas eventuais prorrogações contratuais, os custos não renováveis já pagos ou amortizados ao longo do primeiro período de vigência da contratação deverão ser reduzidos ou eliminados como condição para a renovação.</w:t>
      </w:r>
    </w:p>
    <w:p w14:paraId="0257A197">
      <w:pPr>
        <w:pStyle w:val="56"/>
        <w:numPr>
          <w:ilvl w:val="1"/>
          <w:numId w:val="3"/>
        </w:numPr>
        <w:ind w:left="0" w:firstLine="0"/>
      </w:pPr>
      <w:r>
        <w:t>O contrato não poderá ser prorrogado quando o contratado tiver sido penalizado nas sanções de declaração de inidoneidade ou impedimento de licitar e contratar com poder público, observadas as abrangências de aplicação.</w:t>
      </w:r>
    </w:p>
    <w:p w14:paraId="35C6435C">
      <w:pPr>
        <w:pStyle w:val="39"/>
        <w:numPr>
          <w:ilvl w:val="0"/>
          <w:numId w:val="3"/>
        </w:numPr>
      </w:pPr>
      <w:bookmarkStart w:id="0" w:name="_Hlk114497502"/>
      <w:bookmarkEnd w:id="0"/>
      <w:bookmarkStart w:id="1" w:name="_Hlk114497577"/>
      <w:bookmarkEnd w:id="1"/>
      <w:r>
        <w:t>CLÁUSULA TERCEIRA – MODELOS DE EXECUÇÃO E GESTÃO CONTRATUAIS (</w:t>
      </w:r>
      <w:r>
        <w:fldChar w:fldCharType="begin"/>
      </w:r>
      <w:r>
        <w:instrText xml:space="preserve"> HYPERLINK "http://www.planalto.gov.br/ccivil_03/_ato2019-2022/2021/lei/L14133.htm" \l "art92" </w:instrText>
      </w:r>
      <w:r>
        <w:fldChar w:fldCharType="separate"/>
      </w:r>
      <w:r>
        <w:t>art. 92, IV, VII e XVIII)</w:t>
      </w:r>
      <w:r>
        <w:fldChar w:fldCharType="end"/>
      </w:r>
    </w:p>
    <w:p w14:paraId="1212FDB6">
      <w:pPr>
        <w:pStyle w:val="56"/>
        <w:numPr>
          <w:ilvl w:val="1"/>
          <w:numId w:val="3"/>
        </w:numPr>
        <w:ind w:left="0" w:firstLine="0"/>
      </w:pPr>
      <w:r>
        <w:t>O regime de execução contratual, os modelos de gestão e de execução, assim como os prazos e condições de conclusão, entrega, observação e recebimento do objeto constam no Termo de Referência, anexo a este Contrato.</w:t>
      </w:r>
    </w:p>
    <w:p w14:paraId="7D9BE80F">
      <w:pPr>
        <w:pStyle w:val="39"/>
        <w:numPr>
          <w:ilvl w:val="0"/>
          <w:numId w:val="3"/>
        </w:numPr>
      </w:pPr>
      <w:r>
        <w:t>CLÁUSULA QUARTA – SUBCONTRATAÇÃO</w:t>
      </w:r>
    </w:p>
    <w:p w14:paraId="61228973">
      <w:pPr>
        <w:pStyle w:val="56"/>
        <w:numPr>
          <w:ilvl w:val="1"/>
          <w:numId w:val="3"/>
        </w:numPr>
        <w:ind w:left="0" w:firstLine="0"/>
      </w:pPr>
      <w:r>
        <w:t>Não será admitida a subcontratação do objeto contratual.</w:t>
      </w:r>
    </w:p>
    <w:p w14:paraId="1B017836">
      <w:pPr>
        <w:pStyle w:val="39"/>
        <w:numPr>
          <w:ilvl w:val="0"/>
          <w:numId w:val="3"/>
        </w:numPr>
      </w:pPr>
      <w:r>
        <w:t>CLÁUSULA QUINTA – PREÇO (</w:t>
      </w:r>
      <w:r>
        <w:fldChar w:fldCharType="begin"/>
      </w:r>
      <w:r>
        <w:instrText xml:space="preserve"> HYPERLINK "http://www.planalto.gov.br/ccivil_03/_ato2019-2022/2021/lei/L14133.htm" \l "art92" </w:instrText>
      </w:r>
      <w:r>
        <w:fldChar w:fldCharType="separate"/>
      </w:r>
      <w:r>
        <w:t>art. 92, V</w:t>
      </w:r>
      <w:r>
        <w:fldChar w:fldCharType="end"/>
      </w:r>
      <w:r>
        <w:t>)</w:t>
      </w:r>
    </w:p>
    <w:p w14:paraId="6E0D89B1">
      <w:pPr>
        <w:pStyle w:val="56"/>
        <w:numPr>
          <w:ilvl w:val="1"/>
          <w:numId w:val="3"/>
        </w:numPr>
        <w:ind w:left="0" w:firstLine="0"/>
      </w:pPr>
      <w:r>
        <w:t>O valor mensal da contratação é de R$ .......... (.....), perfazendo o valor total de R$ ....... (....).</w:t>
      </w:r>
    </w:p>
    <w:p w14:paraId="4E8458D4">
      <w:pPr>
        <w:pStyle w:val="56"/>
        <w:numPr>
          <w:ilvl w:val="1"/>
          <w:numId w:val="3"/>
        </w:numPr>
        <w:ind w:left="0" w:firstLine="0"/>
      </w:pPr>
      <w: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46508DCA">
      <w:pPr>
        <w:pStyle w:val="56"/>
        <w:numPr>
          <w:ilvl w:val="1"/>
          <w:numId w:val="3"/>
        </w:numPr>
        <w:ind w:left="0" w:firstLine="0"/>
      </w:pPr>
      <w:r>
        <w:t>O valor acima é meramente estimativo, de forma que os pagamentos devidos ao contratado dependerão dos quantitativos efetivamente fornecidos.</w:t>
      </w:r>
    </w:p>
    <w:p w14:paraId="3F97A10E">
      <w:pPr>
        <w:pStyle w:val="39"/>
        <w:numPr>
          <w:ilvl w:val="0"/>
          <w:numId w:val="3"/>
        </w:numPr>
      </w:pPr>
      <w:r>
        <w:t>CLÁUSULA SEXTA - PAGAMENTO (</w:t>
      </w:r>
      <w:r>
        <w:fldChar w:fldCharType="begin"/>
      </w:r>
      <w:r>
        <w:instrText xml:space="preserve"> HYPERLINK "http://www.planalto.gov.br/ccivil_03/_ato2019-2022/2021/lei/L14133.htm" \l "art92" </w:instrText>
      </w:r>
      <w:r>
        <w:fldChar w:fldCharType="separate"/>
      </w:r>
      <w:r>
        <w:t>art. 92, V e VI</w:t>
      </w:r>
      <w:r>
        <w:fldChar w:fldCharType="end"/>
      </w:r>
      <w:r>
        <w:t>)</w:t>
      </w:r>
    </w:p>
    <w:p w14:paraId="370A5D58">
      <w:pPr>
        <w:pStyle w:val="56"/>
        <w:numPr>
          <w:ilvl w:val="1"/>
          <w:numId w:val="3"/>
        </w:numPr>
        <w:ind w:left="0" w:firstLine="0"/>
      </w:pPr>
      <w:r>
        <w:t>O prazo para pagamento ao contratado e demais condições a ele referentes encontram-se definidos no Termo de Referência, anexo a este Contrato.</w:t>
      </w:r>
    </w:p>
    <w:p w14:paraId="23ABC8D8">
      <w:pPr>
        <w:pStyle w:val="39"/>
        <w:numPr>
          <w:ilvl w:val="0"/>
          <w:numId w:val="3"/>
        </w:numPr>
      </w:pPr>
      <w:r>
        <w:t>CLÁUSULA SÉTIMA - REAJUSTE (</w:t>
      </w:r>
      <w:r>
        <w:fldChar w:fldCharType="begin"/>
      </w:r>
      <w:r>
        <w:instrText xml:space="preserve"> HYPERLINK "http://www.planalto.gov.br/ccivil_03/_ato2019-2022/2021/lei/L14133.htm" \l "art92" </w:instrText>
      </w:r>
      <w:r>
        <w:fldChar w:fldCharType="separate"/>
      </w:r>
      <w:r>
        <w:t>art. 92, V</w:t>
      </w:r>
      <w:r>
        <w:fldChar w:fldCharType="end"/>
      </w:r>
      <w:r>
        <w:t>)</w:t>
      </w:r>
    </w:p>
    <w:p w14:paraId="4CCF6016">
      <w:pPr>
        <w:pStyle w:val="56"/>
        <w:numPr>
          <w:ilvl w:val="1"/>
          <w:numId w:val="3"/>
        </w:numPr>
        <w:ind w:left="0" w:firstLine="0"/>
      </w:pPr>
      <w:r>
        <w:t>Os preços inicialmente contratados são fixos e irreajustáveis no prazo de um ano contado da data do orçamento estimado, em __/__/__ (DD/MM/AAAA).</w:t>
      </w:r>
    </w:p>
    <w:p w14:paraId="4AA610EC">
      <w:pPr>
        <w:pStyle w:val="56"/>
        <w:numPr>
          <w:ilvl w:val="1"/>
          <w:numId w:val="3"/>
        </w:numPr>
        <w:ind w:left="0" w:firstLine="0"/>
      </w:pPr>
      <w:r>
        <w:t xml:space="preserve">Após o interregno de um ano, e </w:t>
      </w:r>
      <w:bookmarkStart w:id="2" w:name="_Hlk132722410"/>
      <w:r>
        <w:t xml:space="preserve">independentemente de pedido do contratado, </w:t>
      </w:r>
      <w:bookmarkEnd w:id="2"/>
      <w:r>
        <w:t>os preços iniciais serão reajustados, mediante a aplicação, pelo contratante, do índice IPCA, exclusivamente para as obrigações iniciadas e concluídas após a ocorrência da anualidade.</w:t>
      </w:r>
    </w:p>
    <w:p w14:paraId="32A71EC5">
      <w:pPr>
        <w:pStyle w:val="56"/>
        <w:numPr>
          <w:ilvl w:val="1"/>
          <w:numId w:val="3"/>
        </w:numPr>
        <w:ind w:left="0" w:firstLine="0"/>
      </w:pPr>
      <w:r>
        <w:t>Nos reajustes subsequentes ao primeiro, o interregno mínimo de um ano será contado a partir dos efeitos financeiros do último reajuste.</w:t>
      </w:r>
    </w:p>
    <w:p w14:paraId="50544734">
      <w:pPr>
        <w:pStyle w:val="56"/>
        <w:numPr>
          <w:ilvl w:val="1"/>
          <w:numId w:val="3"/>
        </w:numPr>
        <w:ind w:left="0" w:firstLine="0"/>
      </w:pPr>
      <w:r>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4C3C7559">
      <w:pPr>
        <w:pStyle w:val="56"/>
        <w:numPr>
          <w:ilvl w:val="1"/>
          <w:numId w:val="3"/>
        </w:numPr>
        <w:ind w:left="0" w:firstLine="0"/>
      </w:pPr>
      <w:r>
        <w:t>Nas aferições finais, o(s) índice(s) utilizado(s) para reajuste será(ão), obrigatoriamente, o(s) definitivo(s).</w:t>
      </w:r>
    </w:p>
    <w:p w14:paraId="466EC0E8">
      <w:pPr>
        <w:pStyle w:val="56"/>
        <w:numPr>
          <w:ilvl w:val="1"/>
          <w:numId w:val="3"/>
        </w:numPr>
        <w:ind w:left="0" w:firstLine="0"/>
      </w:pPr>
      <w:r>
        <w:t>Caso o(s) índice(s) estabelecido(s) para reajustamento venha(m) a ser extinto(s) ou de qualquer forma não possa(m) mais ser utilizado(s), será(ão) adotado(s), em substituição, o(s) que vier(em) a ser determinado(s) pela legislação então em vigor.</w:t>
      </w:r>
    </w:p>
    <w:p w14:paraId="21EB5B80">
      <w:pPr>
        <w:pStyle w:val="56"/>
        <w:numPr>
          <w:ilvl w:val="1"/>
          <w:numId w:val="3"/>
        </w:numPr>
        <w:ind w:left="0" w:firstLine="0"/>
      </w:pPr>
      <w:r>
        <w:t xml:space="preserve">Na ausência de previsão legal quanto ao índice substituto, as partes elegerão novo índice oficial, para reajustamento do preço do valor remanescente, por meio de termo aditivo. </w:t>
      </w:r>
    </w:p>
    <w:p w14:paraId="5D220175">
      <w:pPr>
        <w:pStyle w:val="56"/>
        <w:numPr>
          <w:ilvl w:val="1"/>
          <w:numId w:val="3"/>
        </w:numPr>
        <w:ind w:left="0" w:firstLine="0"/>
      </w:pPr>
      <w:r>
        <w:t>O reajuste será realizado por apostilamento.</w:t>
      </w:r>
    </w:p>
    <w:p w14:paraId="7C9EDC09">
      <w:pPr>
        <w:pStyle w:val="39"/>
        <w:numPr>
          <w:ilvl w:val="0"/>
          <w:numId w:val="3"/>
        </w:numPr>
      </w:pPr>
      <w:r>
        <w:t xml:space="preserve">CLÁUSULA OITAVA - OBRIGAÇÕES DO CONTRATANTE </w:t>
      </w:r>
      <w:r>
        <w:fldChar w:fldCharType="begin"/>
      </w:r>
      <w:r>
        <w:instrText xml:space="preserve"> HYPERLINK "http://www.planalto.gov.br/ccivil_03/_ato2019-2022/2021/lei/L14133.htm" \l "art92" </w:instrText>
      </w:r>
      <w:r>
        <w:fldChar w:fldCharType="separate"/>
      </w:r>
      <w:r>
        <w:t>(art. 92, X, XI e XIV</w:t>
      </w:r>
      <w:r>
        <w:fldChar w:fldCharType="end"/>
      </w:r>
      <w:r>
        <w:t>)</w:t>
      </w:r>
    </w:p>
    <w:p w14:paraId="756C531B">
      <w:pPr>
        <w:pStyle w:val="56"/>
        <w:numPr>
          <w:ilvl w:val="1"/>
          <w:numId w:val="3"/>
        </w:numPr>
        <w:ind w:left="0" w:firstLine="0"/>
      </w:pPr>
      <w:r>
        <w:t>São obrigações do Contratante:</w:t>
      </w:r>
    </w:p>
    <w:p w14:paraId="57BD2D2A">
      <w:pPr>
        <w:pStyle w:val="56"/>
        <w:numPr>
          <w:ilvl w:val="1"/>
          <w:numId w:val="3"/>
        </w:numPr>
        <w:ind w:left="0" w:firstLine="0"/>
      </w:pPr>
      <w:r>
        <w:t>Exigir o cumprimento de todas as obrigações assumidas pelo Contratado, de acordo com o contrato e seus anexos;</w:t>
      </w:r>
    </w:p>
    <w:p w14:paraId="0F7A95ED">
      <w:pPr>
        <w:pStyle w:val="56"/>
        <w:numPr>
          <w:ilvl w:val="1"/>
          <w:numId w:val="3"/>
        </w:numPr>
        <w:ind w:left="0" w:firstLine="0"/>
      </w:pPr>
      <w:r>
        <w:t>Receber o objeto no prazo e condições estabelecidas no Termo de Referência;</w:t>
      </w:r>
    </w:p>
    <w:p w14:paraId="6CD66DA0">
      <w:pPr>
        <w:pStyle w:val="56"/>
        <w:numPr>
          <w:ilvl w:val="1"/>
          <w:numId w:val="3"/>
        </w:numPr>
        <w:ind w:left="0" w:firstLine="0"/>
      </w:pPr>
      <w:r>
        <w:t>Notificar o Contratado, por escrito, sobre vícios, defeitos ou incorreções verificadas no objeto fornecido, para que seja por ele substituído, reparado ou corrigido, no total ou em parte, às suas expensas;</w:t>
      </w:r>
    </w:p>
    <w:p w14:paraId="79388CBB">
      <w:pPr>
        <w:pStyle w:val="56"/>
        <w:numPr>
          <w:ilvl w:val="1"/>
          <w:numId w:val="3"/>
        </w:numPr>
        <w:ind w:left="0" w:firstLine="0"/>
      </w:pPr>
      <w:r>
        <w:t>Acompanhar e fiscalizar a execução do contrato e o cumprimento das obrigações pelo Contratado;</w:t>
      </w:r>
    </w:p>
    <w:p w14:paraId="097BDAA6">
      <w:pPr>
        <w:pStyle w:val="56"/>
        <w:numPr>
          <w:ilvl w:val="1"/>
          <w:numId w:val="3"/>
        </w:numPr>
        <w:ind w:left="0" w:firstLine="0"/>
      </w:pPr>
      <w:r>
        <w:t>Comunicar a empresa para emissão de Nota Fiscal em relação à parcela incontroversa da execução do objeto, para efeito de liquidação e pagamento, quando houver controvérsia sobre a execução do objeto, quanto à dimensão, qualidade e quantidade, conforme o art. 143 da Lei nº 14.133, de 2021;</w:t>
      </w:r>
    </w:p>
    <w:p w14:paraId="6F7FB764">
      <w:pPr>
        <w:pStyle w:val="56"/>
        <w:numPr>
          <w:ilvl w:val="1"/>
          <w:numId w:val="3"/>
        </w:numPr>
        <w:ind w:left="0" w:firstLine="0"/>
      </w:pPr>
      <w:r>
        <w:t>Efetuar o pagamento ao Contratado do valor correspondente à execução do objeto, no prazo, forma e condições estabelecidos no presente Contrato e no Termo de Referência;</w:t>
      </w:r>
    </w:p>
    <w:p w14:paraId="11AB7429">
      <w:pPr>
        <w:pStyle w:val="56"/>
        <w:numPr>
          <w:ilvl w:val="1"/>
          <w:numId w:val="3"/>
        </w:numPr>
        <w:ind w:left="0" w:firstLine="0"/>
      </w:pPr>
      <w:r>
        <w:t xml:space="preserve">Aplicar ao Contratado as sanções previstas na lei e neste Contrato; </w:t>
      </w:r>
    </w:p>
    <w:p w14:paraId="7994140B">
      <w:pPr>
        <w:pStyle w:val="56"/>
        <w:numPr>
          <w:ilvl w:val="1"/>
          <w:numId w:val="3"/>
        </w:numPr>
        <w:ind w:left="0" w:firstLine="0"/>
      </w:pPr>
      <w:r>
        <w:t>Cientificar o órgão de representação judicial da Advocacia-Geral da União para adoção das medidas cabíveis quando do descumprimento de obrigações pelo Contratado;</w:t>
      </w:r>
    </w:p>
    <w:p w14:paraId="40D1F151">
      <w:pPr>
        <w:pStyle w:val="56"/>
        <w:numPr>
          <w:ilvl w:val="1"/>
          <w:numId w:val="3"/>
        </w:numPr>
        <w:ind w:left="0" w:firstLine="0"/>
      </w:pPr>
      <w: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1238C10">
      <w:pPr>
        <w:pStyle w:val="56"/>
        <w:numPr>
          <w:ilvl w:val="1"/>
          <w:numId w:val="3"/>
        </w:numPr>
        <w:ind w:left="0" w:firstLine="0"/>
      </w:pPr>
      <w:r>
        <w:t xml:space="preserve"> A Administração terá o prazo 30 (trinta), a contar da data do protocolo do requerimento para decidir, admitida a prorrogação motivada, por igual período. </w:t>
      </w:r>
    </w:p>
    <w:p w14:paraId="1B263DA5">
      <w:pPr>
        <w:pStyle w:val="56"/>
        <w:numPr>
          <w:ilvl w:val="1"/>
          <w:numId w:val="3"/>
        </w:numPr>
        <w:ind w:left="0" w:firstLine="0"/>
      </w:pPr>
      <w:r>
        <w:t>Responder eventuais pedidos de reestabelecimento do equilíbrio econômico-financeiro feitos pelo contratado no prazo máximo de 30 (trinta) dias.</w:t>
      </w:r>
    </w:p>
    <w:p w14:paraId="148DBD13">
      <w:pPr>
        <w:pStyle w:val="56"/>
        <w:numPr>
          <w:ilvl w:val="1"/>
          <w:numId w:val="3"/>
        </w:numPr>
        <w:ind w:left="0" w:firstLine="0"/>
      </w:pPr>
      <w:bookmarkStart w:id="3" w:name="_Hlk114499841"/>
      <w:bookmarkEnd w:id="3"/>
      <w:r>
        <w:t>Notificar os emitentes das garantias quanto ao início de processo administrativo para apuração de descumprimento de cláusulas contratuais.</w:t>
      </w:r>
    </w:p>
    <w:p w14:paraId="07E8CC99">
      <w:pPr>
        <w:pStyle w:val="56"/>
        <w:numPr>
          <w:ilvl w:val="1"/>
          <w:numId w:val="3"/>
        </w:numPr>
        <w:ind w:left="0" w:firstLine="0"/>
      </w:pPr>
      <w: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t>do art. 93, §2º, da Lei nº 14.133, de 2021</w:t>
      </w:r>
      <w:r>
        <w:fldChar w:fldCharType="end"/>
      </w:r>
      <w:r>
        <w:t>.</w:t>
      </w:r>
    </w:p>
    <w:p w14:paraId="08FDB724">
      <w:pPr>
        <w:pStyle w:val="56"/>
        <w:numPr>
          <w:ilvl w:val="1"/>
          <w:numId w:val="3"/>
        </w:numPr>
        <w:ind w:left="0" w:firstLine="0"/>
      </w:pPr>
      <w: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0867A457">
      <w:pPr>
        <w:pStyle w:val="39"/>
        <w:numPr>
          <w:ilvl w:val="0"/>
          <w:numId w:val="3"/>
        </w:numPr>
      </w:pPr>
      <w:r>
        <w:t>CLÁUSULA NONA - OBRIGAÇÕES DO CONTRATADO (</w:t>
      </w:r>
      <w:r>
        <w:fldChar w:fldCharType="begin"/>
      </w:r>
      <w:r>
        <w:instrText xml:space="preserve"> HYPERLINK "http://www.planalto.gov.br/ccivil_03/_ato2019-2022/2021/lei/L14133.htm" \l "art92" </w:instrText>
      </w:r>
      <w:r>
        <w:fldChar w:fldCharType="separate"/>
      </w:r>
      <w:r>
        <w:t>art. 92, XIV, XVI e XVII</w:t>
      </w:r>
      <w:r>
        <w:fldChar w:fldCharType="end"/>
      </w:r>
      <w:r>
        <w:t>)</w:t>
      </w:r>
    </w:p>
    <w:p w14:paraId="41A5E4E0">
      <w:pPr>
        <w:pStyle w:val="56"/>
        <w:numPr>
          <w:ilvl w:val="1"/>
          <w:numId w:val="3"/>
        </w:numPr>
        <w:ind w:left="0" w:firstLine="0"/>
      </w:pPr>
      <w:r>
        <w:t>O Contratado deve cumprir todas as obrigações constantes deste Contrato e de seus anexos, assumindo como exclusivamente seus os riscos e as despesas decorrentes da boa e perfeita execução do objeto, observando, ainda, as obrigações a seguir dispostas:</w:t>
      </w:r>
    </w:p>
    <w:p w14:paraId="144A3ACC">
      <w:pPr>
        <w:pStyle w:val="56"/>
        <w:numPr>
          <w:ilvl w:val="1"/>
          <w:numId w:val="3"/>
        </w:numPr>
        <w:ind w:left="0" w:firstLine="0"/>
      </w:pPr>
      <w:r>
        <w:t>Manter preposto aceito pela Administração no local do serviço para representá-lo na execução do contrato.</w:t>
      </w:r>
    </w:p>
    <w:p w14:paraId="7EBE5A47">
      <w:pPr>
        <w:pStyle w:val="56"/>
        <w:numPr>
          <w:ilvl w:val="1"/>
          <w:numId w:val="3"/>
        </w:numPr>
        <w:ind w:left="0" w:firstLine="0"/>
      </w:pPr>
      <w:r>
        <w:t>A indicação ou a manutenção do preposto da empresa poderá ser recusada pelo órgão ou entidade, desde que devidamente justificada, devendo a empresa designar outro para o exercício da atividade.</w:t>
      </w:r>
    </w:p>
    <w:p w14:paraId="679A6282">
      <w:pPr>
        <w:pStyle w:val="56"/>
        <w:numPr>
          <w:ilvl w:val="1"/>
          <w:numId w:val="3"/>
        </w:numPr>
        <w:ind w:left="0" w:firstLine="0"/>
      </w:pPr>
      <w: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t>art. 137, II</w:t>
      </w:r>
      <w:r>
        <w:fldChar w:fldCharType="end"/>
      </w:r>
      <w:r>
        <w:t>) e prestar todo esclarecimento ou informação por eles solicitados;</w:t>
      </w:r>
    </w:p>
    <w:p w14:paraId="28C1F3DD">
      <w:pPr>
        <w:pStyle w:val="56"/>
        <w:numPr>
          <w:ilvl w:val="1"/>
          <w:numId w:val="3"/>
        </w:numPr>
        <w:ind w:left="0" w:firstLine="0"/>
      </w:pPr>
      <w: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33B52892">
      <w:pPr>
        <w:pStyle w:val="56"/>
        <w:numPr>
          <w:ilvl w:val="1"/>
          <w:numId w:val="3"/>
        </w:numPr>
        <w:ind w:left="0" w:firstLine="0"/>
      </w:pPr>
      <w: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4ED33BE9">
      <w:pPr>
        <w:pStyle w:val="56"/>
        <w:numPr>
          <w:ilvl w:val="1"/>
          <w:numId w:val="3"/>
        </w:numPr>
        <w:ind w:left="0" w:firstLine="0"/>
      </w:pPr>
      <w: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t>Código de Defesa do Consumidor (Lei nº 8.078, de 1990</w:t>
      </w:r>
      <w:r>
        <w:fldChar w:fldCharType="end"/>
      </w:r>
      <w: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18AE2A32">
      <w:pPr>
        <w:pStyle w:val="56"/>
        <w:numPr>
          <w:ilvl w:val="1"/>
          <w:numId w:val="3"/>
        </w:numPr>
        <w:ind w:left="0" w:firstLine="0"/>
      </w:pPr>
      <w:r>
        <w:t xml:space="preserve">Não contratar, durante a vigência do contrato, cônjuge, companheiro ou parente em linha reta, colateral ou por afinidade, até o terceiro grau, de dirigente do contratante ou do fiscal ou gestor do contrato, nos termos do </w:t>
      </w:r>
      <w:r>
        <w:fldChar w:fldCharType="begin"/>
      </w:r>
      <w:r>
        <w:instrText xml:space="preserve"> HYPERLINK "http://www.planalto.gov.br/ccivil_03/_ato2019-2022/2021/lei/L14133.htm" \l "art48" </w:instrText>
      </w:r>
      <w:r>
        <w:fldChar w:fldCharType="separate"/>
      </w:r>
      <w:r>
        <w:t>artigo 48, parágrafo único, da Lei nº 14.133, de 2021</w:t>
      </w:r>
      <w:r>
        <w:fldChar w:fldCharType="end"/>
      </w:r>
      <w:r>
        <w:t>;</w:t>
      </w:r>
    </w:p>
    <w:p w14:paraId="6C957DC1">
      <w:pPr>
        <w:pStyle w:val="56"/>
        <w:numPr>
          <w:ilvl w:val="1"/>
          <w:numId w:val="3"/>
        </w:numPr>
        <w:ind w:left="0" w:firstLine="0"/>
      </w:pPr>
      <w:r>
        <w:t xml:space="preserve">Quando não for possível a verificação da regularidade no Sistema de Cadastro 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7B76B04A">
      <w:pPr>
        <w:pStyle w:val="56"/>
        <w:numPr>
          <w:ilvl w:val="1"/>
          <w:numId w:val="3"/>
        </w:numPr>
        <w:ind w:left="0" w:firstLine="0"/>
      </w:pPr>
      <w: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13560C7C">
      <w:pPr>
        <w:pStyle w:val="56"/>
        <w:numPr>
          <w:ilvl w:val="1"/>
          <w:numId w:val="3"/>
        </w:numPr>
        <w:ind w:left="0" w:firstLine="0"/>
      </w:pPr>
      <w:r>
        <w:t>Comunicar ao Fiscal do contrato, no prazo de 24 (vinte e quatro) horas, qualquer ocorrência anormal ou acidente que se verifique no local dos serviços.</w:t>
      </w:r>
    </w:p>
    <w:p w14:paraId="67299F6D">
      <w:pPr>
        <w:pStyle w:val="56"/>
        <w:numPr>
          <w:ilvl w:val="1"/>
          <w:numId w:val="3"/>
        </w:numPr>
        <w:ind w:left="0" w:firstLine="0"/>
      </w:pPr>
      <w:r>
        <w:t>Prestar todo esclarecimento ou informação solicitada pelo Contratante ou por seus prepostos, garantindo-lhes o acesso, a qualquer tempo, ao local dos trabalhos, bem como aos documentos relativos à execução do empreendimento.</w:t>
      </w:r>
    </w:p>
    <w:p w14:paraId="42D60325">
      <w:pPr>
        <w:pStyle w:val="56"/>
        <w:numPr>
          <w:ilvl w:val="1"/>
          <w:numId w:val="3"/>
        </w:numPr>
        <w:ind w:left="0" w:firstLine="0"/>
      </w:pPr>
      <w:r>
        <w:t>Paralisar, por determinação do Contratante, qualquer atividade que não esteja sendo executada de acordo com a boa técnica ou que ponha em risco a segurança de pessoas ou bens de terceiros.</w:t>
      </w:r>
    </w:p>
    <w:p w14:paraId="27438786">
      <w:pPr>
        <w:pStyle w:val="56"/>
        <w:numPr>
          <w:ilvl w:val="1"/>
          <w:numId w:val="3"/>
        </w:numPr>
        <w:ind w:left="0" w:firstLine="0"/>
      </w:pPr>
      <w:r>
        <w:t>Promover a guarda, manutenção e vigilância de materiais, ferramentas, e tudo o que for necessário à execução do objeto, durante a vigência do contrato.</w:t>
      </w:r>
    </w:p>
    <w:p w14:paraId="64B2D46D">
      <w:pPr>
        <w:pStyle w:val="56"/>
        <w:numPr>
          <w:ilvl w:val="1"/>
          <w:numId w:val="3"/>
        </w:numPr>
        <w:ind w:left="0" w:firstLine="0"/>
      </w:pPr>
      <w:r>
        <w:t>Conduzir os trabalhos com estrita observância às normas da legislação pertinente, cumprindo as determinações dos Poderes Públicos, mantendo sempre limpo o local dos serviços e nas melhores condições de segurança, higiene e disciplina.</w:t>
      </w:r>
    </w:p>
    <w:p w14:paraId="3B8C5501">
      <w:pPr>
        <w:pStyle w:val="56"/>
        <w:numPr>
          <w:ilvl w:val="1"/>
          <w:numId w:val="3"/>
        </w:numPr>
        <w:ind w:left="0" w:firstLine="0"/>
      </w:pPr>
      <w:r>
        <w:t>Submeter previamente, por escrito, ao Contratante, para análise e aprovação, quaisquer mudanças nos métodos executivos que fujam às especificações do memorial descritivo ou instrumento congênere.</w:t>
      </w:r>
    </w:p>
    <w:p w14:paraId="11A5E76D">
      <w:pPr>
        <w:pStyle w:val="56"/>
        <w:numPr>
          <w:ilvl w:val="1"/>
          <w:numId w:val="3"/>
        </w:numPr>
        <w:ind w:left="0" w:firstLine="0"/>
      </w:pPr>
      <w:r>
        <w:t>Não permitir a utilização de qualquer trabalho do menor de dezesseis anos, exceto na condição de aprendiz para os maiores de quatorze anos, nem permitir a utilização do trabalho do menor de dezoito anos em trabalho noturno, perigoso ou insalubre;</w:t>
      </w:r>
    </w:p>
    <w:p w14:paraId="24ABEED5">
      <w:pPr>
        <w:pStyle w:val="56"/>
        <w:numPr>
          <w:ilvl w:val="1"/>
          <w:numId w:val="3"/>
        </w:numPr>
        <w:ind w:left="0" w:firstLine="0"/>
      </w:pPr>
      <w:r>
        <w:t xml:space="preserve"> Manter durante toda a vigência do contrato, em compatibilidade com as obrigações assumidas, todas as condições exigidas para habilitação na licitação; </w:t>
      </w:r>
    </w:p>
    <w:p w14:paraId="72F617A0">
      <w:pPr>
        <w:pStyle w:val="56"/>
        <w:numPr>
          <w:ilvl w:val="1"/>
          <w:numId w:val="3"/>
        </w:numPr>
        <w:ind w:left="0" w:firstLine="0"/>
      </w:pPr>
      <w: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t>art. 116</w:t>
      </w:r>
      <w:r>
        <w:fldChar w:fldCharType="end"/>
      </w:r>
      <w:r>
        <w:t>);</w:t>
      </w:r>
    </w:p>
    <w:p w14:paraId="65F54272">
      <w:pPr>
        <w:pStyle w:val="56"/>
        <w:numPr>
          <w:ilvl w:val="1"/>
          <w:numId w:val="3"/>
        </w:numPr>
        <w:ind w:left="0" w:firstLine="0"/>
      </w:pPr>
      <w: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t>art. 116, parágrafo único</w:t>
      </w:r>
      <w:r>
        <w:fldChar w:fldCharType="end"/>
      </w:r>
      <w:r>
        <w:t>);</w:t>
      </w:r>
    </w:p>
    <w:p w14:paraId="0D02E9DB">
      <w:pPr>
        <w:pStyle w:val="56"/>
        <w:numPr>
          <w:ilvl w:val="1"/>
          <w:numId w:val="3"/>
        </w:numPr>
        <w:ind w:left="0" w:firstLine="0"/>
      </w:pPr>
      <w:r>
        <w:t>Guardar sigilo sobre todas as informações obtidas em decorrência do cumprimento do contrato;</w:t>
      </w:r>
    </w:p>
    <w:p w14:paraId="43D23340">
      <w:pPr>
        <w:pStyle w:val="56"/>
        <w:numPr>
          <w:ilvl w:val="1"/>
          <w:numId w:val="3"/>
        </w:numPr>
        <w:ind w:left="0" w:firstLine="0"/>
      </w:pPr>
      <w: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t>art. 124, II, d, da Lei nº 14.133, de 2021</w:t>
      </w:r>
      <w:r>
        <w:fldChar w:fldCharType="end"/>
      </w:r>
      <w:r>
        <w:t>;</w:t>
      </w:r>
    </w:p>
    <w:p w14:paraId="7204FD08">
      <w:pPr>
        <w:pStyle w:val="56"/>
        <w:numPr>
          <w:ilvl w:val="1"/>
          <w:numId w:val="3"/>
        </w:numPr>
        <w:ind w:left="0" w:firstLine="0"/>
      </w:pPr>
      <w:r>
        <w:t>Cumprir, além dos postulados legais vigentes de âmbito federal, estadual ou municipal, as normas de segurança do Contratante;</w:t>
      </w:r>
    </w:p>
    <w:p w14:paraId="339F423F">
      <w:pPr>
        <w:pStyle w:val="39"/>
        <w:numPr>
          <w:ilvl w:val="0"/>
          <w:numId w:val="3"/>
        </w:numPr>
      </w:pPr>
      <w:r>
        <w:t>CLÁUSULA DÉCIMA- OBRIGAÇÕES PERTINENTES À LGPD</w:t>
      </w:r>
    </w:p>
    <w:p w14:paraId="5EFF8E78">
      <w:pPr>
        <w:pStyle w:val="56"/>
        <w:numPr>
          <w:ilvl w:val="1"/>
          <w:numId w:val="3"/>
        </w:numPr>
        <w:ind w:left="0" w:firstLine="0"/>
      </w:pPr>
      <w:r>
        <w:t xml:space="preserve">As partes deverão cumprir a </w:t>
      </w:r>
      <w:r>
        <w:fldChar w:fldCharType="begin"/>
      </w:r>
      <w:r>
        <w:instrText xml:space="preserve"> HYPERLINK "https://www.planalto.gov.br/ccivil_03/_ato2015-2018/2018/lei/l13709.htm" </w:instrText>
      </w:r>
      <w:r>
        <w:fldChar w:fldCharType="separate"/>
      </w:r>
      <w:r>
        <w:t>Lei nº 13.709, de 14 de agosto de 2018 (LGPD)</w:t>
      </w:r>
      <w:r>
        <w:fldChar w:fldCharType="end"/>
      </w:r>
      <w: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0D097BFF">
      <w:pPr>
        <w:pStyle w:val="56"/>
        <w:numPr>
          <w:ilvl w:val="1"/>
          <w:numId w:val="3"/>
        </w:numPr>
        <w:ind w:left="0" w:firstLine="0"/>
      </w:pPr>
      <w: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t>art. 6º da LGPD</w:t>
      </w:r>
      <w:r>
        <w:fldChar w:fldCharType="end"/>
      </w:r>
      <w:r>
        <w:t xml:space="preserve">. </w:t>
      </w:r>
    </w:p>
    <w:p w14:paraId="3FE6966A">
      <w:pPr>
        <w:pStyle w:val="56"/>
        <w:numPr>
          <w:ilvl w:val="1"/>
          <w:numId w:val="3"/>
        </w:numPr>
        <w:ind w:left="0" w:firstLine="0"/>
      </w:pPr>
      <w:r>
        <w:t>É vedado o compartilhamento com terceiros dos dados obtidos fora das hipóteses permitidas em Lei.</w:t>
      </w:r>
    </w:p>
    <w:p w14:paraId="0C2543DE">
      <w:pPr>
        <w:pStyle w:val="56"/>
        <w:numPr>
          <w:ilvl w:val="1"/>
          <w:numId w:val="3"/>
        </w:numPr>
        <w:ind w:left="0" w:firstLine="0"/>
      </w:pPr>
      <w:r>
        <w:t xml:space="preserve">A Administração deverá ser informada no prazo de 5 (cinco) dias úteis sobre todos os contratos de suboperação firmados ou que venham a ser celebrados pelo Contratado. </w:t>
      </w:r>
    </w:p>
    <w:p w14:paraId="0CA94995">
      <w:pPr>
        <w:pStyle w:val="56"/>
        <w:numPr>
          <w:ilvl w:val="1"/>
          <w:numId w:val="3"/>
        </w:numPr>
        <w:ind w:left="0" w:firstLine="0"/>
      </w:pPr>
      <w:r>
        <w:t xml:space="preserve">Terminado o tratamento dos dados nos termos do </w:t>
      </w:r>
      <w:r>
        <w:fldChar w:fldCharType="begin"/>
      </w:r>
      <w:r>
        <w:instrText xml:space="preserve"> HYPERLINK "https://www.planalto.gov.br/ccivil_03/_ato2015-2018/2018/lei/l13709.htm" \l "art15" </w:instrText>
      </w:r>
      <w:r>
        <w:fldChar w:fldCharType="separate"/>
      </w:r>
      <w:r>
        <w:t>art. 15 da LGPD</w:t>
      </w:r>
      <w:r>
        <w:fldChar w:fldCharType="end"/>
      </w:r>
      <w: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t>art. 16 da LGPD</w:t>
      </w:r>
      <w:r>
        <w:fldChar w:fldCharType="end"/>
      </w:r>
      <w:r>
        <w:t xml:space="preserve">, incluindo aquelas em que houver necessidade de guarda de documentação para fins de comprovação do cumprimento de obrigações legais ou contratuais e somente enquanto não prescritas essas obrigações. </w:t>
      </w:r>
    </w:p>
    <w:p w14:paraId="557899DE">
      <w:pPr>
        <w:pStyle w:val="56"/>
        <w:numPr>
          <w:ilvl w:val="1"/>
          <w:numId w:val="3"/>
        </w:numPr>
        <w:ind w:left="0" w:firstLine="0"/>
      </w:pPr>
      <w:r>
        <w:t xml:space="preserve">É dever do contratado orientar e treinar seus empregados sobre os deveres, requisitos e responsabilidades decorrentes da LGPD. </w:t>
      </w:r>
    </w:p>
    <w:p w14:paraId="1E9D9839">
      <w:pPr>
        <w:pStyle w:val="56"/>
        <w:numPr>
          <w:ilvl w:val="1"/>
          <w:numId w:val="3"/>
        </w:numPr>
        <w:ind w:left="0" w:firstLine="0"/>
      </w:pPr>
      <w:r>
        <w:t>O Contratado deverá exigir de suboperadores e subcontratados o cumprimento dos deveres da presente cláusula, permanecendo integralmente responsável por garantir sua observância.</w:t>
      </w:r>
    </w:p>
    <w:p w14:paraId="1EE58685">
      <w:pPr>
        <w:pStyle w:val="56"/>
        <w:numPr>
          <w:ilvl w:val="1"/>
          <w:numId w:val="3"/>
        </w:numPr>
        <w:ind w:left="0" w:firstLine="0"/>
      </w:pPr>
      <w:r>
        <w:t xml:space="preserve">O Contratante poderá realizar diligência para aferir o cumprimento dessa cláusula, devendo o Contratado atender prontamente eventuais pedidos de comprovação formulados. </w:t>
      </w:r>
    </w:p>
    <w:p w14:paraId="004636F2">
      <w:pPr>
        <w:pStyle w:val="56"/>
        <w:numPr>
          <w:ilvl w:val="1"/>
          <w:numId w:val="3"/>
        </w:numPr>
        <w:ind w:left="0" w:firstLine="0"/>
      </w:pPr>
      <w:r>
        <w:t xml:space="preserve">O Contratado deverá prestar, no prazo fixado pelo Contratante, prorrogável justificadamente, quaisquer informações acerca dos dados pessoais para cumprimento da LGPD, inclusive quanto a eventual descarte realizado. </w:t>
      </w:r>
    </w:p>
    <w:p w14:paraId="20B68EB9">
      <w:pPr>
        <w:pStyle w:val="56"/>
        <w:numPr>
          <w:ilvl w:val="1"/>
          <w:numId w:val="3"/>
        </w:numPr>
        <w:ind w:left="0" w:firstLine="0"/>
      </w:pPr>
      <w: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w:instrText>
      </w:r>
      <w:r>
        <w:fldChar w:fldCharType="separate"/>
      </w:r>
      <w:r>
        <w:t>LGPD, art. 37</w:t>
      </w:r>
      <w:r>
        <w:fldChar w:fldCharType="end"/>
      </w:r>
      <w:r>
        <w:t>), com cada acesso, data, horário e registro da finalidade, para efeito de responsabilização, em caso de eventuais omissões, desvios ou abusos.</w:t>
      </w:r>
    </w:p>
    <w:p w14:paraId="168E1A84">
      <w:pPr>
        <w:pStyle w:val="58"/>
        <w:ind w:left="284" w:firstLine="0"/>
      </w:pPr>
      <w:r>
        <w:t>Os referidos bancos de dados devem ser desenvolvidos em formato interoperável, a fim de garantir a reutilização desses dados pela Administração nas hipóteses previstas na LGPD.</w:t>
      </w:r>
    </w:p>
    <w:p w14:paraId="649BEA81">
      <w:pPr>
        <w:pStyle w:val="56"/>
        <w:numPr>
          <w:ilvl w:val="1"/>
          <w:numId w:val="3"/>
        </w:numPr>
        <w:ind w:left="0" w:firstLine="0"/>
      </w:pPr>
      <w:r>
        <w:t>O contrato está sujeito a ser alterado nos procedimentos pertinentes ao tratamento de dados pessoais, quando indicado pela autoridade competente, em especial a ANPD por meio de opiniões técnicas ou recomendações, editadas na forma da LGPD.</w:t>
      </w:r>
    </w:p>
    <w:p w14:paraId="32679830">
      <w:pPr>
        <w:pStyle w:val="39"/>
        <w:numPr>
          <w:ilvl w:val="0"/>
          <w:numId w:val="3"/>
        </w:numPr>
      </w:pPr>
      <w:r>
        <w:t>CLÁUSULA DÉCIMA PRIMEIRA – GARANTIA DE EXECUÇÃO (</w:t>
      </w:r>
      <w:r>
        <w:fldChar w:fldCharType="begin"/>
      </w:r>
      <w:r>
        <w:instrText xml:space="preserve"> HYPERLINK "http://www.planalto.gov.br/ccivil_03/_ato2019-2022/2021/lei/L14133.htm" \l "art92" </w:instrText>
      </w:r>
      <w:r>
        <w:fldChar w:fldCharType="separate"/>
      </w:r>
      <w:r>
        <w:t>art. 92, XII</w:t>
      </w:r>
      <w:r>
        <w:fldChar w:fldCharType="end"/>
      </w:r>
      <w:r>
        <w:t>)</w:t>
      </w:r>
    </w:p>
    <w:p w14:paraId="5356570C">
      <w:pPr>
        <w:pStyle w:val="56"/>
        <w:numPr>
          <w:ilvl w:val="1"/>
          <w:numId w:val="3"/>
        </w:numPr>
        <w:ind w:left="0" w:firstLine="0"/>
      </w:pPr>
      <w:r>
        <w:t>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correspondente a 5% (cinco por cento) do valor/total do contrato.</w:t>
      </w:r>
    </w:p>
    <w:p w14:paraId="30180C64">
      <w:pPr>
        <w:pStyle w:val="56"/>
        <w:numPr>
          <w:ilvl w:val="1"/>
          <w:numId w:val="3"/>
        </w:numPr>
        <w:ind w:left="0" w:firstLine="0"/>
      </w:pPr>
      <w:r>
        <w:t>Caso utilizada a modalidade de seguro-garantia, a apólice deverá ter validade durante a vigência do contrato e por mais 90 (noventa) dias após término deste prazo de vigência, permanecendo em vigor mesmo que o contratado não pague o prêmio nas datas convencionadas.</w:t>
      </w:r>
    </w:p>
    <w:p w14:paraId="42A71D4A">
      <w:pPr>
        <w:pStyle w:val="56"/>
        <w:numPr>
          <w:ilvl w:val="1"/>
          <w:numId w:val="3"/>
        </w:numPr>
        <w:ind w:left="0" w:firstLine="0"/>
      </w:pPr>
      <w:r>
        <w:t>A apólice do seguro garantia deverá acompanhar as modificações referentes à vigência do contrato principal mediante a emissão do respectivo endosso pela seguradora.</w:t>
      </w:r>
    </w:p>
    <w:p w14:paraId="56873D7E">
      <w:pPr>
        <w:pStyle w:val="56"/>
        <w:numPr>
          <w:ilvl w:val="1"/>
          <w:numId w:val="3"/>
        </w:numPr>
        <w:ind w:left="0" w:firstLine="0"/>
      </w:pPr>
      <w:r>
        <w:t xml:space="preserve">Será permitida a substituição da apólice de seguro-garantia na data de renovação ou de aniversário, desde que mantidas as condições e coberturas da apólice vigente e nenhum período fique descoberto, ressalvado o disposto no item </w:t>
      </w:r>
      <w:r>
        <w:fldChar w:fldCharType="begin"/>
      </w:r>
      <w:r>
        <w:instrText xml:space="preserve"> REF _Ref118297051 \r \h  \* MERGEFORMAT </w:instrText>
      </w:r>
      <w:r>
        <w:fldChar w:fldCharType="separate"/>
      </w:r>
      <w:r>
        <w:t>11.5</w:t>
      </w:r>
      <w:r>
        <w:fldChar w:fldCharType="end"/>
      </w:r>
      <w:r>
        <w:t xml:space="preserve"> deste contrato.</w:t>
      </w:r>
    </w:p>
    <w:p w14:paraId="7A0665C7">
      <w:pPr>
        <w:pStyle w:val="56"/>
        <w:numPr>
          <w:ilvl w:val="1"/>
          <w:numId w:val="3"/>
        </w:numPr>
        <w:ind w:left="0" w:firstLine="0"/>
      </w:pPr>
      <w:bookmarkStart w:id="4" w:name="_Ref128491764"/>
      <w:bookmarkStart w:id="5" w:name="_Ref118297051"/>
      <w: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4"/>
      <w:bookmarkEnd w:id="5"/>
    </w:p>
    <w:p w14:paraId="627B763B">
      <w:pPr>
        <w:pStyle w:val="56"/>
        <w:numPr>
          <w:ilvl w:val="1"/>
          <w:numId w:val="3"/>
        </w:numPr>
        <w:ind w:left="0" w:firstLine="0"/>
      </w:pPr>
      <w:bookmarkStart w:id="6" w:name="_Ref118297166"/>
      <w:r>
        <w:t>A garantia assegurará, qualquer que seja a modalidade escolhida, o pagamento de:</w:t>
      </w:r>
      <w:bookmarkEnd w:id="6"/>
      <w:r>
        <w:t xml:space="preserve"> </w:t>
      </w:r>
    </w:p>
    <w:p w14:paraId="3573A7DA">
      <w:pPr>
        <w:pStyle w:val="58"/>
        <w:ind w:left="284" w:firstLine="0"/>
      </w:pPr>
      <w:r>
        <w:t xml:space="preserve">prejuízos advindos do não cumprimento do objeto do contrato e do não adimplemento das demais obrigações nele previstas; </w:t>
      </w:r>
    </w:p>
    <w:p w14:paraId="30FB17AF">
      <w:pPr>
        <w:pStyle w:val="58"/>
        <w:ind w:left="284" w:firstLine="0"/>
      </w:pPr>
      <w:r>
        <w:t xml:space="preserve">multas moratórias e punitivas aplicadas pela Administração à contratada; e  </w:t>
      </w:r>
    </w:p>
    <w:p w14:paraId="2BC864F9">
      <w:pPr>
        <w:pStyle w:val="58"/>
        <w:ind w:left="284" w:firstLine="0"/>
      </w:pPr>
      <w:r>
        <w:t>obrigações trabalhistas e previdenciárias de qualquer natureza e para com o FGTS, não adimplidas pelo contratado, quando couber.</w:t>
      </w:r>
    </w:p>
    <w:p w14:paraId="41D67A7A">
      <w:pPr>
        <w:pStyle w:val="56"/>
        <w:numPr>
          <w:ilvl w:val="1"/>
          <w:numId w:val="3"/>
        </w:numPr>
        <w:ind w:left="0" w:firstLine="0"/>
      </w:pPr>
      <w:r>
        <w:t xml:space="preserve">A modalidade seguro-garantia somente será aceita se contemplar todos os eventos indicados no item 11.6, observada a legislação que rege a matéria. </w:t>
      </w:r>
    </w:p>
    <w:p w14:paraId="5C2561E0">
      <w:pPr>
        <w:pStyle w:val="56"/>
        <w:numPr>
          <w:ilvl w:val="1"/>
          <w:numId w:val="3"/>
        </w:numPr>
        <w:ind w:left="0" w:firstLine="0"/>
      </w:pPr>
      <w:r>
        <w:t>A garantia em dinheiro deverá ser efetuada em favor do contratante, em conta específica na Caixa Econômica Federal, com correção monetária.</w:t>
      </w:r>
    </w:p>
    <w:p w14:paraId="327918BF">
      <w:pPr>
        <w:pStyle w:val="56"/>
        <w:numPr>
          <w:ilvl w:val="1"/>
          <w:numId w:val="3"/>
        </w:numPr>
        <w:ind w:left="0" w:firstLine="0"/>
      </w:pPr>
      <w: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Economia.</w:t>
      </w:r>
    </w:p>
    <w:p w14:paraId="6AB716EC">
      <w:pPr>
        <w:pStyle w:val="56"/>
        <w:numPr>
          <w:ilvl w:val="1"/>
          <w:numId w:val="3"/>
        </w:numPr>
        <w:ind w:left="0" w:firstLine="0"/>
      </w:pPr>
      <w:r>
        <w:t xml:space="preserve">No caso de garantia na modalidade de fiança bancária, deverá ser emitida por banco ou instituição financeira devidamente autorizada a operar no País pelo Banco Central do Brasil, e deverá constar expressa renúncia do fiador aos benefícios do </w:t>
      </w:r>
      <w:r>
        <w:fldChar w:fldCharType="begin"/>
      </w:r>
      <w:r>
        <w:instrText xml:space="preserve"> HYPERLINK "https://www.planalto.gov.br/ccivil_03/leis/2002/l10406compilada.htm" \l "art827" \h </w:instrText>
      </w:r>
      <w:r>
        <w:fldChar w:fldCharType="separate"/>
      </w:r>
      <w:r>
        <w:t>artigo 827 do Código Civil.</w:t>
      </w:r>
      <w:r>
        <w:fldChar w:fldCharType="end"/>
      </w:r>
    </w:p>
    <w:p w14:paraId="0CF75D24">
      <w:pPr>
        <w:pStyle w:val="56"/>
        <w:numPr>
          <w:ilvl w:val="1"/>
          <w:numId w:val="3"/>
        </w:numPr>
        <w:ind w:left="0" w:firstLine="0"/>
      </w:pPr>
      <w:r>
        <w:t xml:space="preserve">No caso de alteração do valor do contrato, ou prorrogação de sua vigência, a garantia deverá ser ajustada ou renovada, seguindo os mesmos parâmetros utilizados quando da contratação. </w:t>
      </w:r>
    </w:p>
    <w:p w14:paraId="08BCD5CB">
      <w:pPr>
        <w:pStyle w:val="56"/>
        <w:numPr>
          <w:ilvl w:val="1"/>
          <w:numId w:val="3"/>
        </w:numPr>
        <w:ind w:left="0" w:firstLine="0"/>
      </w:pPr>
      <w:r>
        <w:t>Se o valor da garantia for utilizado total ou parcialmente em pagamento de qualquer obrigação, o Contratado obriga-se a fazer a respectiva reposição no prazo máximo de 10 (dez) dias úteis, contados da data em que for notificada.</w:t>
      </w:r>
    </w:p>
    <w:p w14:paraId="4F628A90">
      <w:pPr>
        <w:pStyle w:val="56"/>
        <w:numPr>
          <w:ilvl w:val="1"/>
          <w:numId w:val="3"/>
        </w:numPr>
        <w:ind w:left="0" w:firstLine="0"/>
      </w:pPr>
      <w:r>
        <w:t>O Contratante executará a garantia na forma prevista na legislação que rege a matéria.</w:t>
      </w:r>
    </w:p>
    <w:p w14:paraId="126A8A89">
      <w:pPr>
        <w:pStyle w:val="58"/>
        <w:ind w:left="284" w:firstLine="0"/>
      </w:pPr>
      <w:r>
        <w:t>O emitente da garantia ofertada pelo contratado deverá ser notificado pelo contratante quanto ao início de processo administrativo para apuração de descumprimento de cláusulas contratuais (</w:t>
      </w:r>
      <w:r>
        <w:fldChar w:fldCharType="begin"/>
      </w:r>
      <w:r>
        <w:instrText xml:space="preserve"> HYPERLINK "http://www.planalto.gov.br/ccivil_03/_ato2019-2022/2021/lei/L14133.htm" \l "art137§4" \h </w:instrText>
      </w:r>
      <w:r>
        <w:fldChar w:fldCharType="separate"/>
      </w:r>
      <w:r>
        <w:t>art. 137, § 4º, da Lei n.º 14.133, de 2021</w:t>
      </w:r>
      <w:r>
        <w:fldChar w:fldCharType="end"/>
      </w:r>
      <w:r>
        <w:t>).</w:t>
      </w:r>
    </w:p>
    <w:p w14:paraId="1C51638B">
      <w:pPr>
        <w:pStyle w:val="58"/>
        <w:ind w:left="284" w:firstLine="0"/>
      </w:pPr>
      <w: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r>
        <w:fldChar w:fldCharType="begin"/>
      </w:r>
      <w:r>
        <w:instrText xml:space="preserve"> HYPERLINK "https://www.in.gov.br/en/web/dou/-/circular-susep-n-662-de-11-de-abril-de-2022-392772088" \l "art20" \h </w:instrText>
      </w:r>
      <w:r>
        <w:fldChar w:fldCharType="separate"/>
      </w:r>
      <w:r>
        <w:t>art. 20 da Circular Susep n° 662, de 11 de abril de 2022</w:t>
      </w:r>
      <w:r>
        <w:fldChar w:fldCharType="end"/>
      </w:r>
      <w:r>
        <w:t>.</w:t>
      </w:r>
    </w:p>
    <w:p w14:paraId="796480B1">
      <w:pPr>
        <w:pStyle w:val="56"/>
        <w:numPr>
          <w:ilvl w:val="1"/>
          <w:numId w:val="3"/>
        </w:numPr>
        <w:ind w:left="0" w:firstLine="0"/>
      </w:pPr>
      <w: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0C75179D">
      <w:pPr>
        <w:pStyle w:val="56"/>
        <w:numPr>
          <w:ilvl w:val="1"/>
          <w:numId w:val="3"/>
        </w:numPr>
        <w:ind w:left="0" w:firstLine="0"/>
      </w:pPr>
      <w:r>
        <w:t>A garantia somente será liberada ou restituída após a fiel execução do contrato ou após a sua extinção por culpa exclusiva da Administração e, quando em dinheiro, será atualizada monetariamente.</w:t>
      </w:r>
    </w:p>
    <w:p w14:paraId="1FAA0528">
      <w:pPr>
        <w:pStyle w:val="56"/>
        <w:numPr>
          <w:ilvl w:val="1"/>
          <w:numId w:val="3"/>
        </w:numPr>
        <w:ind w:left="0" w:firstLine="0"/>
      </w:pPr>
      <w:r>
        <w:t xml:space="preserve">O garantidor não é parte para figurar em processo administrativo instaurado pelo contratante com o objetivo de apurar prejuízos e/ou aplicar sanções à contratada. </w:t>
      </w:r>
    </w:p>
    <w:p w14:paraId="589496F0">
      <w:pPr>
        <w:pStyle w:val="56"/>
        <w:numPr>
          <w:ilvl w:val="1"/>
          <w:numId w:val="3"/>
        </w:numPr>
        <w:ind w:left="0" w:firstLine="0"/>
      </w:pPr>
      <w:r>
        <w:t>O contratado autoriza o contratante a reter, a qualquer tempo, a garantia, na forma prevista neste Contrato.</w:t>
      </w:r>
    </w:p>
    <w:p w14:paraId="64CFEA5C">
      <w:pPr>
        <w:pStyle w:val="56"/>
        <w:numPr>
          <w:ilvl w:val="1"/>
          <w:numId w:val="3"/>
        </w:numPr>
        <w:ind w:left="0" w:firstLine="0"/>
      </w:pPr>
      <w:r>
        <w:t>A garantia de execução é independente de eventual garantia do produto ou serviço prevista especificamente no Termo de Referência.</w:t>
      </w:r>
    </w:p>
    <w:p w14:paraId="26A8D97C">
      <w:pPr>
        <w:pStyle w:val="39"/>
        <w:numPr>
          <w:ilvl w:val="0"/>
          <w:numId w:val="3"/>
        </w:numPr>
      </w:pPr>
      <w:r>
        <w:t>CLÁUSULA DÉCIMA SEGUNDA – INFRAÇÕES E SANÇÕES ADMINISTRATIVAS (</w:t>
      </w:r>
      <w:r>
        <w:fldChar w:fldCharType="begin"/>
      </w:r>
      <w:r>
        <w:instrText xml:space="preserve"> HYPERLINK "http://www.planalto.gov.br/ccivil_03/_ato2019-2022/2021/lei/L14133.htm" \l "art92" </w:instrText>
      </w:r>
      <w:r>
        <w:fldChar w:fldCharType="separate"/>
      </w:r>
      <w:r>
        <w:t>art. 92, XIV</w:t>
      </w:r>
      <w:r>
        <w:fldChar w:fldCharType="end"/>
      </w:r>
      <w:r>
        <w:t>)</w:t>
      </w:r>
    </w:p>
    <w:p w14:paraId="36AC3AF8">
      <w:pPr>
        <w:pStyle w:val="56"/>
        <w:numPr>
          <w:ilvl w:val="1"/>
          <w:numId w:val="3"/>
        </w:numPr>
        <w:ind w:left="0" w:firstLine="0"/>
      </w:pPr>
      <w:r>
        <w:t xml:space="preserve">Comete infração administrativa, nos termos da </w:t>
      </w:r>
      <w:r>
        <w:fldChar w:fldCharType="begin"/>
      </w:r>
      <w:r>
        <w:instrText xml:space="preserve"> HYPERLINK "http://www.planalto.gov.br/ccivil_03/_ato2019-2022/2021/lei/L14133.htm" </w:instrText>
      </w:r>
      <w:r>
        <w:fldChar w:fldCharType="separate"/>
      </w:r>
      <w:r>
        <w:t>Lei nº 14.133, de 2021</w:t>
      </w:r>
      <w:r>
        <w:fldChar w:fldCharType="end"/>
      </w:r>
      <w:r>
        <w:t>, o contratado que:</w:t>
      </w:r>
    </w:p>
    <w:p w14:paraId="085F1C88">
      <w:pPr>
        <w:numPr>
          <w:ilvl w:val="2"/>
          <w:numId w:val="5"/>
        </w:numPr>
        <w:suppressAutoHyphens/>
        <w:spacing w:before="120" w:after="120" w:line="276" w:lineRule="auto"/>
        <w:ind w:left="284" w:firstLine="0"/>
        <w:jc w:val="both"/>
        <w:rPr>
          <w:rFonts w:ascii="Arial" w:hAnsi="Arial" w:eastAsia="Arial" w:cs="Arial"/>
          <w:sz w:val="20"/>
          <w:szCs w:val="20"/>
        </w:rPr>
      </w:pPr>
      <w:r>
        <w:rPr>
          <w:rFonts w:ascii="Arial" w:hAnsi="Arial" w:eastAsia="Arial" w:cs="Arial"/>
          <w:sz w:val="20"/>
          <w:szCs w:val="20"/>
        </w:rPr>
        <w:t>der causa à inexecução parcial do contrato;</w:t>
      </w:r>
    </w:p>
    <w:p w14:paraId="43D6381E">
      <w:pPr>
        <w:numPr>
          <w:ilvl w:val="2"/>
          <w:numId w:val="5"/>
        </w:numPr>
        <w:suppressAutoHyphens/>
        <w:spacing w:before="120" w:after="120" w:line="276" w:lineRule="auto"/>
        <w:ind w:left="284" w:firstLine="0"/>
        <w:jc w:val="both"/>
        <w:rPr>
          <w:rFonts w:ascii="Arial" w:hAnsi="Arial" w:eastAsia="Arial" w:cs="Arial"/>
          <w:sz w:val="20"/>
          <w:szCs w:val="20"/>
        </w:rPr>
      </w:pPr>
      <w:r>
        <w:rPr>
          <w:rFonts w:ascii="Arial" w:hAnsi="Arial" w:eastAsia="Arial" w:cs="Arial"/>
          <w:sz w:val="20"/>
          <w:szCs w:val="20"/>
        </w:rPr>
        <w:t>der causa à inexecução parcial do contrato que cause grave dano à Administração ou ao funcionamento dos serviços públicos ou ao interesse coletivo;</w:t>
      </w:r>
    </w:p>
    <w:p w14:paraId="0C339EE8">
      <w:pPr>
        <w:numPr>
          <w:ilvl w:val="2"/>
          <w:numId w:val="5"/>
        </w:numPr>
        <w:suppressAutoHyphens/>
        <w:spacing w:before="120" w:after="120" w:line="276" w:lineRule="auto"/>
        <w:ind w:left="284" w:firstLine="0"/>
        <w:jc w:val="both"/>
        <w:rPr>
          <w:rFonts w:ascii="Arial" w:hAnsi="Arial" w:eastAsia="Arial" w:cs="Arial"/>
          <w:sz w:val="20"/>
          <w:szCs w:val="20"/>
        </w:rPr>
      </w:pPr>
      <w:r>
        <w:rPr>
          <w:rFonts w:ascii="Arial" w:hAnsi="Arial" w:eastAsia="Arial" w:cs="Arial"/>
          <w:sz w:val="20"/>
          <w:szCs w:val="20"/>
        </w:rPr>
        <w:t>der causa à inexecução total do contrato;</w:t>
      </w:r>
    </w:p>
    <w:p w14:paraId="3363F31D">
      <w:pPr>
        <w:numPr>
          <w:ilvl w:val="2"/>
          <w:numId w:val="5"/>
        </w:numPr>
        <w:suppressAutoHyphens/>
        <w:spacing w:before="120" w:after="120" w:line="276" w:lineRule="auto"/>
        <w:ind w:left="284" w:firstLine="0"/>
        <w:jc w:val="both"/>
        <w:rPr>
          <w:rFonts w:ascii="Arial" w:hAnsi="Arial" w:eastAsia="Arial" w:cs="Arial"/>
          <w:sz w:val="20"/>
          <w:szCs w:val="20"/>
        </w:rPr>
      </w:pPr>
      <w:r>
        <w:rPr>
          <w:rFonts w:ascii="Arial" w:hAnsi="Arial" w:eastAsia="Arial" w:cs="Arial"/>
          <w:sz w:val="20"/>
          <w:szCs w:val="20"/>
        </w:rPr>
        <w:t>ensejar o retardamento da execução ou da entrega do objeto da contratação sem motivo justificado;</w:t>
      </w:r>
    </w:p>
    <w:p w14:paraId="1C72684B">
      <w:pPr>
        <w:numPr>
          <w:ilvl w:val="2"/>
          <w:numId w:val="5"/>
        </w:numPr>
        <w:suppressAutoHyphens/>
        <w:spacing w:before="120" w:after="120" w:line="276" w:lineRule="auto"/>
        <w:ind w:left="284" w:firstLine="0"/>
        <w:jc w:val="both"/>
        <w:rPr>
          <w:rFonts w:ascii="Arial" w:hAnsi="Arial" w:eastAsia="Arial" w:cs="Arial"/>
          <w:sz w:val="20"/>
          <w:szCs w:val="20"/>
        </w:rPr>
      </w:pPr>
      <w:r>
        <w:rPr>
          <w:rFonts w:ascii="Arial" w:hAnsi="Arial" w:eastAsia="Arial" w:cs="Arial"/>
          <w:sz w:val="20"/>
          <w:szCs w:val="20"/>
        </w:rPr>
        <w:t>apresentar documentação falsa ou prestar declaração falsa durante a execução do contrato;</w:t>
      </w:r>
    </w:p>
    <w:p w14:paraId="6C17C708">
      <w:pPr>
        <w:numPr>
          <w:ilvl w:val="2"/>
          <w:numId w:val="5"/>
        </w:numPr>
        <w:suppressAutoHyphens/>
        <w:spacing w:before="120" w:after="120" w:line="276" w:lineRule="auto"/>
        <w:ind w:left="284" w:firstLine="0"/>
        <w:jc w:val="both"/>
        <w:rPr>
          <w:rFonts w:ascii="Arial" w:hAnsi="Arial" w:eastAsia="Arial" w:cs="Arial"/>
          <w:sz w:val="20"/>
          <w:szCs w:val="20"/>
        </w:rPr>
      </w:pPr>
      <w:r>
        <w:rPr>
          <w:rFonts w:ascii="Arial" w:hAnsi="Arial" w:eastAsia="Arial" w:cs="Arial"/>
          <w:sz w:val="20"/>
          <w:szCs w:val="20"/>
        </w:rPr>
        <w:t>praticar ato fraudulento na execução do contrato;</w:t>
      </w:r>
    </w:p>
    <w:p w14:paraId="673B6A2D">
      <w:pPr>
        <w:numPr>
          <w:ilvl w:val="2"/>
          <w:numId w:val="5"/>
        </w:numPr>
        <w:suppressAutoHyphens/>
        <w:spacing w:before="120" w:after="120" w:line="276" w:lineRule="auto"/>
        <w:ind w:left="284" w:firstLine="0"/>
        <w:jc w:val="both"/>
        <w:rPr>
          <w:rFonts w:ascii="Arial" w:hAnsi="Arial" w:eastAsia="Arial" w:cs="Arial"/>
          <w:sz w:val="20"/>
          <w:szCs w:val="20"/>
        </w:rPr>
      </w:pPr>
      <w:r>
        <w:rPr>
          <w:rFonts w:ascii="Arial" w:hAnsi="Arial" w:eastAsia="Arial" w:cs="Arial"/>
          <w:sz w:val="20"/>
          <w:szCs w:val="20"/>
        </w:rPr>
        <w:t>comportar-se de modo inidôneo ou cometer fraude de qualquer natureza;</w:t>
      </w:r>
    </w:p>
    <w:p w14:paraId="6D652C51">
      <w:pPr>
        <w:numPr>
          <w:ilvl w:val="2"/>
          <w:numId w:val="5"/>
        </w:numPr>
        <w:suppressAutoHyphens/>
        <w:spacing w:before="120" w:after="120" w:line="276" w:lineRule="auto"/>
        <w:ind w:left="284" w:firstLine="0"/>
        <w:jc w:val="both"/>
        <w:rPr>
          <w:rFonts w:ascii="Arial" w:hAnsi="Arial" w:eastAsia="Arial" w:cs="Arial"/>
          <w:sz w:val="20"/>
          <w:szCs w:val="20"/>
        </w:rPr>
      </w:pPr>
      <w:r>
        <w:rPr>
          <w:rFonts w:ascii="Arial" w:hAnsi="Arial" w:eastAsia="Arial" w:cs="Arial"/>
          <w:sz w:val="20"/>
          <w:szCs w:val="20"/>
        </w:rPr>
        <w:t>praticar ato lesivo previsto no art. 5º da Lei nº 12.846, de 1º de agosto de 2013.</w:t>
      </w:r>
    </w:p>
    <w:p w14:paraId="5D6215D0">
      <w:pPr>
        <w:pStyle w:val="56"/>
        <w:numPr>
          <w:ilvl w:val="1"/>
          <w:numId w:val="3"/>
        </w:numPr>
        <w:ind w:left="0" w:firstLine="0"/>
      </w:pPr>
      <w:r>
        <w:t>Serão aplicadas ao contratado que incorrer nas infrações acima descritas as seguintes sanções:</w:t>
      </w:r>
    </w:p>
    <w:p w14:paraId="16EBA61B">
      <w:pPr>
        <w:numPr>
          <w:ilvl w:val="2"/>
          <w:numId w:val="6"/>
        </w:numPr>
        <w:suppressAutoHyphens/>
        <w:spacing w:before="120" w:after="120" w:line="276" w:lineRule="auto"/>
        <w:ind w:left="284" w:firstLine="0"/>
        <w:contextualSpacing/>
        <w:jc w:val="both"/>
        <w:rPr>
          <w:rFonts w:ascii="Arial" w:hAnsi="Arial" w:eastAsia="Arial" w:cs="Arial"/>
          <w:sz w:val="20"/>
          <w:szCs w:val="20"/>
        </w:rPr>
      </w:pPr>
      <w:r>
        <w:rPr>
          <w:rFonts w:ascii="Arial" w:hAnsi="Arial" w:eastAsia="Arial" w:cs="Arial"/>
          <w:b/>
          <w:bCs/>
          <w:sz w:val="20"/>
          <w:szCs w:val="20"/>
        </w:rPr>
        <w:t>Advertência</w:t>
      </w:r>
      <w:r>
        <w:rPr>
          <w:rFonts w:ascii="Arial" w:hAnsi="Arial" w:eastAsia="Arial" w:cs="Arial"/>
          <w:sz w:val="20"/>
          <w:szCs w:val="20"/>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3"/>
          <w:rFonts w:ascii="Arial" w:hAnsi="Arial" w:eastAsia="Arial" w:cs="Arial"/>
          <w:sz w:val="20"/>
          <w:szCs w:val="20"/>
        </w:rPr>
        <w:t xml:space="preserve">art. 156, §2º, da </w:t>
      </w:r>
      <w:bookmarkStart w:id="7" w:name="_Hlk114504069"/>
      <w:r>
        <w:rPr>
          <w:rStyle w:val="13"/>
          <w:rFonts w:ascii="Arial" w:hAnsi="Arial" w:eastAsia="Arial" w:cs="Arial"/>
          <w:sz w:val="20"/>
          <w:szCs w:val="20"/>
        </w:rPr>
        <w:t>Lei nº 14.133, de 2021</w:t>
      </w:r>
      <w:bookmarkEnd w:id="7"/>
      <w:r>
        <w:rPr>
          <w:rStyle w:val="13"/>
          <w:rFonts w:ascii="Arial" w:hAnsi="Arial" w:eastAsia="Arial" w:cs="Arial"/>
          <w:sz w:val="20"/>
          <w:szCs w:val="20"/>
        </w:rPr>
        <w:fldChar w:fldCharType="end"/>
      </w:r>
      <w:r>
        <w:rPr>
          <w:rFonts w:ascii="Arial" w:hAnsi="Arial" w:eastAsia="Arial" w:cs="Arial"/>
          <w:sz w:val="20"/>
          <w:szCs w:val="20"/>
        </w:rPr>
        <w:t>);</w:t>
      </w:r>
    </w:p>
    <w:p w14:paraId="69500F9B">
      <w:pPr>
        <w:numPr>
          <w:ilvl w:val="2"/>
          <w:numId w:val="6"/>
        </w:numPr>
        <w:suppressAutoHyphens/>
        <w:spacing w:before="120" w:after="120" w:line="276" w:lineRule="auto"/>
        <w:ind w:left="284" w:firstLine="0"/>
        <w:contextualSpacing/>
        <w:jc w:val="both"/>
        <w:rPr>
          <w:rFonts w:ascii="Arial" w:hAnsi="Arial" w:eastAsia="Arial" w:cs="Arial"/>
          <w:sz w:val="20"/>
          <w:szCs w:val="20"/>
        </w:rPr>
      </w:pPr>
      <w:r>
        <w:rPr>
          <w:rFonts w:ascii="Arial" w:hAnsi="Arial" w:eastAsia="Arial" w:cs="Arial"/>
          <w:b/>
          <w:bCs/>
          <w:sz w:val="20"/>
          <w:szCs w:val="20"/>
        </w:rPr>
        <w:t>Impedimento de licitar e contratar</w:t>
      </w:r>
      <w:r>
        <w:rPr>
          <w:rFonts w:ascii="Arial" w:hAnsi="Arial" w:eastAsia="Arial" w:cs="Arial"/>
          <w:sz w:val="20"/>
          <w:szCs w:val="20"/>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3"/>
          <w:rFonts w:ascii="Arial" w:hAnsi="Arial" w:eastAsia="Arial" w:cs="Arial"/>
          <w:sz w:val="20"/>
          <w:szCs w:val="20"/>
        </w:rPr>
        <w:t>art. 156, § 4º, da Lei nº 14.133, de 2021</w:t>
      </w:r>
      <w:r>
        <w:rPr>
          <w:rStyle w:val="13"/>
          <w:rFonts w:ascii="Arial" w:hAnsi="Arial" w:eastAsia="Arial" w:cs="Arial"/>
          <w:sz w:val="20"/>
          <w:szCs w:val="20"/>
        </w:rPr>
        <w:fldChar w:fldCharType="end"/>
      </w:r>
      <w:r>
        <w:rPr>
          <w:rFonts w:ascii="Arial" w:hAnsi="Arial" w:eastAsia="Arial" w:cs="Arial"/>
          <w:sz w:val="20"/>
          <w:szCs w:val="20"/>
        </w:rPr>
        <w:t>);</w:t>
      </w:r>
    </w:p>
    <w:p w14:paraId="3F73972F">
      <w:pPr>
        <w:numPr>
          <w:ilvl w:val="2"/>
          <w:numId w:val="6"/>
        </w:numPr>
        <w:suppressAutoHyphens/>
        <w:spacing w:before="120" w:after="120" w:line="276" w:lineRule="auto"/>
        <w:ind w:left="284" w:firstLine="0"/>
        <w:contextualSpacing/>
        <w:jc w:val="both"/>
        <w:rPr>
          <w:rFonts w:ascii="Arial" w:hAnsi="Arial" w:eastAsia="Arial" w:cs="Arial"/>
          <w:sz w:val="20"/>
          <w:szCs w:val="20"/>
        </w:rPr>
      </w:pPr>
      <w:r>
        <w:rPr>
          <w:rFonts w:ascii="Arial" w:hAnsi="Arial" w:eastAsia="Arial" w:cs="Arial"/>
          <w:b/>
          <w:bCs/>
          <w:sz w:val="20"/>
          <w:szCs w:val="20"/>
        </w:rPr>
        <w:t>Declaração de inidoneidade para licitar e contratar</w:t>
      </w:r>
      <w:r>
        <w:rPr>
          <w:rFonts w:ascii="Arial" w:hAnsi="Arial" w:eastAsia="Arial" w:cs="Arial"/>
          <w:sz w:val="20"/>
          <w:szCs w:val="20"/>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3"/>
          <w:rFonts w:ascii="Arial" w:hAnsi="Arial" w:eastAsia="Arial" w:cs="Arial"/>
          <w:sz w:val="20"/>
          <w:szCs w:val="20"/>
        </w:rPr>
        <w:t>art. 156, §5º, da Lei nº 14.133, de 2021</w:t>
      </w:r>
      <w:r>
        <w:rPr>
          <w:rStyle w:val="13"/>
          <w:rFonts w:ascii="Arial" w:hAnsi="Arial" w:eastAsia="Arial" w:cs="Arial"/>
          <w:sz w:val="20"/>
          <w:szCs w:val="20"/>
        </w:rPr>
        <w:fldChar w:fldCharType="end"/>
      </w:r>
      <w:r>
        <w:rPr>
          <w:rFonts w:ascii="Arial" w:hAnsi="Arial" w:eastAsia="Arial" w:cs="Arial"/>
          <w:sz w:val="20"/>
          <w:szCs w:val="20"/>
        </w:rPr>
        <w:t>).</w:t>
      </w:r>
    </w:p>
    <w:p w14:paraId="507BB2CD">
      <w:pPr>
        <w:numPr>
          <w:ilvl w:val="2"/>
          <w:numId w:val="6"/>
        </w:numPr>
        <w:suppressAutoHyphens/>
        <w:spacing w:before="120" w:after="120" w:line="276" w:lineRule="auto"/>
        <w:ind w:left="284" w:firstLine="0"/>
        <w:contextualSpacing/>
        <w:jc w:val="both"/>
        <w:rPr>
          <w:rFonts w:ascii="Arial" w:hAnsi="Arial" w:eastAsia="Arial" w:cs="Arial"/>
          <w:sz w:val="20"/>
          <w:szCs w:val="20"/>
        </w:rPr>
      </w:pPr>
      <w:r>
        <w:rPr>
          <w:rFonts w:ascii="Arial" w:hAnsi="Arial" w:eastAsia="Arial" w:cs="Arial"/>
          <w:b/>
          <w:bCs/>
          <w:sz w:val="20"/>
          <w:szCs w:val="20"/>
        </w:rPr>
        <w:t>Multa:</w:t>
      </w:r>
    </w:p>
    <w:p w14:paraId="34873C50">
      <w:pPr>
        <w:numPr>
          <w:ilvl w:val="3"/>
          <w:numId w:val="6"/>
        </w:numPr>
        <w:suppressAutoHyphens/>
        <w:spacing w:before="120" w:after="120" w:line="276" w:lineRule="auto"/>
        <w:ind w:left="567" w:firstLine="0"/>
        <w:contextualSpacing/>
        <w:jc w:val="both"/>
        <w:rPr>
          <w:rFonts w:ascii="Arial" w:hAnsi="Arial" w:eastAsia="Arial" w:cs="Arial"/>
          <w:sz w:val="20"/>
          <w:szCs w:val="20"/>
        </w:rPr>
      </w:pPr>
      <w:r>
        <w:rPr>
          <w:rFonts w:ascii="Arial" w:hAnsi="Arial" w:eastAsia="Arial" w:cs="Arial"/>
          <w:sz w:val="20"/>
          <w:szCs w:val="20"/>
        </w:rPr>
        <w:t>Moratória de 5% (cinco por cento) por dia de atraso injustificado sobre o valor da parcela inadimplida, até o limite de 30 (trinta) dias;</w:t>
      </w:r>
    </w:p>
    <w:p w14:paraId="7B39F7AF">
      <w:pPr>
        <w:numPr>
          <w:ilvl w:val="7"/>
          <w:numId w:val="6"/>
        </w:numPr>
        <w:suppressAutoHyphens/>
        <w:spacing w:before="120" w:after="120" w:line="276" w:lineRule="auto"/>
        <w:ind w:left="851" w:firstLine="0"/>
        <w:contextualSpacing/>
        <w:jc w:val="both"/>
        <w:rPr>
          <w:rFonts w:ascii="Arial" w:hAnsi="Arial" w:eastAsia="Arial" w:cs="Arial"/>
          <w:sz w:val="20"/>
          <w:szCs w:val="20"/>
        </w:rPr>
      </w:pPr>
      <w:r>
        <w:rPr>
          <w:rFonts w:ascii="Arial" w:hAnsi="Arial" w:eastAsia="Arial" w:cs="Arial"/>
          <w:sz w:val="20"/>
          <w:szCs w:val="20"/>
        </w:rPr>
        <w:t xml:space="preserve">O atraso superior a 30 (trinta)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3"/>
          <w:rFonts w:ascii="Arial" w:hAnsi="Arial" w:eastAsia="Arial" w:cs="Arial"/>
          <w:color w:val="auto"/>
          <w:sz w:val="20"/>
          <w:szCs w:val="20"/>
        </w:rPr>
        <w:t>inciso I do art. 137 da Lei n. 14.133, de 2021</w:t>
      </w:r>
      <w:r>
        <w:rPr>
          <w:rStyle w:val="13"/>
          <w:rFonts w:ascii="Arial" w:hAnsi="Arial" w:eastAsia="Arial" w:cs="Arial"/>
          <w:color w:val="auto"/>
          <w:sz w:val="20"/>
          <w:szCs w:val="20"/>
        </w:rPr>
        <w:fldChar w:fldCharType="end"/>
      </w:r>
      <w:r>
        <w:rPr>
          <w:rFonts w:ascii="Arial" w:hAnsi="Arial" w:eastAsia="Arial" w:cs="Arial"/>
          <w:sz w:val="20"/>
          <w:szCs w:val="20"/>
        </w:rPr>
        <w:t xml:space="preserve">. </w:t>
      </w:r>
    </w:p>
    <w:p w14:paraId="5B4B5FC2">
      <w:pPr>
        <w:numPr>
          <w:ilvl w:val="3"/>
          <w:numId w:val="6"/>
        </w:numPr>
        <w:suppressAutoHyphens/>
        <w:spacing w:before="120" w:after="120" w:line="276" w:lineRule="auto"/>
        <w:ind w:left="567" w:firstLine="0"/>
        <w:contextualSpacing/>
        <w:jc w:val="both"/>
        <w:rPr>
          <w:rFonts w:ascii="Arial" w:hAnsi="Arial" w:eastAsia="Arial" w:cs="Arial"/>
          <w:sz w:val="20"/>
          <w:szCs w:val="20"/>
        </w:rPr>
      </w:pPr>
      <w:r>
        <w:rPr>
          <w:rFonts w:ascii="Arial" w:hAnsi="Arial" w:eastAsia="Arial" w:cs="Arial"/>
          <w:sz w:val="20"/>
          <w:szCs w:val="20"/>
        </w:rPr>
        <w:t xml:space="preserve"> compensatória de 20% (vinte por cento) sobre o valor total do contrato, no caso de inexecução total do objeto;</w:t>
      </w:r>
    </w:p>
    <w:p w14:paraId="4AEB39DC">
      <w:pPr>
        <w:pStyle w:val="56"/>
        <w:numPr>
          <w:ilvl w:val="1"/>
          <w:numId w:val="3"/>
        </w:numPr>
        <w:ind w:left="0" w:firstLine="0"/>
      </w:pPr>
      <w: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t>art. 156, §9º, da Lei nº 14.133, de 2021</w:t>
      </w:r>
      <w:r>
        <w:fldChar w:fldCharType="end"/>
      </w:r>
      <w:r>
        <w:t>)</w:t>
      </w:r>
    </w:p>
    <w:p w14:paraId="3D1782F1">
      <w:pPr>
        <w:pStyle w:val="56"/>
        <w:numPr>
          <w:ilvl w:val="1"/>
          <w:numId w:val="3"/>
        </w:numPr>
        <w:ind w:left="0" w:firstLine="0"/>
      </w:pPr>
      <w: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t>art. 156, §7º, da Lei nº 14.133, de 2021</w:t>
      </w:r>
      <w:r>
        <w:fldChar w:fldCharType="end"/>
      </w:r>
      <w:r>
        <w:t>).</w:t>
      </w:r>
    </w:p>
    <w:p w14:paraId="4A071F1B">
      <w:pPr>
        <w:pStyle w:val="58"/>
        <w:ind w:left="284" w:firstLine="0"/>
      </w:pPr>
      <w: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t>art. 157, da Lei nº 14.133, de 2021</w:t>
      </w:r>
      <w:r>
        <w:fldChar w:fldCharType="end"/>
      </w:r>
      <w:r>
        <w:t>)</w:t>
      </w:r>
    </w:p>
    <w:p w14:paraId="0E413A8F">
      <w:pPr>
        <w:pStyle w:val="58"/>
        <w:ind w:left="284" w:firstLine="0"/>
      </w:pPr>
      <w: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t>art. 156, §8º, da Lei nº 14.133, de 2021</w:t>
      </w:r>
      <w:r>
        <w:fldChar w:fldCharType="end"/>
      </w:r>
      <w:r>
        <w:t>).</w:t>
      </w:r>
    </w:p>
    <w:p w14:paraId="77703B11">
      <w:pPr>
        <w:pStyle w:val="58"/>
        <w:ind w:left="284" w:firstLine="0"/>
      </w:pPr>
      <w:r>
        <w:t>Previamente ao encaminhamento à cobrança judicial, a multa poderá ser recolhida administrativamente no prazo máximo de 10 (dez) dias, a contar da data do recebimento da comunicação enviada pela autoridade competente.</w:t>
      </w:r>
      <w:bookmarkStart w:id="8" w:name="_Hlk78351618"/>
      <w:bookmarkEnd w:id="8"/>
    </w:p>
    <w:p w14:paraId="2796E114">
      <w:pPr>
        <w:pStyle w:val="56"/>
        <w:numPr>
          <w:ilvl w:val="1"/>
          <w:numId w:val="3"/>
        </w:numPr>
        <w:ind w:left="0" w:firstLine="0"/>
      </w:pPr>
      <w:r>
        <w:t xml:space="preserve">A aplicação das sanções realizar-se-á em processo administrativo que assegure o contraditório e a ampla defesa ao Contratado, observando-se o procedimento previsto no caput e parágrafos do </w:t>
      </w:r>
      <w:r>
        <w:fldChar w:fldCharType="begin"/>
      </w:r>
      <w:r>
        <w:instrText xml:space="preserve"> HYPERLINK "http://www.planalto.gov.br/ccivil_03/_ato2019-2022/2021/lei/L14133.htm" \l "art158" </w:instrText>
      </w:r>
      <w:r>
        <w:fldChar w:fldCharType="separate"/>
      </w:r>
      <w:r>
        <w:t>art. 158 da Lei nº 14.133, de 2021</w:t>
      </w:r>
      <w:r>
        <w:fldChar w:fldCharType="end"/>
      </w:r>
      <w:r>
        <w:t>, para as penalidades de impedimento de licitar e contratar e de declaração de inidoneidade para licitar ou contratar.</w:t>
      </w:r>
    </w:p>
    <w:p w14:paraId="6245974D">
      <w:pPr>
        <w:pStyle w:val="56"/>
        <w:numPr>
          <w:ilvl w:val="1"/>
          <w:numId w:val="3"/>
        </w:numPr>
        <w:ind w:left="0" w:firstLine="0"/>
      </w:pPr>
      <w:r>
        <w:t>Na aplicação das sanções serão considerados (</w:t>
      </w:r>
      <w:r>
        <w:fldChar w:fldCharType="begin"/>
      </w:r>
      <w:r>
        <w:instrText xml:space="preserve"> HYPERLINK "http://www.planalto.gov.br/ccivil_03/_ato2019-2022/2021/lei/L14133.htm" \l "art156§1" </w:instrText>
      </w:r>
      <w:r>
        <w:fldChar w:fldCharType="separate"/>
      </w:r>
      <w:r>
        <w:t>art. 156, §1º, da Lei nº 14.133, de 2021</w:t>
      </w:r>
      <w:r>
        <w:fldChar w:fldCharType="end"/>
      </w:r>
      <w:r>
        <w:t>):</w:t>
      </w:r>
    </w:p>
    <w:p w14:paraId="22CA596A">
      <w:pPr>
        <w:numPr>
          <w:ilvl w:val="0"/>
          <w:numId w:val="7"/>
        </w:numPr>
        <w:suppressAutoHyphens/>
        <w:spacing w:before="120" w:after="120" w:line="276" w:lineRule="auto"/>
        <w:ind w:left="284" w:firstLine="0"/>
        <w:contextualSpacing/>
        <w:jc w:val="both"/>
        <w:rPr>
          <w:rFonts w:ascii="Arial" w:hAnsi="Arial" w:eastAsia="Arial" w:cs="Arial"/>
          <w:sz w:val="20"/>
          <w:szCs w:val="20"/>
        </w:rPr>
      </w:pPr>
      <w:r>
        <w:rPr>
          <w:rFonts w:ascii="Arial" w:hAnsi="Arial" w:eastAsia="Arial" w:cs="Arial"/>
          <w:sz w:val="20"/>
          <w:szCs w:val="20"/>
        </w:rPr>
        <w:t>a natureza e a gravidade da infração cometida;</w:t>
      </w:r>
    </w:p>
    <w:p w14:paraId="47D4F553">
      <w:pPr>
        <w:numPr>
          <w:ilvl w:val="0"/>
          <w:numId w:val="7"/>
        </w:numPr>
        <w:suppressAutoHyphens/>
        <w:spacing w:before="120" w:after="120" w:line="276" w:lineRule="auto"/>
        <w:ind w:left="284" w:firstLine="0"/>
        <w:contextualSpacing/>
        <w:jc w:val="both"/>
        <w:rPr>
          <w:rFonts w:ascii="Arial" w:hAnsi="Arial" w:eastAsia="Arial" w:cs="Arial"/>
          <w:sz w:val="20"/>
          <w:szCs w:val="20"/>
        </w:rPr>
      </w:pPr>
      <w:r>
        <w:rPr>
          <w:rFonts w:ascii="Arial" w:hAnsi="Arial" w:eastAsia="Arial" w:cs="Arial"/>
          <w:sz w:val="20"/>
          <w:szCs w:val="20"/>
        </w:rPr>
        <w:t>as peculiaridades do caso concreto;</w:t>
      </w:r>
    </w:p>
    <w:p w14:paraId="4FD4455F">
      <w:pPr>
        <w:numPr>
          <w:ilvl w:val="0"/>
          <w:numId w:val="7"/>
        </w:numPr>
        <w:suppressAutoHyphens/>
        <w:spacing w:before="120" w:after="120" w:line="276" w:lineRule="auto"/>
        <w:ind w:left="284" w:firstLine="0"/>
        <w:contextualSpacing/>
        <w:jc w:val="both"/>
        <w:rPr>
          <w:rFonts w:ascii="Arial" w:hAnsi="Arial" w:eastAsia="Arial" w:cs="Arial"/>
          <w:sz w:val="20"/>
          <w:szCs w:val="20"/>
        </w:rPr>
      </w:pPr>
      <w:r>
        <w:rPr>
          <w:rFonts w:ascii="Arial" w:hAnsi="Arial" w:eastAsia="Arial" w:cs="Arial"/>
          <w:sz w:val="20"/>
          <w:szCs w:val="20"/>
        </w:rPr>
        <w:t>as circunstâncias agravantes ou atenuantes;</w:t>
      </w:r>
    </w:p>
    <w:p w14:paraId="1D762DA6">
      <w:pPr>
        <w:numPr>
          <w:ilvl w:val="0"/>
          <w:numId w:val="7"/>
        </w:numPr>
        <w:suppressAutoHyphens/>
        <w:spacing w:before="120" w:after="120" w:line="276" w:lineRule="auto"/>
        <w:ind w:left="284" w:firstLine="0"/>
        <w:contextualSpacing/>
        <w:jc w:val="both"/>
        <w:rPr>
          <w:rFonts w:ascii="Arial" w:hAnsi="Arial" w:eastAsia="Arial" w:cs="Arial"/>
          <w:sz w:val="20"/>
          <w:szCs w:val="20"/>
        </w:rPr>
      </w:pPr>
      <w:r>
        <w:rPr>
          <w:rFonts w:ascii="Arial" w:hAnsi="Arial" w:eastAsia="Arial" w:cs="Arial"/>
          <w:sz w:val="20"/>
          <w:szCs w:val="20"/>
        </w:rPr>
        <w:t>os danos que dela provierem para o Contratante;</w:t>
      </w:r>
    </w:p>
    <w:p w14:paraId="59C1EE81">
      <w:pPr>
        <w:numPr>
          <w:ilvl w:val="0"/>
          <w:numId w:val="7"/>
        </w:numPr>
        <w:suppressAutoHyphens/>
        <w:spacing w:before="120" w:after="120" w:line="276" w:lineRule="auto"/>
        <w:ind w:left="284" w:firstLine="0"/>
        <w:contextualSpacing/>
        <w:jc w:val="both"/>
        <w:rPr>
          <w:rFonts w:ascii="Arial" w:hAnsi="Arial" w:eastAsia="Arial" w:cs="Arial"/>
          <w:sz w:val="20"/>
          <w:szCs w:val="20"/>
        </w:rPr>
      </w:pPr>
      <w:r>
        <w:rPr>
          <w:rFonts w:ascii="Arial" w:hAnsi="Arial" w:eastAsia="Arial" w:cs="Arial"/>
          <w:sz w:val="20"/>
          <w:szCs w:val="20"/>
        </w:rPr>
        <w:t>a implantação ou o aperfeiçoamento de programa de integridade, conforme normas e orientações dos órgãos de controle.</w:t>
      </w:r>
    </w:p>
    <w:p w14:paraId="7FE7A35A">
      <w:pPr>
        <w:pStyle w:val="56"/>
        <w:numPr>
          <w:ilvl w:val="1"/>
          <w:numId w:val="3"/>
        </w:numPr>
        <w:ind w:left="0" w:firstLine="0"/>
      </w:pPr>
      <w:r>
        <w:t xml:space="preserve">Os atos previstos como infrações administrativas na </w:t>
      </w:r>
      <w:r>
        <w:fldChar w:fldCharType="begin"/>
      </w:r>
      <w:r>
        <w:instrText xml:space="preserve"> HYPERLINK "http://www.planalto.gov.br/ccivil_03/_ato2019-2022/2021/lei/L14133.htm" </w:instrText>
      </w:r>
      <w:r>
        <w:fldChar w:fldCharType="separate"/>
      </w:r>
      <w:r>
        <w:t>Lei nº 14.133, de 2021</w:t>
      </w:r>
      <w:r>
        <w:fldChar w:fldCharType="end"/>
      </w:r>
      <w: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t>na Lei nº 12.846, de 2013</w:t>
      </w:r>
      <w:r>
        <w:fldChar w:fldCharType="end"/>
      </w:r>
      <w: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t>Lei (art. 159</w:t>
      </w:r>
      <w:r>
        <w:fldChar w:fldCharType="end"/>
      </w:r>
      <w:r>
        <w:t>).</w:t>
      </w:r>
    </w:p>
    <w:p w14:paraId="7472A163">
      <w:pPr>
        <w:pStyle w:val="56"/>
        <w:numPr>
          <w:ilvl w:val="1"/>
          <w:numId w:val="3"/>
        </w:numPr>
        <w:ind w:left="0" w:firstLine="0"/>
      </w:pPr>
      <w: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t>art. 160, da Lei nº 14.133, de 2021</w:t>
      </w:r>
      <w:r>
        <w:fldChar w:fldCharType="end"/>
      </w:r>
      <w:r>
        <w:t>)</w:t>
      </w:r>
    </w:p>
    <w:p w14:paraId="6CA6502B">
      <w:pPr>
        <w:pStyle w:val="56"/>
        <w:numPr>
          <w:ilvl w:val="1"/>
          <w:numId w:val="3"/>
        </w:numPr>
        <w:ind w:left="0" w:firstLine="0"/>
      </w:pPr>
      <w: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fldChar w:fldCharType="begin"/>
      </w:r>
      <w:r>
        <w:instrText xml:space="preserve"> HYPERLINK "http://www.planalto.gov.br/ccivil_03/_ato2019-2022/2021/lei/L14133.htm" \l "art161" \h </w:instrText>
      </w:r>
      <w:r>
        <w:fldChar w:fldCharType="separate"/>
      </w:r>
      <w:r>
        <w:t>Art. 161, da Lei nº 14.133, de 2021</w:t>
      </w:r>
      <w:r>
        <w:fldChar w:fldCharType="end"/>
      </w:r>
      <w:r>
        <w:t>)</w:t>
      </w:r>
    </w:p>
    <w:p w14:paraId="435E6F8B">
      <w:pPr>
        <w:pStyle w:val="56"/>
        <w:numPr>
          <w:ilvl w:val="1"/>
          <w:numId w:val="3"/>
        </w:numPr>
        <w:ind w:left="0" w:firstLine="0"/>
      </w:pPr>
      <w: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t>art. 163 da Lei nº 14.133/21.</w:t>
      </w:r>
      <w:r>
        <w:fldChar w:fldCharType="end"/>
      </w:r>
    </w:p>
    <w:p w14:paraId="18E9ECF5">
      <w:pPr>
        <w:pStyle w:val="56"/>
        <w:numPr>
          <w:ilvl w:val="1"/>
          <w:numId w:val="3"/>
        </w:numPr>
        <w:ind w:left="0" w:firstLine="0"/>
      </w:pPr>
      <w: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t>Instrução Normativa SEGES/ME nº 26, de 13 de abril de 2022</w:t>
      </w:r>
      <w:r>
        <w:fldChar w:fldCharType="end"/>
      </w:r>
      <w:r>
        <w:t xml:space="preserve">. </w:t>
      </w:r>
    </w:p>
    <w:p w14:paraId="61343517">
      <w:pPr>
        <w:pStyle w:val="39"/>
        <w:numPr>
          <w:ilvl w:val="0"/>
          <w:numId w:val="3"/>
        </w:numPr>
      </w:pPr>
      <w:r>
        <w:t>CLÁUSULA DÉCIMA TERCEIRA – DA EXTINÇÃO CONTRATUAL (</w:t>
      </w:r>
      <w:r>
        <w:fldChar w:fldCharType="begin"/>
      </w:r>
      <w:r>
        <w:instrText xml:space="preserve"> HYPERLINK "http://www.planalto.gov.br/ccivil_03/_ato2019-2022/2021/lei/L14133.htm" \l "art92" </w:instrText>
      </w:r>
      <w:r>
        <w:fldChar w:fldCharType="separate"/>
      </w:r>
      <w:r>
        <w:t>art. 92, XIX</w:t>
      </w:r>
      <w:r>
        <w:fldChar w:fldCharType="end"/>
      </w:r>
      <w:r>
        <w:t>)</w:t>
      </w:r>
    </w:p>
    <w:p w14:paraId="7437C117">
      <w:pPr>
        <w:pStyle w:val="56"/>
        <w:numPr>
          <w:ilvl w:val="1"/>
          <w:numId w:val="3"/>
        </w:numPr>
        <w:ind w:left="0" w:firstLine="0"/>
      </w:pPr>
      <w:r>
        <w:t>O contrato será extinto quando vencido o prazo nele estipulado, independentemente de terem sido cumpridas ou não as obrigações de ambas as partes contraentes.</w:t>
      </w:r>
    </w:p>
    <w:p w14:paraId="19F79614">
      <w:pPr>
        <w:pStyle w:val="56"/>
        <w:numPr>
          <w:ilvl w:val="1"/>
          <w:numId w:val="3"/>
        </w:numPr>
        <w:ind w:left="0" w:firstLine="0"/>
      </w:pPr>
      <w:r>
        <w:t>O contrato poderá ser extinto antes do prazo nele fixado, sem ônus para o contratante, quando esta não dispuser de créditos orçamentários para sua continuidade ou quando entender que o contrato não mais lhe oferece vantagem.</w:t>
      </w:r>
    </w:p>
    <w:p w14:paraId="4A454785">
      <w:pPr>
        <w:pStyle w:val="58"/>
        <w:ind w:left="284" w:firstLine="0"/>
      </w:pPr>
      <w:r>
        <w:t>A extinção nesta hipótese ocorrerá na próxima data de aniversário do contrato, desde que haja a notificação do contratado pelo contratante nesse sentido com pelo menos 2 (dois) meses de antecedência desse dia.</w:t>
      </w:r>
    </w:p>
    <w:p w14:paraId="5ED59361">
      <w:pPr>
        <w:pStyle w:val="58"/>
        <w:ind w:left="284" w:firstLine="0"/>
      </w:pPr>
      <w:r>
        <w:t>Caso a notificação da não-continuidade do contrato de que trata este subitem ocorra com menos de 2 (dois) meses da data de aniversário, a extinção contratual ocorrerá após 2 (dois) meses da data da comunicação.</w:t>
      </w:r>
    </w:p>
    <w:p w14:paraId="3B45279E">
      <w:pPr>
        <w:pStyle w:val="56"/>
        <w:numPr>
          <w:ilvl w:val="1"/>
          <w:numId w:val="3"/>
        </w:numPr>
        <w:ind w:left="0" w:firstLine="0"/>
      </w:pPr>
      <w: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\h </w:instrText>
      </w:r>
      <w:r>
        <w:fldChar w:fldCharType="separate"/>
      </w:r>
      <w:r>
        <w:t>artigo 137 da Lei nº 14.133/21</w:t>
      </w:r>
      <w:r>
        <w:fldChar w:fldCharType="end"/>
      </w:r>
      <w:r>
        <w:t>, bem como amigavelmente, assegurados o contraditório e a ampla defesa.</w:t>
      </w:r>
    </w:p>
    <w:p w14:paraId="670D9E74">
      <w:pPr>
        <w:pStyle w:val="58"/>
        <w:ind w:left="284" w:firstLine="0"/>
      </w:pPr>
      <w:r>
        <w:t xml:space="preserve">Nesta hipótese, aplicam-se também os </w:t>
      </w:r>
      <w:r>
        <w:fldChar w:fldCharType="begin"/>
      </w:r>
      <w:r>
        <w:instrText xml:space="preserve"> HYPERLINK "http://www.planalto.gov.br/ccivil_03/_ato2019-2022/2021/lei/L14133.htm" \l "art138" </w:instrText>
      </w:r>
      <w:r>
        <w:fldChar w:fldCharType="separate"/>
      </w:r>
      <w:r>
        <w:t>artigos 138 e 139</w:t>
      </w:r>
      <w:r>
        <w:fldChar w:fldCharType="end"/>
      </w:r>
      <w:r>
        <w:t xml:space="preserve"> da mesma Lei.</w:t>
      </w:r>
    </w:p>
    <w:p w14:paraId="1084C1FA">
      <w:pPr>
        <w:pStyle w:val="58"/>
        <w:ind w:left="284" w:firstLine="0"/>
      </w:pPr>
      <w:r>
        <w:t>A alteração social ou a modificação da finalidade ou da estrutura da empresa não ensejará a extinção se não restringir sua capacidade de concluir o contrato.</w:t>
      </w:r>
    </w:p>
    <w:p w14:paraId="501254A2">
      <w:pPr>
        <w:pStyle w:val="59"/>
      </w:pPr>
      <w:r>
        <w:rPr>
          <w:color w:val="000000" w:themeColor="text1"/>
          <w14:textFill>
            <w14:solidFill>
              <w14:schemeClr w14:val="tx1"/>
            </w14:solidFill>
          </w14:textFill>
        </w:rPr>
        <w:t xml:space="preserve">Se a operação </w:t>
      </w:r>
      <w:r>
        <w:t>implicar mudança da pessoa jurídica contratada, deverá ser formalizado termo aditivo para alteração subjetiva.</w:t>
      </w:r>
    </w:p>
    <w:p w14:paraId="6A45A942">
      <w:pPr>
        <w:pStyle w:val="56"/>
        <w:numPr>
          <w:ilvl w:val="1"/>
          <w:numId w:val="3"/>
        </w:numPr>
        <w:ind w:left="0" w:firstLine="0"/>
      </w:pPr>
      <w:r>
        <w:t>O termo de extinção, sempre que possível, será precedido:</w:t>
      </w:r>
    </w:p>
    <w:p w14:paraId="0D7B4416">
      <w:pPr>
        <w:pStyle w:val="58"/>
        <w:ind w:left="284" w:firstLine="0"/>
      </w:pPr>
      <w:r>
        <w:t>Balanço dos eventos contratuais já cumpridos ou parcialmente cumpridos;</w:t>
      </w:r>
    </w:p>
    <w:p w14:paraId="4CEFC42D">
      <w:pPr>
        <w:pStyle w:val="58"/>
        <w:ind w:left="284" w:firstLine="0"/>
      </w:pPr>
      <w:r>
        <w:t>Relação dos pagamentos já efetuados e ainda devidos;</w:t>
      </w:r>
    </w:p>
    <w:p w14:paraId="2545D76E">
      <w:pPr>
        <w:pStyle w:val="58"/>
        <w:ind w:left="284" w:firstLine="0"/>
      </w:pPr>
      <w:r>
        <w:t>Indenizações e multas.</w:t>
      </w:r>
    </w:p>
    <w:p w14:paraId="03664BB7">
      <w:pPr>
        <w:pStyle w:val="56"/>
        <w:numPr>
          <w:ilvl w:val="1"/>
          <w:numId w:val="3"/>
        </w:numPr>
        <w:ind w:left="0" w:firstLine="0"/>
      </w:pPr>
      <w: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\h </w:instrText>
      </w:r>
      <w:r>
        <w:fldChar w:fldCharType="separate"/>
      </w:r>
      <w:r>
        <w:t>art. 131, caput, da Lei n.º 14.133, de 2021).</w:t>
      </w:r>
      <w:r>
        <w:fldChar w:fldCharType="end"/>
      </w:r>
      <w:r>
        <w:t xml:space="preserve"> </w:t>
      </w:r>
    </w:p>
    <w:p w14:paraId="70D3A2E6">
      <w:pPr>
        <w:pStyle w:val="56"/>
        <w:numPr>
          <w:ilvl w:val="1"/>
          <w:numId w:val="3"/>
        </w:numPr>
        <w:ind w:left="0" w:firstLine="0"/>
      </w:pPr>
      <w: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41539FC4">
      <w:pPr>
        <w:pStyle w:val="56"/>
        <w:numPr>
          <w:ilvl w:val="1"/>
          <w:numId w:val="3"/>
        </w:numPr>
        <w:ind w:left="0" w:firstLine="0"/>
      </w:pPr>
      <w:r>
        <w:t xml:space="preserve">O contratante poderá conceder prazo para que o contratado regularize suas obrigações trabalhistas ou suas condições de habilitação, sob pena de extinção contratual, quando não identificar má-fé ou a incapacidade de correção. </w:t>
      </w:r>
    </w:p>
    <w:p w14:paraId="634561EE">
      <w:pPr>
        <w:pStyle w:val="56"/>
        <w:numPr>
          <w:ilvl w:val="1"/>
          <w:numId w:val="3"/>
        </w:numPr>
        <w:ind w:left="0" w:firstLine="0"/>
      </w:pPr>
      <w: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391E705E">
      <w:pPr>
        <w:pStyle w:val="56"/>
        <w:numPr>
          <w:ilvl w:val="1"/>
          <w:numId w:val="3"/>
        </w:numPr>
        <w:ind w:left="0" w:firstLine="0"/>
      </w:pPr>
      <w:r>
        <w:t xml:space="preserve">Até que o contratado comprove o disposto no item anterior, o contratante reterá: </w:t>
      </w:r>
    </w:p>
    <w:p w14:paraId="2C7C5E83">
      <w:pPr>
        <w:pStyle w:val="58"/>
        <w:ind w:left="284" w:firstLine="0"/>
      </w:pPr>
      <w: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(art. 121, § 3º, I, e art. 139, III, b, da Lei n.º 14.133/2021); e</w:t>
      </w:r>
    </w:p>
    <w:p w14:paraId="320491BF">
      <w:pPr>
        <w:pStyle w:val="58"/>
        <w:ind w:left="284" w:firstLine="0"/>
      </w:pPr>
      <w:r>
        <w:t>os valores das Notas fiscais ou Faturas correspondentes em valor proporcional ao inadimplemento, até que a situação seja regularizada.</w:t>
      </w:r>
    </w:p>
    <w:p w14:paraId="1B24E930">
      <w:pPr>
        <w:pStyle w:val="56"/>
        <w:numPr>
          <w:ilvl w:val="1"/>
          <w:numId w:val="3"/>
        </w:numPr>
        <w:ind w:left="0" w:firstLine="0"/>
      </w:pPr>
      <w:r>
        <w:t>Na hipótese do subitem anterior, não havendo quitação das obrigações por parte do contratado no prazo de 15 (quinze) dias, o contratante poderá efetuar o pagamento das obrigações diretamente aos empregados que tenham participado da execução dos serviços objeto do contrato, deduzindo o respectivo valor do pagamento devido ao contratado (art. 121, §3º, inciso II, da Lei nº 14.133/2021).</w:t>
      </w:r>
    </w:p>
    <w:p w14:paraId="1BE03E07">
      <w:pPr>
        <w:pStyle w:val="56"/>
        <w:numPr>
          <w:ilvl w:val="1"/>
          <w:numId w:val="3"/>
        </w:numPr>
        <w:ind w:left="0" w:firstLine="0"/>
      </w:pPr>
      <w:r>
        <w:t xml:space="preserve">O contratante poderá ainda: </w:t>
      </w:r>
    </w:p>
    <w:p w14:paraId="30DDEBE3">
      <w:pPr>
        <w:pStyle w:val="58"/>
        <w:ind w:left="284" w:firstLine="0"/>
      </w:pPr>
      <w:r>
        <w:t xml:space="preserve">nos casos de obrigação de pagamento de multa pelo contratado, reter a garantia prestada a ser executada (art. 139, III, “c”, da Lei n.º 14.133/2021), conforme legislação que rege a matéria; e </w:t>
      </w:r>
    </w:p>
    <w:p w14:paraId="0189D543">
      <w:pPr>
        <w:pStyle w:val="58"/>
        <w:ind w:left="284" w:firstLine="0"/>
      </w:pPr>
      <w:r>
        <w:t>nos casos em que houver necessidade de ressarcimento de prejuízos causados à Administração, nos termos do inciso IV do art. 139 da Lei n.º 14.133, de 2021, reter os eventuais créditos existentes em favor do contratado decorrentes do contrato.</w:t>
      </w:r>
    </w:p>
    <w:p w14:paraId="3CBE08C3">
      <w:pPr>
        <w:pStyle w:val="56"/>
        <w:numPr>
          <w:ilvl w:val="1"/>
          <w:numId w:val="3"/>
        </w:numPr>
        <w:ind w:left="0" w:firstLine="0"/>
      </w:pPr>
      <w: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14:paraId="06735A2A">
      <w:pPr>
        <w:pStyle w:val="39"/>
        <w:numPr>
          <w:ilvl w:val="0"/>
          <w:numId w:val="3"/>
        </w:numPr>
      </w:pPr>
      <w:r>
        <w:t>CLÁUSULA DÉCIMA QUARTA – DOTAÇÃO ORÇAMENTÁRIA (</w:t>
      </w:r>
      <w:r>
        <w:fldChar w:fldCharType="begin"/>
      </w:r>
      <w:r>
        <w:instrText xml:space="preserve"> HYPERLINK "http://www.planalto.gov.br/ccivil_03/_ato2019-2022/2021/lei/L14133.htm" \l "art92" \h </w:instrText>
      </w:r>
      <w:r>
        <w:fldChar w:fldCharType="separate"/>
      </w:r>
      <w:r>
        <w:t>art. 92, VIII</w:t>
      </w:r>
      <w:r>
        <w:fldChar w:fldCharType="end"/>
      </w:r>
      <w:r>
        <w:t>)</w:t>
      </w:r>
    </w:p>
    <w:p w14:paraId="1256B6F5">
      <w:pPr>
        <w:pStyle w:val="56"/>
        <w:numPr>
          <w:ilvl w:val="1"/>
          <w:numId w:val="3"/>
        </w:numPr>
        <w:ind w:left="0" w:firstLine="0"/>
      </w:pPr>
      <w:r>
        <w:t>As despesas decorrentes da presente contratação correrão à conta de recursos específicos consignados no Orçamento Geral da União deste exercício, na dotação abaixo discriminada:</w:t>
      </w:r>
    </w:p>
    <w:p w14:paraId="23B5833D">
      <w:pPr>
        <w:numPr>
          <w:ilvl w:val="1"/>
          <w:numId w:val="8"/>
        </w:numPr>
        <w:suppressAutoHyphens/>
        <w:spacing w:before="120" w:after="120" w:line="276" w:lineRule="auto"/>
        <w:ind w:left="284" w:firstLine="1134"/>
        <w:jc w:val="both"/>
        <w:rPr>
          <w:rFonts w:ascii="Arial" w:hAnsi="Arial" w:eastAsia="Arial" w:cs="Arial"/>
          <w:sz w:val="20"/>
          <w:szCs w:val="20"/>
        </w:rPr>
      </w:pPr>
      <w:r>
        <w:rPr>
          <w:rFonts w:ascii="Arial" w:hAnsi="Arial" w:eastAsia="Arial" w:cs="Arial"/>
          <w:sz w:val="20"/>
          <w:szCs w:val="20"/>
        </w:rPr>
        <w:t xml:space="preserve">Gestão/Unidade: </w:t>
      </w:r>
    </w:p>
    <w:p w14:paraId="0578716A">
      <w:pPr>
        <w:numPr>
          <w:ilvl w:val="1"/>
          <w:numId w:val="8"/>
        </w:numPr>
        <w:suppressAutoHyphens/>
        <w:spacing w:before="120" w:after="120" w:line="276" w:lineRule="auto"/>
        <w:ind w:left="284" w:firstLine="1134"/>
        <w:jc w:val="both"/>
        <w:rPr>
          <w:rFonts w:ascii="Arial" w:hAnsi="Arial" w:eastAsia="Arial" w:cs="Arial"/>
          <w:sz w:val="20"/>
          <w:szCs w:val="20"/>
        </w:rPr>
      </w:pPr>
      <w:r>
        <w:rPr>
          <w:rFonts w:ascii="Arial" w:hAnsi="Arial" w:eastAsia="Arial" w:cs="Arial"/>
          <w:sz w:val="20"/>
          <w:szCs w:val="20"/>
        </w:rPr>
        <w:t xml:space="preserve">Fonte de Recursos:  </w:t>
      </w:r>
    </w:p>
    <w:p w14:paraId="78A39019">
      <w:pPr>
        <w:numPr>
          <w:ilvl w:val="1"/>
          <w:numId w:val="8"/>
        </w:numPr>
        <w:suppressAutoHyphens/>
        <w:spacing w:before="120" w:after="120" w:line="276" w:lineRule="auto"/>
        <w:ind w:left="284" w:firstLine="1134"/>
        <w:jc w:val="both"/>
        <w:rPr>
          <w:rFonts w:ascii="Arial" w:hAnsi="Arial" w:eastAsia="Arial" w:cs="Arial"/>
          <w:sz w:val="20"/>
          <w:szCs w:val="20"/>
        </w:rPr>
      </w:pPr>
      <w:r>
        <w:rPr>
          <w:rFonts w:ascii="Arial" w:hAnsi="Arial" w:eastAsia="Arial" w:cs="Arial"/>
          <w:sz w:val="20"/>
          <w:szCs w:val="20"/>
        </w:rPr>
        <w:t xml:space="preserve">Programa de Trabalho: </w:t>
      </w:r>
    </w:p>
    <w:p w14:paraId="35DC0FCF">
      <w:pPr>
        <w:numPr>
          <w:ilvl w:val="1"/>
          <w:numId w:val="8"/>
        </w:numPr>
        <w:suppressAutoHyphens/>
        <w:spacing w:before="120" w:after="120" w:line="276" w:lineRule="auto"/>
        <w:ind w:left="284" w:firstLine="1134"/>
        <w:jc w:val="both"/>
        <w:rPr>
          <w:rFonts w:ascii="Arial" w:hAnsi="Arial" w:eastAsia="Arial" w:cs="Arial"/>
          <w:sz w:val="20"/>
          <w:szCs w:val="20"/>
        </w:rPr>
      </w:pPr>
      <w:r>
        <w:rPr>
          <w:rFonts w:ascii="Arial" w:hAnsi="Arial" w:eastAsia="Arial" w:cs="Arial"/>
          <w:sz w:val="20"/>
          <w:szCs w:val="20"/>
        </w:rPr>
        <w:t xml:space="preserve">Elemento de Despesa: </w:t>
      </w:r>
    </w:p>
    <w:p w14:paraId="5657546F">
      <w:pPr>
        <w:numPr>
          <w:ilvl w:val="1"/>
          <w:numId w:val="8"/>
        </w:numPr>
        <w:suppressAutoHyphens/>
        <w:spacing w:before="120" w:after="120" w:line="276" w:lineRule="auto"/>
        <w:ind w:left="284" w:firstLine="1134"/>
        <w:jc w:val="both"/>
        <w:rPr>
          <w:rFonts w:ascii="Arial" w:hAnsi="Arial" w:eastAsia="Arial" w:cs="Arial"/>
          <w:sz w:val="20"/>
          <w:szCs w:val="20"/>
        </w:rPr>
      </w:pPr>
      <w:r>
        <w:rPr>
          <w:rFonts w:ascii="Arial" w:hAnsi="Arial" w:eastAsia="Arial" w:cs="Arial"/>
          <w:sz w:val="20"/>
          <w:szCs w:val="20"/>
        </w:rPr>
        <w:t xml:space="preserve">Plano Interno: </w:t>
      </w:r>
    </w:p>
    <w:p w14:paraId="6F4F172A">
      <w:pPr>
        <w:numPr>
          <w:ilvl w:val="1"/>
          <w:numId w:val="8"/>
        </w:numPr>
        <w:suppressAutoHyphens/>
        <w:spacing w:before="120" w:after="120" w:line="276" w:lineRule="auto"/>
        <w:ind w:left="284" w:firstLine="1134"/>
        <w:jc w:val="both"/>
        <w:rPr>
          <w:rFonts w:ascii="Arial" w:hAnsi="Arial" w:eastAsia="Arial" w:cs="Arial"/>
          <w:sz w:val="20"/>
          <w:szCs w:val="20"/>
        </w:rPr>
      </w:pPr>
      <w:r>
        <w:rPr>
          <w:rFonts w:ascii="Arial" w:hAnsi="Arial" w:eastAsia="Arial" w:cs="Arial"/>
          <w:sz w:val="20"/>
          <w:szCs w:val="20"/>
        </w:rPr>
        <w:t>Nota de Empenho:</w:t>
      </w:r>
    </w:p>
    <w:p w14:paraId="4838953A">
      <w:pPr>
        <w:pStyle w:val="56"/>
        <w:numPr>
          <w:ilvl w:val="1"/>
          <w:numId w:val="3"/>
        </w:numPr>
        <w:ind w:left="0" w:firstLine="0"/>
      </w:pPr>
      <w:r>
        <w:t>A dotação relativa aos exercícios financeiros subsequentes será indicada após aprovação da Lei Orçamentária respectiva e liberação dos créditos correspondentes, mediante apostilamento.</w:t>
      </w:r>
    </w:p>
    <w:p w14:paraId="49FE1A8A">
      <w:pPr>
        <w:pStyle w:val="39"/>
        <w:numPr>
          <w:ilvl w:val="0"/>
          <w:numId w:val="3"/>
        </w:numPr>
      </w:pPr>
      <w:r>
        <w:t>CLÁUSULA DÉCIMA QUINTA – DOS CASOS OMISSOS (</w:t>
      </w:r>
      <w:r>
        <w:fldChar w:fldCharType="begin"/>
      </w:r>
      <w:r>
        <w:instrText xml:space="preserve"> HYPERLINK "http://www.planalto.gov.br/ccivil_03/_ato2019-2022/2021/lei/L14133.htm" \l "art92" \h </w:instrText>
      </w:r>
      <w:r>
        <w:fldChar w:fldCharType="separate"/>
      </w:r>
      <w:r>
        <w:t>art. 92, III</w:t>
      </w:r>
      <w:r>
        <w:fldChar w:fldCharType="end"/>
      </w:r>
      <w:r>
        <w:t>)</w:t>
      </w:r>
    </w:p>
    <w:p w14:paraId="344D0729">
      <w:pPr>
        <w:pStyle w:val="56"/>
        <w:numPr>
          <w:ilvl w:val="1"/>
          <w:numId w:val="3"/>
        </w:numPr>
        <w:ind w:left="0" w:firstLine="0"/>
      </w:pPr>
      <w:r>
        <w:t xml:space="preserve">Os casos omissos serão decididos pelo contratante, segundo as disposições contidas na </w:t>
      </w:r>
      <w:r>
        <w:fldChar w:fldCharType="begin"/>
      </w:r>
      <w:r>
        <w:instrText xml:space="preserve"> HYPERLINK "http://www.planalto.gov.br/ccivil_03/_ato2019-2022/2021/lei/L14133.htm" \h </w:instrText>
      </w:r>
      <w:r>
        <w:fldChar w:fldCharType="separate"/>
      </w:r>
      <w:r>
        <w:t>Lei nº 14.133, de 2021</w:t>
      </w:r>
      <w:r>
        <w:fldChar w:fldCharType="end"/>
      </w:r>
      <w:r>
        <w:t xml:space="preserve">, e demais normas federais aplicáveis e, subsidiariamente, segundo as disposições contidas na </w:t>
      </w:r>
      <w:r>
        <w:fldChar w:fldCharType="begin"/>
      </w:r>
      <w:r>
        <w:instrText xml:space="preserve"> HYPERLINK "https://www.planalto.gov.br/ccivil_03/leis/l8078compilado.htm" \h </w:instrText>
      </w:r>
      <w:r>
        <w:fldChar w:fldCharType="separate"/>
      </w:r>
      <w:r>
        <w:t>Lei nº 8.078, de 1990 – Código de Defesa do Consumidor</w:t>
      </w:r>
      <w:r>
        <w:fldChar w:fldCharType="end"/>
      </w:r>
      <w:r>
        <w:t xml:space="preserve"> – e normas e princípios gerais dos contratos.</w:t>
      </w:r>
    </w:p>
    <w:p w14:paraId="77AAC926">
      <w:pPr>
        <w:pStyle w:val="39"/>
        <w:numPr>
          <w:ilvl w:val="0"/>
          <w:numId w:val="3"/>
        </w:numPr>
      </w:pPr>
      <w:r>
        <w:t>CLÁUSULA DÉCIMA SEXTA – ALTERAÇÕES</w:t>
      </w:r>
    </w:p>
    <w:p w14:paraId="6DF3A2EC">
      <w:pPr>
        <w:pStyle w:val="56"/>
        <w:numPr>
          <w:ilvl w:val="1"/>
          <w:numId w:val="3"/>
        </w:numPr>
        <w:ind w:left="0" w:firstLine="0"/>
      </w:pPr>
      <w:r>
        <w:t xml:space="preserve">Eventuais alterações contratuais reger-se-ão pela disciplina dos </w:t>
      </w:r>
      <w:r>
        <w:fldChar w:fldCharType="begin"/>
      </w:r>
      <w:r>
        <w:instrText xml:space="preserve"> HYPERLINK "http://www.planalto.gov.br/ccivil_03/_ato2019-2022/2021/lei/L14133.htm" \l "art124" \h </w:instrText>
      </w:r>
      <w:r>
        <w:fldChar w:fldCharType="separate"/>
      </w:r>
      <w:r>
        <w:t>arts. 124 e seguintes da Lei nº 14.133, de 2021</w:t>
      </w:r>
      <w:r>
        <w:fldChar w:fldCharType="end"/>
      </w:r>
      <w:r>
        <w:t>.</w:t>
      </w:r>
    </w:p>
    <w:p w14:paraId="36BE3C22">
      <w:pPr>
        <w:pStyle w:val="56"/>
        <w:numPr>
          <w:ilvl w:val="1"/>
          <w:numId w:val="3"/>
        </w:numPr>
        <w:ind w:left="0" w:firstLine="0"/>
      </w:pPr>
      <w:r>
        <w:t>O contratado é obrigado a aceitar, nas mesmas condições contratuais, os acréscimos ou supressões que se fizerem necessários, até o limite de 25% (vinte e cinco por cento) do valor inicial atualizado do contrato.</w:t>
      </w:r>
    </w:p>
    <w:p w14:paraId="7C178415">
      <w:pPr>
        <w:pStyle w:val="56"/>
        <w:numPr>
          <w:ilvl w:val="1"/>
          <w:numId w:val="3"/>
        </w:numPr>
        <w:ind w:left="0" w:firstLine="0"/>
      </w:pPr>
      <w: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3B15BCB1">
      <w:pPr>
        <w:pStyle w:val="56"/>
        <w:numPr>
          <w:ilvl w:val="1"/>
          <w:numId w:val="3"/>
        </w:numPr>
        <w:ind w:left="0" w:firstLine="0"/>
      </w:pPr>
      <w: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\h </w:instrText>
      </w:r>
      <w:r>
        <w:fldChar w:fldCharType="separate"/>
      </w:r>
      <w:r>
        <w:t>art. 136 da Lei nº 14.133, de 2021</w:t>
      </w:r>
      <w:r>
        <w:fldChar w:fldCharType="end"/>
      </w:r>
      <w:r>
        <w:t>.</w:t>
      </w:r>
    </w:p>
    <w:p w14:paraId="4BF4B20F">
      <w:pPr>
        <w:pStyle w:val="39"/>
        <w:numPr>
          <w:ilvl w:val="0"/>
          <w:numId w:val="3"/>
        </w:numPr>
      </w:pPr>
      <w:r>
        <w:t>CLÁUSULA DÉCIMA SÉTIMA – PUBLICAÇÃO</w:t>
      </w:r>
    </w:p>
    <w:p w14:paraId="055FC88A">
      <w:pPr>
        <w:pStyle w:val="56"/>
        <w:numPr>
          <w:ilvl w:val="1"/>
          <w:numId w:val="3"/>
        </w:numPr>
        <w:ind w:left="0" w:firstLine="0"/>
      </w:pPr>
      <w: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\h </w:instrText>
      </w:r>
      <w:r>
        <w:fldChar w:fldCharType="separate"/>
      </w:r>
      <w:r>
        <w:t>art. 94 da Lei 14.133, de 2021</w:t>
      </w:r>
      <w:r>
        <w:fldChar w:fldCharType="end"/>
      </w:r>
      <w:r>
        <w:t xml:space="preserve">, bem como no respectivo sítio oficial na Internet, em atenção ao art. 91, caput, da Lei n.º 14.133, de 2021, e ao </w:t>
      </w:r>
      <w:r>
        <w:fldChar w:fldCharType="begin"/>
      </w:r>
      <w:r>
        <w:instrText xml:space="preserve"> HYPERLINK "https://www.planalto.gov.br/ccivil_03/_ato2011-2014/2011/lei/l12527.htm" \l "art8§2" \h </w:instrText>
      </w:r>
      <w:r>
        <w:fldChar w:fldCharType="separate"/>
      </w:r>
      <w:r>
        <w:t>art. 8º, §2º, da Lei n. 12.527, de 2011</w:t>
      </w:r>
      <w:r>
        <w:fldChar w:fldCharType="end"/>
      </w:r>
      <w:r>
        <w:t xml:space="preserve">, c/c </w:t>
      </w:r>
      <w:r>
        <w:fldChar w:fldCharType="begin"/>
      </w:r>
      <w:r>
        <w:instrText xml:space="preserve"> HYPERLINK "https://www.planalto.gov.br/ccivil_03/_ato2011-2014/2012/decreto/d7724.htm" \l "art7§3" \h </w:instrText>
      </w:r>
      <w:r>
        <w:fldChar w:fldCharType="separate"/>
      </w:r>
      <w:r>
        <w:t>art. 7º, §3º, inciso V, do Decreto n. 7.724, de 2012.</w:t>
      </w:r>
      <w:r>
        <w:fldChar w:fldCharType="end"/>
      </w:r>
      <w:r>
        <w:t xml:space="preserve"> </w:t>
      </w:r>
    </w:p>
    <w:p w14:paraId="469CF680">
      <w:pPr>
        <w:pStyle w:val="39"/>
        <w:numPr>
          <w:ilvl w:val="0"/>
          <w:numId w:val="3"/>
        </w:numPr>
      </w:pPr>
      <w:r>
        <w:t>CLÁUSULA DÉCIMA OITAVA– FORO (</w:t>
      </w:r>
      <w:r>
        <w:fldChar w:fldCharType="begin"/>
      </w:r>
      <w:r>
        <w:instrText xml:space="preserve"> HYPERLINK "http://www.planalto.gov.br/ccivil_03/_ato2019-2022/2021/lei/L14133.htm" \l "art92§1" \h </w:instrText>
      </w:r>
      <w:r>
        <w:fldChar w:fldCharType="separate"/>
      </w:r>
      <w:r>
        <w:t>art. 92, §1º</w:t>
      </w:r>
      <w:r>
        <w:fldChar w:fldCharType="end"/>
      </w:r>
      <w:r>
        <w:t>)</w:t>
      </w:r>
    </w:p>
    <w:p w14:paraId="0EA97853">
      <w:pPr>
        <w:pStyle w:val="56"/>
        <w:numPr>
          <w:ilvl w:val="1"/>
          <w:numId w:val="3"/>
        </w:numPr>
        <w:ind w:left="0" w:firstLine="0"/>
      </w:pPr>
      <w:r>
        <w:t xml:space="preserve">Fica eleito o Foro da Justiça Federal em Niterói/RJ, Seção Judiciária do Rio de Janeiro,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\h </w:instrText>
      </w:r>
      <w:r>
        <w:fldChar w:fldCharType="separate"/>
      </w:r>
      <w:r>
        <w:t>art. 92, §1º, da Lei nº 14.133/21.</w:t>
      </w:r>
      <w:r>
        <w:fldChar w:fldCharType="end"/>
      </w:r>
    </w:p>
    <w:p w14:paraId="1679CA3E">
      <w:pPr>
        <w:pStyle w:val="56"/>
        <w:numPr>
          <w:ilvl w:val="0"/>
          <w:numId w:val="0"/>
        </w:numPr>
        <w:spacing w:after="288" w:afterLines="120" w:line="312" w:lineRule="auto"/>
        <w:rPr>
          <w:i/>
          <w:iCs/>
          <w:color w:val="FF0000"/>
        </w:rPr>
      </w:pPr>
    </w:p>
    <w:p w14:paraId="107EA9D9">
      <w:pPr>
        <w:pStyle w:val="56"/>
        <w:numPr>
          <w:ilvl w:val="0"/>
          <w:numId w:val="0"/>
        </w:numPr>
        <w:spacing w:after="288" w:afterLines="120" w:line="312" w:lineRule="auto"/>
        <w:rPr>
          <w:i/>
          <w:iCs/>
          <w:color w:val="FF0000"/>
        </w:rPr>
      </w:pPr>
      <w:r>
        <w:t>Para firmeza e validade do pactuado, o presente Termo de Contrato foi lavrado em uma via eletrônica que, depois de lido e achado em ordem, vai assinado pelos contraentes e por duas testemunhas.</w:t>
      </w:r>
    </w:p>
    <w:sectPr>
      <w:headerReference r:id="rId5" w:type="first"/>
      <w:footerReference r:id="rId8" w:type="first"/>
      <w:headerReference r:id="rId3" w:type="default"/>
      <w:footerReference r:id="rId6" w:type="default"/>
      <w:headerReference r:id="rId4" w:type="even"/>
      <w:footerReference r:id="rId7" w:type="even"/>
      <w:pgSz w:w="11906" w:h="16838"/>
      <w:pgMar w:top="1418" w:right="1134" w:bottom="1418" w:left="113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ＭＳ 明朝">
    <w:altName w:val="SimSun"/>
    <w:panose1 w:val="00000000000000000000"/>
    <w:charset w:val="86"/>
    <w:family w:val="auto"/>
    <w:pitch w:val="default"/>
    <w:sig w:usb0="00000000" w:usb1="00000000" w:usb2="00000000" w:usb3="00000000" w:csb0="00000000" w:csb1="00000000"/>
  </w:font>
  <w:font w:name="Ecofont_Spranq_eco_Sans">
    <w:altName w:val="Times New Roman"/>
    <w:panose1 w:val="00000000000000000000"/>
    <w:charset w:val="00"/>
    <w:family w:val="swiss"/>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MS Gothic">
    <w:panose1 w:val="020B0609070205080204"/>
    <w:charset w:val="80"/>
    <w:family w:val="auto"/>
    <w:pitch w:val="default"/>
    <w:sig w:usb0="E00002FF" w:usb1="6AC7FDFB" w:usb2="08000012" w:usb3="00000000" w:csb0="4002009F" w:csb1="DFD7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Cambria"/>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 w:name="Cambria">
    <w:panose1 w:val="02040503050406030204"/>
    <w:charset w:val="00"/>
    <w:family w:val="roman"/>
    <w:pitch w:val="default"/>
    <w:sig w:usb0="E00006FF" w:usb1="420024FF" w:usb2="02000000" w:usb3="00000000" w:csb0="2000019F"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cs="Arial"/>
      </w:rPr>
      <w:id w:val="2016111550"/>
      <w:docPartObj>
        <w:docPartGallery w:val="AutoText"/>
      </w:docPartObj>
    </w:sdtPr>
    <w:sdtEndPr>
      <w:rPr>
        <w:rFonts w:ascii="Arial" w:hAnsi="Arial" w:cs="Arial"/>
      </w:rPr>
    </w:sdtEndPr>
    <w:sdtContent>
      <w:p w14:paraId="58DEC1BC">
        <w:pPr>
          <w:pStyle w:val="21"/>
          <w:rPr>
            <w:rFonts w:ascii="Arial" w:hAnsi="Arial" w:cs="Arial"/>
            <w:color w:val="558ED5" w:themeColor="text2" w:themeTint="99"/>
            <w:spacing w:val="60"/>
            <w:sz w:val="16"/>
            <w:szCs w:val="16"/>
            <w14:textFill>
              <w14:solidFill>
                <w14:schemeClr w14:val="tx2">
                  <w14:lumMod w14:val="60000"/>
                  <w14:lumOff w14:val="40000"/>
                </w14:schemeClr>
              </w14:solidFill>
            </w14:textFill>
          </w:rPr>
        </w:pPr>
        <w:r>
          <w:rPr>
            <w:rFonts w:ascii="Arial" w:hAnsi="Arial" w:cs="Arial"/>
            <w:color w:val="558ED5" w:themeColor="text2" w:themeTint="99"/>
            <w:spacing w:val="60"/>
            <w:sz w:val="22"/>
            <w:szCs w:val="22"/>
            <w14:textFill>
              <w14:solidFill>
                <w14:schemeClr w14:val="tx2">
                  <w14:lumMod w14:val="60000"/>
                  <w14:lumOff w14:val="40000"/>
                </w14:schemeClr>
              </w14:solidFill>
            </w14:textFill>
          </w:rPr>
          <w:tab/>
        </w:r>
        <w:r>
          <w:rPr>
            <w:rFonts w:ascii="Arial" w:hAnsi="Arial" w:cs="Arial"/>
            <w:color w:val="558ED5" w:themeColor="text2" w:themeTint="99"/>
            <w:spacing w:val="60"/>
            <w:sz w:val="22"/>
            <w:szCs w:val="22"/>
            <w14:textFill>
              <w14:solidFill>
                <w14:schemeClr w14:val="tx2">
                  <w14:lumMod w14:val="60000"/>
                  <w14:lumOff w14:val="40000"/>
                </w14:schemeClr>
              </w14:solidFill>
            </w14:textFill>
          </w:rPr>
          <w:tab/>
        </w:r>
      </w:p>
      <w:p w14:paraId="1D29B53F">
        <w:pPr>
          <w:pStyle w:val="21"/>
          <w:rPr>
            <w:rFonts w:ascii="Arial" w:hAnsi="Arial" w:cs="Arial"/>
            <w:color w:val="808080" w:themeColor="text1" w:themeTint="80"/>
            <w:sz w:val="18"/>
            <w:szCs w:val="18"/>
            <w14:textFill>
              <w14:solidFill>
                <w14:schemeClr w14:val="tx1">
                  <w14:lumMod w14:val="50000"/>
                  <w14:lumOff w14:val="50000"/>
                </w14:schemeClr>
              </w14:solidFill>
            </w14:textFill>
          </w:rPr>
        </w:pPr>
        <w:r>
          <w:rPr>
            <w:rFonts w:ascii="Arial" w:hAnsi="Arial" w:cs="Arial"/>
            <w:color w:val="808080" w:themeColor="text1" w:themeTint="80"/>
            <w:spacing w:val="60"/>
            <w:sz w:val="22"/>
            <w:szCs w:val="22"/>
            <w14:textFill>
              <w14:solidFill>
                <w14:schemeClr w14:val="tx1">
                  <w14:lumMod w14:val="50000"/>
                  <w14:lumOff w14:val="50000"/>
                </w14:schemeClr>
              </w14:solidFill>
            </w14:textFill>
          </w:rPr>
          <w:tab/>
        </w:r>
        <w:r>
          <w:rPr>
            <w:rFonts w:ascii="Arial" w:hAnsi="Arial" w:cs="Arial"/>
            <w:color w:val="808080" w:themeColor="text1" w:themeTint="80"/>
            <w:spacing w:val="60"/>
            <w:sz w:val="22"/>
            <w:szCs w:val="22"/>
            <w14:textFill>
              <w14:solidFill>
                <w14:schemeClr w14:val="tx1">
                  <w14:lumMod w14:val="50000"/>
                  <w14:lumOff w14:val="50000"/>
                </w14:schemeClr>
              </w14:solidFill>
            </w14:textFill>
          </w:rPr>
          <w:tab/>
        </w:r>
        <w:r>
          <w:rPr>
            <w:rFonts w:ascii="Arial" w:hAnsi="Arial" w:cs="Arial"/>
            <w:color w:val="595959" w:themeColor="text1" w:themeTint="A6"/>
            <w:spacing w:val="60"/>
            <w:sz w:val="18"/>
            <w:szCs w:val="18"/>
            <w14:textFill>
              <w14:solidFill>
                <w14:schemeClr w14:val="tx1">
                  <w14:lumMod w14:val="65000"/>
                  <w14:lumOff w14:val="35000"/>
                </w14:schemeClr>
              </w14:solidFill>
            </w14:textFill>
          </w:rPr>
          <w:t>Página</w:t>
        </w:r>
        <w:r>
          <w:rPr>
            <w:rFonts w:ascii="Arial" w:hAnsi="Arial" w:cs="Arial"/>
            <w:color w:val="595959" w:themeColor="text1" w:themeTint="A6"/>
            <w:sz w:val="18"/>
            <w:szCs w:val="18"/>
            <w14:textFill>
              <w14:solidFill>
                <w14:schemeClr w14:val="tx1">
                  <w14:lumMod w14:val="65000"/>
                  <w14:lumOff w14:val="35000"/>
                </w14:schemeClr>
              </w14:solidFill>
            </w14:textFill>
          </w:rPr>
          <w:t xml:space="preserve"> </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begin"/>
        </w:r>
        <w:r>
          <w:rPr>
            <w:rFonts w:ascii="Arial" w:hAnsi="Arial" w:cs="Arial"/>
            <w:color w:val="595959" w:themeColor="text1" w:themeTint="A6"/>
            <w:sz w:val="18"/>
            <w:szCs w:val="18"/>
            <w14:textFill>
              <w14:solidFill>
                <w14:schemeClr w14:val="tx1">
                  <w14:lumMod w14:val="65000"/>
                  <w14:lumOff w14:val="35000"/>
                </w14:schemeClr>
              </w14:solidFill>
            </w14:textFill>
          </w:rPr>
          <w:instrText xml:space="preserve">PAGE   \* MERGEFORMAT</w:instrTex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separate"/>
        </w:r>
        <w:r>
          <w:rPr>
            <w:rFonts w:ascii="Arial" w:hAnsi="Arial" w:cs="Arial"/>
            <w:color w:val="595959" w:themeColor="text1" w:themeTint="A6"/>
            <w:sz w:val="18"/>
            <w:szCs w:val="18"/>
            <w14:textFill>
              <w14:solidFill>
                <w14:schemeClr w14:val="tx1">
                  <w14:lumMod w14:val="65000"/>
                  <w14:lumOff w14:val="35000"/>
                </w14:schemeClr>
              </w14:solidFill>
            </w14:textFill>
          </w:rPr>
          <w:t>16</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end"/>
        </w:r>
        <w:r>
          <w:rPr>
            <w:rFonts w:ascii="Arial" w:hAnsi="Arial" w:cs="Arial"/>
            <w:color w:val="595959" w:themeColor="text1" w:themeTint="A6"/>
            <w:sz w:val="18"/>
            <w:szCs w:val="18"/>
            <w14:textFill>
              <w14:solidFill>
                <w14:schemeClr w14:val="tx1">
                  <w14:lumMod w14:val="65000"/>
                  <w14:lumOff w14:val="35000"/>
                </w14:schemeClr>
              </w14:solidFill>
            </w14:textFill>
          </w:rPr>
          <w:t xml:space="preserve"> | </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begin"/>
        </w:r>
        <w:r>
          <w:rPr>
            <w:rFonts w:ascii="Arial" w:hAnsi="Arial" w:cs="Arial"/>
            <w:color w:val="595959" w:themeColor="text1" w:themeTint="A6"/>
            <w:sz w:val="18"/>
            <w:szCs w:val="18"/>
            <w14:textFill>
              <w14:solidFill>
                <w14:schemeClr w14:val="tx1">
                  <w14:lumMod w14:val="65000"/>
                  <w14:lumOff w14:val="35000"/>
                </w14:schemeClr>
              </w14:solidFill>
            </w14:textFill>
          </w:rPr>
          <w:instrText xml:space="preserve">NUMPAGES  \* Arabic  \* MERGEFORMAT</w:instrTex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separate"/>
        </w:r>
        <w:r>
          <w:rPr>
            <w:rFonts w:ascii="Arial" w:hAnsi="Arial" w:cs="Arial"/>
            <w:color w:val="595959" w:themeColor="text1" w:themeTint="A6"/>
            <w:sz w:val="18"/>
            <w:szCs w:val="18"/>
            <w14:textFill>
              <w14:solidFill>
                <w14:schemeClr w14:val="tx1">
                  <w14:lumMod w14:val="65000"/>
                  <w14:lumOff w14:val="35000"/>
                </w14:schemeClr>
              </w14:solidFill>
            </w14:textFill>
          </w:rPr>
          <w:t>18</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end"/>
        </w:r>
      </w:p>
      <w:p w14:paraId="70C145D7">
        <w:pPr>
          <w:pStyle w:val="21"/>
          <w:rPr>
            <w:rFonts w:ascii="Arial" w:hAnsi="Arial" w:cs="Arial"/>
            <w:sz w:val="14"/>
            <w:szCs w:val="14"/>
          </w:rPr>
        </w:pPr>
        <w:r>
          <w:rPr>
            <w:rFonts w:ascii="Arial" w:hAnsi="Arial" w:cs="Arial"/>
            <w:sz w:val="14"/>
            <w:szCs w:val="14"/>
          </w:rPr>
          <w:t>Câmara Nacional de Modelos de Licitações e Contratos da Consultoria-Geral da União</w:t>
        </w:r>
      </w:p>
      <w:p w14:paraId="1D721BB1">
        <w:pPr>
          <w:pStyle w:val="21"/>
          <w:rPr>
            <w:rFonts w:ascii="Arial" w:hAnsi="Arial" w:cs="Arial"/>
            <w:sz w:val="14"/>
            <w:szCs w:val="14"/>
          </w:rPr>
        </w:pPr>
        <w:r>
          <w:rPr>
            <w:rFonts w:ascii="Arial" w:hAnsi="Arial" w:cs="Arial"/>
            <w:sz w:val="14"/>
            <w:szCs w:val="14"/>
          </w:rPr>
          <w:t>Atualização: maio/2023</w:t>
        </w:r>
      </w:p>
      <w:p w14:paraId="7231549D">
        <w:pPr>
          <w:pStyle w:val="21"/>
          <w:rPr>
            <w:rFonts w:ascii="Arial" w:hAnsi="Arial" w:cs="Arial"/>
            <w:sz w:val="14"/>
            <w:szCs w:val="14"/>
          </w:rPr>
        </w:pPr>
        <w:r>
          <w:rPr>
            <w:rFonts w:ascii="Arial" w:hAnsi="Arial" w:cs="Arial"/>
            <w:sz w:val="14"/>
            <w:szCs w:val="14"/>
          </w:rPr>
          <w:t>Termo de contrato modelo para Pregão Eletrônico – Serviços sem mão de obra em regime de dedicação exclusiva - Lei n.º 14.133, de 2021.</w:t>
        </w:r>
      </w:p>
      <w:p w14:paraId="2220F664">
        <w:pPr>
          <w:pStyle w:val="21"/>
          <w:rPr>
            <w:rFonts w:ascii="Arial" w:hAnsi="Arial" w:cs="Arial"/>
            <w:sz w:val="14"/>
            <w:szCs w:val="14"/>
          </w:rPr>
        </w:pPr>
        <w:r>
          <w:rPr>
            <w:rFonts w:ascii="Arial" w:hAnsi="Arial" w:cs="Arial"/>
            <w:sz w:val="14"/>
            <w:szCs w:val="14"/>
          </w:rPr>
          <w:t>Aprovado pela Secretaria de Gestão e Inovação.</w:t>
        </w:r>
      </w:p>
      <w:p w14:paraId="239342FA">
        <w:pPr>
          <w:pStyle w:val="21"/>
          <w:rPr>
            <w:rFonts w:ascii="Arial" w:hAnsi="Arial" w:cs="Arial"/>
          </w:rPr>
        </w:pPr>
        <w:r>
          <w:rPr>
            <w:rFonts w:ascii="Arial" w:hAnsi="Arial" w:cs="Arial"/>
            <w:sz w:val="14"/>
            <w:szCs w:val="14"/>
          </w:rPr>
          <w:t>Identidade visual pela Secretaria de Gestão e Inovação</w:t>
        </w:r>
      </w:p>
    </w:sdtContent>
  </w:sdt>
  <w:p w14:paraId="7E6308F2">
    <w:pPr>
      <w:pStyle w:val="21"/>
      <w:rPr>
        <w:rFonts w:ascii="Arial" w:hAnsi="Arial" w:cs="Arial"/>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5DAA86">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2FD7B0">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8"/>
      <w:tblW w:w="15112" w:type="dxa"/>
      <w:tblInd w:w="3828" w:type="dxa"/>
      <w:tblLayout w:type="fixed"/>
      <w:tblCellMar>
        <w:top w:w="0" w:type="dxa"/>
        <w:left w:w="108" w:type="dxa"/>
        <w:bottom w:w="0" w:type="dxa"/>
        <w:right w:w="108" w:type="dxa"/>
      </w:tblCellMar>
    </w:tblPr>
    <w:tblGrid>
      <w:gridCol w:w="9072"/>
      <w:gridCol w:w="3020"/>
      <w:gridCol w:w="3020"/>
    </w:tblGrid>
    <w:tr w14:paraId="035AA6A0">
      <w:tblPrEx>
        <w:tblCellMar>
          <w:top w:w="0" w:type="dxa"/>
          <w:left w:w="108" w:type="dxa"/>
          <w:bottom w:w="0" w:type="dxa"/>
          <w:right w:w="108" w:type="dxa"/>
        </w:tblCellMar>
      </w:tblPrEx>
      <w:trPr>
        <w:trHeight w:val="300" w:hRule="atLeast"/>
      </w:trPr>
      <w:tc>
        <w:tcPr>
          <w:tcW w:w="9072" w:type="dxa"/>
        </w:tcPr>
        <w:p w14:paraId="0340655E">
          <w:pPr>
            <w:pStyle w:val="19"/>
            <w:ind w:left="-115"/>
            <w:rPr>
              <w:rFonts w:ascii="Arial" w:hAnsi="Arial" w:cs="Arial"/>
              <w:sz w:val="20"/>
              <w:szCs w:val="20"/>
            </w:rPr>
          </w:pPr>
          <w:r>
            <w:rPr>
              <w:rFonts w:ascii="Arial" w:hAnsi="Arial" w:cs="Arial"/>
              <w:sz w:val="20"/>
              <w:szCs w:val="20"/>
            </w:rPr>
            <w:t>TERMO DE CONTRATO ADMINISTRATIVO Nº XXXX/XXXX</w:t>
          </w:r>
        </w:p>
        <w:p w14:paraId="2141DF5F">
          <w:pPr>
            <w:pStyle w:val="19"/>
            <w:ind w:left="-115"/>
          </w:pPr>
        </w:p>
      </w:tc>
      <w:tc>
        <w:tcPr>
          <w:tcW w:w="3020" w:type="dxa"/>
        </w:tcPr>
        <w:p w14:paraId="11FA3919">
          <w:pPr>
            <w:pStyle w:val="19"/>
            <w:jc w:val="center"/>
          </w:pPr>
        </w:p>
      </w:tc>
      <w:tc>
        <w:tcPr>
          <w:tcW w:w="3020" w:type="dxa"/>
        </w:tcPr>
        <w:p w14:paraId="56AE8220">
          <w:pPr>
            <w:pStyle w:val="19"/>
            <w:ind w:right="-115"/>
            <w:jc w:val="right"/>
          </w:pPr>
        </w:p>
      </w:tc>
    </w:tr>
  </w:tbl>
  <w:p w14:paraId="78B4EF61">
    <w:pPr>
      <w:pStyle w:val="19"/>
    </w:pPr>
    <w:r>
      <w:pict>
        <v:shape id="_x0000_s1027" o:spid="_x0000_s1027" o:spt="136" type="#_x0000_t136" style="position:absolute;left:0pt;height:150.95pt;width:528.45pt;mso-position-horizontal:center;mso-position-horizontal-relative:margin;mso-position-vertical:center;mso-position-vertical-relative:margin;rotation:20643840f;z-index:-251654144;mso-width-relative:page;mso-height-relative:page;" fillcolor="#C0C0C0" filled="t" stroked="f" coordsize="21600,21600" o:allowincell="f">
          <v:path/>
          <v:fill on="t" opacity="32768f" focussize="0,0"/>
          <v:stroke on="f"/>
          <v:imagedata o:title=""/>
          <o:lock v:ext="edit"/>
          <v:textpath on="t" fitpath="t" trim="f" xscale="f" string="MINUTA" style="font-family:Ecofont_Spranq_eco_Sans;font-size:1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68955">
    <w:pPr>
      <w:pStyle w:val="19"/>
    </w:pPr>
    <w:r>
      <w:pict>
        <v:shape id="_x0000_s1026" o:spid="_x0000_s1026" o:spt="136" type="#_x0000_t136" style="position:absolute;left:0pt;height:150.95pt;width:528.4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Ecofont_Spranq_eco_Sans;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91679">
    <w:pPr>
      <w:pStyle w:val="19"/>
    </w:pPr>
    <w:r>
      <w:pict>
        <v:shape id="PowerPlusWaterMarkObject" o:spid="_x0000_s1025" o:spt="136" type="#_x0000_t136" style="position:absolute;left:0pt;height:150.95pt;width:528.4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path="t" trim="f" xscale="f" string="MINUTA" style="font-family:Ecofont_Spranq_eco_Sans;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0"/>
    <w:multiLevelType w:val="singleLevel"/>
    <w:tmpl w:val="FFFFFF80"/>
    <w:lvl w:ilvl="0" w:tentative="0">
      <w:start w:val="1"/>
      <w:numFmt w:val="bullet"/>
      <w:pStyle w:val="17"/>
      <w:lvlText w:val=""/>
      <w:lvlJc w:val="left"/>
      <w:pPr>
        <w:tabs>
          <w:tab w:val="left" w:pos="1492"/>
        </w:tabs>
        <w:ind w:left="1492" w:hanging="360"/>
      </w:pPr>
      <w:rPr>
        <w:rFonts w:hint="default" w:ascii="Symbol" w:hAnsi="Symbol"/>
      </w:rPr>
    </w:lvl>
  </w:abstractNum>
  <w:abstractNum w:abstractNumId="1">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2">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3">
    <w:nsid w:val="1D5C100D"/>
    <w:multiLevelType w:val="multilevel"/>
    <w:tmpl w:val="1D5C100D"/>
    <w:lvl w:ilvl="0" w:tentative="0">
      <w:start w:val="1"/>
      <w:numFmt w:val="decimal"/>
      <w:pStyle w:val="39"/>
      <w:lvlText w:val="%1."/>
      <w:lvlJc w:val="left"/>
      <w:pPr>
        <w:ind w:left="360" w:hanging="360"/>
      </w:pPr>
      <w:rPr>
        <w:b/>
      </w:rPr>
    </w:lvl>
    <w:lvl w:ilvl="1" w:tentative="0">
      <w:start w:val="1"/>
      <w:numFmt w:val="decimal"/>
      <w:pStyle w:val="56"/>
      <w:lvlText w:val="%1.%2."/>
      <w:lvlJc w:val="left"/>
      <w:pPr>
        <w:ind w:left="4969" w:hanging="432"/>
      </w:pPr>
      <w:rPr>
        <w:b w:val="0"/>
        <w:i w:val="0"/>
        <w:strike w:val="0"/>
        <w:color w:val="auto"/>
        <w:sz w:val="20"/>
        <w:szCs w:val="20"/>
        <w:u w:val="none"/>
      </w:rPr>
    </w:lvl>
    <w:lvl w:ilvl="2" w:tentative="0">
      <w:start w:val="1"/>
      <w:numFmt w:val="decimal"/>
      <w:pStyle w:val="58"/>
      <w:lvlText w:val="%1.%2.%3."/>
      <w:lvlJc w:val="left"/>
      <w:pPr>
        <w:ind w:left="3198" w:hanging="504"/>
      </w:pPr>
      <w:rPr>
        <w:rFonts w:hint="default" w:ascii="Arial" w:hAnsi="Arial" w:cs="Arial"/>
        <w:b w:val="0"/>
        <w:i w:val="0"/>
        <w:strike w:val="0"/>
        <w:color w:val="auto"/>
        <w:sz w:val="20"/>
        <w:szCs w:val="20"/>
      </w:rPr>
    </w:lvl>
    <w:lvl w:ilvl="3" w:tentative="0">
      <w:start w:val="1"/>
      <w:numFmt w:val="decimal"/>
      <w:pStyle w:val="59"/>
      <w:lvlText w:val="%1.%2.%3.%4."/>
      <w:lvlJc w:val="left"/>
      <w:pPr>
        <w:ind w:left="2491" w:hanging="648"/>
      </w:pPr>
    </w:lvl>
    <w:lvl w:ilvl="4" w:tentative="0">
      <w:start w:val="1"/>
      <w:numFmt w:val="decimal"/>
      <w:pStyle w:val="60"/>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5">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0"/>
  </w:num>
  <w:num w:numId="2">
    <w:abstractNumId w:val="3"/>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6"/>
  </w:num>
  <w:num w:numId="6">
    <w:abstractNumId w:val="4"/>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mirrorMargins w:val="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0EE"/>
    <w:rsid w:val="0000071E"/>
    <w:rsid w:val="00000E05"/>
    <w:rsid w:val="00001089"/>
    <w:rsid w:val="000010AA"/>
    <w:rsid w:val="000019C6"/>
    <w:rsid w:val="0000236D"/>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17238"/>
    <w:rsid w:val="00017BFD"/>
    <w:rsid w:val="00020C33"/>
    <w:rsid w:val="00020DC0"/>
    <w:rsid w:val="0002118D"/>
    <w:rsid w:val="000212C9"/>
    <w:rsid w:val="00021486"/>
    <w:rsid w:val="0002260C"/>
    <w:rsid w:val="0002289A"/>
    <w:rsid w:val="000229B1"/>
    <w:rsid w:val="00022BA7"/>
    <w:rsid w:val="0002306D"/>
    <w:rsid w:val="00023CDD"/>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850"/>
    <w:rsid w:val="0007625C"/>
    <w:rsid w:val="00076CBC"/>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6A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33D"/>
    <w:rsid w:val="000D239E"/>
    <w:rsid w:val="000D294B"/>
    <w:rsid w:val="000D2A6B"/>
    <w:rsid w:val="000D2AC3"/>
    <w:rsid w:val="000D2B1C"/>
    <w:rsid w:val="000D2D4D"/>
    <w:rsid w:val="000D3590"/>
    <w:rsid w:val="000D4159"/>
    <w:rsid w:val="000D4D3E"/>
    <w:rsid w:val="000D5774"/>
    <w:rsid w:val="000D5CAD"/>
    <w:rsid w:val="000D6597"/>
    <w:rsid w:val="000D76B8"/>
    <w:rsid w:val="000E071F"/>
    <w:rsid w:val="000E15DC"/>
    <w:rsid w:val="000E1ED0"/>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10A"/>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51B"/>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5B3"/>
    <w:rsid w:val="00143845"/>
    <w:rsid w:val="00143DB3"/>
    <w:rsid w:val="00143E29"/>
    <w:rsid w:val="001441A4"/>
    <w:rsid w:val="001443B4"/>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36A8"/>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0DA"/>
    <w:rsid w:val="0018179A"/>
    <w:rsid w:val="001817D2"/>
    <w:rsid w:val="00181E1F"/>
    <w:rsid w:val="00181F1C"/>
    <w:rsid w:val="0018218A"/>
    <w:rsid w:val="001825A9"/>
    <w:rsid w:val="00182912"/>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8D0"/>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E18"/>
    <w:rsid w:val="001A43DE"/>
    <w:rsid w:val="001A4748"/>
    <w:rsid w:val="001A570F"/>
    <w:rsid w:val="001A6234"/>
    <w:rsid w:val="001A7EEF"/>
    <w:rsid w:val="001A7F1F"/>
    <w:rsid w:val="001B005B"/>
    <w:rsid w:val="001B0D81"/>
    <w:rsid w:val="001B1079"/>
    <w:rsid w:val="001B1976"/>
    <w:rsid w:val="001B2538"/>
    <w:rsid w:val="001B2A3F"/>
    <w:rsid w:val="001B2FAE"/>
    <w:rsid w:val="001B3448"/>
    <w:rsid w:val="001B3617"/>
    <w:rsid w:val="001B3DA3"/>
    <w:rsid w:val="001B4796"/>
    <w:rsid w:val="001B4A0C"/>
    <w:rsid w:val="001B53DE"/>
    <w:rsid w:val="001B5A99"/>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2BA"/>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6E9E"/>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30F"/>
    <w:rsid w:val="0023260A"/>
    <w:rsid w:val="00232E32"/>
    <w:rsid w:val="002333D7"/>
    <w:rsid w:val="002345B4"/>
    <w:rsid w:val="00235187"/>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50C01"/>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D04FB"/>
    <w:rsid w:val="002D07BF"/>
    <w:rsid w:val="002D07E2"/>
    <w:rsid w:val="002D14AB"/>
    <w:rsid w:val="002D1B50"/>
    <w:rsid w:val="002D1EBF"/>
    <w:rsid w:val="002D21D8"/>
    <w:rsid w:val="002D381A"/>
    <w:rsid w:val="002D4825"/>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70A"/>
    <w:rsid w:val="002E3A34"/>
    <w:rsid w:val="002E3B9D"/>
    <w:rsid w:val="002E3EEA"/>
    <w:rsid w:val="002E3F91"/>
    <w:rsid w:val="002E40C5"/>
    <w:rsid w:val="002E4709"/>
    <w:rsid w:val="002E477F"/>
    <w:rsid w:val="002E480D"/>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C1D"/>
    <w:rsid w:val="002F308B"/>
    <w:rsid w:val="002F3699"/>
    <w:rsid w:val="002F3A33"/>
    <w:rsid w:val="002F3B04"/>
    <w:rsid w:val="002F4811"/>
    <w:rsid w:val="002F48A7"/>
    <w:rsid w:val="002F6672"/>
    <w:rsid w:val="002F6A58"/>
    <w:rsid w:val="002F70BE"/>
    <w:rsid w:val="002F717F"/>
    <w:rsid w:val="002F7EB1"/>
    <w:rsid w:val="00301CAE"/>
    <w:rsid w:val="00301FD0"/>
    <w:rsid w:val="00302138"/>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1A3D"/>
    <w:rsid w:val="00322A3E"/>
    <w:rsid w:val="00322CB7"/>
    <w:rsid w:val="003238C3"/>
    <w:rsid w:val="00323E6D"/>
    <w:rsid w:val="00324781"/>
    <w:rsid w:val="00324BCD"/>
    <w:rsid w:val="00324F30"/>
    <w:rsid w:val="00325023"/>
    <w:rsid w:val="0032533F"/>
    <w:rsid w:val="00325FD8"/>
    <w:rsid w:val="003265B9"/>
    <w:rsid w:val="003265FC"/>
    <w:rsid w:val="003270B5"/>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E99"/>
    <w:rsid w:val="00370FE8"/>
    <w:rsid w:val="0037125D"/>
    <w:rsid w:val="003716C9"/>
    <w:rsid w:val="00371E7E"/>
    <w:rsid w:val="00371EF6"/>
    <w:rsid w:val="00372512"/>
    <w:rsid w:val="00373F2A"/>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316"/>
    <w:rsid w:val="003B2B65"/>
    <w:rsid w:val="003B32C1"/>
    <w:rsid w:val="003B3A4B"/>
    <w:rsid w:val="003B3F08"/>
    <w:rsid w:val="003B479C"/>
    <w:rsid w:val="003B47AE"/>
    <w:rsid w:val="003B48C0"/>
    <w:rsid w:val="003B55DE"/>
    <w:rsid w:val="003B5DF2"/>
    <w:rsid w:val="003B6D97"/>
    <w:rsid w:val="003B7226"/>
    <w:rsid w:val="003B74E1"/>
    <w:rsid w:val="003B791E"/>
    <w:rsid w:val="003B7E4F"/>
    <w:rsid w:val="003B7EA4"/>
    <w:rsid w:val="003C0AA6"/>
    <w:rsid w:val="003C1379"/>
    <w:rsid w:val="003C181E"/>
    <w:rsid w:val="003C2524"/>
    <w:rsid w:val="003C2A40"/>
    <w:rsid w:val="003C493E"/>
    <w:rsid w:val="003C4C35"/>
    <w:rsid w:val="003C502C"/>
    <w:rsid w:val="003C5CFB"/>
    <w:rsid w:val="003C5E76"/>
    <w:rsid w:val="003C5F74"/>
    <w:rsid w:val="003C609E"/>
    <w:rsid w:val="003C6275"/>
    <w:rsid w:val="003C62F2"/>
    <w:rsid w:val="003C65E9"/>
    <w:rsid w:val="003C6615"/>
    <w:rsid w:val="003C674E"/>
    <w:rsid w:val="003C6AD6"/>
    <w:rsid w:val="003C6CE4"/>
    <w:rsid w:val="003C6F07"/>
    <w:rsid w:val="003C709C"/>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6952"/>
    <w:rsid w:val="00406F81"/>
    <w:rsid w:val="00407603"/>
    <w:rsid w:val="00407680"/>
    <w:rsid w:val="004076F7"/>
    <w:rsid w:val="00407F1C"/>
    <w:rsid w:val="004119BA"/>
    <w:rsid w:val="00411D38"/>
    <w:rsid w:val="004122ED"/>
    <w:rsid w:val="00412C7A"/>
    <w:rsid w:val="00413089"/>
    <w:rsid w:val="004130BD"/>
    <w:rsid w:val="00413DFC"/>
    <w:rsid w:val="0041402E"/>
    <w:rsid w:val="00414DDA"/>
    <w:rsid w:val="00414DF1"/>
    <w:rsid w:val="00414E9B"/>
    <w:rsid w:val="0041506F"/>
    <w:rsid w:val="00415A58"/>
    <w:rsid w:val="00415D0B"/>
    <w:rsid w:val="00415F27"/>
    <w:rsid w:val="00416323"/>
    <w:rsid w:val="00416A59"/>
    <w:rsid w:val="00416D8E"/>
    <w:rsid w:val="00416EE0"/>
    <w:rsid w:val="004170DD"/>
    <w:rsid w:val="0041775A"/>
    <w:rsid w:val="00417C01"/>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DA7"/>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2B0"/>
    <w:rsid w:val="0045133B"/>
    <w:rsid w:val="00452011"/>
    <w:rsid w:val="00452D4A"/>
    <w:rsid w:val="00453647"/>
    <w:rsid w:val="0045384E"/>
    <w:rsid w:val="00453C82"/>
    <w:rsid w:val="00453EC6"/>
    <w:rsid w:val="004546BE"/>
    <w:rsid w:val="0045497B"/>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0C17"/>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80328"/>
    <w:rsid w:val="004804EA"/>
    <w:rsid w:val="0048110E"/>
    <w:rsid w:val="004815B0"/>
    <w:rsid w:val="00482163"/>
    <w:rsid w:val="00482AA9"/>
    <w:rsid w:val="004830F4"/>
    <w:rsid w:val="004834FC"/>
    <w:rsid w:val="00483B15"/>
    <w:rsid w:val="00483FB9"/>
    <w:rsid w:val="004845C8"/>
    <w:rsid w:val="004849BE"/>
    <w:rsid w:val="00485F60"/>
    <w:rsid w:val="004866B0"/>
    <w:rsid w:val="00486C44"/>
    <w:rsid w:val="004871E2"/>
    <w:rsid w:val="004875F1"/>
    <w:rsid w:val="004903FB"/>
    <w:rsid w:val="00491176"/>
    <w:rsid w:val="004912FB"/>
    <w:rsid w:val="004913E1"/>
    <w:rsid w:val="004919E4"/>
    <w:rsid w:val="00491F90"/>
    <w:rsid w:val="004920B4"/>
    <w:rsid w:val="0049237B"/>
    <w:rsid w:val="00492C93"/>
    <w:rsid w:val="00492E29"/>
    <w:rsid w:val="00493D94"/>
    <w:rsid w:val="004946CD"/>
    <w:rsid w:val="00494882"/>
    <w:rsid w:val="00494AE7"/>
    <w:rsid w:val="00494E37"/>
    <w:rsid w:val="004958BE"/>
    <w:rsid w:val="00495FC7"/>
    <w:rsid w:val="0049669A"/>
    <w:rsid w:val="00496877"/>
    <w:rsid w:val="00496B3C"/>
    <w:rsid w:val="004974D8"/>
    <w:rsid w:val="004977C7"/>
    <w:rsid w:val="004A03F8"/>
    <w:rsid w:val="004A13C4"/>
    <w:rsid w:val="004A1BC0"/>
    <w:rsid w:val="004A1F98"/>
    <w:rsid w:val="004A3794"/>
    <w:rsid w:val="004A4C06"/>
    <w:rsid w:val="004A57D7"/>
    <w:rsid w:val="004A57DB"/>
    <w:rsid w:val="004A57F5"/>
    <w:rsid w:val="004A5D92"/>
    <w:rsid w:val="004A68E6"/>
    <w:rsid w:val="004A6AA4"/>
    <w:rsid w:val="004A7264"/>
    <w:rsid w:val="004A781C"/>
    <w:rsid w:val="004A7BBC"/>
    <w:rsid w:val="004A7DEB"/>
    <w:rsid w:val="004B0381"/>
    <w:rsid w:val="004B05B0"/>
    <w:rsid w:val="004B0A7F"/>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421"/>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77D7"/>
    <w:rsid w:val="00577B8D"/>
    <w:rsid w:val="005800D8"/>
    <w:rsid w:val="00580A59"/>
    <w:rsid w:val="00580C15"/>
    <w:rsid w:val="00581347"/>
    <w:rsid w:val="00581492"/>
    <w:rsid w:val="00581688"/>
    <w:rsid w:val="005817F5"/>
    <w:rsid w:val="00581981"/>
    <w:rsid w:val="005819EE"/>
    <w:rsid w:val="00581D87"/>
    <w:rsid w:val="00581EA5"/>
    <w:rsid w:val="0058251E"/>
    <w:rsid w:val="00582710"/>
    <w:rsid w:val="00582C17"/>
    <w:rsid w:val="00584482"/>
    <w:rsid w:val="005846C9"/>
    <w:rsid w:val="00584FA3"/>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956"/>
    <w:rsid w:val="005C7D37"/>
    <w:rsid w:val="005C7DCE"/>
    <w:rsid w:val="005D0DD1"/>
    <w:rsid w:val="005D0FB4"/>
    <w:rsid w:val="005D14BE"/>
    <w:rsid w:val="005D1FC2"/>
    <w:rsid w:val="005D2ACC"/>
    <w:rsid w:val="005D2B55"/>
    <w:rsid w:val="005D3030"/>
    <w:rsid w:val="005D4928"/>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0D3C"/>
    <w:rsid w:val="006010E1"/>
    <w:rsid w:val="00601FBB"/>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67"/>
    <w:rsid w:val="00620C94"/>
    <w:rsid w:val="006210D6"/>
    <w:rsid w:val="00621397"/>
    <w:rsid w:val="006217A6"/>
    <w:rsid w:val="006219D6"/>
    <w:rsid w:val="00621B3B"/>
    <w:rsid w:val="00622B3D"/>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B02"/>
    <w:rsid w:val="00630CF2"/>
    <w:rsid w:val="00631549"/>
    <w:rsid w:val="00632048"/>
    <w:rsid w:val="0063246D"/>
    <w:rsid w:val="0063257C"/>
    <w:rsid w:val="006328C5"/>
    <w:rsid w:val="00632D6B"/>
    <w:rsid w:val="006344FE"/>
    <w:rsid w:val="00634E98"/>
    <w:rsid w:val="00635279"/>
    <w:rsid w:val="00635B69"/>
    <w:rsid w:val="00636593"/>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5E4A"/>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72D"/>
    <w:rsid w:val="006D4818"/>
    <w:rsid w:val="006D6610"/>
    <w:rsid w:val="006D70F2"/>
    <w:rsid w:val="006D780E"/>
    <w:rsid w:val="006D7854"/>
    <w:rsid w:val="006D7860"/>
    <w:rsid w:val="006E09F2"/>
    <w:rsid w:val="006E1476"/>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F003B"/>
    <w:rsid w:val="006F0A48"/>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C56"/>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16BAF"/>
    <w:rsid w:val="00720342"/>
    <w:rsid w:val="00720EA6"/>
    <w:rsid w:val="007214E3"/>
    <w:rsid w:val="00721F24"/>
    <w:rsid w:val="00722D13"/>
    <w:rsid w:val="00722EB6"/>
    <w:rsid w:val="00723B4F"/>
    <w:rsid w:val="007242A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4F"/>
    <w:rsid w:val="00740892"/>
    <w:rsid w:val="00740D25"/>
    <w:rsid w:val="00740EDD"/>
    <w:rsid w:val="00741214"/>
    <w:rsid w:val="00741298"/>
    <w:rsid w:val="00741328"/>
    <w:rsid w:val="007417B1"/>
    <w:rsid w:val="00742372"/>
    <w:rsid w:val="007435AB"/>
    <w:rsid w:val="00744F18"/>
    <w:rsid w:val="0074508F"/>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A79"/>
    <w:rsid w:val="00763C01"/>
    <w:rsid w:val="00763FAD"/>
    <w:rsid w:val="007643AB"/>
    <w:rsid w:val="00764B79"/>
    <w:rsid w:val="00764F36"/>
    <w:rsid w:val="007656AF"/>
    <w:rsid w:val="00766275"/>
    <w:rsid w:val="0076696B"/>
    <w:rsid w:val="007672C9"/>
    <w:rsid w:val="007679B9"/>
    <w:rsid w:val="00767A83"/>
    <w:rsid w:val="00767DDE"/>
    <w:rsid w:val="00770AF6"/>
    <w:rsid w:val="00771D84"/>
    <w:rsid w:val="007725B4"/>
    <w:rsid w:val="00772D94"/>
    <w:rsid w:val="00772F50"/>
    <w:rsid w:val="00773785"/>
    <w:rsid w:val="0077505F"/>
    <w:rsid w:val="00775259"/>
    <w:rsid w:val="00776216"/>
    <w:rsid w:val="007763D6"/>
    <w:rsid w:val="00776572"/>
    <w:rsid w:val="0077738D"/>
    <w:rsid w:val="007774C2"/>
    <w:rsid w:val="00777ADF"/>
    <w:rsid w:val="00781AD8"/>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53B9"/>
    <w:rsid w:val="0079697B"/>
    <w:rsid w:val="0079754C"/>
    <w:rsid w:val="007A0657"/>
    <w:rsid w:val="007A0679"/>
    <w:rsid w:val="007A0AF5"/>
    <w:rsid w:val="007A1395"/>
    <w:rsid w:val="007A16F9"/>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385"/>
    <w:rsid w:val="007B547C"/>
    <w:rsid w:val="007B5CF4"/>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2EBA"/>
    <w:rsid w:val="007C33CF"/>
    <w:rsid w:val="007C3543"/>
    <w:rsid w:val="007C36CB"/>
    <w:rsid w:val="007C5555"/>
    <w:rsid w:val="007C608B"/>
    <w:rsid w:val="007C62E7"/>
    <w:rsid w:val="007C6623"/>
    <w:rsid w:val="007C671E"/>
    <w:rsid w:val="007C6AA3"/>
    <w:rsid w:val="007C7457"/>
    <w:rsid w:val="007D011C"/>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5CB"/>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16D"/>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2ECF"/>
    <w:rsid w:val="008131BE"/>
    <w:rsid w:val="00813520"/>
    <w:rsid w:val="00813F88"/>
    <w:rsid w:val="00814B36"/>
    <w:rsid w:val="0081517D"/>
    <w:rsid w:val="008152DB"/>
    <w:rsid w:val="00815792"/>
    <w:rsid w:val="00815C9B"/>
    <w:rsid w:val="00815F59"/>
    <w:rsid w:val="008168D8"/>
    <w:rsid w:val="00816D49"/>
    <w:rsid w:val="008203A8"/>
    <w:rsid w:val="00821833"/>
    <w:rsid w:val="00822C89"/>
    <w:rsid w:val="008241C6"/>
    <w:rsid w:val="008243C9"/>
    <w:rsid w:val="00824831"/>
    <w:rsid w:val="00824EB5"/>
    <w:rsid w:val="008251AB"/>
    <w:rsid w:val="008255A4"/>
    <w:rsid w:val="008257ED"/>
    <w:rsid w:val="00825ABA"/>
    <w:rsid w:val="00826A56"/>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8B2"/>
    <w:rsid w:val="0084493A"/>
    <w:rsid w:val="00844CEC"/>
    <w:rsid w:val="00844E0E"/>
    <w:rsid w:val="00845630"/>
    <w:rsid w:val="00845869"/>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B3"/>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0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5703"/>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1CB2"/>
    <w:rsid w:val="008E31A9"/>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A00"/>
    <w:rsid w:val="00900C1C"/>
    <w:rsid w:val="00900F65"/>
    <w:rsid w:val="009015BF"/>
    <w:rsid w:val="009029B0"/>
    <w:rsid w:val="009039B0"/>
    <w:rsid w:val="0090408D"/>
    <w:rsid w:val="00904580"/>
    <w:rsid w:val="00904757"/>
    <w:rsid w:val="00904B36"/>
    <w:rsid w:val="00904C80"/>
    <w:rsid w:val="00904E6B"/>
    <w:rsid w:val="00904FCB"/>
    <w:rsid w:val="0090516A"/>
    <w:rsid w:val="009056EC"/>
    <w:rsid w:val="00905E74"/>
    <w:rsid w:val="00906538"/>
    <w:rsid w:val="00906EEC"/>
    <w:rsid w:val="0090701B"/>
    <w:rsid w:val="0091038F"/>
    <w:rsid w:val="00910AE9"/>
    <w:rsid w:val="009113C8"/>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59F"/>
    <w:rsid w:val="00925C6F"/>
    <w:rsid w:val="0092607C"/>
    <w:rsid w:val="00926081"/>
    <w:rsid w:val="0092675A"/>
    <w:rsid w:val="00930389"/>
    <w:rsid w:val="00930B95"/>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8A2"/>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8C1"/>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8E3"/>
    <w:rsid w:val="009763C4"/>
    <w:rsid w:val="00976C4F"/>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244C"/>
    <w:rsid w:val="009A2BBB"/>
    <w:rsid w:val="009A2C08"/>
    <w:rsid w:val="009A2CD1"/>
    <w:rsid w:val="009A34CB"/>
    <w:rsid w:val="009A35A6"/>
    <w:rsid w:val="009A3612"/>
    <w:rsid w:val="009A3F81"/>
    <w:rsid w:val="009A4059"/>
    <w:rsid w:val="009A44C8"/>
    <w:rsid w:val="009A4579"/>
    <w:rsid w:val="009A45B0"/>
    <w:rsid w:val="009A4755"/>
    <w:rsid w:val="009A4EAB"/>
    <w:rsid w:val="009A5BCC"/>
    <w:rsid w:val="009A5F58"/>
    <w:rsid w:val="009A6A6F"/>
    <w:rsid w:val="009A735F"/>
    <w:rsid w:val="009B04F1"/>
    <w:rsid w:val="009B07DC"/>
    <w:rsid w:val="009B08FB"/>
    <w:rsid w:val="009B1226"/>
    <w:rsid w:val="009B13B9"/>
    <w:rsid w:val="009B1AD4"/>
    <w:rsid w:val="009B1B69"/>
    <w:rsid w:val="009B1D67"/>
    <w:rsid w:val="009B3317"/>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6C46"/>
    <w:rsid w:val="009C7998"/>
    <w:rsid w:val="009C7AEF"/>
    <w:rsid w:val="009C7DCE"/>
    <w:rsid w:val="009D05E0"/>
    <w:rsid w:val="009D199C"/>
    <w:rsid w:val="009D1F22"/>
    <w:rsid w:val="009D217F"/>
    <w:rsid w:val="009D2594"/>
    <w:rsid w:val="009D29E9"/>
    <w:rsid w:val="009D3626"/>
    <w:rsid w:val="009D38AB"/>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8E"/>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938"/>
    <w:rsid w:val="00A10977"/>
    <w:rsid w:val="00A113C1"/>
    <w:rsid w:val="00A116EB"/>
    <w:rsid w:val="00A1178D"/>
    <w:rsid w:val="00A11C34"/>
    <w:rsid w:val="00A11EA9"/>
    <w:rsid w:val="00A12068"/>
    <w:rsid w:val="00A120B9"/>
    <w:rsid w:val="00A1260A"/>
    <w:rsid w:val="00A1264F"/>
    <w:rsid w:val="00A12A7C"/>
    <w:rsid w:val="00A1330E"/>
    <w:rsid w:val="00A138DE"/>
    <w:rsid w:val="00A13B91"/>
    <w:rsid w:val="00A13C2E"/>
    <w:rsid w:val="00A140F7"/>
    <w:rsid w:val="00A1448C"/>
    <w:rsid w:val="00A14C15"/>
    <w:rsid w:val="00A14F1F"/>
    <w:rsid w:val="00A15328"/>
    <w:rsid w:val="00A15D7C"/>
    <w:rsid w:val="00A16688"/>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58A4"/>
    <w:rsid w:val="00A65A83"/>
    <w:rsid w:val="00A6710A"/>
    <w:rsid w:val="00A67354"/>
    <w:rsid w:val="00A675BB"/>
    <w:rsid w:val="00A70DF7"/>
    <w:rsid w:val="00A711F0"/>
    <w:rsid w:val="00A71593"/>
    <w:rsid w:val="00A71EFB"/>
    <w:rsid w:val="00A72644"/>
    <w:rsid w:val="00A72B79"/>
    <w:rsid w:val="00A73268"/>
    <w:rsid w:val="00A73864"/>
    <w:rsid w:val="00A73BD7"/>
    <w:rsid w:val="00A742C7"/>
    <w:rsid w:val="00A743AB"/>
    <w:rsid w:val="00A7453E"/>
    <w:rsid w:val="00A753C0"/>
    <w:rsid w:val="00A75510"/>
    <w:rsid w:val="00A761E5"/>
    <w:rsid w:val="00A76D45"/>
    <w:rsid w:val="00A77212"/>
    <w:rsid w:val="00A77C2C"/>
    <w:rsid w:val="00A80062"/>
    <w:rsid w:val="00A80110"/>
    <w:rsid w:val="00A8095B"/>
    <w:rsid w:val="00A80E80"/>
    <w:rsid w:val="00A80F27"/>
    <w:rsid w:val="00A8182F"/>
    <w:rsid w:val="00A81C19"/>
    <w:rsid w:val="00A82146"/>
    <w:rsid w:val="00A82545"/>
    <w:rsid w:val="00A82683"/>
    <w:rsid w:val="00A82B55"/>
    <w:rsid w:val="00A82C68"/>
    <w:rsid w:val="00A831D9"/>
    <w:rsid w:val="00A83508"/>
    <w:rsid w:val="00A83CAC"/>
    <w:rsid w:val="00A84F12"/>
    <w:rsid w:val="00A856EB"/>
    <w:rsid w:val="00A86236"/>
    <w:rsid w:val="00A875E3"/>
    <w:rsid w:val="00A87694"/>
    <w:rsid w:val="00A9022E"/>
    <w:rsid w:val="00A902D4"/>
    <w:rsid w:val="00A90448"/>
    <w:rsid w:val="00A9079C"/>
    <w:rsid w:val="00A90C0D"/>
    <w:rsid w:val="00A90FFB"/>
    <w:rsid w:val="00A91257"/>
    <w:rsid w:val="00A9209F"/>
    <w:rsid w:val="00A9235A"/>
    <w:rsid w:val="00A92C0D"/>
    <w:rsid w:val="00A92EB1"/>
    <w:rsid w:val="00A92F92"/>
    <w:rsid w:val="00A93011"/>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C10"/>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832"/>
    <w:rsid w:val="00AB3F0D"/>
    <w:rsid w:val="00AB4639"/>
    <w:rsid w:val="00AB48EC"/>
    <w:rsid w:val="00AB53E4"/>
    <w:rsid w:val="00AB5467"/>
    <w:rsid w:val="00AB5488"/>
    <w:rsid w:val="00AB6007"/>
    <w:rsid w:val="00AB6EAC"/>
    <w:rsid w:val="00AC00D2"/>
    <w:rsid w:val="00AC0699"/>
    <w:rsid w:val="00AC191A"/>
    <w:rsid w:val="00AC252B"/>
    <w:rsid w:val="00AC2BEF"/>
    <w:rsid w:val="00AC2F08"/>
    <w:rsid w:val="00AC3031"/>
    <w:rsid w:val="00AC35B2"/>
    <w:rsid w:val="00AC3CBD"/>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D84"/>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73B2"/>
    <w:rsid w:val="00B20164"/>
    <w:rsid w:val="00B202C7"/>
    <w:rsid w:val="00B203F3"/>
    <w:rsid w:val="00B2101D"/>
    <w:rsid w:val="00B210D6"/>
    <w:rsid w:val="00B21628"/>
    <w:rsid w:val="00B23939"/>
    <w:rsid w:val="00B23E78"/>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AF6"/>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3D35"/>
    <w:rsid w:val="00B4424E"/>
    <w:rsid w:val="00B44753"/>
    <w:rsid w:val="00B449E5"/>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DFC"/>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5FEA"/>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851"/>
    <w:rsid w:val="00B8533F"/>
    <w:rsid w:val="00B85414"/>
    <w:rsid w:val="00B863A8"/>
    <w:rsid w:val="00B8706B"/>
    <w:rsid w:val="00B8772A"/>
    <w:rsid w:val="00B902B9"/>
    <w:rsid w:val="00B9049B"/>
    <w:rsid w:val="00B9060E"/>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019"/>
    <w:rsid w:val="00B943EA"/>
    <w:rsid w:val="00B950F0"/>
    <w:rsid w:val="00B95B21"/>
    <w:rsid w:val="00B95BFE"/>
    <w:rsid w:val="00B96063"/>
    <w:rsid w:val="00B961CB"/>
    <w:rsid w:val="00B96C22"/>
    <w:rsid w:val="00B972D3"/>
    <w:rsid w:val="00B97C29"/>
    <w:rsid w:val="00BA0098"/>
    <w:rsid w:val="00BA036D"/>
    <w:rsid w:val="00BA0965"/>
    <w:rsid w:val="00BA1705"/>
    <w:rsid w:val="00BA1C62"/>
    <w:rsid w:val="00BA2132"/>
    <w:rsid w:val="00BA22D3"/>
    <w:rsid w:val="00BA2524"/>
    <w:rsid w:val="00BA3049"/>
    <w:rsid w:val="00BA3224"/>
    <w:rsid w:val="00BA4295"/>
    <w:rsid w:val="00BA456F"/>
    <w:rsid w:val="00BA493D"/>
    <w:rsid w:val="00BA5352"/>
    <w:rsid w:val="00BA53DE"/>
    <w:rsid w:val="00BA5B58"/>
    <w:rsid w:val="00BA659C"/>
    <w:rsid w:val="00BA728C"/>
    <w:rsid w:val="00BA73D4"/>
    <w:rsid w:val="00BA74F1"/>
    <w:rsid w:val="00BA78DC"/>
    <w:rsid w:val="00BA7C4B"/>
    <w:rsid w:val="00BB0200"/>
    <w:rsid w:val="00BB0275"/>
    <w:rsid w:val="00BB0338"/>
    <w:rsid w:val="00BB0479"/>
    <w:rsid w:val="00BB0AB1"/>
    <w:rsid w:val="00BB0AD4"/>
    <w:rsid w:val="00BB0C3B"/>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B8"/>
    <w:rsid w:val="00BE137E"/>
    <w:rsid w:val="00BE1772"/>
    <w:rsid w:val="00BE1DEB"/>
    <w:rsid w:val="00BE1F5B"/>
    <w:rsid w:val="00BE2903"/>
    <w:rsid w:val="00BE2E8B"/>
    <w:rsid w:val="00BE318A"/>
    <w:rsid w:val="00BE349E"/>
    <w:rsid w:val="00BE35DA"/>
    <w:rsid w:val="00BE44F2"/>
    <w:rsid w:val="00BF0A46"/>
    <w:rsid w:val="00BF0E8E"/>
    <w:rsid w:val="00BF1318"/>
    <w:rsid w:val="00BF17C6"/>
    <w:rsid w:val="00BF1A7F"/>
    <w:rsid w:val="00BF2085"/>
    <w:rsid w:val="00BF2488"/>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C46"/>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BB6"/>
    <w:rsid w:val="00C30796"/>
    <w:rsid w:val="00C30EE9"/>
    <w:rsid w:val="00C30F2D"/>
    <w:rsid w:val="00C312AB"/>
    <w:rsid w:val="00C31B3F"/>
    <w:rsid w:val="00C322F1"/>
    <w:rsid w:val="00C32CFA"/>
    <w:rsid w:val="00C33284"/>
    <w:rsid w:val="00C33F76"/>
    <w:rsid w:val="00C34398"/>
    <w:rsid w:val="00C343E5"/>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8C5"/>
    <w:rsid w:val="00C52DB8"/>
    <w:rsid w:val="00C53456"/>
    <w:rsid w:val="00C5397B"/>
    <w:rsid w:val="00C53E6D"/>
    <w:rsid w:val="00C53E92"/>
    <w:rsid w:val="00C54A67"/>
    <w:rsid w:val="00C54CD6"/>
    <w:rsid w:val="00C55CCA"/>
    <w:rsid w:val="00C55E36"/>
    <w:rsid w:val="00C55EA7"/>
    <w:rsid w:val="00C57E23"/>
    <w:rsid w:val="00C60425"/>
    <w:rsid w:val="00C60557"/>
    <w:rsid w:val="00C60AFD"/>
    <w:rsid w:val="00C60C2D"/>
    <w:rsid w:val="00C6162E"/>
    <w:rsid w:val="00C619BB"/>
    <w:rsid w:val="00C61E0E"/>
    <w:rsid w:val="00C62E53"/>
    <w:rsid w:val="00C62E87"/>
    <w:rsid w:val="00C62FB0"/>
    <w:rsid w:val="00C63E23"/>
    <w:rsid w:val="00C644BD"/>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979"/>
    <w:rsid w:val="00CD1E9D"/>
    <w:rsid w:val="00CD243C"/>
    <w:rsid w:val="00CD2A30"/>
    <w:rsid w:val="00CD2D54"/>
    <w:rsid w:val="00CD4041"/>
    <w:rsid w:val="00CD4565"/>
    <w:rsid w:val="00CD461B"/>
    <w:rsid w:val="00CD4B0C"/>
    <w:rsid w:val="00CD4F99"/>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E59"/>
    <w:rsid w:val="00CE417B"/>
    <w:rsid w:val="00CE442C"/>
    <w:rsid w:val="00CE5352"/>
    <w:rsid w:val="00CE53E5"/>
    <w:rsid w:val="00CE5813"/>
    <w:rsid w:val="00CE5A1B"/>
    <w:rsid w:val="00CE5CF2"/>
    <w:rsid w:val="00CE5D94"/>
    <w:rsid w:val="00CE6713"/>
    <w:rsid w:val="00CE71E9"/>
    <w:rsid w:val="00CE7B1F"/>
    <w:rsid w:val="00CE7F9D"/>
    <w:rsid w:val="00CF034D"/>
    <w:rsid w:val="00CF0DEC"/>
    <w:rsid w:val="00CF10DB"/>
    <w:rsid w:val="00CF126F"/>
    <w:rsid w:val="00CF2572"/>
    <w:rsid w:val="00CF25A1"/>
    <w:rsid w:val="00CF2BA1"/>
    <w:rsid w:val="00CF2EA9"/>
    <w:rsid w:val="00CF2FFE"/>
    <w:rsid w:val="00CF3011"/>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57EDE"/>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6C59"/>
    <w:rsid w:val="00D67313"/>
    <w:rsid w:val="00D702CA"/>
    <w:rsid w:val="00D70636"/>
    <w:rsid w:val="00D71230"/>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33BE"/>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901"/>
    <w:rsid w:val="00D95413"/>
    <w:rsid w:val="00D95AA0"/>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A8"/>
    <w:rsid w:val="00DA4A7D"/>
    <w:rsid w:val="00DA524D"/>
    <w:rsid w:val="00DA7D61"/>
    <w:rsid w:val="00DB0BB5"/>
    <w:rsid w:val="00DB14DD"/>
    <w:rsid w:val="00DB15AC"/>
    <w:rsid w:val="00DB1890"/>
    <w:rsid w:val="00DB1D21"/>
    <w:rsid w:val="00DB1F2C"/>
    <w:rsid w:val="00DB203C"/>
    <w:rsid w:val="00DB2897"/>
    <w:rsid w:val="00DB2E73"/>
    <w:rsid w:val="00DB328C"/>
    <w:rsid w:val="00DB3592"/>
    <w:rsid w:val="00DB47E5"/>
    <w:rsid w:val="00DB485B"/>
    <w:rsid w:val="00DB4C93"/>
    <w:rsid w:val="00DB5421"/>
    <w:rsid w:val="00DB5D6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A14"/>
    <w:rsid w:val="00DD46E9"/>
    <w:rsid w:val="00DD4EF1"/>
    <w:rsid w:val="00DD52BE"/>
    <w:rsid w:val="00DD740A"/>
    <w:rsid w:val="00DD77DD"/>
    <w:rsid w:val="00DD7A04"/>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BD1"/>
    <w:rsid w:val="00E07DB8"/>
    <w:rsid w:val="00E1050F"/>
    <w:rsid w:val="00E11290"/>
    <w:rsid w:val="00E113B7"/>
    <w:rsid w:val="00E114C5"/>
    <w:rsid w:val="00E12316"/>
    <w:rsid w:val="00E1277F"/>
    <w:rsid w:val="00E12E73"/>
    <w:rsid w:val="00E135F7"/>
    <w:rsid w:val="00E139D5"/>
    <w:rsid w:val="00E14042"/>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52B"/>
    <w:rsid w:val="00E307B6"/>
    <w:rsid w:val="00E3142D"/>
    <w:rsid w:val="00E316F5"/>
    <w:rsid w:val="00E32E9C"/>
    <w:rsid w:val="00E32FAF"/>
    <w:rsid w:val="00E339F2"/>
    <w:rsid w:val="00E34EBE"/>
    <w:rsid w:val="00E34F85"/>
    <w:rsid w:val="00E36093"/>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28F9"/>
    <w:rsid w:val="00E53522"/>
    <w:rsid w:val="00E545FA"/>
    <w:rsid w:val="00E546E8"/>
    <w:rsid w:val="00E5496E"/>
    <w:rsid w:val="00E55854"/>
    <w:rsid w:val="00E55B05"/>
    <w:rsid w:val="00E55BA5"/>
    <w:rsid w:val="00E56707"/>
    <w:rsid w:val="00E56ACD"/>
    <w:rsid w:val="00E57279"/>
    <w:rsid w:val="00E57739"/>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73B"/>
    <w:rsid w:val="00E72B6E"/>
    <w:rsid w:val="00E742F4"/>
    <w:rsid w:val="00E74B6D"/>
    <w:rsid w:val="00E74BE2"/>
    <w:rsid w:val="00E75976"/>
    <w:rsid w:val="00E75E5C"/>
    <w:rsid w:val="00E760FF"/>
    <w:rsid w:val="00E76384"/>
    <w:rsid w:val="00E76A5E"/>
    <w:rsid w:val="00E775E3"/>
    <w:rsid w:val="00E77A45"/>
    <w:rsid w:val="00E80693"/>
    <w:rsid w:val="00E812F5"/>
    <w:rsid w:val="00E8154B"/>
    <w:rsid w:val="00E82968"/>
    <w:rsid w:val="00E8357D"/>
    <w:rsid w:val="00E8373C"/>
    <w:rsid w:val="00E83967"/>
    <w:rsid w:val="00E839AD"/>
    <w:rsid w:val="00E83E51"/>
    <w:rsid w:val="00E83FCE"/>
    <w:rsid w:val="00E84570"/>
    <w:rsid w:val="00E846CA"/>
    <w:rsid w:val="00E8487A"/>
    <w:rsid w:val="00E8499D"/>
    <w:rsid w:val="00E85726"/>
    <w:rsid w:val="00E85E2B"/>
    <w:rsid w:val="00E872A7"/>
    <w:rsid w:val="00E878CC"/>
    <w:rsid w:val="00E87A7D"/>
    <w:rsid w:val="00E87EAD"/>
    <w:rsid w:val="00E901AB"/>
    <w:rsid w:val="00E90AF8"/>
    <w:rsid w:val="00E91FB8"/>
    <w:rsid w:val="00E923FD"/>
    <w:rsid w:val="00E924F7"/>
    <w:rsid w:val="00E9292A"/>
    <w:rsid w:val="00E93943"/>
    <w:rsid w:val="00E94687"/>
    <w:rsid w:val="00E950A6"/>
    <w:rsid w:val="00E95DD9"/>
    <w:rsid w:val="00E96341"/>
    <w:rsid w:val="00E9647F"/>
    <w:rsid w:val="00E967EA"/>
    <w:rsid w:val="00E96839"/>
    <w:rsid w:val="00E96CB9"/>
    <w:rsid w:val="00E9721B"/>
    <w:rsid w:val="00E97299"/>
    <w:rsid w:val="00E9747A"/>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07E"/>
    <w:rsid w:val="00EA539E"/>
    <w:rsid w:val="00EA641F"/>
    <w:rsid w:val="00EA64F1"/>
    <w:rsid w:val="00EA670C"/>
    <w:rsid w:val="00EA6A5A"/>
    <w:rsid w:val="00EA6B12"/>
    <w:rsid w:val="00EA714D"/>
    <w:rsid w:val="00EA7386"/>
    <w:rsid w:val="00EB01C3"/>
    <w:rsid w:val="00EB19E0"/>
    <w:rsid w:val="00EB1C21"/>
    <w:rsid w:val="00EB249C"/>
    <w:rsid w:val="00EB33B0"/>
    <w:rsid w:val="00EB3B36"/>
    <w:rsid w:val="00EB42A7"/>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C9B"/>
    <w:rsid w:val="00EF22B3"/>
    <w:rsid w:val="00EF26BD"/>
    <w:rsid w:val="00EF2B66"/>
    <w:rsid w:val="00EF4033"/>
    <w:rsid w:val="00EF4A41"/>
    <w:rsid w:val="00EF5D36"/>
    <w:rsid w:val="00EF5F34"/>
    <w:rsid w:val="00EF66FC"/>
    <w:rsid w:val="00EF6B68"/>
    <w:rsid w:val="00EF72D1"/>
    <w:rsid w:val="00EF7936"/>
    <w:rsid w:val="00F00C01"/>
    <w:rsid w:val="00F0135B"/>
    <w:rsid w:val="00F01AE3"/>
    <w:rsid w:val="00F01FD1"/>
    <w:rsid w:val="00F0247E"/>
    <w:rsid w:val="00F02E73"/>
    <w:rsid w:val="00F03088"/>
    <w:rsid w:val="00F03091"/>
    <w:rsid w:val="00F03789"/>
    <w:rsid w:val="00F05459"/>
    <w:rsid w:val="00F05514"/>
    <w:rsid w:val="00F0613B"/>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349"/>
    <w:rsid w:val="00F37D6D"/>
    <w:rsid w:val="00F404A7"/>
    <w:rsid w:val="00F405C9"/>
    <w:rsid w:val="00F40730"/>
    <w:rsid w:val="00F40A19"/>
    <w:rsid w:val="00F40C29"/>
    <w:rsid w:val="00F414CD"/>
    <w:rsid w:val="00F414F8"/>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4AD"/>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72FF"/>
    <w:rsid w:val="00F67C1B"/>
    <w:rsid w:val="00F67F40"/>
    <w:rsid w:val="00F70195"/>
    <w:rsid w:val="00F70FC0"/>
    <w:rsid w:val="00F715E7"/>
    <w:rsid w:val="00F71FF8"/>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5EE"/>
    <w:rsid w:val="00F9294C"/>
    <w:rsid w:val="00F92F98"/>
    <w:rsid w:val="00F93AEB"/>
    <w:rsid w:val="00F93BBC"/>
    <w:rsid w:val="00F93DB1"/>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368A"/>
    <w:rsid w:val="00FA3832"/>
    <w:rsid w:val="00FA3EBF"/>
    <w:rsid w:val="00FA4C90"/>
    <w:rsid w:val="00FA4EEC"/>
    <w:rsid w:val="00FA5127"/>
    <w:rsid w:val="00FA6905"/>
    <w:rsid w:val="00FA7A01"/>
    <w:rsid w:val="00FB03E9"/>
    <w:rsid w:val="00FB08DC"/>
    <w:rsid w:val="00FB1250"/>
    <w:rsid w:val="00FB231E"/>
    <w:rsid w:val="00FB28CB"/>
    <w:rsid w:val="00FB2F2E"/>
    <w:rsid w:val="00FB37C3"/>
    <w:rsid w:val="00FB4456"/>
    <w:rsid w:val="00FB4D03"/>
    <w:rsid w:val="00FB4D43"/>
    <w:rsid w:val="00FB4DFA"/>
    <w:rsid w:val="00FB5120"/>
    <w:rsid w:val="00FB5485"/>
    <w:rsid w:val="00FB5D74"/>
    <w:rsid w:val="00FB5F5C"/>
    <w:rsid w:val="00FB6220"/>
    <w:rsid w:val="00FB6981"/>
    <w:rsid w:val="00FB6D84"/>
    <w:rsid w:val="00FB7076"/>
    <w:rsid w:val="00FB7543"/>
    <w:rsid w:val="00FB75FC"/>
    <w:rsid w:val="00FB7B2D"/>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9DE"/>
    <w:rsid w:val="00FF2B42"/>
    <w:rsid w:val="00FF322C"/>
    <w:rsid w:val="00FF3EF8"/>
    <w:rsid w:val="00FF454E"/>
    <w:rsid w:val="00FF507F"/>
    <w:rsid w:val="00FF5D4D"/>
    <w:rsid w:val="00FF634E"/>
    <w:rsid w:val="00FF649E"/>
    <w:rsid w:val="00FF6FE3"/>
    <w:rsid w:val="00FF7625"/>
    <w:rsid w:val="0289FA5E"/>
    <w:rsid w:val="02A5B310"/>
    <w:rsid w:val="036F9FAF"/>
    <w:rsid w:val="055AB46E"/>
    <w:rsid w:val="05B482E3"/>
    <w:rsid w:val="060EA3DB"/>
    <w:rsid w:val="063653B2"/>
    <w:rsid w:val="06620B1D"/>
    <w:rsid w:val="07AA743C"/>
    <w:rsid w:val="0825C528"/>
    <w:rsid w:val="089E139D"/>
    <w:rsid w:val="0AB4EB49"/>
    <w:rsid w:val="0C72485D"/>
    <w:rsid w:val="0C9E538D"/>
    <w:rsid w:val="0CD8499C"/>
    <w:rsid w:val="0DA1B3F3"/>
    <w:rsid w:val="0DB0AC54"/>
    <w:rsid w:val="0F79B9D7"/>
    <w:rsid w:val="10E0D201"/>
    <w:rsid w:val="11041DAD"/>
    <w:rsid w:val="114D992C"/>
    <w:rsid w:val="120AD838"/>
    <w:rsid w:val="12894E52"/>
    <w:rsid w:val="138F33EB"/>
    <w:rsid w:val="15FB6522"/>
    <w:rsid w:val="165C66F7"/>
    <w:rsid w:val="16649FEF"/>
    <w:rsid w:val="17E7F9C9"/>
    <w:rsid w:val="187314D3"/>
    <w:rsid w:val="193305E4"/>
    <w:rsid w:val="1A0CC7BE"/>
    <w:rsid w:val="1AB5ADE8"/>
    <w:rsid w:val="1AECDB15"/>
    <w:rsid w:val="1C3EC466"/>
    <w:rsid w:val="1C8CA1DF"/>
    <w:rsid w:val="1D38DAFD"/>
    <w:rsid w:val="20B146F8"/>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9F8E1C2"/>
    <w:rsid w:val="3AE9E302"/>
    <w:rsid w:val="3B9683F7"/>
    <w:rsid w:val="3BCB3C2E"/>
    <w:rsid w:val="3CAB666A"/>
    <w:rsid w:val="3DECA2B5"/>
    <w:rsid w:val="3EDAD0A9"/>
    <w:rsid w:val="40993BDC"/>
    <w:rsid w:val="411272C2"/>
    <w:rsid w:val="4284D176"/>
    <w:rsid w:val="42E0FEE6"/>
    <w:rsid w:val="446868FA"/>
    <w:rsid w:val="449EE389"/>
    <w:rsid w:val="44A8FB23"/>
    <w:rsid w:val="45C436A0"/>
    <w:rsid w:val="4638CD78"/>
    <w:rsid w:val="471E9E97"/>
    <w:rsid w:val="484339E3"/>
    <w:rsid w:val="48688A92"/>
    <w:rsid w:val="48703D10"/>
    <w:rsid w:val="48C08A7A"/>
    <w:rsid w:val="4AD3BACB"/>
    <w:rsid w:val="4B428375"/>
    <w:rsid w:val="4B8F2946"/>
    <w:rsid w:val="4D338AB3"/>
    <w:rsid w:val="4E973839"/>
    <w:rsid w:val="4EF68972"/>
    <w:rsid w:val="4F97EB4E"/>
    <w:rsid w:val="512C7C40"/>
    <w:rsid w:val="515AB37A"/>
    <w:rsid w:val="5189942C"/>
    <w:rsid w:val="51A6242E"/>
    <w:rsid w:val="52F683DB"/>
    <w:rsid w:val="532B3C12"/>
    <w:rsid w:val="55FA4715"/>
    <w:rsid w:val="5658C53A"/>
    <w:rsid w:val="569C1CFF"/>
    <w:rsid w:val="583BAD14"/>
    <w:rsid w:val="58ED34F0"/>
    <w:rsid w:val="5B58F1E4"/>
    <w:rsid w:val="5CD15AEC"/>
    <w:rsid w:val="5E1E1829"/>
    <w:rsid w:val="5EE1B42A"/>
    <w:rsid w:val="5EFC1B03"/>
    <w:rsid w:val="607D848B"/>
    <w:rsid w:val="61981D74"/>
    <w:rsid w:val="61D6BAE2"/>
    <w:rsid w:val="633AA146"/>
    <w:rsid w:val="64D671A7"/>
    <w:rsid w:val="650E5BA4"/>
    <w:rsid w:val="676DB163"/>
    <w:rsid w:val="67AF5CA0"/>
    <w:rsid w:val="6CB288AC"/>
    <w:rsid w:val="6CB29864"/>
    <w:rsid w:val="6CDEAB8A"/>
    <w:rsid w:val="6DAB702B"/>
    <w:rsid w:val="6E1727AA"/>
    <w:rsid w:val="6E9858D8"/>
    <w:rsid w:val="6EA8BB6A"/>
    <w:rsid w:val="6EFA4BB6"/>
    <w:rsid w:val="6F16824D"/>
    <w:rsid w:val="6F9619D1"/>
    <w:rsid w:val="6FF36856"/>
    <w:rsid w:val="71082589"/>
    <w:rsid w:val="71104140"/>
    <w:rsid w:val="712F5AB8"/>
    <w:rsid w:val="71A86A0D"/>
    <w:rsid w:val="724B2FE2"/>
    <w:rsid w:val="72C0B327"/>
    <w:rsid w:val="749958C6"/>
    <w:rsid w:val="74F482F7"/>
    <w:rsid w:val="759EF8DD"/>
    <w:rsid w:val="75AED98F"/>
    <w:rsid w:val="75FCB035"/>
    <w:rsid w:val="77392A14"/>
    <w:rsid w:val="77467F07"/>
    <w:rsid w:val="77E0AB9D"/>
    <w:rsid w:val="780F0071"/>
    <w:rsid w:val="7826B273"/>
    <w:rsid w:val="783000D8"/>
    <w:rsid w:val="788D7F63"/>
    <w:rsid w:val="78F9E42E"/>
    <w:rsid w:val="79546C12"/>
    <w:rsid w:val="7A70CAD6"/>
    <w:rsid w:val="7B294E6D"/>
    <w:rsid w:val="7B480BC9"/>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0" w:name="heading 4"/>
    <w:lsdException w:qFormat="1" w:uiPriority="0" w:name="heading 5"/>
    <w:lsdException w:qFormat="1" w:uiPriority="9"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rPr>
      <w:rFonts w:ascii="Ecofont_Spranq_eco_Sans" w:hAnsi="Ecofont_Spranq_eco_Sans" w:cs="Tahoma" w:eastAsiaTheme="minorEastAsia"/>
      <w:sz w:val="24"/>
      <w:szCs w:val="24"/>
      <w:lang w:val="pt-BR" w:eastAsia="pt-BR" w:bidi="ar-SA"/>
    </w:rPr>
  </w:style>
  <w:style w:type="paragraph" w:styleId="2">
    <w:name w:val="heading 1"/>
    <w:basedOn w:val="1"/>
    <w:next w:val="1"/>
    <w:link w:val="43"/>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26"/>
    <w:qFormat/>
    <w:uiPriority w:val="0"/>
    <w:pPr>
      <w:keepNext/>
      <w:tabs>
        <w:tab w:val="left" w:pos="1701"/>
      </w:tabs>
      <w:ind w:right="-1"/>
      <w:jc w:val="center"/>
      <w:outlineLvl w:val="1"/>
    </w:pPr>
    <w:rPr>
      <w:rFonts w:ascii="Times New Roman" w:hAnsi="Times New Roman" w:cs="Times New Roman"/>
      <w:b/>
      <w:color w:val="000000"/>
      <w:szCs w:val="20"/>
    </w:rPr>
  </w:style>
  <w:style w:type="paragraph" w:styleId="4">
    <w:name w:val="heading 3"/>
    <w:basedOn w:val="1"/>
    <w:next w:val="1"/>
    <w:link w:val="88"/>
    <w:semiHidden/>
    <w:unhideWhenUsed/>
    <w:qFormat/>
    <w:uiPriority w:val="9"/>
    <w:pPr>
      <w:keepNext/>
      <w:keepLines/>
      <w:spacing w:before="40" w:line="259" w:lineRule="auto"/>
      <w:outlineLvl w:val="2"/>
    </w:pPr>
    <w:rPr>
      <w:rFonts w:asciiTheme="majorHAnsi" w:hAnsiTheme="majorHAnsi" w:eastAsiaTheme="majorEastAsia" w:cstheme="majorBidi"/>
      <w:color w:val="254061" w:themeColor="accent1" w:themeShade="80"/>
      <w:lang w:eastAsia="en-US"/>
    </w:rPr>
  </w:style>
  <w:style w:type="paragraph" w:styleId="5">
    <w:name w:val="heading 4"/>
    <w:basedOn w:val="1"/>
    <w:next w:val="1"/>
    <w:link w:val="38"/>
    <w:semiHidden/>
    <w:unhideWhenUsed/>
    <w:qFormat/>
    <w:uiPriority w:val="0"/>
    <w:pPr>
      <w:keepNext/>
      <w:keepLines/>
      <w:spacing w:before="40"/>
      <w:outlineLvl w:val="3"/>
    </w:pPr>
    <w:rPr>
      <w:rFonts w:asciiTheme="majorHAnsi" w:hAnsiTheme="majorHAnsi" w:eastAsiaTheme="majorEastAsia" w:cstheme="majorBidi"/>
      <w:i/>
      <w:iCs/>
      <w:color w:val="376092" w:themeColor="accent1" w:themeShade="BF"/>
    </w:rPr>
  </w:style>
  <w:style w:type="paragraph" w:styleId="6">
    <w:name w:val="heading 6"/>
    <w:basedOn w:val="1"/>
    <w:next w:val="1"/>
    <w:link w:val="89"/>
    <w:semiHidden/>
    <w:unhideWhenUsed/>
    <w:qFormat/>
    <w:uiPriority w:val="9"/>
    <w:pPr>
      <w:keepNext/>
      <w:keepLines/>
      <w:spacing w:before="40" w:line="259" w:lineRule="auto"/>
      <w:outlineLvl w:val="5"/>
    </w:pPr>
    <w:rPr>
      <w:rFonts w:asciiTheme="majorHAnsi" w:hAnsiTheme="majorHAnsi" w:eastAsiaTheme="majorEastAsia" w:cstheme="majorBidi"/>
      <w:color w:val="254061" w:themeColor="accent1" w:themeShade="80"/>
      <w:sz w:val="22"/>
      <w:szCs w:val="22"/>
      <w:lang w:eastAsia="en-US"/>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character" w:styleId="9">
    <w:name w:val="Strong"/>
    <w:basedOn w:val="7"/>
    <w:qFormat/>
    <w:uiPriority w:val="22"/>
    <w:rPr>
      <w:b/>
      <w:bCs/>
    </w:rPr>
  </w:style>
  <w:style w:type="character" w:styleId="10">
    <w:name w:val="annotation reference"/>
    <w:basedOn w:val="7"/>
    <w:unhideWhenUsed/>
    <w:qFormat/>
    <w:uiPriority w:val="0"/>
    <w:rPr>
      <w:sz w:val="16"/>
      <w:szCs w:val="16"/>
    </w:rPr>
  </w:style>
  <w:style w:type="character" w:styleId="11">
    <w:name w:val="FollowedHyperlink"/>
    <w:basedOn w:val="7"/>
    <w:semiHidden/>
    <w:unhideWhenUsed/>
    <w:qFormat/>
    <w:uiPriority w:val="99"/>
    <w:rPr>
      <w:color w:val="800080" w:themeColor="followedHyperlink"/>
      <w:u w:val="single"/>
      <w14:textFill>
        <w14:solidFill>
          <w14:schemeClr w14:val="folHlink"/>
        </w14:solidFill>
      </w14:textFill>
    </w:rPr>
  </w:style>
  <w:style w:type="character" w:styleId="12">
    <w:name w:val="Emphasis"/>
    <w:basedOn w:val="7"/>
    <w:qFormat/>
    <w:uiPriority w:val="20"/>
    <w:rPr>
      <w:i/>
      <w:iCs/>
    </w:rPr>
  </w:style>
  <w:style w:type="character" w:styleId="13">
    <w:name w:val="Hyperlink"/>
    <w:qFormat/>
    <w:uiPriority w:val="0"/>
    <w:rPr>
      <w:color w:val="000080"/>
      <w:u w:val="single"/>
    </w:rPr>
  </w:style>
  <w:style w:type="paragraph" w:styleId="14">
    <w:name w:val="Body Text"/>
    <w:basedOn w:val="1"/>
    <w:link w:val="52"/>
    <w:unhideWhenUsed/>
    <w:qFormat/>
    <w:uiPriority w:val="99"/>
    <w:pPr>
      <w:spacing w:before="100" w:beforeAutospacing="1" w:after="100" w:afterAutospacing="1"/>
    </w:pPr>
    <w:rPr>
      <w:rFonts w:ascii="Times New Roman" w:hAnsi="Times New Roman" w:eastAsia="Times New Roman" w:cs="Times New Roman"/>
    </w:rPr>
  </w:style>
  <w:style w:type="paragraph" w:styleId="15">
    <w:name w:val="annotation text"/>
    <w:basedOn w:val="1"/>
    <w:link w:val="36"/>
    <w:unhideWhenUsed/>
    <w:qFormat/>
    <w:uiPriority w:val="99"/>
    <w:rPr>
      <w:sz w:val="20"/>
      <w:szCs w:val="20"/>
    </w:rPr>
  </w:style>
  <w:style w:type="paragraph" w:styleId="16">
    <w:name w:val="Title"/>
    <w:basedOn w:val="1"/>
    <w:next w:val="1"/>
    <w:link w:val="41"/>
    <w:qFormat/>
    <w:uiPriority w:val="0"/>
    <w:pPr>
      <w:pBdr>
        <w:bottom w:val="single" w:color="4F81BD" w:themeColor="accent1" w:sz="8" w:space="4"/>
      </w:pBdr>
      <w:spacing w:after="300"/>
      <w:contextualSpacing/>
    </w:pPr>
    <w:rPr>
      <w:rFonts w:asciiTheme="majorHAnsi" w:hAnsiTheme="majorHAnsi" w:eastAsiaTheme="majorEastAsia" w:cstheme="majorBidi"/>
      <w:color w:val="17375E" w:themeColor="text2" w:themeShade="BF"/>
      <w:spacing w:val="5"/>
      <w:kern w:val="28"/>
      <w:sz w:val="52"/>
      <w:szCs w:val="52"/>
    </w:rPr>
  </w:style>
  <w:style w:type="paragraph" w:styleId="17">
    <w:name w:val="List Bullet 5"/>
    <w:basedOn w:val="1"/>
    <w:qFormat/>
    <w:uiPriority w:val="0"/>
    <w:pPr>
      <w:numPr>
        <w:ilvl w:val="0"/>
        <w:numId w:val="1"/>
      </w:numPr>
      <w:contextualSpacing/>
    </w:pPr>
  </w:style>
  <w:style w:type="paragraph" w:styleId="18">
    <w:name w:val="Normal (Web)"/>
    <w:basedOn w:val="1"/>
    <w:qFormat/>
    <w:uiPriority w:val="99"/>
    <w:pPr>
      <w:spacing w:before="100" w:beforeAutospacing="1" w:after="100" w:afterAutospacing="1"/>
    </w:pPr>
    <w:rPr>
      <w:rFonts w:ascii="Times New Roman" w:hAnsi="Times New Roman" w:cs="Times New Roman"/>
    </w:rPr>
  </w:style>
  <w:style w:type="paragraph" w:styleId="19">
    <w:name w:val="header"/>
    <w:basedOn w:val="1"/>
    <w:link w:val="34"/>
    <w:qFormat/>
    <w:uiPriority w:val="99"/>
    <w:pPr>
      <w:tabs>
        <w:tab w:val="center" w:pos="4252"/>
        <w:tab w:val="right" w:pos="8504"/>
      </w:tabs>
    </w:pPr>
  </w:style>
  <w:style w:type="paragraph" w:styleId="20">
    <w:name w:val="annotation subject"/>
    <w:basedOn w:val="15"/>
    <w:next w:val="15"/>
    <w:link w:val="37"/>
    <w:semiHidden/>
    <w:unhideWhenUsed/>
    <w:qFormat/>
    <w:uiPriority w:val="99"/>
    <w:rPr>
      <w:b/>
      <w:bCs/>
    </w:rPr>
  </w:style>
  <w:style w:type="paragraph" w:styleId="21">
    <w:name w:val="footer"/>
    <w:basedOn w:val="1"/>
    <w:link w:val="35"/>
    <w:qFormat/>
    <w:uiPriority w:val="99"/>
    <w:pPr>
      <w:tabs>
        <w:tab w:val="center" w:pos="4252"/>
        <w:tab w:val="right" w:pos="8504"/>
      </w:tabs>
    </w:pPr>
  </w:style>
  <w:style w:type="paragraph" w:styleId="22">
    <w:name w:val="Balloon Text"/>
    <w:basedOn w:val="1"/>
    <w:link w:val="25"/>
    <w:qFormat/>
    <w:uiPriority w:val="99"/>
    <w:rPr>
      <w:rFonts w:ascii="Tahoma" w:hAnsi="Tahoma"/>
      <w:sz w:val="16"/>
      <w:szCs w:val="16"/>
    </w:rPr>
  </w:style>
  <w:style w:type="table" w:styleId="23">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4">
    <w:name w:val="List Paragraph"/>
    <w:basedOn w:val="1"/>
    <w:link w:val="87"/>
    <w:qFormat/>
    <w:uiPriority w:val="34"/>
    <w:pPr>
      <w:ind w:left="720"/>
      <w:contextualSpacing/>
    </w:pPr>
  </w:style>
  <w:style w:type="character" w:customStyle="1" w:styleId="25">
    <w:name w:val="Texto de balão Char"/>
    <w:link w:val="22"/>
    <w:qFormat/>
    <w:uiPriority w:val="99"/>
    <w:rPr>
      <w:rFonts w:ascii="Tahoma" w:hAnsi="Tahoma" w:cs="Tahoma"/>
      <w:sz w:val="16"/>
      <w:szCs w:val="16"/>
    </w:rPr>
  </w:style>
  <w:style w:type="character" w:customStyle="1" w:styleId="26">
    <w:name w:val="Título 2 Char"/>
    <w:link w:val="3"/>
    <w:qFormat/>
    <w:uiPriority w:val="0"/>
    <w:rPr>
      <w:b/>
      <w:color w:val="000000"/>
      <w:sz w:val="24"/>
    </w:rPr>
  </w:style>
  <w:style w:type="paragraph" w:customStyle="1" w:styleId="27">
    <w:name w:val="Nível 2"/>
    <w:basedOn w:val="1"/>
    <w:next w:val="1"/>
    <w:qFormat/>
    <w:uiPriority w:val="0"/>
    <w:pPr>
      <w:spacing w:after="120"/>
      <w:jc w:val="both"/>
    </w:pPr>
    <w:rPr>
      <w:rFonts w:ascii="Arial" w:hAnsi="Arial" w:cs="Times New Roman"/>
      <w:b/>
      <w:szCs w:val="20"/>
    </w:rPr>
  </w:style>
  <w:style w:type="character" w:customStyle="1" w:styleId="28">
    <w:name w:val="normal__char1"/>
    <w:qFormat/>
    <w:uiPriority w:val="0"/>
    <w:rPr>
      <w:rFonts w:hint="default" w:ascii="Arial" w:hAnsi="Arial" w:cs="Arial"/>
      <w:sz w:val="24"/>
      <w:szCs w:val="24"/>
      <w:u w:val="none"/>
    </w:rPr>
  </w:style>
  <w:style w:type="character" w:customStyle="1" w:styleId="29">
    <w:name w:val="apple-style-span"/>
    <w:basedOn w:val="7"/>
    <w:qFormat/>
    <w:uiPriority w:val="0"/>
  </w:style>
  <w:style w:type="paragraph" w:styleId="30">
    <w:name w:val="Quote"/>
    <w:basedOn w:val="1"/>
    <w:next w:val="1"/>
    <w:link w:val="31"/>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Arial" w:hAnsi="Arial" w:eastAsia="Calibri"/>
      <w:i/>
      <w:iCs/>
      <w:color w:val="000000"/>
      <w:sz w:val="20"/>
      <w:lang w:eastAsia="en-US"/>
    </w:rPr>
  </w:style>
  <w:style w:type="character" w:customStyle="1" w:styleId="31">
    <w:name w:val="Citação Char"/>
    <w:link w:val="30"/>
    <w:qFormat/>
    <w:uiPriority w:val="0"/>
    <w:rPr>
      <w:rFonts w:ascii="Arial" w:hAnsi="Arial" w:eastAsia="Calibri" w:cs="Tahoma"/>
      <w:i/>
      <w:iCs/>
      <w:color w:val="000000"/>
      <w:szCs w:val="24"/>
      <w:shd w:val="clear" w:color="auto" w:fill="FFFFCC"/>
    </w:rPr>
  </w:style>
  <w:style w:type="paragraph" w:customStyle="1" w:styleId="32">
    <w:name w:val="Nota explicativa"/>
    <w:basedOn w:val="30"/>
    <w:link w:val="33"/>
    <w:qFormat/>
    <w:uiPriority w:val="0"/>
    <w:rPr>
      <w:szCs w:val="20"/>
    </w:rPr>
  </w:style>
  <w:style w:type="character" w:customStyle="1" w:styleId="33">
    <w:name w:val="Nota explicativa Char"/>
    <w:basedOn w:val="31"/>
    <w:link w:val="32"/>
    <w:uiPriority w:val="0"/>
    <w:rPr>
      <w:rFonts w:ascii="Arial" w:hAnsi="Arial" w:eastAsia="Calibri" w:cs="Tahoma"/>
      <w:color w:val="000000"/>
      <w:szCs w:val="24"/>
      <w:shd w:val="clear" w:color="auto" w:fill="FFFFCC"/>
    </w:rPr>
  </w:style>
  <w:style w:type="character" w:customStyle="1" w:styleId="34">
    <w:name w:val="Cabeçalho Char"/>
    <w:link w:val="19"/>
    <w:qFormat/>
    <w:uiPriority w:val="99"/>
    <w:rPr>
      <w:rFonts w:ascii="Ecofont_Spranq_eco_Sans" w:hAnsi="Ecofont_Spranq_eco_Sans" w:cs="Tahoma"/>
      <w:sz w:val="24"/>
      <w:szCs w:val="24"/>
    </w:rPr>
  </w:style>
  <w:style w:type="character" w:customStyle="1" w:styleId="35">
    <w:name w:val="Rodapé Char"/>
    <w:link w:val="21"/>
    <w:qFormat/>
    <w:uiPriority w:val="99"/>
    <w:rPr>
      <w:rFonts w:ascii="Ecofont_Spranq_eco_Sans" w:hAnsi="Ecofont_Spranq_eco_Sans" w:cs="Tahoma"/>
      <w:sz w:val="24"/>
      <w:szCs w:val="24"/>
    </w:rPr>
  </w:style>
  <w:style w:type="character" w:customStyle="1" w:styleId="36">
    <w:name w:val="Texto de comentário Char"/>
    <w:basedOn w:val="7"/>
    <w:link w:val="15"/>
    <w:qFormat/>
    <w:uiPriority w:val="99"/>
    <w:rPr>
      <w:rFonts w:ascii="Ecofont_Spranq_eco_Sans" w:hAnsi="Ecofont_Spranq_eco_Sans" w:cs="Tahoma"/>
      <w:lang w:eastAsia="pt-BR"/>
    </w:rPr>
  </w:style>
  <w:style w:type="character" w:customStyle="1" w:styleId="37">
    <w:name w:val="Assunto do comentário Char"/>
    <w:basedOn w:val="36"/>
    <w:link w:val="20"/>
    <w:semiHidden/>
    <w:qFormat/>
    <w:uiPriority w:val="99"/>
    <w:rPr>
      <w:rFonts w:ascii="Ecofont_Spranq_eco_Sans" w:hAnsi="Ecofont_Spranq_eco_Sans" w:cs="Tahoma"/>
      <w:b/>
      <w:bCs/>
      <w:lang w:eastAsia="pt-BR"/>
    </w:rPr>
  </w:style>
  <w:style w:type="character" w:customStyle="1" w:styleId="38">
    <w:name w:val="Título 4 Char"/>
    <w:basedOn w:val="7"/>
    <w:link w:val="5"/>
    <w:qFormat/>
    <w:uiPriority w:val="0"/>
    <w:rPr>
      <w:rFonts w:asciiTheme="majorHAnsi" w:hAnsiTheme="majorHAnsi" w:eastAsiaTheme="majorEastAsia" w:cstheme="majorBidi"/>
      <w:i/>
      <w:iCs/>
      <w:color w:val="376092" w:themeColor="accent1" w:themeShade="BF"/>
      <w:sz w:val="24"/>
      <w:szCs w:val="24"/>
      <w:lang w:eastAsia="pt-BR"/>
    </w:rPr>
  </w:style>
  <w:style w:type="paragraph" w:customStyle="1" w:styleId="39">
    <w:name w:val="Nivel 01"/>
    <w:basedOn w:val="2"/>
    <w:next w:val="1"/>
    <w:link w:val="42"/>
    <w:qFormat/>
    <w:uiPriority w:val="0"/>
    <w:pPr>
      <w:numPr>
        <w:ilvl w:val="0"/>
        <w:numId w:val="2"/>
      </w:numPr>
      <w:tabs>
        <w:tab w:val="left" w:pos="567"/>
      </w:tabs>
      <w:spacing w:before="240"/>
      <w:jc w:val="both"/>
    </w:pPr>
    <w:rPr>
      <w:rFonts w:ascii="Arial" w:hAnsi="Arial" w:cs="Arial"/>
      <w:color w:val="auto"/>
      <w:sz w:val="20"/>
      <w:szCs w:val="20"/>
    </w:rPr>
  </w:style>
  <w:style w:type="paragraph" w:customStyle="1" w:styleId="40">
    <w:name w:val="Nivel_01_Titulo"/>
    <w:basedOn w:val="39"/>
    <w:link w:val="44"/>
    <w:qFormat/>
    <w:uiPriority w:val="0"/>
    <w:pPr>
      <w:jc w:val="left"/>
    </w:pPr>
    <w:rPr>
      <w:rFonts w:cstheme="majorBidi"/>
      <w:color w:val="000000" w:themeColor="text1"/>
      <w:spacing w:val="5"/>
      <w:kern w:val="28"/>
      <w:sz w:val="52"/>
      <w:szCs w:val="52"/>
      <w14:textFill>
        <w14:solidFill>
          <w14:schemeClr w14:val="tx1"/>
        </w14:solidFill>
      </w14:textFill>
    </w:rPr>
  </w:style>
  <w:style w:type="character" w:customStyle="1" w:styleId="41">
    <w:name w:val="Título Char"/>
    <w:basedOn w:val="7"/>
    <w:link w:val="16"/>
    <w:qFormat/>
    <w:uiPriority w:val="0"/>
    <w:rPr>
      <w:rFonts w:asciiTheme="majorHAnsi" w:hAnsiTheme="majorHAnsi" w:eastAsiaTheme="majorEastAsia" w:cstheme="majorBidi"/>
      <w:color w:val="17375E" w:themeColor="text2" w:themeShade="BF"/>
      <w:spacing w:val="5"/>
      <w:kern w:val="28"/>
      <w:sz w:val="52"/>
      <w:szCs w:val="52"/>
      <w:lang w:eastAsia="pt-BR"/>
    </w:rPr>
  </w:style>
  <w:style w:type="character" w:customStyle="1" w:styleId="42">
    <w:name w:val="Nivel 01 Char"/>
    <w:basedOn w:val="41"/>
    <w:link w:val="39"/>
    <w:qFormat/>
    <w:uiPriority w:val="0"/>
    <w:rPr>
      <w:rFonts w:ascii="Arial" w:hAnsi="Arial" w:cs="Arial" w:eastAsiaTheme="majorEastAsia"/>
      <w:b/>
      <w:bCs/>
      <w:color w:val="17375E" w:themeColor="text2" w:themeShade="BF"/>
      <w:spacing w:val="5"/>
      <w:kern w:val="28"/>
      <w:sz w:val="52"/>
      <w:szCs w:val="52"/>
      <w:lang w:eastAsia="pt-BR"/>
    </w:rPr>
  </w:style>
  <w:style w:type="character" w:customStyle="1" w:styleId="43">
    <w:name w:val="Título 1 Char"/>
    <w:basedOn w:val="7"/>
    <w:link w:val="2"/>
    <w:qFormat/>
    <w:uiPriority w:val="9"/>
    <w:rPr>
      <w:rFonts w:asciiTheme="majorHAnsi" w:hAnsiTheme="majorHAnsi" w:eastAsiaTheme="majorEastAsia" w:cstheme="majorBidi"/>
      <w:b/>
      <w:bCs/>
      <w:color w:val="376092" w:themeColor="accent1" w:themeShade="BF"/>
      <w:sz w:val="28"/>
      <w:szCs w:val="28"/>
      <w:lang w:eastAsia="pt-BR"/>
    </w:rPr>
  </w:style>
  <w:style w:type="character" w:customStyle="1" w:styleId="44">
    <w:name w:val="Nivel_01_Titulo Char"/>
    <w:basedOn w:val="42"/>
    <w:link w:val="40"/>
    <w:qFormat/>
    <w:uiPriority w:val="0"/>
    <w:rPr>
      <w:rFonts w:ascii="Arial" w:hAnsi="Arial" w:eastAsiaTheme="majorEastAsia" w:cstheme="majorBidi"/>
      <w:color w:val="000000" w:themeColor="text1"/>
      <w:spacing w:val="5"/>
      <w:kern w:val="28"/>
      <w:sz w:val="52"/>
      <w:szCs w:val="52"/>
      <w:lang w:eastAsia="pt-BR"/>
      <w14:textFill>
        <w14:solidFill>
          <w14:schemeClr w14:val="tx1"/>
        </w14:solidFill>
      </w14:textFill>
    </w:rPr>
  </w:style>
  <w:style w:type="paragraph" w:customStyle="1" w:styleId="45">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character" w:customStyle="1" w:styleId="46">
    <w:name w:val="Quote Char"/>
    <w:basedOn w:val="7"/>
    <w:link w:val="47"/>
    <w:qFormat/>
    <w:uiPriority w:val="0"/>
    <w:rPr>
      <w:rFonts w:ascii="Ecofont_Spranq_eco_Sans" w:hAnsi="Ecofont_Spranq_eco_Sans" w:eastAsia="Calibri" w:cs="Tahoma"/>
      <w:i/>
      <w:iCs/>
      <w:color w:val="000000"/>
      <w:shd w:val="clear" w:color="auto" w:fill="FFFFCC"/>
    </w:rPr>
  </w:style>
  <w:style w:type="paragraph" w:customStyle="1" w:styleId="47">
    <w:name w:val="Citação1"/>
    <w:basedOn w:val="1"/>
    <w:next w:val="1"/>
    <w:link w:val="46"/>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i/>
      <w:iCs/>
      <w:color w:val="000000"/>
      <w:sz w:val="20"/>
      <w:szCs w:val="20"/>
      <w:lang w:eastAsia="en-US"/>
    </w:rPr>
  </w:style>
  <w:style w:type="paragraph" w:customStyle="1" w:styleId="48">
    <w:name w:val="paragraph"/>
    <w:basedOn w:val="1"/>
    <w:qFormat/>
    <w:uiPriority w:val="0"/>
    <w:pPr>
      <w:spacing w:before="100" w:beforeAutospacing="1" w:after="100" w:afterAutospacing="1"/>
    </w:pPr>
    <w:rPr>
      <w:rFonts w:ascii="Times New Roman" w:hAnsi="Times New Roman" w:eastAsia="Times New Roman" w:cs="Times New Roman"/>
    </w:rPr>
  </w:style>
  <w:style w:type="character" w:customStyle="1" w:styleId="49">
    <w:name w:val="normaltextrun"/>
    <w:basedOn w:val="7"/>
    <w:qFormat/>
    <w:uiPriority w:val="0"/>
  </w:style>
  <w:style w:type="character" w:customStyle="1" w:styleId="50">
    <w:name w:val="eop"/>
    <w:basedOn w:val="7"/>
    <w:qFormat/>
    <w:uiPriority w:val="0"/>
  </w:style>
  <w:style w:type="character" w:customStyle="1" w:styleId="51">
    <w:name w:val="spellingerror"/>
    <w:basedOn w:val="7"/>
    <w:qFormat/>
    <w:uiPriority w:val="0"/>
  </w:style>
  <w:style w:type="character" w:customStyle="1" w:styleId="52">
    <w:name w:val="Corpo de texto Char"/>
    <w:basedOn w:val="7"/>
    <w:link w:val="14"/>
    <w:qFormat/>
    <w:uiPriority w:val="99"/>
    <w:rPr>
      <w:rFonts w:eastAsia="Times New Roman"/>
      <w:sz w:val="24"/>
      <w:szCs w:val="24"/>
      <w:lang w:eastAsia="pt-BR"/>
    </w:rPr>
  </w:style>
  <w:style w:type="paragraph" w:customStyle="1" w:styleId="53">
    <w:name w:val="Nivel1"/>
    <w:basedOn w:val="2"/>
    <w:link w:val="54"/>
    <w:qFormat/>
    <w:uiPriority w:val="0"/>
    <w:pPr>
      <w:spacing w:line="276" w:lineRule="auto"/>
      <w:ind w:left="357" w:hanging="357"/>
      <w:jc w:val="both"/>
    </w:pPr>
    <w:rPr>
      <w:rFonts w:ascii="Arial" w:hAnsi="Arial" w:cs="Arial"/>
      <w:bCs w:val="0"/>
      <w:color w:val="000000"/>
    </w:rPr>
  </w:style>
  <w:style w:type="character" w:customStyle="1" w:styleId="54">
    <w:name w:val="Nivel1 Char"/>
    <w:basedOn w:val="43"/>
    <w:link w:val="53"/>
    <w:qFormat/>
    <w:uiPriority w:val="0"/>
    <w:rPr>
      <w:rFonts w:ascii="Arial" w:hAnsi="Arial" w:cs="Arial" w:eastAsiaTheme="majorEastAsia"/>
      <w:bCs w:val="0"/>
      <w:color w:val="000000"/>
      <w:sz w:val="28"/>
      <w:szCs w:val="28"/>
      <w:lang w:eastAsia="pt-BR"/>
    </w:rPr>
  </w:style>
  <w:style w:type="paragraph" w:customStyle="1" w:styleId="55">
    <w:name w:val="Parágrafo da Lista1"/>
    <w:basedOn w:val="1"/>
    <w:qFormat/>
    <w:uiPriority w:val="0"/>
    <w:pPr>
      <w:ind w:left="720"/>
    </w:pPr>
    <w:rPr>
      <w:rFonts w:eastAsia="Times New Roman" w:cs="Ecofont_Spranq_eco_Sans"/>
    </w:rPr>
  </w:style>
  <w:style w:type="paragraph" w:customStyle="1" w:styleId="56">
    <w:name w:val="Nivel 2"/>
    <w:basedOn w:val="1"/>
    <w:link w:val="81"/>
    <w:qFormat/>
    <w:uiPriority w:val="0"/>
    <w:pPr>
      <w:numPr>
        <w:ilvl w:val="1"/>
        <w:numId w:val="2"/>
      </w:numPr>
      <w:spacing w:before="120" w:after="120" w:line="276" w:lineRule="auto"/>
      <w:jc w:val="both"/>
    </w:pPr>
    <w:rPr>
      <w:rFonts w:ascii="Arial" w:hAnsi="Arial" w:cs="Arial"/>
      <w:color w:val="000000"/>
      <w:sz w:val="20"/>
      <w:szCs w:val="20"/>
    </w:rPr>
  </w:style>
  <w:style w:type="paragraph" w:customStyle="1" w:styleId="57">
    <w:name w:val="Nivel 1"/>
    <w:basedOn w:val="56"/>
    <w:next w:val="56"/>
    <w:qFormat/>
    <w:uiPriority w:val="0"/>
    <w:pPr>
      <w:numPr>
        <w:ilvl w:val="0"/>
        <w:numId w:val="0"/>
      </w:numPr>
      <w:ind w:left="360" w:hanging="360"/>
    </w:pPr>
    <w:rPr>
      <w:b/>
    </w:rPr>
  </w:style>
  <w:style w:type="paragraph" w:customStyle="1" w:styleId="58">
    <w:name w:val="Nivel 3"/>
    <w:basedOn w:val="1"/>
    <w:link w:val="107"/>
    <w:qFormat/>
    <w:uiPriority w:val="0"/>
    <w:pPr>
      <w:numPr>
        <w:ilvl w:val="2"/>
        <w:numId w:val="2"/>
      </w:numPr>
      <w:spacing w:before="120" w:after="120" w:line="276" w:lineRule="auto"/>
      <w:jc w:val="both"/>
    </w:pPr>
    <w:rPr>
      <w:rFonts w:ascii="Arial" w:hAnsi="Arial" w:cs="Arial"/>
      <w:color w:val="000000"/>
      <w:sz w:val="20"/>
      <w:szCs w:val="20"/>
    </w:rPr>
  </w:style>
  <w:style w:type="paragraph" w:customStyle="1" w:styleId="59">
    <w:name w:val="Nivel 4"/>
    <w:basedOn w:val="58"/>
    <w:link w:val="61"/>
    <w:qFormat/>
    <w:uiPriority w:val="0"/>
    <w:pPr>
      <w:numPr>
        <w:ilvl w:val="3"/>
      </w:numPr>
      <w:ind w:left="567" w:firstLine="0"/>
    </w:pPr>
    <w:rPr>
      <w:color w:val="auto"/>
    </w:rPr>
  </w:style>
  <w:style w:type="paragraph" w:customStyle="1" w:styleId="60">
    <w:name w:val="Nivel 5"/>
    <w:basedOn w:val="59"/>
    <w:qFormat/>
    <w:uiPriority w:val="0"/>
    <w:pPr>
      <w:numPr>
        <w:ilvl w:val="4"/>
      </w:numPr>
      <w:ind w:left="851" w:firstLine="0"/>
    </w:pPr>
  </w:style>
  <w:style w:type="character" w:customStyle="1" w:styleId="61">
    <w:name w:val="Nivel 4 Char"/>
    <w:basedOn w:val="7"/>
    <w:link w:val="59"/>
    <w:qFormat/>
    <w:uiPriority w:val="0"/>
    <w:rPr>
      <w:rFonts w:ascii="Arial" w:hAnsi="Arial" w:cs="Arial"/>
      <w:lang w:eastAsia="pt-BR"/>
    </w:rPr>
  </w:style>
  <w:style w:type="paragraph" w:customStyle="1" w:styleId="62">
    <w:name w:val="textbody"/>
    <w:basedOn w:val="1"/>
    <w:qFormat/>
    <w:uiPriority w:val="0"/>
    <w:pPr>
      <w:spacing w:before="100" w:beforeAutospacing="1" w:after="100" w:afterAutospacing="1"/>
    </w:pPr>
    <w:rPr>
      <w:rFonts w:ascii="Times New Roman" w:hAnsi="Times New Roman" w:eastAsia="Times New Roman" w:cs="Times New Roman"/>
    </w:rPr>
  </w:style>
  <w:style w:type="paragraph" w:customStyle="1" w:styleId="63">
    <w:name w:val="em_0020ementa"/>
    <w:basedOn w:val="1"/>
    <w:qFormat/>
    <w:uiPriority w:val="0"/>
    <w:pPr>
      <w:ind w:left="4160"/>
      <w:jc w:val="both"/>
    </w:pPr>
    <w:rPr>
      <w:rFonts w:ascii="Times New Roman" w:hAnsi="Times New Roman" w:eastAsia="Times New Roman" w:cs="Times New Roman"/>
      <w:sz w:val="28"/>
      <w:szCs w:val="28"/>
    </w:rPr>
  </w:style>
  <w:style w:type="character" w:customStyle="1" w:styleId="64">
    <w:name w:val="cp_0020corpodespacho__char1"/>
    <w:uiPriority w:val="0"/>
    <w:rPr>
      <w:rFonts w:hint="default" w:ascii="Times New Roman" w:hAnsi="Times New Roman" w:cs="Times New Roman"/>
      <w:sz w:val="26"/>
      <w:szCs w:val="26"/>
      <w:u w:val="none"/>
    </w:rPr>
  </w:style>
  <w:style w:type="character" w:customStyle="1" w:styleId="65">
    <w:name w:val="em_0020ementa__char1"/>
    <w:qFormat/>
    <w:uiPriority w:val="0"/>
    <w:rPr>
      <w:rFonts w:hint="default" w:ascii="Times New Roman" w:hAnsi="Times New Roman" w:cs="Times New Roman"/>
      <w:sz w:val="28"/>
      <w:szCs w:val="28"/>
      <w:u w:val="none"/>
    </w:rPr>
  </w:style>
  <w:style w:type="paragraph" w:customStyle="1" w:styleId="66">
    <w:name w:val="Revision"/>
    <w:hidden/>
    <w:semiHidden/>
    <w:uiPriority w:val="99"/>
    <w:rPr>
      <w:rFonts w:ascii="Ecofont_Spranq_eco_Sans" w:hAnsi="Ecofont_Spranq_eco_Sans" w:eastAsia="Times New Roman" w:cs="Tahoma"/>
      <w:sz w:val="24"/>
      <w:szCs w:val="24"/>
      <w:lang w:val="pt-BR" w:eastAsia="pt-BR" w:bidi="ar-SA"/>
    </w:rPr>
  </w:style>
  <w:style w:type="character" w:customStyle="1" w:styleId="67">
    <w:name w:val="Manoel"/>
    <w:qFormat/>
    <w:uiPriority w:val="0"/>
    <w:rPr>
      <w:rFonts w:ascii="Arial" w:hAnsi="Arial" w:cs="Arial"/>
      <w:color w:val="7030A0"/>
      <w:sz w:val="20"/>
    </w:rPr>
  </w:style>
  <w:style w:type="character" w:customStyle="1" w:styleId="68">
    <w:name w:val="ListLabel 12"/>
    <w:uiPriority w:val="0"/>
    <w:rPr>
      <w:b/>
    </w:rPr>
  </w:style>
  <w:style w:type="paragraph" w:customStyle="1" w:styleId="69">
    <w:name w:val="texto1"/>
    <w:basedOn w:val="1"/>
    <w:qFormat/>
    <w:uiPriority w:val="0"/>
    <w:pPr>
      <w:spacing w:before="100" w:beforeAutospacing="1" w:after="100" w:afterAutospacing="1"/>
    </w:pPr>
    <w:rPr>
      <w:rFonts w:ascii="Times New Roman" w:hAnsi="Times New Roman" w:eastAsia="Times New Roman" w:cs="Times New Roman"/>
    </w:rPr>
  </w:style>
  <w:style w:type="paragraph" w:customStyle="1" w:styleId="70">
    <w:name w:val="Grade Colorida - Ênfase 11"/>
    <w:basedOn w:val="1"/>
    <w:next w:val="1"/>
    <w:link w:val="71"/>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Arial" w:hAnsi="Arial" w:eastAsia="Calibri" w:cs="Times New Roman"/>
      <w:i/>
      <w:iCs/>
      <w:color w:val="000000"/>
      <w:sz w:val="20"/>
      <w:lang w:eastAsia="en-US"/>
    </w:rPr>
  </w:style>
  <w:style w:type="character" w:customStyle="1" w:styleId="71">
    <w:name w:val="Grade Colorida - Ênfase 1 Char"/>
    <w:link w:val="70"/>
    <w:uiPriority w:val="29"/>
    <w:rPr>
      <w:rFonts w:ascii="Arial" w:hAnsi="Arial" w:eastAsia="Calibri"/>
      <w:i/>
      <w:iCs/>
      <w:color w:val="000000"/>
      <w:szCs w:val="24"/>
      <w:shd w:val="clear" w:color="auto" w:fill="FFFFCC"/>
    </w:rPr>
  </w:style>
  <w:style w:type="paragraph" w:customStyle="1" w:styleId="72">
    <w:name w:val="x_western"/>
    <w:basedOn w:val="1"/>
    <w:uiPriority w:val="0"/>
    <w:pPr>
      <w:spacing w:before="100" w:beforeAutospacing="1" w:after="100" w:afterAutospacing="1"/>
    </w:pPr>
    <w:rPr>
      <w:rFonts w:ascii="Times New Roman" w:hAnsi="Times New Roman" w:eastAsia="Times New Roman" w:cs="Times New Roman"/>
    </w:rPr>
  </w:style>
  <w:style w:type="paragraph" w:customStyle="1" w:styleId="73">
    <w:name w:val="TCU - Ac - item 9 - §§_0"/>
    <w:basedOn w:val="1"/>
    <w:uiPriority w:val="0"/>
    <w:pPr>
      <w:ind w:firstLine="1134"/>
      <w:jc w:val="both"/>
    </w:pPr>
    <w:rPr>
      <w:rFonts w:ascii="Times New Roman" w:hAnsi="Times New Roman" w:eastAsia="Times New Roman" w:cs="Times New Roman"/>
      <w:szCs w:val="22"/>
      <w:lang w:eastAsia="en-US"/>
    </w:rPr>
  </w:style>
  <w:style w:type="paragraph" w:customStyle="1" w:styleId="74">
    <w:name w:val="Normal_1"/>
    <w:qFormat/>
    <w:uiPriority w:val="0"/>
    <w:rPr>
      <w:rFonts w:ascii="Times New Roman" w:hAnsi="Times New Roman" w:eastAsia="Times New Roman" w:cs="Times New Roman"/>
      <w:sz w:val="24"/>
      <w:szCs w:val="22"/>
      <w:lang w:val="pt-BR" w:eastAsia="en-US" w:bidi="ar-SA"/>
    </w:rPr>
  </w:style>
  <w:style w:type="paragraph" w:customStyle="1" w:styleId="75">
    <w:name w:val="tcu_-__ac_-_item_9_-_1ª_linha"/>
    <w:basedOn w:val="1"/>
    <w:qFormat/>
    <w:uiPriority w:val="0"/>
    <w:pPr>
      <w:spacing w:before="100" w:beforeAutospacing="1" w:after="100" w:afterAutospacing="1"/>
    </w:pPr>
    <w:rPr>
      <w:rFonts w:ascii="Times New Roman" w:hAnsi="Times New Roman" w:eastAsia="Times New Roman" w:cs="Times New Roman"/>
    </w:rPr>
  </w:style>
  <w:style w:type="paragraph" w:customStyle="1" w:styleId="76">
    <w:name w:val="texto_justificado_recuo_primeira_linha"/>
    <w:basedOn w:val="1"/>
    <w:uiPriority w:val="0"/>
    <w:pPr>
      <w:spacing w:before="100" w:beforeAutospacing="1" w:after="100" w:afterAutospacing="1"/>
    </w:pPr>
    <w:rPr>
      <w:rFonts w:ascii="Times New Roman" w:hAnsi="Times New Roman" w:eastAsia="Times New Roman" w:cs="Times New Roman"/>
    </w:rPr>
  </w:style>
  <w:style w:type="character" w:customStyle="1" w:styleId="77">
    <w:name w:val="highlight"/>
    <w:basedOn w:val="7"/>
    <w:uiPriority w:val="0"/>
  </w:style>
  <w:style w:type="paragraph" w:customStyle="1" w:styleId="78">
    <w:name w:val="texto_justificado"/>
    <w:basedOn w:val="1"/>
    <w:qFormat/>
    <w:uiPriority w:val="0"/>
    <w:pPr>
      <w:spacing w:before="100" w:beforeAutospacing="1" w:after="100" w:afterAutospacing="1"/>
    </w:pPr>
    <w:rPr>
      <w:rFonts w:ascii="Times New Roman" w:hAnsi="Times New Roman" w:eastAsia="Times New Roman" w:cs="Times New Roman"/>
    </w:rPr>
  </w:style>
  <w:style w:type="character" w:customStyle="1" w:styleId="79">
    <w:name w:val="Menção Pendente1"/>
    <w:basedOn w:val="7"/>
    <w:semiHidden/>
    <w:unhideWhenUsed/>
    <w:uiPriority w:val="99"/>
    <w:rPr>
      <w:color w:val="605E5C"/>
      <w:shd w:val="clear" w:color="auto" w:fill="E1DFDD"/>
    </w:rPr>
  </w:style>
  <w:style w:type="character" w:customStyle="1" w:styleId="80">
    <w:name w:val="Menção Pendente2"/>
    <w:basedOn w:val="7"/>
    <w:semiHidden/>
    <w:unhideWhenUsed/>
    <w:qFormat/>
    <w:uiPriority w:val="99"/>
    <w:rPr>
      <w:color w:val="605E5C"/>
      <w:shd w:val="clear" w:color="auto" w:fill="E1DFDD"/>
    </w:rPr>
  </w:style>
  <w:style w:type="character" w:customStyle="1" w:styleId="81">
    <w:name w:val="Nivel 2 Char"/>
    <w:basedOn w:val="7"/>
    <w:link w:val="56"/>
    <w:qFormat/>
    <w:locked/>
    <w:uiPriority w:val="0"/>
    <w:rPr>
      <w:rFonts w:ascii="Arial" w:hAnsi="Arial" w:cs="Arial"/>
      <w:color w:val="000000"/>
      <w:lang w:eastAsia="pt-BR"/>
    </w:rPr>
  </w:style>
  <w:style w:type="paragraph" w:customStyle="1" w:styleId="82">
    <w:name w:val="Nível 2 Opcional"/>
    <w:basedOn w:val="56"/>
    <w:link w:val="84"/>
    <w:uiPriority w:val="0"/>
    <w:pPr>
      <w:numPr>
        <w:ilvl w:val="0"/>
        <w:numId w:val="0"/>
      </w:numPr>
      <w:ind w:left="432" w:hanging="432"/>
    </w:pPr>
    <w:rPr>
      <w:rFonts w:eastAsia="Times New Roman"/>
      <w:i/>
      <w:color w:val="FF0000"/>
    </w:rPr>
  </w:style>
  <w:style w:type="paragraph" w:customStyle="1" w:styleId="83">
    <w:name w:val="Nível 3 Opcional"/>
    <w:basedOn w:val="58"/>
    <w:link w:val="85"/>
    <w:qFormat/>
    <w:uiPriority w:val="0"/>
    <w:pPr>
      <w:numPr>
        <w:ilvl w:val="0"/>
        <w:numId w:val="0"/>
      </w:numPr>
      <w:ind w:left="1072" w:hanging="504"/>
    </w:pPr>
    <w:rPr>
      <w:rFonts w:eastAsia="Times New Roman"/>
      <w:i/>
      <w:iCs/>
      <w:color w:val="FF0000"/>
    </w:rPr>
  </w:style>
  <w:style w:type="character" w:customStyle="1" w:styleId="84">
    <w:name w:val="Nível 2 Opcional Char"/>
    <w:basedOn w:val="7"/>
    <w:link w:val="82"/>
    <w:uiPriority w:val="0"/>
    <w:rPr>
      <w:rFonts w:ascii="Arial" w:hAnsi="Arial" w:eastAsia="Times New Roman" w:cs="Arial"/>
      <w:i/>
      <w:color w:val="FF0000"/>
      <w:lang w:eastAsia="pt-BR"/>
    </w:rPr>
  </w:style>
  <w:style w:type="character" w:customStyle="1" w:styleId="85">
    <w:name w:val="Nível 3 Opcional Char"/>
    <w:basedOn w:val="7"/>
    <w:link w:val="83"/>
    <w:qFormat/>
    <w:uiPriority w:val="0"/>
    <w:rPr>
      <w:rFonts w:ascii="Arial" w:hAnsi="Arial" w:eastAsia="Times New Roman" w:cs="Arial"/>
      <w:i/>
      <w:iCs/>
      <w:color w:val="FF0000"/>
      <w:lang w:eastAsia="pt-BR"/>
    </w:rPr>
  </w:style>
  <w:style w:type="character" w:styleId="86">
    <w:name w:val="Placeholder Text"/>
    <w:basedOn w:val="7"/>
    <w:semiHidden/>
    <w:qFormat/>
    <w:uiPriority w:val="67"/>
    <w:rPr>
      <w:color w:val="808080"/>
    </w:rPr>
  </w:style>
  <w:style w:type="character" w:customStyle="1" w:styleId="87">
    <w:name w:val="Parágrafo da Lista Char"/>
    <w:basedOn w:val="7"/>
    <w:link w:val="24"/>
    <w:qFormat/>
    <w:uiPriority w:val="34"/>
    <w:rPr>
      <w:rFonts w:ascii="Ecofont_Spranq_eco_Sans" w:hAnsi="Ecofont_Spranq_eco_Sans" w:cs="Tahoma"/>
      <w:sz w:val="24"/>
      <w:szCs w:val="24"/>
      <w:lang w:eastAsia="pt-BR"/>
    </w:rPr>
  </w:style>
  <w:style w:type="character" w:customStyle="1" w:styleId="88">
    <w:name w:val="Título 3 Char"/>
    <w:basedOn w:val="7"/>
    <w:link w:val="4"/>
    <w:semiHidden/>
    <w:qFormat/>
    <w:uiPriority w:val="9"/>
    <w:rPr>
      <w:rFonts w:asciiTheme="majorHAnsi" w:hAnsiTheme="majorHAnsi" w:eastAsiaTheme="majorEastAsia" w:cstheme="majorBidi"/>
      <w:color w:val="254061" w:themeColor="accent1" w:themeShade="80"/>
      <w:sz w:val="24"/>
      <w:szCs w:val="24"/>
    </w:rPr>
  </w:style>
  <w:style w:type="character" w:customStyle="1" w:styleId="89">
    <w:name w:val="Título 6 Char"/>
    <w:basedOn w:val="7"/>
    <w:link w:val="6"/>
    <w:semiHidden/>
    <w:qFormat/>
    <w:uiPriority w:val="9"/>
    <w:rPr>
      <w:rFonts w:asciiTheme="majorHAnsi" w:hAnsiTheme="majorHAnsi" w:eastAsiaTheme="majorEastAsia" w:cstheme="majorBidi"/>
      <w:color w:val="254061" w:themeColor="accent1" w:themeShade="80"/>
      <w:sz w:val="22"/>
      <w:szCs w:val="22"/>
    </w:rPr>
  </w:style>
  <w:style w:type="paragraph" w:customStyle="1" w:styleId="90">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uppressAutoHyphens/>
      <w:spacing w:before="120"/>
      <w:jc w:val="both"/>
    </w:pPr>
    <w:rPr>
      <w:rFonts w:eastAsia="Calibri"/>
      <w:i/>
      <w:iCs/>
      <w:color w:val="000000"/>
      <w:sz w:val="20"/>
      <w:lang w:eastAsia="zh-CN"/>
    </w:rPr>
  </w:style>
  <w:style w:type="paragraph" w:customStyle="1" w:styleId="91">
    <w:name w:val="corpo"/>
    <w:basedOn w:val="1"/>
    <w:qFormat/>
    <w:uiPriority w:val="0"/>
    <w:pPr>
      <w:spacing w:before="100" w:beforeAutospacing="1" w:after="100" w:afterAutospacing="1"/>
    </w:pPr>
    <w:rPr>
      <w:rFonts w:ascii="Times New Roman" w:hAnsi="Times New Roman" w:eastAsia="Times New Roman" w:cs="Times New Roman"/>
    </w:rPr>
  </w:style>
  <w:style w:type="paragraph" w:customStyle="1" w:styleId="92">
    <w:name w:val="item_nivel2"/>
    <w:basedOn w:val="1"/>
    <w:qFormat/>
    <w:uiPriority w:val="0"/>
    <w:pPr>
      <w:spacing w:before="100" w:beforeAutospacing="1" w:after="100" w:afterAutospacing="1"/>
    </w:pPr>
    <w:rPr>
      <w:rFonts w:ascii="Times New Roman" w:hAnsi="Times New Roman" w:eastAsia="Times New Roman" w:cs="Times New Roman"/>
    </w:rPr>
  </w:style>
  <w:style w:type="paragraph" w:customStyle="1" w:styleId="93">
    <w:name w:val="item_nivel1"/>
    <w:basedOn w:val="1"/>
    <w:qFormat/>
    <w:uiPriority w:val="0"/>
    <w:pPr>
      <w:spacing w:before="100" w:beforeAutospacing="1" w:after="100" w:afterAutospacing="1"/>
    </w:pPr>
    <w:rPr>
      <w:rFonts w:ascii="Times New Roman" w:hAnsi="Times New Roman" w:eastAsia="Times New Roman" w:cs="Times New Roman"/>
    </w:rPr>
  </w:style>
  <w:style w:type="paragraph" w:customStyle="1" w:styleId="94">
    <w:name w:val="item_alinea_letra"/>
    <w:basedOn w:val="1"/>
    <w:qFormat/>
    <w:uiPriority w:val="0"/>
    <w:pPr>
      <w:spacing w:before="100" w:beforeAutospacing="1" w:after="100" w:afterAutospacing="1"/>
    </w:pPr>
    <w:rPr>
      <w:rFonts w:ascii="Times New Roman" w:hAnsi="Times New Roman" w:eastAsia="Times New Roman" w:cs="Times New Roman"/>
    </w:rPr>
  </w:style>
  <w:style w:type="character" w:customStyle="1" w:styleId="95">
    <w:name w:val="markedcontent"/>
    <w:basedOn w:val="7"/>
    <w:qFormat/>
    <w:uiPriority w:val="0"/>
  </w:style>
  <w:style w:type="paragraph" w:customStyle="1" w:styleId="96">
    <w:name w:val="Standard"/>
    <w:qFormat/>
    <w:uiPriority w:val="0"/>
    <w:pPr>
      <w:suppressAutoHyphens/>
      <w:autoSpaceDN w:val="0"/>
    </w:pPr>
    <w:rPr>
      <w:rFonts w:ascii="Liberation Serif" w:hAnsi="Liberation Serif" w:eastAsia="NSimSun" w:cs="Lucida Sans"/>
      <w:kern w:val="3"/>
      <w:sz w:val="24"/>
      <w:szCs w:val="24"/>
      <w:lang w:val="pt-BR" w:eastAsia="zh-CN" w:bidi="hi-IN"/>
    </w:rPr>
  </w:style>
  <w:style w:type="paragraph" w:customStyle="1" w:styleId="97">
    <w:name w:val="Text body"/>
    <w:basedOn w:val="96"/>
    <w:qFormat/>
    <w:uiPriority w:val="0"/>
    <w:pPr>
      <w:spacing w:after="140" w:line="276" w:lineRule="auto"/>
    </w:pPr>
  </w:style>
  <w:style w:type="character" w:customStyle="1" w:styleId="98">
    <w:name w:val="Menção Pendente3"/>
    <w:basedOn w:val="7"/>
    <w:semiHidden/>
    <w:unhideWhenUsed/>
    <w:qFormat/>
    <w:uiPriority w:val="99"/>
    <w:rPr>
      <w:color w:val="605E5C"/>
      <w:shd w:val="clear" w:color="auto" w:fill="E1DFDD"/>
    </w:rPr>
  </w:style>
  <w:style w:type="character" w:customStyle="1" w:styleId="99">
    <w:name w:val="Menção Pendente4"/>
    <w:basedOn w:val="7"/>
    <w:semiHidden/>
    <w:unhideWhenUsed/>
    <w:qFormat/>
    <w:uiPriority w:val="99"/>
    <w:rPr>
      <w:color w:val="605E5C"/>
      <w:shd w:val="clear" w:color="auto" w:fill="E1DFDD"/>
    </w:rPr>
  </w:style>
  <w:style w:type="paragraph" w:customStyle="1" w:styleId="100">
    <w:name w:val="ou"/>
    <w:basedOn w:val="24"/>
    <w:link w:val="101"/>
    <w:qFormat/>
    <w:uiPriority w:val="0"/>
    <w:pPr>
      <w:spacing w:before="60" w:after="60" w:line="259" w:lineRule="auto"/>
      <w:ind w:left="0"/>
      <w:contextualSpacing w:val="0"/>
      <w:jc w:val="center"/>
    </w:pPr>
    <w:rPr>
      <w:rFonts w:ascii="Arial" w:hAnsi="Arial" w:cs="Arial" w:eastAsiaTheme="minorHAnsi"/>
      <w:b/>
      <w:bCs/>
      <w:i/>
      <w:iCs/>
      <w:color w:val="FF0000"/>
      <w:u w:val="single"/>
    </w:rPr>
  </w:style>
  <w:style w:type="character" w:customStyle="1" w:styleId="101">
    <w:name w:val="ou Char"/>
    <w:basedOn w:val="87"/>
    <w:link w:val="100"/>
    <w:qFormat/>
    <w:uiPriority w:val="0"/>
    <w:rPr>
      <w:rFonts w:ascii="Arial" w:hAnsi="Arial" w:cs="Arial" w:eastAsiaTheme="minorHAnsi"/>
      <w:b/>
      <w:bCs/>
      <w:i/>
      <w:iCs/>
      <w:color w:val="FF0000"/>
      <w:sz w:val="24"/>
      <w:szCs w:val="24"/>
      <w:u w:val="single"/>
      <w:lang w:eastAsia="pt-BR"/>
    </w:rPr>
  </w:style>
  <w:style w:type="paragraph" w:customStyle="1" w:styleId="102">
    <w:name w:val="dou-paragraph"/>
    <w:basedOn w:val="1"/>
    <w:qFormat/>
    <w:uiPriority w:val="0"/>
    <w:pPr>
      <w:spacing w:before="100" w:beforeAutospacing="1" w:after="100" w:afterAutospacing="1"/>
    </w:pPr>
    <w:rPr>
      <w:rFonts w:ascii="Times New Roman" w:hAnsi="Times New Roman" w:eastAsia="Times New Roman" w:cs="Times New Roman"/>
    </w:rPr>
  </w:style>
  <w:style w:type="paragraph" w:customStyle="1" w:styleId="103">
    <w:name w:val="Nível 2 -Red"/>
    <w:basedOn w:val="56"/>
    <w:link w:val="105"/>
    <w:qFormat/>
    <w:uiPriority w:val="0"/>
    <w:rPr>
      <w:i/>
      <w:iCs/>
      <w:color w:val="FF0000"/>
    </w:rPr>
  </w:style>
  <w:style w:type="paragraph" w:customStyle="1" w:styleId="104">
    <w:name w:val="Nível 3-R"/>
    <w:basedOn w:val="58"/>
    <w:link w:val="108"/>
    <w:qFormat/>
    <w:uiPriority w:val="0"/>
    <w:rPr>
      <w:i/>
      <w:iCs/>
      <w:color w:val="FF0000"/>
    </w:rPr>
  </w:style>
  <w:style w:type="character" w:customStyle="1" w:styleId="105">
    <w:name w:val="Nível 2 -Red Char"/>
    <w:basedOn w:val="81"/>
    <w:link w:val="103"/>
    <w:qFormat/>
    <w:uiPriority w:val="0"/>
    <w:rPr>
      <w:rFonts w:ascii="Arial" w:hAnsi="Arial" w:cs="Arial"/>
      <w:i/>
      <w:iCs/>
      <w:color w:val="FF0000"/>
      <w:lang w:eastAsia="pt-BR"/>
    </w:rPr>
  </w:style>
  <w:style w:type="paragraph" w:customStyle="1" w:styleId="106">
    <w:name w:val="Nível 4-R"/>
    <w:basedOn w:val="59"/>
    <w:link w:val="110"/>
    <w:qFormat/>
    <w:uiPriority w:val="0"/>
    <w:pPr>
      <w:ind w:left="2491" w:hanging="648"/>
    </w:pPr>
    <w:rPr>
      <w:i/>
      <w:iCs/>
      <w:color w:val="FF0000"/>
    </w:rPr>
  </w:style>
  <w:style w:type="character" w:customStyle="1" w:styleId="107">
    <w:name w:val="Nivel 3 Char"/>
    <w:basedOn w:val="7"/>
    <w:link w:val="58"/>
    <w:qFormat/>
    <w:uiPriority w:val="0"/>
    <w:rPr>
      <w:rFonts w:ascii="Arial" w:hAnsi="Arial" w:cs="Arial"/>
      <w:color w:val="000000"/>
      <w:lang w:eastAsia="pt-BR"/>
    </w:rPr>
  </w:style>
  <w:style w:type="character" w:customStyle="1" w:styleId="108">
    <w:name w:val="Nível 3-R Char"/>
    <w:basedOn w:val="107"/>
    <w:link w:val="104"/>
    <w:qFormat/>
    <w:uiPriority w:val="0"/>
    <w:rPr>
      <w:rFonts w:ascii="Arial" w:hAnsi="Arial" w:cs="Arial"/>
      <w:i/>
      <w:iCs/>
      <w:color w:val="FF0000"/>
      <w:lang w:eastAsia="pt-BR"/>
    </w:rPr>
  </w:style>
  <w:style w:type="paragraph" w:customStyle="1" w:styleId="109">
    <w:name w:val="Nível 1-Sem Num"/>
    <w:basedOn w:val="39"/>
    <w:link w:val="112"/>
    <w:qFormat/>
    <w:uiPriority w:val="0"/>
    <w:pPr>
      <w:numPr>
        <w:numId w:val="0"/>
      </w:numPr>
      <w:ind w:left="357"/>
      <w:outlineLvl w:val="1"/>
    </w:pPr>
    <w:rPr>
      <w:color w:val="FF0000"/>
    </w:rPr>
  </w:style>
  <w:style w:type="character" w:customStyle="1" w:styleId="110">
    <w:name w:val="Nível 4-R Char"/>
    <w:basedOn w:val="61"/>
    <w:link w:val="106"/>
    <w:qFormat/>
    <w:uiPriority w:val="0"/>
    <w:rPr>
      <w:rFonts w:ascii="Arial" w:hAnsi="Arial" w:cs="Arial"/>
      <w:i/>
      <w:iCs/>
      <w:color w:val="FF0000"/>
      <w:lang w:eastAsia="pt-BR"/>
    </w:rPr>
  </w:style>
  <w:style w:type="character" w:customStyle="1" w:styleId="111">
    <w:name w:val="Link da Internet"/>
    <w:basedOn w:val="7"/>
    <w:unhideWhenUsed/>
    <w:qFormat/>
    <w:uiPriority w:val="99"/>
    <w:rPr>
      <w:color w:val="0000FF" w:themeColor="hyperlink"/>
      <w:u w:val="single"/>
      <w14:textFill>
        <w14:solidFill>
          <w14:schemeClr w14:val="hlink"/>
        </w14:solidFill>
      </w14:textFill>
    </w:rPr>
  </w:style>
  <w:style w:type="character" w:customStyle="1" w:styleId="112">
    <w:name w:val="Nível 1-Sem Num Char"/>
    <w:basedOn w:val="42"/>
    <w:link w:val="109"/>
    <w:qFormat/>
    <w:uiPriority w:val="0"/>
    <w:rPr>
      <w:rFonts w:ascii="Arial" w:hAnsi="Arial" w:cs="Arial" w:eastAsiaTheme="majorEastAsia"/>
      <w:color w:val="FF0000"/>
      <w:spacing w:val="5"/>
      <w:kern w:val="28"/>
      <w:sz w:val="52"/>
      <w:szCs w:val="52"/>
      <w:lang w:eastAsia="pt-BR"/>
    </w:rPr>
  </w:style>
  <w:style w:type="paragraph" w:customStyle="1" w:styleId="113">
    <w:name w:val="citação 2"/>
    <w:basedOn w:val="30"/>
    <w:qFormat/>
    <w:uiPriority w:val="0"/>
    <w:pPr>
      <w:overflowPunct w:val="0"/>
    </w:pPr>
    <w:rPr>
      <w:szCs w:val="20"/>
    </w:rPr>
  </w:style>
  <w:style w:type="paragraph" w:customStyle="1" w:styleId="114">
    <w:name w:val="Preâmbulo"/>
    <w:basedOn w:val="1"/>
    <w:link w:val="115"/>
    <w:qFormat/>
    <w:uiPriority w:val="0"/>
    <w:pPr>
      <w:spacing w:before="480" w:after="120" w:line="360" w:lineRule="auto"/>
      <w:ind w:left="4253" w:right="-17"/>
      <w:jc w:val="both"/>
    </w:pPr>
    <w:rPr>
      <w:rFonts w:ascii="Arial" w:hAnsi="Arial" w:eastAsia="Arial" w:cs="Arial"/>
      <w:bCs/>
      <w:sz w:val="20"/>
      <w:szCs w:val="20"/>
    </w:rPr>
  </w:style>
  <w:style w:type="character" w:customStyle="1" w:styleId="115">
    <w:name w:val="Preâmbulo Char"/>
    <w:basedOn w:val="7"/>
    <w:link w:val="114"/>
    <w:qFormat/>
    <w:uiPriority w:val="0"/>
    <w:rPr>
      <w:rFonts w:ascii="Arial" w:hAnsi="Arial" w:eastAsia="Arial" w:cs="Arial"/>
      <w:bCs/>
      <w:lang w:eastAsia="pt-BR"/>
    </w:rPr>
  </w:style>
  <w:style w:type="character" w:customStyle="1" w:styleId="116">
    <w:name w:val="Menção Pendente5"/>
    <w:basedOn w:val="7"/>
    <w:semiHidden/>
    <w:unhideWhenUsed/>
    <w:qFormat/>
    <w:uiPriority w:val="99"/>
    <w:rPr>
      <w:color w:val="605E5C"/>
      <w:shd w:val="clear" w:color="auto" w:fill="E1DFDD"/>
    </w:rPr>
  </w:style>
  <w:style w:type="character" w:customStyle="1" w:styleId="117">
    <w:name w:val="Unresolved Mention1"/>
    <w:basedOn w:val="7"/>
    <w:semiHidden/>
    <w:unhideWhenUsed/>
    <w:qFormat/>
    <w:uiPriority w:val="99"/>
    <w:rPr>
      <w:color w:val="605E5C"/>
      <w:shd w:val="clear" w:color="auto" w:fill="E1DFDD"/>
    </w:rPr>
  </w:style>
  <w:style w:type="character" w:customStyle="1" w:styleId="118">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5.xml"/><Relationship Id="rId15" Type="http://schemas.openxmlformats.org/officeDocument/2006/relationships/customXml" Target="../customXml/item4.xml"/><Relationship Id="rId14" Type="http://schemas.openxmlformats.org/officeDocument/2006/relationships/customXml" Target="../customXml/item3.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hpExts>
    <customShpInfo spid="_x0000_s1027"/>
    <customShpInfo spid="_x0000_s1026"/>
    <customShpInfo spid="_x0000_s1025"/>
  </customShpExts>
</s:custom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85AC61-5723-4F7D-8D46-C22F68ADEF98}">
  <ds:schemaRefs/>
</ds:datastoreItem>
</file>

<file path=customXml/itemProps3.xml><?xml version="1.0" encoding="utf-8"?>
<ds:datastoreItem xmlns:ds="http://schemas.openxmlformats.org/officeDocument/2006/customXml" ds:itemID="{50B3C33E-C218-45F7-9A65-EB4684C43E82}">
  <ds:schemaRefs/>
</ds:datastoreItem>
</file>

<file path=customXml/itemProps4.xml><?xml version="1.0" encoding="utf-8"?>
<ds:datastoreItem xmlns:ds="http://schemas.openxmlformats.org/officeDocument/2006/customXml" ds:itemID="{692018DD-CD91-4DB8-9297-B61715C85DC2}">
  <ds:schemaRefs/>
</ds:datastoreItem>
</file>

<file path=customXml/itemProps5.xml><?xml version="1.0" encoding="utf-8"?>
<ds:datastoreItem xmlns:ds="http://schemas.openxmlformats.org/officeDocument/2006/customXml" ds:itemID="{6F2A8B92-2BE6-45F4-A7F5-0490ECFE5E01}">
  <ds:schemaRefs/>
</ds:datastoreItem>
</file>

<file path=docProps/app.xml><?xml version="1.0" encoding="utf-8"?>
<Properties xmlns="http://schemas.openxmlformats.org/officeDocument/2006/extended-properties" xmlns:vt="http://schemas.openxmlformats.org/officeDocument/2006/docPropsVTypes">
  <Template>Normal</Template>
  <Pages>14</Pages>
  <Words>7409</Words>
  <Characters>40009</Characters>
  <Lines>333</Lines>
  <Paragraphs>94</Paragraphs>
  <TotalTime>3</TotalTime>
  <ScaleCrop>false</ScaleCrop>
  <LinksUpToDate>false</LinksUpToDate>
  <CharactersWithSpaces>47324</CharactersWithSpaces>
  <Application>WPS Office_12.2.0.20326_F1E327BC-269C-435d-A152-05C5408002CA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2023-05-20T12:26:00Z</dcterms:created>
  <dc:creator>Juliana Borsoi</dc:creator>
  <cp:lastModifiedBy>Juliana Borsoi</cp:lastModifiedBy>
  <cp:lastPrinted>2025-03-28T17:01:00Z</cp:lastPrinted>
  <dcterms:modified xsi:type="dcterms:W3CDTF">2025-03-31T18:34:34Z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1046-12.2.0.20326</vt:lpwstr>
  </property>
  <property fmtid="{D5CDD505-2E9C-101B-9397-08002B2CF9AE}" pid="4" name="ICV">
    <vt:lpwstr>8DE80063E2AB490DA35F64A88AA984AC_12</vt:lpwstr>
  </property>
</Properties>
</file>