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SUPERINTENDÊNCIA DE OPERAÇÕES E MANUTENÇÃO</w:t>
      </w:r>
    </w:p>
    <w:p w14:paraId="56C392D9">
      <w:pPr>
        <w:spacing w:after="120" w:line="276" w:lineRule="auto"/>
        <w:ind w:left="567" w:right="-15"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VII</w:t>
      </w:r>
      <w:r>
        <w:rPr>
          <w:rFonts w:asciiTheme="minorHAnsi" w:hAnsiTheme="minorHAnsi" w:cstheme="minorHAnsi"/>
          <w:b/>
          <w:bCs/>
          <w:color w:val="FF0000"/>
          <w:sz w:val="22"/>
          <w:szCs w:val="22"/>
        </w:rPr>
        <w:t xml:space="preserve"> – PE. </w:t>
      </w:r>
      <w:r>
        <w:rPr>
          <w:rFonts w:hint="default" w:asciiTheme="minorHAnsi" w:hAnsiTheme="minorHAnsi" w:cstheme="minorHAnsi"/>
          <w:b/>
          <w:bCs/>
          <w:color w:val="FF0000"/>
          <w:sz w:val="22"/>
          <w:szCs w:val="22"/>
          <w:lang w:val="pt-BR"/>
        </w:rPr>
        <w:t>90.018</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23069.151449/2025-11)</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val="0"/>
        <w:keepLines w:val="0"/>
        <w:widowControl/>
        <w:suppressLineNumbers w:val="0"/>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bookmarkStart w:id="12" w:name="_GoBack"/>
      <w:bookmarkEnd w:id="12"/>
      <w:r>
        <w:rPr>
          <w:rFonts w:eastAsia="Arial" w:asciiTheme="minorHAnsi" w:hAnsiTheme="minorHAnsi" w:cstheme="minorHAnsi"/>
          <w:sz w:val="22"/>
          <w:szCs w:val="22"/>
          <w:lang w:val="en-US" w:eastAsia="zh-CN" w:bidi="ar-SA"/>
        </w:rPr>
        <w:t>23069.151449/2025-11</w:t>
      </w:r>
      <w:r>
        <w:rPr>
          <w:rFonts w:eastAsia="Arial" w:asciiTheme="minorHAnsi" w:hAnsiTheme="minorHAnsi" w:cstheme="minorHAnsi"/>
          <w:sz w:val="22"/>
          <w:szCs w:val="22"/>
        </w:rPr>
        <w:t xml:space="preserve"> 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90.018/2025</w:t>
      </w:r>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4C27AD51">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objeto do presente instrumento é a c</w:t>
      </w:r>
      <w:r>
        <w:rPr>
          <w:rFonts w:asciiTheme="minorHAnsi" w:hAnsiTheme="minorHAnsi" w:cstheme="minorHAnsi"/>
          <w:color w:val="000000"/>
          <w:sz w:val="22"/>
          <w:szCs w:val="22"/>
        </w:rPr>
        <w:t>ontratação de empresa para prestação de serviços de operação, limpeza, manutenção preventiva e corretiva com fornecimento de peças do sistema de ar central, tipo Chiller, Self, VRF e Multisplit (Splitão), com cessão de mão de obra, nas dependências da UFF</w:t>
      </w:r>
      <w:r>
        <w:rPr>
          <w:rFonts w:asciiTheme="minorHAnsi" w:hAnsiTheme="minorHAnsi" w:cstheme="minorHAnsi"/>
          <w:sz w:val="22"/>
          <w:szCs w:val="22"/>
        </w:rPr>
        <w:t>.</w:t>
      </w:r>
    </w:p>
    <w:p w14:paraId="2930C82E">
      <w:pPr>
        <w:rPr>
          <w:rFonts w:asciiTheme="minorHAnsi" w:hAnsiTheme="minorHAnsi" w:cstheme="minorHAnsi"/>
          <w:color w:val="000000"/>
          <w:sz w:val="22"/>
          <w:szCs w:val="22"/>
        </w:rPr>
      </w:pPr>
      <w:r>
        <w:rPr>
          <w:rFonts w:asciiTheme="minorHAnsi" w:hAnsiTheme="minorHAnsi" w:cstheme="minorHAnsi"/>
          <w:sz w:val="22"/>
          <w:szCs w:val="22"/>
        </w:rPr>
        <w:br w:type="page"/>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W w:w="85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26"/>
        <w:gridCol w:w="2805"/>
        <w:gridCol w:w="840"/>
        <w:gridCol w:w="887"/>
        <w:gridCol w:w="1710"/>
        <w:gridCol w:w="1616"/>
      </w:tblGrid>
      <w:tr w14:paraId="15A1C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8584" w:type="dxa"/>
            <w:gridSpan w:val="6"/>
            <w:tcBorders>
              <w:top w:val="single" w:color="000000" w:sz="2" w:space="0"/>
              <w:left w:val="single" w:color="000000" w:sz="2" w:space="0"/>
              <w:bottom w:val="single" w:color="000000" w:sz="2" w:space="0"/>
              <w:right w:val="single" w:color="000000" w:sz="2" w:space="0"/>
            </w:tcBorders>
            <w:shd w:val="clear" w:color="auto" w:fill="D9E1F2"/>
            <w:noWrap/>
            <w:vAlign w:val="bottom"/>
          </w:tcPr>
          <w:p w14:paraId="55448175">
            <w:pPr>
              <w:keepNext w:val="0"/>
              <w:keepLines w:val="0"/>
              <w:widowControl/>
              <w:suppressLineNumbers w:val="0"/>
              <w:jc w:val="center"/>
              <w:textAlignment w:val="bottom"/>
              <w:rPr>
                <w:rFonts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ITEM 1 - NITERÓI/RJ</w:t>
            </w:r>
          </w:p>
        </w:tc>
      </w:tr>
      <w:tr w14:paraId="7BABF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38236F17">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ITEM</w:t>
            </w:r>
          </w:p>
        </w:tc>
        <w:tc>
          <w:tcPr>
            <w:tcW w:w="2805"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274575E6">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DESCRIÇÃO</w:t>
            </w:r>
          </w:p>
        </w:tc>
        <w:tc>
          <w:tcPr>
            <w:tcW w:w="84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0BE30931">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345CE0F2">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MESES</w:t>
            </w:r>
          </w:p>
        </w:tc>
        <w:tc>
          <w:tcPr>
            <w:tcW w:w="171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76FE30D1">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TOTAL MENSAL</w:t>
            </w:r>
          </w:p>
        </w:tc>
        <w:tc>
          <w:tcPr>
            <w:tcW w:w="161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6CCC7DC7">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TOTAL ANUAL</w:t>
            </w:r>
          </w:p>
        </w:tc>
      </w:tr>
      <w:tr w14:paraId="5597B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15D5353D">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w:t>
            </w:r>
          </w:p>
        </w:tc>
        <w:tc>
          <w:tcPr>
            <w:tcW w:w="2805" w:type="dxa"/>
            <w:tcBorders>
              <w:top w:val="single" w:color="000000" w:sz="2" w:space="0"/>
              <w:left w:val="single" w:color="000000" w:sz="2" w:space="0"/>
              <w:bottom w:val="single" w:color="000000" w:sz="2" w:space="0"/>
              <w:right w:val="single" w:color="000000" w:sz="2" w:space="0"/>
            </w:tcBorders>
            <w:shd w:val="clear"/>
            <w:noWrap/>
            <w:vAlign w:val="center"/>
          </w:tcPr>
          <w:p w14:paraId="51EA60EA">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Mão de obra permanente</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2110BA65">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7CC5D37C">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7ADB9528">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64416120">
            <w:pPr>
              <w:keepNext w:val="0"/>
              <w:keepLines w:val="0"/>
              <w:widowControl/>
              <w:suppressLineNumbers w:val="0"/>
              <w:jc w:val="right"/>
              <w:textAlignment w:val="center"/>
              <w:rPr>
                <w:rFonts w:hint="default" w:ascii="Calibri" w:hAnsi="Calibri" w:cs="Calibri"/>
                <w:i w:val="0"/>
                <w:iCs w:val="0"/>
                <w:color w:val="000000"/>
                <w:u w:val="none"/>
              </w:rPr>
            </w:pPr>
          </w:p>
        </w:tc>
      </w:tr>
      <w:tr w14:paraId="54FB7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3141F06D">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2</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66173D57">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Análise Quimica da Água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42561E73">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7418D28F">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2DAD7469">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3265023">
            <w:pPr>
              <w:keepNext w:val="0"/>
              <w:keepLines w:val="0"/>
              <w:widowControl/>
              <w:suppressLineNumbers w:val="0"/>
              <w:jc w:val="right"/>
              <w:textAlignment w:val="center"/>
              <w:rPr>
                <w:rFonts w:hint="default" w:ascii="Calibri" w:hAnsi="Calibri" w:cs="Calibri"/>
                <w:i w:val="0"/>
                <w:iCs w:val="0"/>
                <w:color w:val="000000"/>
                <w:u w:val="none"/>
              </w:rPr>
            </w:pPr>
          </w:p>
        </w:tc>
      </w:tr>
      <w:tr w14:paraId="3F6A1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35F35606">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3</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531A95A4">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Análise do Ar</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18BC23AB">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749376F5">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177C6D2B">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1378617">
            <w:pPr>
              <w:keepNext w:val="0"/>
              <w:keepLines w:val="0"/>
              <w:widowControl/>
              <w:suppressLineNumbers w:val="0"/>
              <w:jc w:val="right"/>
              <w:textAlignment w:val="center"/>
              <w:rPr>
                <w:rFonts w:hint="default" w:ascii="Calibri" w:hAnsi="Calibri" w:cs="Calibri"/>
                <w:i w:val="0"/>
                <w:iCs w:val="0"/>
                <w:color w:val="000000"/>
                <w:u w:val="none"/>
              </w:rPr>
            </w:pPr>
          </w:p>
        </w:tc>
      </w:tr>
      <w:tr w14:paraId="69891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640390D5">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4</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72783561">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Limpeza de Rede de Dutos</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528E3BB3">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3BD09F6E">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1B249755">
            <w:pPr>
              <w:keepNext w:val="0"/>
              <w:keepLines w:val="0"/>
              <w:widowControl/>
              <w:suppressLineNumbers w:val="0"/>
              <w:jc w:val="right"/>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R$ 24.799,85</w:t>
            </w: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4B5B1AA3">
            <w:pPr>
              <w:keepNext w:val="0"/>
              <w:keepLines w:val="0"/>
              <w:widowControl/>
              <w:suppressLineNumbers w:val="0"/>
              <w:jc w:val="right"/>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R$ 297.598,18</w:t>
            </w:r>
          </w:p>
        </w:tc>
      </w:tr>
      <w:tr w14:paraId="0DBB9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16AB2F94">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5</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6A5A3EDF">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Serviços eventuais sem cessão de mão de obra dedicada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69B015F0">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5B56A01A">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0E918C04">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0CF5C193">
            <w:pPr>
              <w:keepNext w:val="0"/>
              <w:keepLines w:val="0"/>
              <w:widowControl/>
              <w:suppressLineNumbers w:val="0"/>
              <w:jc w:val="right"/>
              <w:textAlignment w:val="center"/>
              <w:rPr>
                <w:rFonts w:hint="default" w:ascii="Calibri" w:hAnsi="Calibri" w:cs="Calibri"/>
                <w:i w:val="0"/>
                <w:iCs w:val="0"/>
                <w:color w:val="000000"/>
                <w:u w:val="none"/>
              </w:rPr>
            </w:pPr>
          </w:p>
        </w:tc>
      </w:tr>
      <w:tr w14:paraId="772E9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3086E3A1">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6</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314779F7">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Gás Refrigererante</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56E8FEBC">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1D315981">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1076FD2B">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68718622">
            <w:pPr>
              <w:keepNext w:val="0"/>
              <w:keepLines w:val="0"/>
              <w:widowControl/>
              <w:suppressLineNumbers w:val="0"/>
              <w:jc w:val="right"/>
              <w:textAlignment w:val="center"/>
              <w:rPr>
                <w:rFonts w:hint="default" w:ascii="Calibri" w:hAnsi="Calibri" w:cs="Calibri"/>
                <w:i w:val="0"/>
                <w:iCs w:val="0"/>
                <w:color w:val="000000"/>
                <w:u w:val="none"/>
              </w:rPr>
            </w:pPr>
          </w:p>
        </w:tc>
      </w:tr>
      <w:tr w14:paraId="48BC8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08BEEDCB">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7</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16B5FD41">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Peças para manutenção (70% mão de obra)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0EE5185E">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31C7B19D">
            <w:pPr>
              <w:keepNext w:val="0"/>
              <w:keepLines w:val="0"/>
              <w:widowControl/>
              <w:suppressLineNumbers w:val="0"/>
              <w:jc w:val="center"/>
              <w:textAlignment w:val="center"/>
              <w:rPr>
                <w:rFonts w:hint="default" w:ascii="Calibri" w:hAnsi="Calibri" w:cs="Calibri"/>
                <w:i w:val="0"/>
                <w:iCs w:val="0"/>
                <w:color w:val="000000"/>
                <w:u w:val="none"/>
                <w:lang w:val="pt-BR"/>
              </w:rPr>
            </w:pPr>
            <w:r>
              <w:rPr>
                <w:rFonts w:hint="default" w:ascii="Calibri" w:hAnsi="Calibri" w:eastAsia="SimSun" w:cs="Calibri"/>
                <w:i w:val="0"/>
                <w:iCs w:val="0"/>
                <w:color w:val="000000"/>
                <w:kern w:val="0"/>
                <w:sz w:val="24"/>
                <w:szCs w:val="24"/>
                <w:u w:val="none"/>
                <w:bdr w:val="none" w:color="auto" w:sz="0" w:space="0"/>
                <w:lang w:val="pt-BR"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38500F1F">
            <w:pPr>
              <w:keepNext w:val="0"/>
              <w:keepLines w:val="0"/>
              <w:widowControl/>
              <w:suppressLineNumbers w:val="0"/>
              <w:jc w:val="right"/>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85B6685">
            <w:pPr>
              <w:keepNext w:val="0"/>
              <w:keepLines w:val="0"/>
              <w:widowControl/>
              <w:suppressLineNumbers w:val="0"/>
              <w:jc w:val="right"/>
              <w:textAlignment w:val="center"/>
              <w:rPr>
                <w:rFonts w:hint="default" w:ascii="Calibri" w:hAnsi="Calibri" w:cs="Calibri"/>
                <w:i w:val="0"/>
                <w:iCs w:val="0"/>
                <w:color w:val="000000"/>
                <w:u w:val="none"/>
              </w:rPr>
            </w:pPr>
          </w:p>
        </w:tc>
      </w:tr>
      <w:tr w14:paraId="53B9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258" w:type="dxa"/>
            <w:gridSpan w:val="4"/>
            <w:tcBorders>
              <w:top w:val="single" w:color="000000" w:sz="2" w:space="0"/>
              <w:left w:val="single" w:color="000000" w:sz="2" w:space="0"/>
              <w:bottom w:val="single" w:color="000000" w:sz="2" w:space="0"/>
              <w:right w:val="single" w:color="000000" w:sz="2" w:space="0"/>
            </w:tcBorders>
            <w:shd w:val="clear" w:color="auto" w:fill="B4C6E7"/>
            <w:vAlign w:val="center"/>
          </w:tcPr>
          <w:p w14:paraId="4E5D0424">
            <w:pPr>
              <w:keepNext w:val="0"/>
              <w:keepLines w:val="0"/>
              <w:widowControl/>
              <w:suppressLineNumbers w:val="0"/>
              <w:jc w:val="center"/>
              <w:textAlignment w:val="center"/>
              <w:rPr>
                <w:rFonts w:hint="default" w:ascii="Calibri" w:hAnsi="Calibri" w:cs="Calibri"/>
                <w:b/>
                <w:bCs/>
                <w:i w:val="0"/>
                <w:iCs w:val="0"/>
                <w:color w:val="000000"/>
                <w:u w:val="none"/>
              </w:rPr>
            </w:pPr>
            <w:r>
              <w:rPr>
                <w:rStyle w:val="541"/>
                <w:rFonts w:eastAsia="SimSun"/>
                <w:sz w:val="24"/>
                <w:szCs w:val="24"/>
                <w:bdr w:val="none" w:color="auto" w:sz="0" w:space="0"/>
                <w:lang w:val="en-US" w:eastAsia="zh-CN" w:bidi="ar"/>
              </w:rPr>
              <w:t xml:space="preserve">TOTAL </w:t>
            </w:r>
            <w:r>
              <w:rPr>
                <w:rStyle w:val="541"/>
                <w:rFonts w:hint="default" w:ascii="Calibri" w:eastAsia="SimSun"/>
                <w:sz w:val="24"/>
                <w:szCs w:val="24"/>
                <w:bdr w:val="none" w:color="auto" w:sz="0" w:space="0"/>
                <w:lang w:val="pt-BR" w:eastAsia="zh-CN" w:bidi="ar"/>
              </w:rPr>
              <w:t xml:space="preserve">ITEM </w:t>
            </w:r>
            <w:r>
              <w:rPr>
                <w:rStyle w:val="541"/>
                <w:rFonts w:eastAsia="SimSun"/>
                <w:sz w:val="24"/>
                <w:szCs w:val="24"/>
                <w:bdr w:val="none" w:color="auto" w:sz="0" w:space="0"/>
                <w:lang w:val="en-US" w:eastAsia="zh-CN" w:bidi="ar"/>
              </w:rPr>
              <w:t xml:space="preserve">1 </w:t>
            </w:r>
          </w:p>
        </w:tc>
        <w:tc>
          <w:tcPr>
            <w:tcW w:w="171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6FAEF637">
            <w:pPr>
              <w:keepNext w:val="0"/>
              <w:keepLines w:val="0"/>
              <w:widowControl/>
              <w:suppressLineNumbers w:val="0"/>
              <w:jc w:val="right"/>
              <w:textAlignment w:val="center"/>
              <w:rPr>
                <w:rFonts w:hint="default" w:ascii="Calibri" w:hAnsi="Calibri" w:cs="Calibri"/>
                <w:b/>
                <w:bCs/>
                <w:i w:val="0"/>
                <w:iCs w:val="0"/>
                <w:color w:val="FF0000"/>
                <w:u w:val="none"/>
              </w:rPr>
            </w:pPr>
          </w:p>
        </w:tc>
        <w:tc>
          <w:tcPr>
            <w:tcW w:w="161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14BE0A73">
            <w:pPr>
              <w:keepNext w:val="0"/>
              <w:keepLines w:val="0"/>
              <w:widowControl/>
              <w:suppressLineNumbers w:val="0"/>
              <w:jc w:val="right"/>
              <w:textAlignment w:val="center"/>
              <w:rPr>
                <w:rFonts w:hint="default" w:ascii="Calibri" w:hAnsi="Calibri" w:cs="Calibri"/>
                <w:b/>
                <w:bCs/>
                <w:i w:val="0"/>
                <w:iCs w:val="0"/>
                <w:color w:val="FF0000"/>
                <w:u w:val="none"/>
              </w:rPr>
            </w:pPr>
          </w:p>
        </w:tc>
      </w:tr>
      <w:tr w14:paraId="416FF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584" w:type="dxa"/>
            <w:gridSpan w:val="6"/>
            <w:tcBorders>
              <w:top w:val="single" w:color="000000" w:sz="2" w:space="0"/>
              <w:left w:val="single" w:color="000000" w:sz="2" w:space="0"/>
              <w:bottom w:val="single" w:color="000000" w:sz="2" w:space="0"/>
              <w:right w:val="single" w:color="000000" w:sz="2" w:space="0"/>
            </w:tcBorders>
            <w:shd w:val="clear" w:color="auto" w:fill="D9E1F2"/>
            <w:noWrap/>
            <w:vAlign w:val="bottom"/>
          </w:tcPr>
          <w:p w14:paraId="3568A241">
            <w:pPr>
              <w:keepNext w:val="0"/>
              <w:keepLines w:val="0"/>
              <w:widowControl/>
              <w:suppressLineNumbers w:val="0"/>
              <w:jc w:val="center"/>
              <w:textAlignment w:val="bottom"/>
              <w:rPr>
                <w:rFonts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ITEM 2- CAMPOS DOS GOYTACAZES/RJ</w:t>
            </w:r>
          </w:p>
        </w:tc>
      </w:tr>
      <w:tr w14:paraId="204C5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192C7768">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ITEM</w:t>
            </w:r>
          </w:p>
        </w:tc>
        <w:tc>
          <w:tcPr>
            <w:tcW w:w="2805"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2FF02B45">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DESCRIÇÃO</w:t>
            </w:r>
          </w:p>
        </w:tc>
        <w:tc>
          <w:tcPr>
            <w:tcW w:w="84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3353F6CA">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1C192819">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MESES</w:t>
            </w:r>
          </w:p>
        </w:tc>
        <w:tc>
          <w:tcPr>
            <w:tcW w:w="171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3D4B8BEA">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TOTAL MENSAL</w:t>
            </w:r>
          </w:p>
        </w:tc>
        <w:tc>
          <w:tcPr>
            <w:tcW w:w="161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796A2729">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TOTAL ANUAL</w:t>
            </w:r>
          </w:p>
        </w:tc>
      </w:tr>
      <w:tr w14:paraId="68E12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6C073866">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w:t>
            </w:r>
          </w:p>
        </w:tc>
        <w:tc>
          <w:tcPr>
            <w:tcW w:w="2805" w:type="dxa"/>
            <w:tcBorders>
              <w:top w:val="single" w:color="000000" w:sz="2" w:space="0"/>
              <w:left w:val="single" w:color="000000" w:sz="2" w:space="0"/>
              <w:bottom w:val="single" w:color="000000" w:sz="2" w:space="0"/>
              <w:right w:val="single" w:color="000000" w:sz="2" w:space="0"/>
            </w:tcBorders>
            <w:shd w:val="clear"/>
            <w:noWrap/>
            <w:vAlign w:val="center"/>
          </w:tcPr>
          <w:p w14:paraId="677DC02E">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Mão de obra permanente</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7325A4F6">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28EE45C3">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2128FD7C">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6C7B14FA">
            <w:pPr>
              <w:keepNext w:val="0"/>
              <w:keepLines w:val="0"/>
              <w:widowControl/>
              <w:suppressLineNumbers w:val="0"/>
              <w:jc w:val="center"/>
              <w:textAlignment w:val="center"/>
              <w:rPr>
                <w:rFonts w:hint="default" w:ascii="Calibri" w:hAnsi="Calibri" w:cs="Calibri"/>
                <w:i w:val="0"/>
                <w:iCs w:val="0"/>
                <w:color w:val="000000"/>
                <w:u w:val="none"/>
              </w:rPr>
            </w:pPr>
          </w:p>
        </w:tc>
      </w:tr>
      <w:tr w14:paraId="0CFAA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7D9B5983">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2</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1975E8AF">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Análise Quimica da Água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0399A0CE">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76DA6E80">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7A0D1CF6">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6CA579C7">
            <w:pPr>
              <w:keepNext w:val="0"/>
              <w:keepLines w:val="0"/>
              <w:widowControl/>
              <w:suppressLineNumbers w:val="0"/>
              <w:jc w:val="center"/>
              <w:textAlignment w:val="center"/>
              <w:rPr>
                <w:rFonts w:hint="default" w:ascii="Calibri" w:hAnsi="Calibri" w:cs="Calibri"/>
                <w:i w:val="0"/>
                <w:iCs w:val="0"/>
                <w:color w:val="000000"/>
                <w:u w:val="none"/>
              </w:rPr>
            </w:pPr>
          </w:p>
        </w:tc>
      </w:tr>
      <w:tr w14:paraId="7C103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222EFBC4">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3</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12F9FD21">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Análise do Ar</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758B73FD">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48E48552">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2B395C33">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1F7D663">
            <w:pPr>
              <w:keepNext w:val="0"/>
              <w:keepLines w:val="0"/>
              <w:widowControl/>
              <w:suppressLineNumbers w:val="0"/>
              <w:jc w:val="center"/>
              <w:textAlignment w:val="center"/>
              <w:rPr>
                <w:rFonts w:hint="default" w:ascii="Calibri" w:hAnsi="Calibri" w:cs="Calibri"/>
                <w:i w:val="0"/>
                <w:iCs w:val="0"/>
                <w:color w:val="000000"/>
                <w:u w:val="none"/>
              </w:rPr>
            </w:pPr>
          </w:p>
        </w:tc>
      </w:tr>
      <w:tr w14:paraId="34708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038B7D4A">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4</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736BF0D7">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Limpeza de Rede de Dutos</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48248682">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UNID</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65FFCF8B">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noWrap/>
            <w:vAlign w:val="center"/>
          </w:tcPr>
          <w:p w14:paraId="5A6C4BCD">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01A27E9">
            <w:pPr>
              <w:keepNext w:val="0"/>
              <w:keepLines w:val="0"/>
              <w:widowControl/>
              <w:suppressLineNumbers w:val="0"/>
              <w:jc w:val="center"/>
              <w:textAlignment w:val="center"/>
              <w:rPr>
                <w:rFonts w:hint="default" w:ascii="Calibri" w:hAnsi="Calibri" w:cs="Calibri"/>
                <w:i w:val="0"/>
                <w:iCs w:val="0"/>
                <w:color w:val="000000"/>
                <w:u w:val="none"/>
              </w:rPr>
            </w:pPr>
          </w:p>
        </w:tc>
      </w:tr>
      <w:tr w14:paraId="7914F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7E68FC6D">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4</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0F64D372">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Serviços eventuais sem cessão de mão de obra dedicada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2B1BFFFE">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78BADDF9">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724D5861">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22E3DE74">
            <w:pPr>
              <w:keepNext w:val="0"/>
              <w:keepLines w:val="0"/>
              <w:widowControl/>
              <w:suppressLineNumbers w:val="0"/>
              <w:jc w:val="center"/>
              <w:textAlignment w:val="center"/>
              <w:rPr>
                <w:rFonts w:hint="default" w:ascii="Calibri" w:hAnsi="Calibri" w:cs="Calibri"/>
                <w:i w:val="0"/>
                <w:iCs w:val="0"/>
                <w:color w:val="000000"/>
                <w:u w:val="none"/>
              </w:rPr>
            </w:pPr>
          </w:p>
        </w:tc>
      </w:tr>
      <w:tr w14:paraId="275C5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33CEA2B5">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5</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6FE8E7EA">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Gás Refrigerante</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5DD6CC03">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0749155E">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0C61CC57">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48D4DF4F">
            <w:pPr>
              <w:keepNext w:val="0"/>
              <w:keepLines w:val="0"/>
              <w:widowControl/>
              <w:suppressLineNumbers w:val="0"/>
              <w:jc w:val="center"/>
              <w:textAlignment w:val="center"/>
              <w:rPr>
                <w:rFonts w:hint="default" w:ascii="Calibri" w:hAnsi="Calibri" w:cs="Calibri"/>
                <w:i w:val="0"/>
                <w:iCs w:val="0"/>
                <w:color w:val="000000"/>
                <w:u w:val="none"/>
              </w:rPr>
            </w:pPr>
          </w:p>
        </w:tc>
      </w:tr>
      <w:tr w14:paraId="30199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726" w:type="dxa"/>
            <w:tcBorders>
              <w:top w:val="single" w:color="000000" w:sz="2" w:space="0"/>
              <w:left w:val="single" w:color="000000" w:sz="2" w:space="0"/>
              <w:bottom w:val="single" w:color="000000" w:sz="2" w:space="0"/>
              <w:right w:val="single" w:color="000000" w:sz="2" w:space="0"/>
            </w:tcBorders>
            <w:shd w:val="clear"/>
            <w:noWrap/>
            <w:vAlign w:val="center"/>
          </w:tcPr>
          <w:p w14:paraId="5079BF8F">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6</w:t>
            </w:r>
          </w:p>
        </w:tc>
        <w:tc>
          <w:tcPr>
            <w:tcW w:w="2805" w:type="dxa"/>
            <w:tcBorders>
              <w:top w:val="single" w:color="000000" w:sz="2" w:space="0"/>
              <w:left w:val="single" w:color="000000" w:sz="2" w:space="0"/>
              <w:bottom w:val="single" w:color="000000" w:sz="2" w:space="0"/>
              <w:right w:val="single" w:color="000000" w:sz="2" w:space="0"/>
            </w:tcBorders>
            <w:shd w:val="clear"/>
            <w:vAlign w:val="center"/>
          </w:tcPr>
          <w:p w14:paraId="1457029A">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Peças para manutenção (50% mão de obra)</w:t>
            </w:r>
          </w:p>
        </w:tc>
        <w:tc>
          <w:tcPr>
            <w:tcW w:w="840" w:type="dxa"/>
            <w:tcBorders>
              <w:top w:val="single" w:color="000000" w:sz="2" w:space="0"/>
              <w:left w:val="single" w:color="000000" w:sz="2" w:space="0"/>
              <w:bottom w:val="single" w:color="000000" w:sz="2" w:space="0"/>
              <w:right w:val="single" w:color="000000" w:sz="2" w:space="0"/>
            </w:tcBorders>
            <w:shd w:val="clear"/>
            <w:noWrap/>
            <w:vAlign w:val="center"/>
          </w:tcPr>
          <w:p w14:paraId="40D0C63A">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MÊS</w:t>
            </w:r>
          </w:p>
        </w:tc>
        <w:tc>
          <w:tcPr>
            <w:tcW w:w="887" w:type="dxa"/>
            <w:tcBorders>
              <w:top w:val="single" w:color="000000" w:sz="2" w:space="0"/>
              <w:left w:val="single" w:color="000000" w:sz="2" w:space="0"/>
              <w:bottom w:val="single" w:color="000000" w:sz="2" w:space="0"/>
              <w:right w:val="single" w:color="000000" w:sz="2" w:space="0"/>
            </w:tcBorders>
            <w:shd w:val="clear"/>
            <w:noWrap/>
            <w:vAlign w:val="center"/>
          </w:tcPr>
          <w:p w14:paraId="5E82F817">
            <w:pPr>
              <w:keepNext w:val="0"/>
              <w:keepLines w:val="0"/>
              <w:widowControl/>
              <w:suppressLineNumbers w:val="0"/>
              <w:jc w:val="center"/>
              <w:textAlignment w:val="center"/>
              <w:rPr>
                <w:rFonts w:hint="default" w:ascii="Calibri" w:hAnsi="Calibri" w:cs="Calibri"/>
                <w:i w:val="0"/>
                <w:iCs w:val="0"/>
                <w:color w:val="000000"/>
                <w:u w:val="none"/>
              </w:rPr>
            </w:pPr>
            <w:r>
              <w:rPr>
                <w:rFonts w:hint="default" w:ascii="Calibri" w:hAnsi="Calibri" w:eastAsia="SimSun" w:cs="Calibri"/>
                <w:i w:val="0"/>
                <w:iCs w:val="0"/>
                <w:color w:val="000000"/>
                <w:kern w:val="0"/>
                <w:sz w:val="24"/>
                <w:szCs w:val="24"/>
                <w:u w:val="none"/>
                <w:bdr w:val="none" w:color="auto" w:sz="0" w:space="0"/>
                <w:lang w:val="en-US" w:eastAsia="zh-CN" w:bidi="ar"/>
              </w:rPr>
              <w:t>12</w:t>
            </w:r>
          </w:p>
        </w:tc>
        <w:tc>
          <w:tcPr>
            <w:tcW w:w="1710" w:type="dxa"/>
            <w:tcBorders>
              <w:top w:val="single" w:color="000000" w:sz="2" w:space="0"/>
              <w:left w:val="single" w:color="000000" w:sz="2" w:space="0"/>
              <w:bottom w:val="single" w:color="000000" w:sz="2" w:space="0"/>
              <w:right w:val="single" w:color="000000" w:sz="2" w:space="0"/>
            </w:tcBorders>
            <w:shd w:val="clear"/>
            <w:vAlign w:val="center"/>
          </w:tcPr>
          <w:p w14:paraId="5B99A58D">
            <w:pPr>
              <w:keepNext w:val="0"/>
              <w:keepLines w:val="0"/>
              <w:widowControl/>
              <w:suppressLineNumbers w:val="0"/>
              <w:jc w:val="center"/>
              <w:textAlignment w:val="center"/>
              <w:rPr>
                <w:rFonts w:hint="default" w:ascii="Calibri" w:hAnsi="Calibri" w:cs="Calibri"/>
                <w:i w:val="0"/>
                <w:iCs w:val="0"/>
                <w:color w:val="000000"/>
                <w:u w:val="none"/>
              </w:rPr>
            </w:pPr>
          </w:p>
        </w:tc>
        <w:tc>
          <w:tcPr>
            <w:tcW w:w="1616" w:type="dxa"/>
            <w:tcBorders>
              <w:top w:val="single" w:color="000000" w:sz="2" w:space="0"/>
              <w:left w:val="single" w:color="000000" w:sz="2" w:space="0"/>
              <w:bottom w:val="single" w:color="000000" w:sz="2" w:space="0"/>
              <w:right w:val="single" w:color="000000" w:sz="2" w:space="0"/>
            </w:tcBorders>
            <w:shd w:val="clear"/>
            <w:noWrap/>
            <w:vAlign w:val="center"/>
          </w:tcPr>
          <w:p w14:paraId="7982F0C8">
            <w:pPr>
              <w:keepNext w:val="0"/>
              <w:keepLines w:val="0"/>
              <w:widowControl/>
              <w:suppressLineNumbers w:val="0"/>
              <w:jc w:val="center"/>
              <w:textAlignment w:val="center"/>
              <w:rPr>
                <w:rFonts w:hint="default" w:ascii="Calibri" w:hAnsi="Calibri" w:cs="Calibri"/>
                <w:i w:val="0"/>
                <w:iCs w:val="0"/>
                <w:color w:val="000000"/>
                <w:u w:val="none"/>
              </w:rPr>
            </w:pPr>
          </w:p>
        </w:tc>
      </w:tr>
      <w:tr w14:paraId="48721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258" w:type="dxa"/>
            <w:gridSpan w:val="4"/>
            <w:tcBorders>
              <w:top w:val="single" w:color="000000" w:sz="2" w:space="0"/>
              <w:left w:val="single" w:color="000000" w:sz="2" w:space="0"/>
              <w:bottom w:val="single" w:color="000000" w:sz="2" w:space="0"/>
              <w:right w:val="single" w:color="000000" w:sz="2" w:space="0"/>
            </w:tcBorders>
            <w:shd w:val="clear" w:color="auto" w:fill="B4C6E7"/>
            <w:vAlign w:val="center"/>
          </w:tcPr>
          <w:p w14:paraId="536D101D">
            <w:pPr>
              <w:keepNext w:val="0"/>
              <w:keepLines w:val="0"/>
              <w:widowControl/>
              <w:suppressLineNumbers w:val="0"/>
              <w:jc w:val="center"/>
              <w:textAlignment w:val="center"/>
              <w:rPr>
                <w:rFonts w:hint="default" w:ascii="Calibri" w:hAnsi="Calibri" w:cs="Calibri"/>
                <w:b/>
                <w:bCs/>
                <w:i w:val="0"/>
                <w:iCs w:val="0"/>
                <w:color w:val="000000"/>
                <w:u w:val="none"/>
              </w:rPr>
            </w:pPr>
            <w:r>
              <w:rPr>
                <w:rFonts w:hint="default" w:ascii="Calibri" w:hAnsi="Calibri" w:eastAsia="SimSun" w:cs="Calibri"/>
                <w:b/>
                <w:bCs/>
                <w:i w:val="0"/>
                <w:iCs w:val="0"/>
                <w:color w:val="000000"/>
                <w:kern w:val="0"/>
                <w:sz w:val="24"/>
                <w:szCs w:val="24"/>
                <w:u w:val="none"/>
                <w:bdr w:val="none" w:color="auto" w:sz="0" w:space="0"/>
                <w:lang w:val="en-US" w:eastAsia="zh-CN" w:bidi="ar"/>
              </w:rPr>
              <w:t xml:space="preserve">TOTAL ITEM 2 </w:t>
            </w:r>
          </w:p>
        </w:tc>
        <w:tc>
          <w:tcPr>
            <w:tcW w:w="1710"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14C967CC">
            <w:pPr>
              <w:keepNext w:val="0"/>
              <w:keepLines w:val="0"/>
              <w:widowControl/>
              <w:suppressLineNumbers w:val="0"/>
              <w:jc w:val="right"/>
              <w:textAlignment w:val="center"/>
              <w:rPr>
                <w:rFonts w:hint="default" w:ascii="Calibri" w:hAnsi="Calibri" w:cs="Calibri"/>
                <w:b/>
                <w:bCs/>
                <w:i w:val="0"/>
                <w:iCs w:val="0"/>
                <w:color w:val="FF0000"/>
                <w:u w:val="none"/>
              </w:rPr>
            </w:pPr>
          </w:p>
        </w:tc>
        <w:tc>
          <w:tcPr>
            <w:tcW w:w="1616" w:type="dxa"/>
            <w:tcBorders>
              <w:top w:val="single" w:color="000000" w:sz="2" w:space="0"/>
              <w:left w:val="single" w:color="000000" w:sz="2" w:space="0"/>
              <w:bottom w:val="single" w:color="000000" w:sz="2" w:space="0"/>
              <w:right w:val="single" w:color="000000" w:sz="2" w:space="0"/>
            </w:tcBorders>
            <w:shd w:val="clear" w:color="auto" w:fill="B4C6E7"/>
            <w:vAlign w:val="center"/>
          </w:tcPr>
          <w:p w14:paraId="63DD409A">
            <w:pPr>
              <w:keepNext w:val="0"/>
              <w:keepLines w:val="0"/>
              <w:widowControl/>
              <w:suppressLineNumbers w:val="0"/>
              <w:jc w:val="right"/>
              <w:textAlignment w:val="center"/>
              <w:rPr>
                <w:rFonts w:hint="default" w:ascii="Calibri" w:hAnsi="Calibri" w:cs="Calibri"/>
                <w:b/>
                <w:bCs/>
                <w:i w:val="0"/>
                <w:iCs w:val="0"/>
                <w:color w:val="FF0000"/>
                <w:u w:val="none"/>
              </w:rPr>
            </w:pPr>
          </w:p>
        </w:tc>
      </w:tr>
    </w:tbl>
    <w:p w14:paraId="0659B00A">
      <w:pPr>
        <w:pStyle w:val="99"/>
        <w:numPr>
          <w:ilvl w:val="0"/>
          <w:numId w:val="0"/>
        </w:numPr>
        <w:spacing w:after="288" w:afterLines="120" w:line="312" w:lineRule="auto"/>
        <w:ind w:left="858" w:hanging="432"/>
        <w:rPr>
          <w:rFonts w:asciiTheme="minorHAnsi" w:hAnsiTheme="minorHAnsi" w:cstheme="minorHAnsi"/>
          <w:sz w:val="22"/>
          <w:szCs w:val="22"/>
        </w:rPr>
      </w:pPr>
    </w:p>
    <w:p w14:paraId="3A59964D">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w:t>
      </w:r>
      <w:r>
        <w:rPr>
          <w:rFonts w:hint="default" w:asciiTheme="minorHAnsi" w:hAnsiTheme="minorHAnsi" w:cstheme="minorHAnsi"/>
          <w:sz w:val="22"/>
          <w:szCs w:val="22"/>
          <w:lang w:val="pt-BR"/>
        </w:rPr>
        <w:t xml:space="preserve">12 </w:t>
      </w:r>
      <w:r>
        <w:rPr>
          <w:rFonts w:asciiTheme="minorHAnsi" w:hAnsiTheme="minorHAnsi" w:cstheme="minorHAnsi"/>
          <w:sz w:val="22"/>
          <w:szCs w:val="22"/>
        </w:rPr>
        <w:t xml:space="preserve">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25661B48">
      <w:pPr>
        <w:pStyle w:val="101"/>
        <w:numPr>
          <w:ilvl w:val="1"/>
          <w:numId w:val="8"/>
        </w:numPr>
        <w:ind w:left="426"/>
        <w:rPr>
          <w:rFonts w:asciiTheme="minorHAnsi" w:hAnsiTheme="minorHAnsi" w:cstheme="minorHAnsi"/>
          <w:color w:val="auto"/>
          <w:sz w:val="22"/>
          <w:szCs w:val="22"/>
        </w:rPr>
      </w:pPr>
      <w:bookmarkStart w:id="2" w:name="_Hlk182221215"/>
      <w:bookmarkStart w:id="3" w:name="_Hlk182221187"/>
      <w:r>
        <w:rPr>
          <w:rFonts w:asciiTheme="minorHAnsi" w:hAnsiTheme="minorHAnsi" w:cstheme="minorHAnsi"/>
          <w:color w:val="auto"/>
          <w:sz w:val="22"/>
          <w:szCs w:val="22"/>
        </w:rPr>
        <w:t>Não haja registro no Cadastro Informativo de créditos não quitados do setor público federal (Cadin)</w:t>
      </w:r>
      <w:bookmarkEnd w:id="2"/>
      <w:r>
        <w:rPr>
          <w:rFonts w:asciiTheme="minorHAnsi" w:hAnsiTheme="minorHAnsi" w:cstheme="minorHAnsi"/>
          <w:color w:val="auto"/>
          <w:sz w:val="22"/>
          <w:szCs w:val="22"/>
        </w:rPr>
        <w:t>.</w:t>
      </w:r>
      <w:bookmarkEnd w:id="3"/>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550FFF55">
      <w:pPr>
        <w:pStyle w:val="99"/>
        <w:numPr>
          <w:numId w:val="0"/>
        </w:numPr>
        <w:ind w:leftChars="0"/>
        <w:rPr>
          <w:rFonts w:asciiTheme="minorHAnsi" w:hAnsiTheme="minorHAnsi" w:cstheme="minorHAnsi"/>
          <w:sz w:val="22"/>
          <w:szCs w:val="22"/>
        </w:rPr>
      </w:pP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018FD66A">
      <w:pPr>
        <w:pStyle w:val="482"/>
        <w:numPr>
          <w:ilvl w:val="1"/>
          <w:numId w:val="10"/>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É permitida a subcontratação parcial do objeto, até o limite de 20% (vinte por cento) do valor total do contrato, nas seguintes condições: </w:t>
      </w:r>
    </w:p>
    <w:p w14:paraId="6FAC4306">
      <w:pPr>
        <w:pStyle w:val="482"/>
        <w:numPr>
          <w:ilvl w:val="1"/>
          <w:numId w:val="10"/>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É vedada a subcontratação completa ou da parcela principal da obrigação.</w:t>
      </w:r>
    </w:p>
    <w:p w14:paraId="4EDF7A3F">
      <w:pPr>
        <w:pStyle w:val="482"/>
        <w:numPr>
          <w:ilvl w:val="1"/>
          <w:numId w:val="10"/>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Poderão ser subcontratadas as seguintes parcelas do objeto:</w:t>
      </w:r>
    </w:p>
    <w:p w14:paraId="60430448">
      <w:pPr>
        <w:pStyle w:val="482"/>
        <w:numPr>
          <w:ilvl w:val="2"/>
          <w:numId w:val="11"/>
        </w:numPr>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Rebobinamento de motores elétricos;</w:t>
      </w:r>
    </w:p>
    <w:p w14:paraId="7E76CA7F">
      <w:pPr>
        <w:pStyle w:val="482"/>
        <w:numPr>
          <w:ilvl w:val="2"/>
          <w:numId w:val="11"/>
        </w:numPr>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Serviço de torneiro mecânico;</w:t>
      </w:r>
    </w:p>
    <w:p w14:paraId="4491DCAF">
      <w:pPr>
        <w:pStyle w:val="482"/>
        <w:numPr>
          <w:ilvl w:val="2"/>
          <w:numId w:val="11"/>
        </w:numPr>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Análise da qualidade do ar e água;</w:t>
      </w:r>
    </w:p>
    <w:p w14:paraId="00F8A97D">
      <w:pPr>
        <w:pStyle w:val="482"/>
        <w:numPr>
          <w:ilvl w:val="2"/>
          <w:numId w:val="11"/>
        </w:numPr>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Execução de “serviços eventuais”, sem que haja qualquer aceitação de transferência de responsabilidade;</w:t>
      </w:r>
    </w:p>
    <w:p w14:paraId="62B3EA9E">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Submeter à aprovação do Gestor do Contrato qualquer subcontratação dos serviços.</w:t>
      </w:r>
    </w:p>
    <w:p w14:paraId="3A153F3B">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Quando for o caso, as empresas ou profissionais subcontratados deverão estar devidamente registrados no Conselho Regional de Engenharia e Agronomia (CREA) competente, com responsável técnico capacitado a executar os seus serviços.</w:t>
      </w:r>
    </w:p>
    <w:p w14:paraId="15303373">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A CONTRATADA deve submeter à prévia aprovação, com antecedência mínima de cinco dias do início do serviço a executar, a indicação da empresa que pretende subcontratar, acompanhada das respectivas comprovações de regularidade fiscal e qualificação técnica, acompanhadas das Anotações de Responsabilidade Técnica (ARTs) e Certidões de Registro no Conselho Regional de Engenharia e Agronomia (CREA) competente, quando for o caso.</w:t>
      </w:r>
    </w:p>
    <w:p w14:paraId="00143D56">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Os serviços especializados a cargo de diferentes firmas subcontratadas serão coordenados pela CONTRATADA de modo a proporcionar a compatibilidade dos serviços, em seu conjunto, permanecendo sob sua inteira responsabilidade o cumprimento das obrigações contratuais.</w:t>
      </w:r>
    </w:p>
    <w:p w14:paraId="7513D49F">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2227A8BD">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A subcontratação depende de autorização prévia do contratante, a quem incumbe avaliar se o subcontratado cumpre os requisitos de qualificação técnica necessários para a execução do objeto.</w:t>
      </w:r>
    </w:p>
    <w:p w14:paraId="11411454">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O contratado apresentará à Administração documentação que comprove a capacidade técnica do subcontratado, que será avaliada e juntada aos autos do processo correspondente.</w:t>
      </w:r>
    </w:p>
    <w:p w14:paraId="11BA71FA">
      <w:pPr>
        <w:pStyle w:val="482"/>
        <w:numPr>
          <w:ilvl w:val="1"/>
          <w:numId w:val="11"/>
        </w:numPr>
        <w:spacing w:before="120" w:beforeAutospacing="0" w:after="120" w:afterAutospacing="0"/>
        <w:ind w:left="426" w:right="120"/>
        <w:jc w:val="both"/>
        <w:rPr>
          <w:rFonts w:ascii="Calibri" w:hAnsi="Calibri" w:cs="Calibri"/>
          <w:color w:val="000000"/>
          <w:sz w:val="22"/>
          <w:szCs w:val="22"/>
        </w:rPr>
      </w:pPr>
      <w:r>
        <w:rPr>
          <w:rFonts w:ascii="Calibri" w:hAnsi="Calibri" w:cs="Calibri"/>
          <w:color w:val="000000"/>
          <w:sz w:val="22"/>
          <w:szCs w:val="22"/>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2"/>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2"/>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2"/>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2"/>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3A1C8DD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14:paraId="747AE84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interregno mínimo de 1 (</w:t>
      </w:r>
      <w:r>
        <w:rPr>
          <w:rFonts w:asciiTheme="minorHAnsi" w:hAnsiTheme="minorHAnsi" w:cstheme="minorHAnsi"/>
          <w:sz w:val="22"/>
          <w:szCs w:val="22"/>
        </w:rPr>
        <w:t>um</w:t>
      </w:r>
      <w:r>
        <w:rPr>
          <w:rFonts w:eastAsia="Times New Roman" w:asciiTheme="minorHAnsi" w:hAnsiTheme="minorHAnsi" w:cstheme="minorHAnsi"/>
          <w:sz w:val="22"/>
          <w:szCs w:val="22"/>
        </w:rPr>
        <w:t>) ano para a primeira repactuação será contado:</w:t>
      </w:r>
    </w:p>
    <w:p w14:paraId="2A2E6801">
      <w:pPr>
        <w:numPr>
          <w:ilvl w:val="0"/>
          <w:numId w:val="13"/>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Pr>
          <w:rFonts w:asciiTheme="minorHAnsi" w:hAnsiTheme="minorHAnsi" w:cstheme="minorHAnsi"/>
          <w:color w:val="000000"/>
          <w:sz w:val="22"/>
          <w:szCs w:val="22"/>
        </w:rPr>
        <w:t>ao qual a proposta estiver vinculada</w:t>
      </w:r>
      <w:r>
        <w:rPr>
          <w:rFonts w:asciiTheme="minorHAnsi" w:hAnsiTheme="minorHAnsi" w:cstheme="minorHAnsi"/>
          <w:sz w:val="22"/>
          <w:szCs w:val="22"/>
        </w:rPr>
        <w:t xml:space="preserve">, relativo a cada categoria profissional abrangida pelo contrato; </w:t>
      </w:r>
    </w:p>
    <w:p w14:paraId="5158B16C">
      <w:pPr>
        <w:numPr>
          <w:ilvl w:val="0"/>
          <w:numId w:val="13"/>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Para</w:t>
      </w:r>
      <w:r>
        <w:rPr>
          <w:rFonts w:asciiTheme="minorHAnsi" w:hAnsiTheme="minorHAnsi" w:cstheme="minorHAnsi"/>
          <w:color w:val="000000"/>
          <w:sz w:val="22"/>
          <w:szCs w:val="22"/>
        </w:rPr>
        <w:t> os custos decorrentes do mercado</w:t>
      </w:r>
      <w:r>
        <w:rPr>
          <w:rFonts w:asciiTheme="minorHAnsi" w:hAnsiTheme="minorHAnsi" w:cstheme="minorHAnsi"/>
          <w:sz w:val="22"/>
          <w:szCs w:val="22"/>
        </w:rPr>
        <w:t>: a partir da apresentação da proposta.</w:t>
      </w:r>
    </w:p>
    <w:p w14:paraId="529B6BE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Nas repactuações subsequentes à primeira, o interregno mínimo 1 (um) ano será contado a partir da data da última repactuação correspondente à mesma parcela objeto da nova solicitação.</w:t>
      </w:r>
    </w:p>
    <w:p w14:paraId="2F8662F1">
      <w:pPr>
        <w:pStyle w:val="78"/>
        <w:numPr>
          <w:ilvl w:val="0"/>
          <w:numId w:val="14"/>
        </w:numPr>
        <w:suppressAutoHyphens w:val="0"/>
        <w:spacing w:before="120" w:after="120" w:line="276" w:lineRule="auto"/>
        <w:ind w:left="567" w:hanging="567"/>
        <w:jc w:val="both"/>
        <w:rPr>
          <w:rFonts w:asciiTheme="minorHAnsi" w:hAnsiTheme="minorHAnsi" w:cstheme="minorHAnsi"/>
          <w:vanish/>
          <w:sz w:val="22"/>
          <w:szCs w:val="22"/>
        </w:rPr>
      </w:pPr>
    </w:p>
    <w:p w14:paraId="518E86F9">
      <w:pPr>
        <w:pStyle w:val="78"/>
        <w:numPr>
          <w:ilvl w:val="0"/>
          <w:numId w:val="14"/>
        </w:numPr>
        <w:suppressAutoHyphens w:val="0"/>
        <w:spacing w:before="120" w:after="120" w:line="276" w:lineRule="auto"/>
        <w:ind w:left="567" w:hanging="567"/>
        <w:jc w:val="both"/>
        <w:rPr>
          <w:rFonts w:asciiTheme="minorHAnsi" w:hAnsiTheme="minorHAnsi" w:cstheme="minorHAnsi"/>
          <w:vanish/>
          <w:sz w:val="22"/>
          <w:szCs w:val="22"/>
        </w:rPr>
      </w:pPr>
    </w:p>
    <w:p w14:paraId="63DCECF9">
      <w:pPr>
        <w:pStyle w:val="78"/>
        <w:numPr>
          <w:ilvl w:val="1"/>
          <w:numId w:val="14"/>
        </w:numPr>
        <w:suppressAutoHyphens w:val="0"/>
        <w:spacing w:before="120" w:after="120" w:line="276" w:lineRule="auto"/>
        <w:ind w:left="567" w:hanging="567"/>
        <w:jc w:val="both"/>
        <w:rPr>
          <w:rFonts w:asciiTheme="minorHAnsi" w:hAnsiTheme="minorHAnsi" w:cstheme="minorHAnsi"/>
          <w:vanish/>
          <w:sz w:val="22"/>
          <w:szCs w:val="22"/>
        </w:rPr>
      </w:pPr>
    </w:p>
    <w:p w14:paraId="2D7C0997">
      <w:pPr>
        <w:pStyle w:val="78"/>
        <w:numPr>
          <w:ilvl w:val="2"/>
          <w:numId w:val="4"/>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Entende-se como última repactuação a data em que iniciados seus efeitos financeiros, independentemente daquela em que apostilada.</w:t>
      </w:r>
    </w:p>
    <w:p w14:paraId="0A88A65F">
      <w:pPr>
        <w:pStyle w:val="99"/>
        <w:numPr>
          <w:ilvl w:val="1"/>
          <w:numId w:val="4"/>
        </w:numPr>
        <w:ind w:left="567" w:hanging="567"/>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A repactuação poderá ser dividida em tantas parcelas quantas forem necessárias, </w:t>
      </w:r>
      <w:r>
        <w:rPr>
          <w:rFonts w:eastAsia="Times New Roman" w:asciiTheme="minorHAnsi" w:hAnsiTheme="minorHAnsi" w:cstheme="minorHAnsi"/>
          <w:sz w:val="22"/>
          <w:szCs w:val="22"/>
        </w:rPr>
        <w:t>observado</w:t>
      </w:r>
      <w:r>
        <w:rPr>
          <w:rFonts w:eastAsia="Calibri" w:asciiTheme="minorHAnsi" w:hAnsiTheme="minorHAnsi" w:cstheme="minorHAnsi"/>
          <w:sz w:val="22"/>
          <w:szCs w:val="22"/>
          <w:lang w:eastAsia="en-US"/>
        </w:rPr>
        <w:t xml:space="preserve"> o princípio da anualidade do reajuste de preços da contratação, podendo ser </w:t>
      </w:r>
      <w:r>
        <w:rPr>
          <w:rFonts w:eastAsia="Times New Roman" w:asciiTheme="minorHAnsi" w:hAnsiTheme="minorHAnsi" w:cstheme="minorHAnsi"/>
          <w:sz w:val="22"/>
          <w:szCs w:val="22"/>
        </w:rPr>
        <w:t>realizada</w:t>
      </w:r>
      <w:r>
        <w:rPr>
          <w:rFonts w:eastAsia="Calibri" w:asciiTheme="minorHAnsi" w:hAnsiTheme="minorHAnsi" w:cstheme="minorHAnsi"/>
          <w:sz w:val="22"/>
          <w:szCs w:val="22"/>
          <w:lang w:eastAsia="en-US"/>
        </w:rPr>
        <w:t xml:space="preserve"> em momentos distintos para discutir a variação de custos que tenham sua anualidade </w:t>
      </w:r>
      <w:r>
        <w:rPr>
          <w:rFonts w:eastAsia="Times New Roman" w:asciiTheme="minorHAnsi" w:hAnsiTheme="minorHAnsi" w:cstheme="minorHAnsi"/>
          <w:sz w:val="22"/>
          <w:szCs w:val="22"/>
        </w:rPr>
        <w:t>resultante</w:t>
      </w:r>
      <w:r>
        <w:rPr>
          <w:rFonts w:eastAsia="Calibri" w:asciiTheme="minorHAnsi" w:hAnsiTheme="minorHAnsi" w:cstheme="minorHAnsi"/>
          <w:sz w:val="22"/>
          <w:szCs w:val="22"/>
          <w:lang w:eastAsia="en-US"/>
        </w:rPr>
        <w:t xml:space="preserve"> em datas diferenciadas, como os decorrentes de mão de obra e os decorrentes dos insumos necessários à execução dos serviços.</w:t>
      </w:r>
      <w:r>
        <w:rPr>
          <w:rFonts w:eastAsia="Times New Roman" w:asciiTheme="minorHAnsi" w:hAnsiTheme="minorHAnsi" w:cstheme="minorHAnsi"/>
          <w:sz w:val="22"/>
          <w:szCs w:val="22"/>
        </w:rPr>
        <w:t xml:space="preserve"> (</w:t>
      </w:r>
      <w:r>
        <w:fldChar w:fldCharType="begin"/>
      </w:r>
      <w:r>
        <w:instrText xml:space="preserve"> HYPERLINK "http://www.planalto.gov.br/ccivil_03/_ato2019-2022/2021/lei/L14133.htm" \l "art135§4" </w:instrText>
      </w:r>
      <w:r>
        <w:fldChar w:fldCharType="separate"/>
      </w:r>
      <w:r>
        <w:rPr>
          <w:rStyle w:val="18"/>
          <w:rFonts w:eastAsia="Times New Roman" w:asciiTheme="minorHAnsi" w:hAnsiTheme="minorHAnsi" w:cstheme="minorHAnsi"/>
          <w:sz w:val="22"/>
          <w:szCs w:val="22"/>
        </w:rPr>
        <w:t>art. 135, § 4º,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r>
        <w:rPr>
          <w:rFonts w:eastAsia="Calibri" w:asciiTheme="minorHAnsi" w:hAnsiTheme="minorHAnsi" w:cstheme="minorHAnsi"/>
          <w:sz w:val="22"/>
          <w:szCs w:val="22"/>
          <w:lang w:eastAsia="en-US"/>
        </w:rPr>
        <w:t xml:space="preserve">. </w:t>
      </w:r>
    </w:p>
    <w:p w14:paraId="37634D0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r>
        <w:fldChar w:fldCharType="begin"/>
      </w:r>
      <w:r>
        <w:instrText xml:space="preserve"> HYPERLINK "http://www.planalto.gov.br/ccivil_03/_ato2019-2022/2021/lei/L14133.htm" \l "art135§5" </w:instrText>
      </w:r>
      <w:r>
        <w:fldChar w:fldCharType="separate"/>
      </w:r>
      <w:r>
        <w:rPr>
          <w:rStyle w:val="18"/>
          <w:rFonts w:eastAsia="Times New Roman" w:asciiTheme="minorHAnsi" w:hAnsiTheme="minorHAnsi" w:cstheme="minorHAnsi"/>
          <w:sz w:val="22"/>
          <w:szCs w:val="22"/>
        </w:rPr>
        <w:t>art. 135, § 5º,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78FAA9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14:paraId="5D90258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r>
        <w:fldChar w:fldCharType="begin"/>
      </w:r>
      <w:r>
        <w:instrText xml:space="preserve"> HYPERLINK "http://www.planalto.gov.br/ccivil_03/_ato2019-2022/2021/lei/L14133.htm" \l "art135§1" </w:instrText>
      </w:r>
      <w:r>
        <w:fldChar w:fldCharType="separate"/>
      </w:r>
      <w:r>
        <w:rPr>
          <w:rStyle w:val="18"/>
          <w:rFonts w:eastAsia="Times New Roman" w:asciiTheme="minorHAnsi" w:hAnsiTheme="minorHAnsi" w:cstheme="minorHAnsi"/>
          <w:sz w:val="22"/>
          <w:szCs w:val="22"/>
        </w:rPr>
        <w:t>art. 135, §§ 1º e 2º,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DFD1272">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14:paraId="70B98E28">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198F805B">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313BE539">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1D57E17">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56533602">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514BDC04">
      <w:pPr>
        <w:pStyle w:val="78"/>
        <w:numPr>
          <w:ilvl w:val="2"/>
          <w:numId w:val="4"/>
        </w:numPr>
        <w:suppressAutoHyphens w:val="0"/>
        <w:spacing w:before="120" w:after="120" w:line="276" w:lineRule="auto"/>
        <w:ind w:hanging="567"/>
        <w:jc w:val="both"/>
        <w:rPr>
          <w:rFonts w:asciiTheme="minorHAnsi" w:hAnsiTheme="minorHAnsi" w:cstheme="minorHAnsi"/>
          <w:sz w:val="22"/>
          <w:szCs w:val="22"/>
        </w:rPr>
      </w:pPr>
      <w:r>
        <w:rPr>
          <w:rFonts w:asciiTheme="minorHAnsi" w:hAnsiTheme="minorHAnsi" w:cstheme="minorHAnsi"/>
          <w:sz w:val="22"/>
          <w:szCs w:val="22"/>
        </w:rPr>
        <w:t>A repactuação para reajustamento do contrato em razão de novo Acordo, Convenção ou Dissídio Coletivo de Trabalho deve repassar integralmente o aumento de custos da mão de obra decorrente desses instrumentos.</w:t>
      </w:r>
    </w:p>
    <w:p w14:paraId="6064939D">
      <w:pPr>
        <w:pStyle w:val="78"/>
        <w:numPr>
          <w:ilvl w:val="2"/>
          <w:numId w:val="4"/>
        </w:numPr>
        <w:suppressAutoHyphens w:val="0"/>
        <w:spacing w:before="120" w:after="120" w:line="276" w:lineRule="auto"/>
        <w:ind w:hanging="567"/>
        <w:jc w:val="both"/>
        <w:rPr>
          <w:rFonts w:asciiTheme="minorHAnsi" w:hAnsiTheme="minorHAnsi" w:cstheme="minorHAnsi"/>
          <w:sz w:val="22"/>
          <w:szCs w:val="22"/>
        </w:rPr>
      </w:pPr>
      <w:r>
        <w:rPr>
          <w:rFonts w:asciiTheme="minorHAnsi" w:hAnsiTheme="minorHAnsi" w:cstheme="minorHAnsi"/>
          <w:sz w:val="22"/>
          <w:szCs w:val="22"/>
          <w:lang w:val="en-US" w:eastAsia="zh-CN"/>
        </w:rPr>
        <w:t xml:space="preserve">A repactuação dos valores do salário, do auxílio-alimentação e dos benefícios de natureza trabalhista ou social </w:t>
      </w:r>
      <w:r>
        <w:rPr>
          <w:rFonts w:hint="default" w:asciiTheme="minorHAnsi" w:hAnsiTheme="minorHAnsi" w:cstheme="minorHAnsi"/>
          <w:sz w:val="22"/>
          <w:szCs w:val="22"/>
          <w:lang w:val="en-US" w:eastAsia="zh-CN"/>
        </w:rPr>
        <w:t xml:space="preserve">indicados neste Termo de Referência terá como base o acordo, convenção ou dissídio coletivo de trabalho ao qual a proposta estiver vinculada (ou seja, aquele instrumento apresentado pela empresa no momento da licitação) e não o instrumento paradigma. </w:t>
      </w:r>
    </w:p>
    <w:p w14:paraId="0C63AD12">
      <w:pPr>
        <w:pStyle w:val="78"/>
        <w:numPr>
          <w:ilvl w:val="2"/>
          <w:numId w:val="4"/>
        </w:numPr>
        <w:suppressAutoHyphens w:val="0"/>
        <w:spacing w:before="120" w:after="120" w:line="276" w:lineRule="auto"/>
        <w:ind w:hanging="567"/>
        <w:jc w:val="both"/>
        <w:rPr>
          <w:rFonts w:asciiTheme="minorHAnsi" w:hAnsiTheme="minorHAnsi" w:cstheme="minorHAnsi"/>
          <w:sz w:val="22"/>
          <w:szCs w:val="22"/>
        </w:rPr>
      </w:pPr>
      <w:r>
        <w:rPr>
          <w:rFonts w:hint="default" w:asciiTheme="minorHAnsi" w:hAnsiTheme="minorHAnsi" w:cstheme="minorHAnsi"/>
          <w:sz w:val="22"/>
          <w:szCs w:val="22"/>
          <w:lang w:val="en-US" w:eastAsia="zh-CN"/>
        </w:rPr>
        <w:t xml:space="preserve">Os índices aplicados para aumento do salário, do auxílio-alimentação e dos benefícios de natureza trabalhista ou social indicados neste Termo de Referência serão aqueles constantes no instrumento coletivo ao qual está vinculado o Contratado, e esses índices serão aplicados sobre os valores do salário, do auxílio-alimentação e dos benefícios de natureza trabalhista ou social constantes na proposta apresentada pela empresa no momento da licitação. </w:t>
      </w:r>
    </w:p>
    <w:p w14:paraId="2EA0CA8D">
      <w:pPr>
        <w:pStyle w:val="78"/>
        <w:numPr>
          <w:ilvl w:val="2"/>
          <w:numId w:val="4"/>
        </w:numPr>
        <w:suppressAutoHyphens w:val="0"/>
        <w:spacing w:before="120" w:after="120" w:line="276" w:lineRule="auto"/>
        <w:ind w:hanging="567"/>
        <w:jc w:val="both"/>
        <w:rPr>
          <w:rFonts w:asciiTheme="minorHAnsi" w:hAnsiTheme="minorHAnsi" w:cstheme="minorHAnsi"/>
          <w:sz w:val="22"/>
          <w:szCs w:val="22"/>
        </w:rPr>
      </w:pPr>
      <w:r>
        <w:rPr>
          <w:rFonts w:hint="default" w:asciiTheme="minorHAnsi" w:hAnsiTheme="minorHAnsi" w:cstheme="minorHAnsi"/>
          <w:sz w:val="22"/>
          <w:szCs w:val="22"/>
          <w:lang w:val="en-US" w:eastAsia="zh-CN"/>
        </w:rPr>
        <w:t>A repactuação dos demais custos relativos à mão de obra terá como base o acordo, convenção ou dissídio coletivo de trabalho ao qual a proposta estiver vinculada (ou seja, aquele instrumento apresentado pela empresa no momento da licitação)</w:t>
      </w:r>
    </w:p>
    <w:p w14:paraId="39D772D0">
      <w:pPr>
        <w:pStyle w:val="78"/>
        <w:numPr>
          <w:numId w:val="0"/>
        </w:numPr>
        <w:suppressAutoHyphens w:val="0"/>
        <w:spacing w:before="120" w:after="120" w:line="276" w:lineRule="auto"/>
        <w:ind w:leftChars="0"/>
        <w:jc w:val="both"/>
        <w:rPr>
          <w:rFonts w:asciiTheme="minorHAnsi" w:hAnsiTheme="minorHAnsi" w:cstheme="minorHAnsi"/>
          <w:sz w:val="22"/>
          <w:szCs w:val="22"/>
        </w:rPr>
      </w:pPr>
    </w:p>
    <w:p w14:paraId="664477DE">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pelo contratado se referir aos custos decorrentes do mercado, o respectivo aumento será apurado mediante a aplicação do índice de reajustamento IPCA</w:t>
      </w:r>
      <w:r>
        <w:rPr>
          <w:rFonts w:eastAsia="Times New Roman" w:asciiTheme="minorHAnsi" w:hAnsiTheme="minorHAnsi" w:cstheme="minorHAnsi"/>
          <w:i/>
          <w:iCs/>
          <w:color w:val="FF0000"/>
          <w:sz w:val="22"/>
          <w:szCs w:val="22"/>
        </w:rPr>
        <w:t>,</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 xml:space="preserve">com base na seguinte fórmula: </w:t>
      </w:r>
    </w:p>
    <w:p w14:paraId="6BB7677F">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 (I – Iº) / Iº, onde:</w:t>
      </w:r>
    </w:p>
    <w:p w14:paraId="760A69E5">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Valor do reajustamento procurado;</w:t>
      </w:r>
    </w:p>
    <w:p w14:paraId="088D72A7">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V = Valor contratual correspondente à parcela dos </w:t>
      </w:r>
      <w:r>
        <w:rPr>
          <w:rFonts w:asciiTheme="minorHAnsi" w:hAnsiTheme="minorHAnsi" w:cstheme="minorHAnsi"/>
          <w:sz w:val="22"/>
          <w:szCs w:val="22"/>
        </w:rPr>
        <w:t>custos decorrentes do mercado</w:t>
      </w:r>
      <w:r>
        <w:rPr>
          <w:rFonts w:eastAsia="Calibri" w:asciiTheme="minorHAnsi" w:hAnsiTheme="minorHAnsi" w:cstheme="minorHAnsi"/>
          <w:sz w:val="22"/>
          <w:szCs w:val="22"/>
          <w:lang w:eastAsia="en-US"/>
        </w:rPr>
        <w:t xml:space="preserve"> a ser reajustada;</w:t>
      </w:r>
    </w:p>
    <w:p w14:paraId="357418E8">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shd w:val="clear" w:color="auto" w:fill="FFFFFF"/>
          <w:lang w:eastAsia="en-US"/>
        </w:rPr>
        <w:t>Iº = índice inicial - refere-se ao índice de custos ou de preços correspondente à data de apresentação da proposta;</w:t>
      </w:r>
    </w:p>
    <w:p w14:paraId="41EC4483">
      <w:pPr>
        <w:spacing w:before="120" w:after="120" w:line="276" w:lineRule="auto"/>
        <w:ind w:left="567" w:hanging="567"/>
        <w:jc w:val="both"/>
        <w:rPr>
          <w:rFonts w:eastAsia="Calibri" w:asciiTheme="minorHAnsi" w:hAnsiTheme="minorHAnsi" w:cstheme="minorHAnsi"/>
          <w:sz w:val="22"/>
          <w:szCs w:val="22"/>
          <w:shd w:val="clear" w:color="auto" w:fill="FFFFFF"/>
          <w:lang w:eastAsia="en-US"/>
        </w:rPr>
      </w:pPr>
      <w:r>
        <w:rPr>
          <w:rFonts w:eastAsia="Calibri" w:asciiTheme="minorHAnsi" w:hAnsiTheme="minorHAnsi" w:cstheme="minorHAnsi"/>
          <w:sz w:val="22"/>
          <w:szCs w:val="22"/>
          <w:shd w:val="clear" w:color="auto" w:fill="FFFFFF"/>
          <w:lang w:eastAsia="en-US"/>
        </w:rPr>
        <w:t>I = Índice relativo ao mês do reajustamento</w:t>
      </w:r>
    </w:p>
    <w:p w14:paraId="200D3354">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14:paraId="3576D9E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Nas aferições finais, o índice utilizado para a repactuação dos custos decorrentes do mercado será, obrigatoriamente, o definitivo. </w:t>
      </w:r>
    </w:p>
    <w:p w14:paraId="2B92828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14:paraId="2EA7634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14:paraId="06B57A3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14:paraId="2D130404">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Os </w:t>
      </w:r>
      <w:r>
        <w:rPr>
          <w:rFonts w:eastAsia="Times New Roman" w:asciiTheme="minorHAnsi" w:hAnsiTheme="minorHAnsi" w:cstheme="minorHAnsi"/>
          <w:sz w:val="22"/>
          <w:szCs w:val="22"/>
          <w:lang w:val="en-US" w:eastAsia="zh-CN"/>
        </w:rPr>
        <w:t xml:space="preserve">efeitos financeiros da repactuação decorrente da variação dos custos contratuais de mão de obra vinculados aos </w:t>
      </w:r>
      <w:r>
        <w:rPr>
          <w:rFonts w:hint="default" w:eastAsia="Times New Roman" w:asciiTheme="minorHAnsi" w:hAnsiTheme="minorHAnsi" w:cstheme="minorHAnsi"/>
          <w:sz w:val="22"/>
          <w:szCs w:val="22"/>
          <w:lang w:val="en-US" w:eastAsia="zh-CN"/>
        </w:rPr>
        <w:t>acordos, às convenções ou aos dissídios coletivos de trabalho retroagirão, quando for o caso, à data do início dos efeitos financeiros do novo acordo, convenção ou sentença normativa que fundamenta a repactuação.  vinculada (ou seja, aquele instrumento apresentado pela empresa no momento da licitação) e não o instrumento paradigma</w:t>
      </w:r>
      <w:r>
        <w:rPr>
          <w:rFonts w:hint="default" w:eastAsia="Times New Roman" w:asciiTheme="minorHAnsi" w:hAnsiTheme="minorHAnsi" w:cstheme="minorHAnsi"/>
          <w:sz w:val="22"/>
          <w:szCs w:val="22"/>
          <w:lang w:val="pt-BR" w:eastAsia="zh-CN"/>
        </w:rPr>
        <w:t>.</w:t>
      </w:r>
    </w:p>
    <w:p w14:paraId="207ED06E">
      <w:pPr>
        <w:pStyle w:val="90"/>
        <w:rPr>
          <w:rFonts w:eastAsia="Times New Roman" w:asciiTheme="minorHAnsi" w:hAnsiTheme="minorHAnsi" w:cstheme="minorHAnsi"/>
          <w:sz w:val="22"/>
          <w:szCs w:val="22"/>
        </w:rPr>
      </w:pPr>
      <w: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4"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4"/>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5" w:name="_Hlk114499841"/>
      <w:bookmarkEnd w:id="5"/>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pPr>
        <w:pStyle w:val="99"/>
        <w:numPr>
          <w:ilvl w:val="1"/>
          <w:numId w:val="4"/>
        </w:numPr>
        <w:rPr>
          <w:rFonts w:ascii="Calibri" w:hAnsi="Calibri" w:cs="Calibri"/>
          <w:color w:val="000000"/>
          <w:sz w:val="22"/>
          <w:szCs w:val="22"/>
        </w:rPr>
      </w:pPr>
      <w:r>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pPr>
        <w:pStyle w:val="101"/>
        <w:numPr>
          <w:ilvl w:val="2"/>
          <w:numId w:val="4"/>
        </w:numPr>
        <w:rPr>
          <w:rFonts w:ascii="Calibri" w:hAnsi="Calibri" w:cs="Calibri"/>
          <w:sz w:val="22"/>
          <w:szCs w:val="22"/>
        </w:rPr>
      </w:pPr>
      <w:r>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 (2022), que no presente caso corresponde a 30% (trinta por cento).</w:t>
      </w:r>
    </w:p>
    <w:p w14:paraId="74125BF7">
      <w:pPr>
        <w:pStyle w:val="101"/>
        <w:numPr>
          <w:ilvl w:val="2"/>
          <w:numId w:val="4"/>
        </w:numPr>
        <w:rPr>
          <w:rFonts w:ascii="Calibri" w:hAnsi="Calibri" w:cs="Calibri"/>
          <w:sz w:val="22"/>
          <w:szCs w:val="22"/>
        </w:rPr>
      </w:pPr>
      <w:r>
        <w:rPr>
          <w:rFonts w:ascii="Calibri" w:hAnsi="Calibri" w:cs="Calibri"/>
          <w:sz w:val="22"/>
          <w:szCs w:val="22"/>
        </w:rPr>
        <w:t>Incluem-se entre as beneficiárias das vagas reservadas as mulheres trans, travestis e outras possibilidades do gênero feminino, conforme definido no art. 5º da Lei nº 11.340, de 7 de agosto de 2006.</w:t>
      </w:r>
    </w:p>
    <w:p w14:paraId="7F5F0644">
      <w:pPr>
        <w:pStyle w:val="101"/>
        <w:numPr>
          <w:ilvl w:val="2"/>
          <w:numId w:val="4"/>
        </w:numPr>
        <w:rPr>
          <w:rFonts w:ascii="Calibri" w:hAnsi="Calibri" w:cs="Calibri"/>
          <w:sz w:val="22"/>
          <w:szCs w:val="22"/>
        </w:rPr>
      </w:pPr>
      <w:r>
        <w:rPr>
          <w:rFonts w:ascii="Calibri" w:hAnsi="Calibri" w:cs="Calibri"/>
          <w:sz w:val="22"/>
          <w:szCs w:val="22"/>
        </w:rPr>
        <w:t>Sempre que houver um desligamento, o CONTRATADO deverá buscar atender ao percentual mínimo de 8% com a nova contratação.</w:t>
      </w:r>
    </w:p>
    <w:p w14:paraId="7B806280">
      <w:pPr>
        <w:pStyle w:val="101"/>
        <w:numPr>
          <w:ilvl w:val="2"/>
          <w:numId w:val="4"/>
        </w:numPr>
        <w:rPr>
          <w:rFonts w:ascii="Calibri" w:hAnsi="Calibri" w:cs="Calibri"/>
          <w:sz w:val="22"/>
          <w:szCs w:val="22"/>
        </w:rPr>
      </w:pPr>
      <w:bookmarkStart w:id="6" w:name="_Ref129007260"/>
      <w:r>
        <w:rPr>
          <w:rFonts w:ascii="Calibri" w:hAnsi="Calibri" w:cs="Calibri"/>
          <w:sz w:val="22"/>
          <w:szCs w:val="22"/>
        </w:rPr>
        <w:t>Se não houver mulheres elegíveis em número suficiente para preencher as vagas reservadas, a empresa poderá contratar livremente.</w:t>
      </w:r>
      <w:bookmarkEnd w:id="6"/>
    </w:p>
    <w:p w14:paraId="074FB5D3">
      <w:pPr>
        <w:pStyle w:val="101"/>
        <w:numPr>
          <w:ilvl w:val="2"/>
          <w:numId w:val="4"/>
        </w:numPr>
        <w:rPr>
          <w:rFonts w:ascii="Calibri" w:hAnsi="Calibri" w:cs="Calibri"/>
          <w:sz w:val="22"/>
          <w:szCs w:val="22"/>
        </w:rPr>
      </w:pPr>
      <w:r>
        <w:rPr>
          <w:rFonts w:ascii="Calibri" w:hAnsi="Calibri" w:cs="Calibri"/>
          <w:sz w:val="22"/>
          <w:szCs w:val="22"/>
        </w:rPr>
        <w:t>Para cálculo do percentual de vagas reservadas serão considerados todos os empregados alocados no contrato, incluindo folguistas e substitutos.</w:t>
      </w:r>
    </w:p>
    <w:p w14:paraId="17FF13BB">
      <w:pPr>
        <w:pStyle w:val="101"/>
        <w:numPr>
          <w:ilvl w:val="2"/>
          <w:numId w:val="4"/>
        </w:numPr>
        <w:rPr>
          <w:rFonts w:ascii="Calibri" w:hAnsi="Calibri" w:cs="Calibri"/>
          <w:sz w:val="22"/>
          <w:szCs w:val="22"/>
        </w:rPr>
      </w:pPr>
      <w:r>
        <w:rPr>
          <w:rFonts w:ascii="Calibri" w:hAnsi="Calibri" w:cs="Calibri"/>
          <w:sz w:val="22"/>
          <w:szCs w:val="22"/>
        </w:rPr>
        <w:t xml:space="preserve">O percentual de mão-de-obra de que trata este item deverá ser mantido durante toda a execução contratual, ressalvado o subitem </w:t>
      </w:r>
      <w:r>
        <w:rPr>
          <w:rFonts w:ascii="Calibri" w:hAnsi="Calibri" w:cs="Calibri"/>
          <w:sz w:val="22"/>
          <w:szCs w:val="22"/>
        </w:rPr>
        <w:fldChar w:fldCharType="begin"/>
      </w:r>
      <w:r>
        <w:rPr>
          <w:rFonts w:ascii="Calibri" w:hAnsi="Calibri" w:cs="Calibri"/>
          <w:sz w:val="22"/>
          <w:szCs w:val="22"/>
        </w:rPr>
        <w:instrText xml:space="preserve"> REF _Ref129007260 \r \h  \* MERGEFORMAT </w:instrText>
      </w:r>
      <w:r>
        <w:rPr>
          <w:rFonts w:ascii="Calibri" w:hAnsi="Calibri" w:cs="Calibri"/>
          <w:sz w:val="22"/>
          <w:szCs w:val="22"/>
        </w:rPr>
        <w:fldChar w:fldCharType="separate"/>
      </w:r>
      <w:r>
        <w:rPr>
          <w:rFonts w:ascii="Calibri" w:hAnsi="Calibri" w:cs="Calibri"/>
          <w:sz w:val="22"/>
          <w:szCs w:val="22"/>
        </w:rPr>
        <w:t>9.42.4</w:t>
      </w:r>
      <w:r>
        <w:rPr>
          <w:rFonts w:ascii="Calibri" w:hAnsi="Calibri" w:cs="Calibri"/>
          <w:sz w:val="22"/>
          <w:szCs w:val="22"/>
        </w:rPr>
        <w:fldChar w:fldCharType="end"/>
      </w:r>
      <w:r>
        <w:rPr>
          <w:rFonts w:ascii="Calibri" w:hAnsi="Calibri" w:cs="Calibri"/>
          <w:sz w:val="22"/>
          <w:szCs w:val="22"/>
        </w:rPr>
        <w:t>.</w:t>
      </w:r>
    </w:p>
    <w:p w14:paraId="2FA4A9A0">
      <w:pPr>
        <w:pStyle w:val="101"/>
        <w:numPr>
          <w:ilvl w:val="2"/>
          <w:numId w:val="4"/>
        </w:numPr>
        <w:rPr>
          <w:rFonts w:ascii="Calibri" w:hAnsi="Calibri" w:cs="Calibri"/>
          <w:sz w:val="22"/>
          <w:szCs w:val="22"/>
        </w:rPr>
      </w:pPr>
      <w:r>
        <w:rPr>
          <w:rFonts w:ascii="Calibri" w:hAnsi="Calibri" w:cs="Calibri"/>
          <w:sz w:val="22"/>
          <w:szCs w:val="22"/>
        </w:rPr>
        <w:t>O CONTRATADO deve manter o sigilo da condição de violência doméstica da profissional que será alocada para a prestação do serviço.</w:t>
      </w:r>
    </w:p>
    <w:p w14:paraId="3BEAA64B">
      <w:pPr>
        <w:pStyle w:val="90"/>
        <w:tabs>
          <w:tab w:val="clear" w:pos="360"/>
        </w:tabs>
        <w:rPr>
          <w:rFonts w:asciiTheme="minorHAnsi" w:hAnsiTheme="minorHAnsi" w:cstheme="minorHAnsi"/>
          <w:sz w:val="22"/>
          <w:szCs w:val="22"/>
        </w:rPr>
      </w:pPr>
      <w:r>
        <w:rPr>
          <w:rFonts w:asciiTheme="minorHAnsi" w:hAnsiTheme="minorHAnsi" w:cstheme="minorHAnsi"/>
          <w:sz w:val="22"/>
          <w:szCs w:val="22"/>
        </w:rPr>
        <w:t>CLAÚSULA DÉCIMA - DA COMPENSAÇÃO DA JORNADA DE TRABALHO</w:t>
      </w:r>
    </w:p>
    <w:p w14:paraId="33FA5E5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0266CEC3">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20E14BB">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total/anual do contrato, limitada ao equivalente a 2 (dois) meses do custo da folha de pagamento dos empregados da contratada que venham a participar da execução dos serviços contratados. </w:t>
      </w:r>
    </w:p>
    <w:p w14:paraId="3CB1A1A6">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14:paraId="0593247E">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i w:val="0"/>
          <w:iCs w:val="0"/>
          <w:color w:val="auto"/>
          <w:sz w:val="22"/>
          <w:szCs w:val="22"/>
        </w:rPr>
        <w:t>inciso I do art. 137 da Lei n.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78EB9850">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Style w:val="510"/>
          <w:rFonts w:asciiTheme="minorHAnsi" w:hAnsiTheme="minorHAnsi" w:cstheme="minorHAnsi"/>
          <w:i w:val="0"/>
          <w:iCs w:val="0"/>
          <w:color w:val="auto"/>
          <w:sz w:val="22"/>
          <w:szCs w:val="22"/>
          <w:shd w:val="clear" w:color="auto" w:fill="FFFFFF"/>
        </w:rPr>
        <w:t xml:space="preserve"> </w:t>
      </w:r>
      <w:r>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14:paraId="013F2B27">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w:t>
      </w:r>
      <w:r>
        <w:rPr>
          <w:rFonts w:asciiTheme="minorHAnsi" w:hAnsiTheme="minorHAnsi" w:cstheme="minorHAnsi"/>
          <w:i w:val="0"/>
          <w:iCs w:val="0"/>
          <w:color w:val="auto"/>
          <w:sz w:val="22"/>
          <w:szCs w:val="22"/>
          <w:lang w:eastAsia="en-US"/>
        </w:rPr>
        <w:t xml:space="preserve">zada a modalidade </w:t>
      </w:r>
      <w:r>
        <w:rPr>
          <w:rFonts w:asciiTheme="minorHAnsi" w:hAnsiTheme="minorHAnsi" w:cstheme="minorHAnsi"/>
          <w:i w:val="0"/>
          <w:iCs w:val="0"/>
          <w:color w:val="auto"/>
          <w:sz w:val="22"/>
          <w:szCs w:val="22"/>
        </w:rPr>
        <w:t>de seguro-garantia, a apólice permanecerá em vigor mesmo que o contratado não pague o prêmio nas datas convencionadas.</w:t>
      </w:r>
    </w:p>
    <w:p w14:paraId="6F6734D5">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6562BC0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_Ref125984616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11.6</w:t>
      </w:r>
      <w:r>
        <w:rPr>
          <w:rFonts w:asciiTheme="minorHAnsi" w:hAnsiTheme="minorHAnsi" w:cstheme="minorHAnsi"/>
          <w:sz w:val="22"/>
          <w:szCs w:val="22"/>
        </w:rPr>
        <w:fldChar w:fldCharType="end"/>
      </w:r>
      <w:r>
        <w:rPr>
          <w:rFonts w:asciiTheme="minorHAnsi" w:hAnsiTheme="minorHAnsi" w:cstheme="minorHAnsi"/>
          <w:sz w:val="22"/>
          <w:szCs w:val="22"/>
        </w:rPr>
        <w:t xml:space="preserve"> deste contrato.</w:t>
      </w:r>
    </w:p>
    <w:p w14:paraId="17D42619">
      <w:pPr>
        <w:pStyle w:val="99"/>
        <w:numPr>
          <w:ilvl w:val="1"/>
          <w:numId w:val="16"/>
        </w:numPr>
        <w:spacing w:after="288" w:afterLines="120" w:line="312" w:lineRule="auto"/>
        <w:ind w:left="567" w:hanging="567"/>
        <w:rPr>
          <w:rFonts w:asciiTheme="minorHAnsi" w:hAnsiTheme="minorHAnsi" w:cstheme="minorHAnsi"/>
          <w:sz w:val="22"/>
          <w:szCs w:val="22"/>
        </w:rPr>
      </w:pPr>
      <w:bookmarkStart w:id="7" w:name="_Ref125984616"/>
      <w:bookmarkStart w:id="8" w:name="_Ref118297051"/>
      <w:r>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7"/>
      <w:bookmarkEnd w:id="8"/>
    </w:p>
    <w:p w14:paraId="40C6407C">
      <w:pPr>
        <w:pStyle w:val="99"/>
        <w:numPr>
          <w:ilvl w:val="1"/>
          <w:numId w:val="16"/>
        </w:numPr>
        <w:spacing w:after="288" w:afterLines="120" w:line="312" w:lineRule="auto"/>
        <w:ind w:left="567" w:hanging="567"/>
        <w:rPr>
          <w:rFonts w:asciiTheme="minorHAnsi" w:hAnsiTheme="minorHAnsi" w:cstheme="minorHAnsi"/>
          <w:sz w:val="22"/>
          <w:szCs w:val="22"/>
        </w:rPr>
      </w:pPr>
      <w:bookmarkStart w:id="9" w:name="_Ref118297166"/>
      <w:r>
        <w:rPr>
          <w:rFonts w:asciiTheme="minorHAnsi" w:hAnsiTheme="minorHAnsi" w:cstheme="minorHAnsi"/>
          <w:sz w:val="22"/>
          <w:szCs w:val="22"/>
        </w:rPr>
        <w:t>A garantia assegurará, qualquer que seja a modalidade escolhida, o pagamento de:</w:t>
      </w:r>
      <w:bookmarkEnd w:id="9"/>
      <w:r>
        <w:rPr>
          <w:rFonts w:asciiTheme="minorHAnsi" w:hAnsiTheme="minorHAnsi" w:cstheme="minorHAnsi"/>
          <w:sz w:val="22"/>
          <w:szCs w:val="22"/>
        </w:rPr>
        <w:t xml:space="preserve"> </w:t>
      </w:r>
    </w:p>
    <w:p w14:paraId="10A49FC1">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16916643">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ao contratado; e  </w:t>
      </w:r>
    </w:p>
    <w:p w14:paraId="630CE630">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bCs/>
          <w:i w:val="0"/>
          <w:iCs w:val="0"/>
          <w:color w:val="auto"/>
          <w:sz w:val="22"/>
          <w:szCs w:val="22"/>
        </w:rPr>
        <w:t xml:space="preserve">obrigações trabalhistas e previdenciárias </w:t>
      </w:r>
      <w:r>
        <w:rPr>
          <w:rFonts w:asciiTheme="minorHAnsi" w:hAnsiTheme="minorHAnsi" w:cstheme="minorHAnsi"/>
          <w:i w:val="0"/>
          <w:iCs w:val="0"/>
          <w:color w:val="auto"/>
          <w:sz w:val="22"/>
          <w:szCs w:val="22"/>
        </w:rPr>
        <w:t>de qualquer natureza e para com o FGTS, não adimplidas pelo contratado, quando couber.</w:t>
      </w:r>
    </w:p>
    <w:p w14:paraId="00E7B51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modalidade seguro-garantia somente será aceita se contemplar todos os eventos indicados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_Ref118297166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11.7</w:t>
      </w:r>
      <w:r>
        <w:rPr>
          <w:rFonts w:asciiTheme="minorHAnsi" w:hAnsiTheme="minorHAnsi" w:cstheme="minorHAnsi"/>
          <w:sz w:val="22"/>
          <w:szCs w:val="22"/>
        </w:rPr>
        <w:fldChar w:fldCharType="end"/>
      </w:r>
      <w:r>
        <w:rPr>
          <w:rFonts w:asciiTheme="minorHAnsi" w:hAnsiTheme="minorHAnsi" w:cstheme="minorHAnsi"/>
          <w:sz w:val="22"/>
          <w:szCs w:val="22"/>
        </w:rPr>
        <w:t xml:space="preserve">, observada a legislação que rege a matéria. </w:t>
      </w:r>
    </w:p>
    <w:p w14:paraId="541A7A7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em dinheiro deverá ser efetuada em favor do contratante, em conta específica na Caixa Econômica Federal, com correção monetária.</w:t>
      </w:r>
    </w:p>
    <w:p w14:paraId="16D9C60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B8FF8A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color w:val="auto"/>
          <w:sz w:val="22"/>
          <w:szCs w:val="22"/>
        </w:rPr>
        <w:t>artigo 827 do Código Civil.</w:t>
      </w:r>
      <w:r>
        <w:rPr>
          <w:rStyle w:val="18"/>
          <w:rFonts w:asciiTheme="minorHAnsi" w:hAnsiTheme="minorHAnsi" w:cstheme="minorHAnsi"/>
          <w:color w:val="auto"/>
          <w:sz w:val="22"/>
          <w:szCs w:val="22"/>
        </w:rPr>
        <w:fldChar w:fldCharType="end"/>
      </w:r>
    </w:p>
    <w:p w14:paraId="1D43ECC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14:paraId="51DF3F4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7C8C188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executará a garantia na forma prevista na legislação que rege a matéria.</w:t>
      </w:r>
    </w:p>
    <w:p w14:paraId="2594FB29">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color w:val="auto"/>
          <w:sz w:val="22"/>
          <w:szCs w:val="22"/>
        </w:rPr>
        <w:t>art. 137, § 4º, da Lei n.º 14.133, de 2021</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5F7415C1">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color w:val="auto"/>
          <w:sz w:val="22"/>
          <w:szCs w:val="22"/>
        </w:rPr>
        <w:t>art. 20 da Circular Susep n° 662, de 11 de abril de 2022</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0373805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10FE47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14:paraId="59BCBF6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 </w:t>
      </w:r>
    </w:p>
    <w:p w14:paraId="3907131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14:paraId="5F74C57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1DC7DA6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14:paraId="171213B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autoriza o contratante a reter, a qualquer tempo, a garantia, na forma prevista no Edital e neste Contrato.</w:t>
      </w:r>
    </w:p>
    <w:p w14:paraId="1B423BAB">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F7D5A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7CCB5867">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200B5C3C">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6EDE242A">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5B1E4C3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345E44ED">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1F87105E">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1B8B989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5569229B">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3D61810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609FD8E2">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10" w:name="_Hlk114504069"/>
      <w:r>
        <w:rPr>
          <w:rStyle w:val="18"/>
          <w:rFonts w:eastAsia="Arial" w:asciiTheme="minorHAnsi" w:hAnsiTheme="minorHAnsi" w:cstheme="minorHAnsi"/>
          <w:sz w:val="22"/>
          <w:szCs w:val="22"/>
        </w:rPr>
        <w:t>Lei nº 14.133, de 2021</w:t>
      </w:r>
      <w:bookmarkEnd w:id="10"/>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505328">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77930570">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E4486B5">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05F0B2B0">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14:paraId="6EA09309">
      <w:pPr>
        <w:numPr>
          <w:ilvl w:val="7"/>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21359FA8">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14:paraId="213AAC5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F2B4A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408B70C">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D62F511">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8605F5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11" w:name="_Hlk78351618"/>
      <w:bookmarkEnd w:id="11"/>
    </w:p>
    <w:p w14:paraId="3437A35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5581322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86E69FF">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1EE5355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5A3B9B40">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BBFC7E2">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4763F69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60F75E8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CF38924">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5E0E0D9">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F1EDC91">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6E008AB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5D6080A">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1EFF29C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5EC3D7AA">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1A356C20">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14:paraId="0E81D986">
      <w:pPr>
        <w:pStyle w:val="102"/>
        <w:numPr>
          <w:ilvl w:val="3"/>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2682B19D">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7EE495E5">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2257656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DDB14E4">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Indenizações e multas.</w:t>
      </w:r>
    </w:p>
    <w:p w14:paraId="28BD1FD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7B004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437B5F4E">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14:paraId="6F03FCC3">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14:paraId="0704C55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D13883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ainda:</w:t>
      </w:r>
    </w:p>
    <w:p w14:paraId="515DE8F1">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14:paraId="1ABE5785">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14:paraId="77589DBD">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3FA8E54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12D379D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F6302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pPr>
        <w:pStyle w:val="99"/>
        <w:numPr>
          <w:ilvl w:val="1"/>
          <w:numId w:val="16"/>
        </w:numPr>
        <w:ind w:left="567" w:hanging="567"/>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AF62AB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D2BDD9">
      <w:pPr>
        <w:pStyle w:val="492"/>
        <w:numPr>
          <w:ilvl w:val="0"/>
          <w:numId w:val="16"/>
        </w:numPr>
        <w:tabs>
          <w:tab w:val="left" w:pos="360"/>
        </w:tabs>
        <w:spacing w:before="120"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6"/>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9"/>
        <w:numPr>
          <w:ilvl w:val="0"/>
          <w:numId w:val="16"/>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numPr>
          <w:ilvl w:val="1"/>
          <w:numId w:val="2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MS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Liberation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Bold">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right" w:pos="9639"/>
        <w:tab w:val="clear" w:pos="8504"/>
      </w:tabs>
      <w:rPr>
        <w:i/>
      </w:rPr>
    </w:pPr>
    <w:r>
      <w:rPr>
        <w:rFonts w:cs="Arial"/>
        <w:sz w:val="14"/>
        <w:szCs w:val="14"/>
      </w:rPr>
      <w:t>Atualização: NOV/2024</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1B704622"/>
    <w:multiLevelType w:val="multilevel"/>
    <w:tmpl w:val="1B704622"/>
    <w:lvl w:ilvl="0" w:tentative="0">
      <w:start w:val="4"/>
      <w:numFmt w:val="decimal"/>
      <w:lvlText w:val="%1."/>
      <w:lvlJc w:val="left"/>
      <w:pPr>
        <w:ind w:left="495" w:hanging="495"/>
      </w:pPr>
      <w:rPr>
        <w:rFonts w:hint="default"/>
      </w:rPr>
    </w:lvl>
    <w:lvl w:ilvl="1" w:tentative="0">
      <w:start w:val="3"/>
      <w:numFmt w:val="decimal"/>
      <w:lvlText w:val="%1.%2."/>
      <w:lvlJc w:val="left"/>
      <w:pPr>
        <w:ind w:left="528" w:hanging="495"/>
      </w:pPr>
      <w:rPr>
        <w:rFonts w:hint="default"/>
      </w:rPr>
    </w:lvl>
    <w:lvl w:ilvl="2" w:tentative="0">
      <w:start w:val="1"/>
      <w:numFmt w:val="decimal"/>
      <w:lvlText w:val="%1.%2.%3."/>
      <w:lvlJc w:val="left"/>
      <w:pPr>
        <w:ind w:left="786" w:hanging="720"/>
      </w:pPr>
      <w:rPr>
        <w:rFonts w:hint="default"/>
      </w:rPr>
    </w:lvl>
    <w:lvl w:ilvl="3" w:tentative="0">
      <w:start w:val="1"/>
      <w:numFmt w:val="decimal"/>
      <w:lvlText w:val="%1.%2.%3.%4."/>
      <w:lvlJc w:val="left"/>
      <w:pPr>
        <w:ind w:left="819" w:hanging="720"/>
      </w:pPr>
      <w:rPr>
        <w:rFonts w:hint="default"/>
      </w:rPr>
    </w:lvl>
    <w:lvl w:ilvl="4" w:tentative="0">
      <w:start w:val="1"/>
      <w:numFmt w:val="decimal"/>
      <w:lvlText w:val="%1.%2.%3.%4.%5."/>
      <w:lvlJc w:val="left"/>
      <w:pPr>
        <w:ind w:left="1212" w:hanging="1080"/>
      </w:pPr>
      <w:rPr>
        <w:rFonts w:hint="default"/>
      </w:rPr>
    </w:lvl>
    <w:lvl w:ilvl="5" w:tentative="0">
      <w:start w:val="1"/>
      <w:numFmt w:val="decimal"/>
      <w:lvlText w:val="%1.%2.%3.%4.%5.%6."/>
      <w:lvlJc w:val="left"/>
      <w:pPr>
        <w:ind w:left="1245" w:hanging="1080"/>
      </w:pPr>
      <w:rPr>
        <w:rFonts w:hint="default"/>
      </w:rPr>
    </w:lvl>
    <w:lvl w:ilvl="6" w:tentative="0">
      <w:start w:val="1"/>
      <w:numFmt w:val="decimal"/>
      <w:lvlText w:val="%1.%2.%3.%4.%5.%6.%7."/>
      <w:lvlJc w:val="left"/>
      <w:pPr>
        <w:ind w:left="1638" w:hanging="1440"/>
      </w:pPr>
      <w:rPr>
        <w:rFonts w:hint="default"/>
      </w:rPr>
    </w:lvl>
    <w:lvl w:ilvl="7" w:tentative="0">
      <w:start w:val="1"/>
      <w:numFmt w:val="decimal"/>
      <w:lvlText w:val="%1.%2.%3.%4.%5.%6.%7.%8."/>
      <w:lvlJc w:val="left"/>
      <w:pPr>
        <w:ind w:left="1671" w:hanging="1440"/>
      </w:pPr>
      <w:rPr>
        <w:rFonts w:hint="default"/>
      </w:rPr>
    </w:lvl>
    <w:lvl w:ilvl="8" w:tentative="0">
      <w:start w:val="1"/>
      <w:numFmt w:val="decimal"/>
      <w:lvlText w:val="%1.%2.%3.%4.%5.%6.%7.%8.%9."/>
      <w:lvlJc w:val="left"/>
      <w:pPr>
        <w:ind w:left="2064" w:hanging="1800"/>
      </w:pPr>
      <w:rPr>
        <w:rFonts w:hint="default"/>
      </w:rPr>
    </w:lvl>
  </w:abstractNum>
  <w:abstractNum w:abstractNumId="4">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6">
    <w:nsid w:val="24C43E61"/>
    <w:multiLevelType w:val="multilevel"/>
    <w:tmpl w:val="24C43E61"/>
    <w:lvl w:ilvl="0" w:tentative="0">
      <w:start w:val="11"/>
      <w:numFmt w:val="decimal"/>
      <w:lvlText w:val="%1"/>
      <w:lvlJc w:val="left"/>
      <w:pPr>
        <w:ind w:left="390" w:hanging="390"/>
      </w:pPr>
      <w:rPr>
        <w:rFonts w:hint="default"/>
        <w:i w:val="0"/>
        <w:iCs/>
        <w:color w:val="auto"/>
      </w:rPr>
    </w:lvl>
    <w:lvl w:ilvl="1" w:tentative="0">
      <w:start w:val="1"/>
      <w:numFmt w:val="decimal"/>
      <w:lvlText w:val="%1.%2"/>
      <w:lvlJc w:val="left"/>
      <w:pPr>
        <w:ind w:left="957" w:hanging="390"/>
      </w:pPr>
      <w:rPr>
        <w:rFonts w:hint="default"/>
        <w:i w:val="0"/>
        <w:color w:val="000000" w:themeColor="text1"/>
        <w14:textFill>
          <w14:solidFill>
            <w14:schemeClr w14:val="tx1"/>
          </w14:solidFill>
        </w14:textFill>
      </w:rPr>
    </w:lvl>
    <w:lvl w:ilvl="2" w:tentative="0">
      <w:start w:val="1"/>
      <w:numFmt w:val="decimal"/>
      <w:lvlText w:val="%1.%2.%3"/>
      <w:lvlJc w:val="left"/>
      <w:pPr>
        <w:ind w:left="1854" w:hanging="720"/>
      </w:pPr>
      <w:rPr>
        <w:rFonts w:hint="default"/>
        <w:i/>
        <w:color w:val="auto"/>
      </w:rPr>
    </w:lvl>
    <w:lvl w:ilvl="3" w:tentative="0">
      <w:start w:val="1"/>
      <w:numFmt w:val="decimal"/>
      <w:lvlText w:val="%1.%2.%3.%4"/>
      <w:lvlJc w:val="left"/>
      <w:pPr>
        <w:ind w:left="2421" w:hanging="720"/>
      </w:pPr>
      <w:rPr>
        <w:rFonts w:hint="default"/>
        <w:i/>
        <w:color w:val="auto"/>
      </w:rPr>
    </w:lvl>
    <w:lvl w:ilvl="4" w:tentative="0">
      <w:start w:val="1"/>
      <w:numFmt w:val="decimal"/>
      <w:lvlText w:val="%1.%2.%3.%4.%5"/>
      <w:lvlJc w:val="left"/>
      <w:pPr>
        <w:ind w:left="3348" w:hanging="1080"/>
      </w:pPr>
      <w:rPr>
        <w:rFonts w:hint="default"/>
        <w:i/>
        <w:color w:val="FF0000"/>
      </w:rPr>
    </w:lvl>
    <w:lvl w:ilvl="5" w:tentative="0">
      <w:start w:val="1"/>
      <w:numFmt w:val="decimal"/>
      <w:lvlText w:val="%1.%2.%3.%4.%5.%6"/>
      <w:lvlJc w:val="left"/>
      <w:pPr>
        <w:ind w:left="3915" w:hanging="1080"/>
      </w:pPr>
      <w:rPr>
        <w:rFonts w:hint="default"/>
        <w:i/>
        <w:color w:val="FF0000"/>
      </w:rPr>
    </w:lvl>
    <w:lvl w:ilvl="6" w:tentative="0">
      <w:start w:val="1"/>
      <w:numFmt w:val="decimal"/>
      <w:lvlText w:val="%1.%2.%3.%4.%5.%6.%7"/>
      <w:lvlJc w:val="left"/>
      <w:pPr>
        <w:ind w:left="4842" w:hanging="1440"/>
      </w:pPr>
      <w:rPr>
        <w:rFonts w:hint="default"/>
        <w:i/>
        <w:color w:val="FF0000"/>
      </w:rPr>
    </w:lvl>
    <w:lvl w:ilvl="7" w:tentative="0">
      <w:start w:val="1"/>
      <w:numFmt w:val="decimal"/>
      <w:lvlText w:val="%1.%2.%3.%4.%5.%6.%7.%8"/>
      <w:lvlJc w:val="left"/>
      <w:pPr>
        <w:ind w:left="5409" w:hanging="1440"/>
      </w:pPr>
      <w:rPr>
        <w:rFonts w:hint="default"/>
        <w:i/>
        <w:color w:val="FF0000"/>
      </w:rPr>
    </w:lvl>
    <w:lvl w:ilvl="8" w:tentative="0">
      <w:start w:val="1"/>
      <w:numFmt w:val="decimal"/>
      <w:lvlText w:val="%1.%2.%3.%4.%5.%6.%7.%8.%9"/>
      <w:lvlJc w:val="left"/>
      <w:pPr>
        <w:ind w:left="6336" w:hanging="1800"/>
      </w:pPr>
      <w:rPr>
        <w:rFonts w:hint="default"/>
        <w:i/>
        <w:color w:val="FF0000"/>
      </w:rPr>
    </w:lvl>
  </w:abstractNum>
  <w:abstractNum w:abstractNumId="7">
    <w:nsid w:val="25B95E92"/>
    <w:multiLevelType w:val="multilevel"/>
    <w:tmpl w:val="25B95E92"/>
    <w:lvl w:ilvl="0" w:tentative="0">
      <w:start w:val="1"/>
      <w:numFmt w:val="lowerLetter"/>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8">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10">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1">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2">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3">
    <w:nsid w:val="50290C0B"/>
    <w:multiLevelType w:val="multilevel"/>
    <w:tmpl w:val="50290C0B"/>
    <w:lvl w:ilvl="0" w:tentative="0">
      <w:start w:val="7"/>
      <w:numFmt w:val="decimal"/>
      <w:lvlText w:val="%1"/>
      <w:lvlJc w:val="left"/>
      <w:pPr>
        <w:ind w:left="450" w:hanging="450"/>
      </w:pPr>
      <w:rPr>
        <w:rFonts w:hint="default"/>
      </w:rPr>
    </w:lvl>
    <w:lvl w:ilvl="1" w:tentative="0">
      <w:start w:val="3"/>
      <w:numFmt w:val="decimal"/>
      <w:lvlText w:val="%1.%2"/>
      <w:lvlJc w:val="left"/>
      <w:pPr>
        <w:ind w:left="1022" w:hanging="450"/>
      </w:pPr>
      <w:rPr>
        <w:rFonts w:hint="default"/>
      </w:rPr>
    </w:lvl>
    <w:lvl w:ilvl="2" w:tentative="0">
      <w:start w:val="1"/>
      <w:numFmt w:val="decimal"/>
      <w:lvlText w:val="%1.%2.%3"/>
      <w:lvlJc w:val="left"/>
      <w:pPr>
        <w:ind w:left="1864" w:hanging="720"/>
      </w:pPr>
      <w:rPr>
        <w:rFonts w:hint="default"/>
      </w:rPr>
    </w:lvl>
    <w:lvl w:ilvl="3" w:tentative="0">
      <w:start w:val="1"/>
      <w:numFmt w:val="decimal"/>
      <w:lvlText w:val="%1.%2.%3.%4"/>
      <w:lvlJc w:val="left"/>
      <w:pPr>
        <w:ind w:left="2436" w:hanging="720"/>
      </w:pPr>
      <w:rPr>
        <w:rFonts w:hint="default"/>
      </w:rPr>
    </w:lvl>
    <w:lvl w:ilvl="4" w:tentative="0">
      <w:start w:val="1"/>
      <w:numFmt w:val="decimal"/>
      <w:lvlText w:val="%1.%2.%3.%4.%5"/>
      <w:lvlJc w:val="left"/>
      <w:pPr>
        <w:ind w:left="3368" w:hanging="1080"/>
      </w:pPr>
      <w:rPr>
        <w:rFonts w:hint="default"/>
      </w:rPr>
    </w:lvl>
    <w:lvl w:ilvl="5" w:tentative="0">
      <w:start w:val="1"/>
      <w:numFmt w:val="decimal"/>
      <w:lvlText w:val="%1.%2.%3.%4.%5.%6"/>
      <w:lvlJc w:val="left"/>
      <w:pPr>
        <w:ind w:left="3940" w:hanging="1080"/>
      </w:pPr>
      <w:rPr>
        <w:rFonts w:hint="default"/>
      </w:rPr>
    </w:lvl>
    <w:lvl w:ilvl="6" w:tentative="0">
      <w:start w:val="1"/>
      <w:numFmt w:val="decimal"/>
      <w:lvlText w:val="%1.%2.%3.%4.%5.%6.%7"/>
      <w:lvlJc w:val="left"/>
      <w:pPr>
        <w:ind w:left="4872" w:hanging="1440"/>
      </w:pPr>
      <w:rPr>
        <w:rFonts w:hint="default"/>
      </w:rPr>
    </w:lvl>
    <w:lvl w:ilvl="7" w:tentative="0">
      <w:start w:val="1"/>
      <w:numFmt w:val="decimal"/>
      <w:lvlText w:val="%1.%2.%3.%4.%5.%6.%7.%8"/>
      <w:lvlJc w:val="left"/>
      <w:pPr>
        <w:ind w:left="5444" w:hanging="1440"/>
      </w:pPr>
      <w:rPr>
        <w:rFonts w:hint="default"/>
      </w:rPr>
    </w:lvl>
    <w:lvl w:ilvl="8" w:tentative="0">
      <w:start w:val="1"/>
      <w:numFmt w:val="decimal"/>
      <w:lvlText w:val="%1.%2.%3.%4.%5.%6.%7.%8.%9"/>
      <w:lvlJc w:val="left"/>
      <w:pPr>
        <w:ind w:left="6376" w:hanging="1800"/>
      </w:pPr>
      <w:rPr>
        <w:rFonts w:hint="default"/>
      </w:rPr>
    </w:lvl>
  </w:abstractNum>
  <w:abstractNum w:abstractNumId="14">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5">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6">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7">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8">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9">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20">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1"/>
  </w:num>
  <w:num w:numId="2">
    <w:abstractNumId w:val="16"/>
  </w:num>
  <w:num w:numId="3">
    <w:abstractNumId w:val="17"/>
  </w:num>
  <w:num w:numId="4">
    <w:abstractNumId w:val="18"/>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5"/>
  </w:num>
  <w:num w:numId="8">
    <w:abstractNumId w:val="4"/>
  </w:num>
  <w:num w:numId="9">
    <w:abstractNumId w:val="20"/>
  </w:num>
  <w:num w:numId="10">
    <w:abstractNumId w:val="12"/>
  </w:num>
  <w:num w:numId="11">
    <w:abstractNumId w:val="3"/>
  </w:num>
  <w:num w:numId="12">
    <w:abstractNumId w:val="2"/>
  </w:num>
  <w:num w:numId="13">
    <w:abstractNumId w:val="7"/>
  </w:num>
  <w:num w:numId="14">
    <w:abstractNumId w:val="13"/>
  </w:num>
  <w:num w:numId="15">
    <w:abstractNumId w:val="19"/>
  </w:num>
  <w:num w:numId="16">
    <w:abstractNumId w:val="6"/>
  </w:num>
  <w:num w:numId="17">
    <w:abstractNumId w:val="21"/>
  </w:num>
  <w:num w:numId="18">
    <w:abstractNumId w:val="14"/>
  </w:num>
  <w:num w:numId="19">
    <w:abstractNumId w:val="0"/>
  </w:num>
  <w:num w:numId="20">
    <w:abstractNumId w:val="8"/>
  </w:num>
  <w:num w:numId="21">
    <w:abstractNumId w:val="9"/>
  </w:num>
  <w:num w:numId="22">
    <w:abstractNumId w:val="1"/>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271A5"/>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28B5"/>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D2CA2"/>
    <w:rsid w:val="003D4A95"/>
    <w:rsid w:val="003D5227"/>
    <w:rsid w:val="003E3EF1"/>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E69"/>
    <w:rsid w:val="0074359C"/>
    <w:rsid w:val="007464EA"/>
    <w:rsid w:val="00747EBB"/>
    <w:rsid w:val="00750831"/>
    <w:rsid w:val="007535D5"/>
    <w:rsid w:val="00754691"/>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3D1"/>
    <w:rsid w:val="008C6744"/>
    <w:rsid w:val="008E166E"/>
    <w:rsid w:val="008F3BD8"/>
    <w:rsid w:val="0090037C"/>
    <w:rsid w:val="00912689"/>
    <w:rsid w:val="009271C3"/>
    <w:rsid w:val="009350A3"/>
    <w:rsid w:val="00937A6A"/>
    <w:rsid w:val="00940753"/>
    <w:rsid w:val="00946A34"/>
    <w:rsid w:val="009502A0"/>
    <w:rsid w:val="00951247"/>
    <w:rsid w:val="00973203"/>
    <w:rsid w:val="00987D0F"/>
    <w:rsid w:val="00992997"/>
    <w:rsid w:val="009937E6"/>
    <w:rsid w:val="009A4E8F"/>
    <w:rsid w:val="009A60CB"/>
    <w:rsid w:val="009C1A02"/>
    <w:rsid w:val="009E113C"/>
    <w:rsid w:val="009F2EB2"/>
    <w:rsid w:val="00A05241"/>
    <w:rsid w:val="00A21E8F"/>
    <w:rsid w:val="00A23CF6"/>
    <w:rsid w:val="00A25435"/>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90BA6"/>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07BD1"/>
    <w:rsid w:val="00E1163C"/>
    <w:rsid w:val="00E23909"/>
    <w:rsid w:val="00E31561"/>
    <w:rsid w:val="00E43629"/>
    <w:rsid w:val="00E44B0C"/>
    <w:rsid w:val="00E52524"/>
    <w:rsid w:val="00E578A6"/>
    <w:rsid w:val="00E67DCF"/>
    <w:rsid w:val="00E726A9"/>
    <w:rsid w:val="00EA06C5"/>
    <w:rsid w:val="00EB085B"/>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3E07"/>
    <w:rsid w:val="00FF6C7B"/>
    <w:rsid w:val="494B4393"/>
    <w:rsid w:val="4CD8051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unhideWhenUsed="0" w:uiPriority="0" w:semiHidden="0" w:name="Block Text"/>
    <w:lsdException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uiPriority w:val="0"/>
  </w:style>
  <w:style w:type="character" w:customStyle="1" w:styleId="67">
    <w:name w:val="ListLabel 2"/>
    <w:qFormat/>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uiPriority w:val="0"/>
  </w:style>
  <w:style w:type="character" w:customStyle="1" w:styleId="154">
    <w:name w:val="WW8Num14z3"/>
    <w:qFormat/>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qFormat/>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qFormat/>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uiPriority w:val="0"/>
  </w:style>
  <w:style w:type="character" w:customStyle="1" w:styleId="182">
    <w:name w:val="WW8Num9z2"/>
    <w:qFormat/>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qFormat/>
    <w:uiPriority w:val="0"/>
  </w:style>
  <w:style w:type="character" w:customStyle="1" w:styleId="222">
    <w:name w:val="WW8Num23z0"/>
    <w:uiPriority w:val="0"/>
    <w:rPr>
      <w:rFonts w:hint="default" w:eastAsia="Times New Roman"/>
    </w:rPr>
  </w:style>
  <w:style w:type="character" w:customStyle="1" w:styleId="223">
    <w:name w:val="WW8Num23z1"/>
    <w:qFormat/>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uiPriority w:val="0"/>
  </w:style>
  <w:style w:type="character" w:customStyle="1" w:styleId="229">
    <w:name w:val="WW8Num23z7"/>
    <w:qFormat/>
    <w:uiPriority w:val="0"/>
  </w:style>
  <w:style w:type="character" w:customStyle="1" w:styleId="230">
    <w:name w:val="WW8Num23z8"/>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qFormat/>
    <w:uiPriority w:val="0"/>
  </w:style>
  <w:style w:type="character" w:customStyle="1" w:styleId="239">
    <w:name w:val="WW8Num24z8"/>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uiPriority w:val="0"/>
  </w:style>
  <w:style w:type="character" w:customStyle="1" w:styleId="246">
    <w:name w:val="WW8Num26z3"/>
    <w:qFormat/>
    <w:uiPriority w:val="0"/>
  </w:style>
  <w:style w:type="character" w:customStyle="1" w:styleId="247">
    <w:name w:val="WW8Num26z4"/>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uiPriority w:val="0"/>
  </w:style>
  <w:style w:type="character" w:customStyle="1" w:styleId="266">
    <w:name w:val="WW8Num6z4"/>
    <w:qFormat/>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uiPriority w:val="0"/>
  </w:style>
  <w:style w:type="character" w:customStyle="1" w:styleId="278">
    <w:name w:val="WW8Num18z6"/>
    <w:qFormat/>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qFormat/>
    <w:uiPriority w:val="0"/>
  </w:style>
  <w:style w:type="character" w:customStyle="1" w:styleId="296">
    <w:name w:val="WW8Num7z8"/>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qFormat/>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qFormat/>
    <w:uiPriority w:val="0"/>
  </w:style>
  <w:style w:type="character" w:customStyle="1" w:styleId="347">
    <w:name w:val="WW8Num29z7"/>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qFormat/>
    <w:uiPriority w:val="0"/>
  </w:style>
  <w:style w:type="character" w:customStyle="1" w:styleId="351">
    <w:name w:val="WW8Num30z2"/>
    <w:uiPriority w:val="0"/>
  </w:style>
  <w:style w:type="character" w:customStyle="1" w:styleId="352">
    <w:name w:val="WW8Num30z3"/>
    <w:qFormat/>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qFormat/>
    <w:uiPriority w:val="0"/>
  </w:style>
  <w:style w:type="character" w:customStyle="1" w:styleId="356">
    <w:name w:val="WW8Num30z7"/>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uiPriority w:val="0"/>
  </w:style>
  <w:style w:type="character" w:customStyle="1" w:styleId="360">
    <w:name w:val="WW8Num31z2"/>
    <w:qFormat/>
    <w:uiPriority w:val="0"/>
  </w:style>
  <w:style w:type="character" w:customStyle="1" w:styleId="361">
    <w:name w:val="WW8Num31z3"/>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uiPriority w:val="0"/>
  </w:style>
  <w:style w:type="character" w:customStyle="1" w:styleId="366">
    <w:name w:val="WW8Num31z8"/>
    <w:qFormat/>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qFormat/>
    <w:uiPriority w:val="0"/>
  </w:style>
  <w:style w:type="character" w:customStyle="1" w:styleId="512">
    <w:name w:val="spellingerror"/>
    <w:basedOn w:val="11"/>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character" w:customStyle="1" w:styleId="541">
    <w:name w:val="font51"/>
    <w:uiPriority w:val="0"/>
    <w:rPr>
      <w:rFonts w:hint="default" w:ascii="Calibri" w:hAnsi="Calibri" w:cs="Calibri"/>
      <w:b/>
      <w:bCs/>
      <w:color w:val="000000"/>
      <w:u w:val="none"/>
    </w:rPr>
  </w:style>
  <w:style w:type="character" w:customStyle="1" w:styleId="542">
    <w:name w:val="font61"/>
    <w:uiPriority w:val="0"/>
    <w:rPr>
      <w:rFonts w:hint="default" w:ascii="Calibri" w:hAnsi="Calibri" w:cs="Calibri"/>
      <w:b/>
      <w:bCs/>
      <w:color w:val="FF000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28</Pages>
  <Words>10795</Words>
  <Characters>58295</Characters>
  <Lines>485</Lines>
  <Paragraphs>137</Paragraphs>
  <TotalTime>1</TotalTime>
  <ScaleCrop>false</ScaleCrop>
  <LinksUpToDate>false</LinksUpToDate>
  <CharactersWithSpaces>68953</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2023-06-29T02:09:00Z</dcterms:created>
  <dc:creator>Adriano</dc:creator>
  <cp:lastModifiedBy>jubor</cp:lastModifiedBy>
  <cp:lastPrinted>2023-06-29T02:09:00Z</cp:lastPrinted>
  <dcterms:modified xsi:type="dcterms:W3CDTF">2025-02-14T18:34:56Z</dcterms:modified>
  <dc:title>NOTAS EXPLICATIVAS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7E060F7DB0D8460086EAD8105DEE3589_12</vt:lpwstr>
  </property>
</Properties>
</file>