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270D1E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  <w:color w:val="FF0000"/>
        </w:rPr>
      </w:pPr>
    </w:p>
    <w:p w14:paraId="2E2EFF9B">
      <w:pPr>
        <w:pStyle w:val="10"/>
        <w:autoSpaceDE w:val="0"/>
        <w:autoSpaceDN w:val="0"/>
        <w:adjustRightInd w:val="0"/>
        <w:ind w:left="1276"/>
        <w:rPr>
          <w:rFonts w:ascii="TTE431A0A0t00" w:hAnsi="TTE431A0A0t00" w:cs="TTE431A0A0t00"/>
          <w:b/>
          <w:color w:val="FF0000"/>
          <w:sz w:val="28"/>
          <w:szCs w:val="28"/>
        </w:rPr>
      </w:pPr>
      <w:r>
        <w:rPr>
          <w:rFonts w:ascii="TTE431A0A0t00" w:hAnsi="TTE431A0A0t00" w:cs="TTE431A0A0t00"/>
          <w:b/>
          <w:color w:val="FF0000"/>
          <w:sz w:val="28"/>
          <w:szCs w:val="28"/>
        </w:rPr>
        <w:t xml:space="preserve">ANEXO VI DO EDITAL DO PREGÃO ELETRÔNICO </w:t>
      </w:r>
      <w:r>
        <w:rPr>
          <w:rFonts w:hint="default" w:ascii="TTE431A0A0t00" w:hAnsi="TTE431A0A0t00" w:cs="TTE431A0A0t00"/>
          <w:b/>
          <w:color w:val="FF0000"/>
          <w:sz w:val="28"/>
          <w:szCs w:val="28"/>
          <w:lang w:val="pt-BR"/>
        </w:rPr>
        <w:t>90.012</w:t>
      </w:r>
      <w:bookmarkStart w:id="0" w:name="_GoBack"/>
      <w:bookmarkEnd w:id="0"/>
      <w:r>
        <w:rPr>
          <w:rFonts w:ascii="TTE431A0A0t00" w:hAnsi="TTE431A0A0t00" w:cs="TTE431A0A0t00"/>
          <w:b/>
          <w:color w:val="FF0000"/>
          <w:sz w:val="28"/>
          <w:szCs w:val="28"/>
        </w:rPr>
        <w:t xml:space="preserve">/2025/AD </w:t>
      </w:r>
    </w:p>
    <w:p w14:paraId="5C10B0A1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0754E9BB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TERMO DE CONCILIAÇÃO JUDICIAL FIRMADO ENTRE O MINISTÉRIO PÚBLICO DO TRABALHO E A UNIÃO</w:t>
      </w:r>
    </w:p>
    <w:p w14:paraId="5F976B38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4EF93DB3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  <w:b/>
        </w:rPr>
        <w:t xml:space="preserve">O </w:t>
      </w:r>
      <w:r>
        <w:rPr>
          <w:rFonts w:ascii="TTE431A0A0t00" w:hAnsi="TTE431A0A0t00" w:cs="TTE431A0A0t00"/>
          <w:b/>
        </w:rPr>
        <w:t>MINISTÉRIO PÚBLICO DO TRABALHO</w:t>
      </w:r>
      <w:r>
        <w:rPr>
          <w:rFonts w:ascii="TTE4E87780t00" w:hAnsi="TTE4E87780t00" w:cs="TTE4E87780t00"/>
        </w:rPr>
        <w:t xml:space="preserve">, neste ato representado pelo Procurador-Geral do Trabalho, Dr. Guilherme Mastrichi Basso, pela Vice-Procuradora-Geral do Trabalho, Dra. Guiomar Rechia Gomes, pelo Procurador-Chefe da PRT da 10ª. Região, Dr. Brasilino Santos Ramos e pelo Procurador do Trabalho Dr. Fábio Leal Cardoso, e a </w:t>
      </w:r>
      <w:r>
        <w:rPr>
          <w:rFonts w:ascii="TTE431A0A0t00" w:hAnsi="TTE431A0A0t00" w:cs="TTE431A0A0t00"/>
        </w:rPr>
        <w:t>UNIÃO</w:t>
      </w:r>
      <w:r>
        <w:rPr>
          <w:rFonts w:ascii="TTE4E87780t00" w:hAnsi="TTE4E87780t00" w:cs="TTE4E87780t00"/>
        </w:rPr>
        <w:t>, neste ato representada pelo Procurador-Geral da União, Dr. Moacir Antonio da Silva Machado, pela Sub Procuradora Regional da União - 1ª. Região, Dra. Helia Maria de Oliveira Bettero e pelo Advogado da União, Dr. Mário Luiz Guerreiro;</w:t>
      </w:r>
    </w:p>
    <w:p w14:paraId="4AC0ED9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toda relação jurídica de trabalho cuja prestação laboral não eventual seja ofertada pessoalmente pelo obreiro, em estado de subordinação e mediante contraprestação pecuniária, será regida obrigatoriamente pela Consolidação das Leis do Trabalho ou por estatuto próprio, quando se tratar de relação de trabalho de natureza estatutária, com a Administração Pública;</w:t>
      </w:r>
    </w:p>
    <w:p w14:paraId="6668AE5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legislação consolidada em seu art. 9º, comina de nulidade absoluta todos os atos praticados com o intuito de desvirtuar, impedir ou fraudar a aplicação da lei trabalhista;</w:t>
      </w:r>
    </w:p>
    <w:p w14:paraId="58F47D84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sociedades cooperativas, segundo 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16.12.1971, art. 4º., “(...) são sociedades de pessoas, com forma e natureza jurídica próprias, de natureza civil, não sujeitas à falência, constituídas para prestar serviços aos associados”.</w:t>
      </w:r>
    </w:p>
    <w:p w14:paraId="3680293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cooperativas podem prestar serviços a não associados somente em caráter excepcional e desde que tal faculdade atenda aos objetivos sociais previstos na sua norma estatutária, (art. 86, da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16.12.1971), aspecto legal que revela a patente impossibilidade jurídica das cooperativas funcionarem como agências de locação de mão de obra terceirizada;</w:t>
      </w:r>
    </w:p>
    <w:p w14:paraId="6DB9EAE9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administração pública está inexoravelmente jungida ao princípio da legalidade, e que a prática do merchandage é vedada pelo art. 3º, da CLT e repelida pela jurisprudência sumulada do C. TST (En. 331);</w:t>
      </w:r>
    </w:p>
    <w:p w14:paraId="1075D4D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os trabalhadores aliciados por cooperativas de mão de obra, que prestam serviços de natureza subordinada à UNIÃO embora laborem em situação fática idêntica a dos empregados das empresas prestadoras de serviços terceirizáveis, encontram-se à margem de qualquer proteção jurídico-laboral, sendo-lhes sonegada a incidência de normas protetivas do trabalho, especialmente àquelas destinadas a tutelar a segurança e higidez do trabalho subordinado, o que afronta o princípio da isonomia, a dignidade da pessoa humana e os valores sociais do trabalho (art. 5º, caput e 1º, III e IV da Constituição Federal);</w:t>
      </w:r>
    </w:p>
    <w:p w14:paraId="13743BF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num processo de terceirização o tomador dos serviços (no caso a administração pública) tem responsabilidade sucessiva por eventuais débitos trabalhistas do fornecedor de mão de obra, nos termos do Enunciado 331, do TST, o que poderia gerar graves prejuízos financeiros ao erário, na hipótese de se apurar a presença dos requisitos do art. 3º., da CLT na atividade de intermediação de mão de obra patrocinada por falsas cooperativas;</w:t>
      </w:r>
    </w:p>
    <w:p w14:paraId="6D2D3B1C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o teor da Recomendação Para a Promoção das Cooperativas aprovada na 90ª. sessão, da OIT – Organização Internacional do Trabalho, em junho de 2002, dispondo que os Estados devem implementar políticas nos sentido de:</w:t>
      </w:r>
    </w:p>
    <w:p w14:paraId="7B418CD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“8.1.b Garantir que as cooperativas não sejam criadas para, ou direcionadas a, o não cumprimento das leis do trabalho ou usadas para estabelecer relações de emprego disfarçadas, e combater pseudocooperativas que violam os direitos dos trabalhadores velando para que a lei trabalhista seja aplicada em todas as empresas.”</w:t>
      </w:r>
    </w:p>
    <w:p w14:paraId="1CC5150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RESOLVEM</w:t>
      </w:r>
    </w:p>
    <w:p w14:paraId="4FC5AB2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Celebrar CONCILIAÇÃO nos autos do Processo 01082-2002-020-10-00-0, em tramitação perante a MM. Vigésima Vara do Trabalho de Brasília-DF, mediante os seguintes termos:</w:t>
      </w:r>
    </w:p>
    <w:p w14:paraId="6D43D4A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Primeira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abster-se-á de contratar trabalhadores, por meio de cooperativas de mão de obra, para a prestação de serviços ligados às suas atividades-fim ou meio, quando o labor, por sua própria natureza, demandar execução em estado de subordinação, quer em relação ao tomador, ou em relação ao fornecedor dos serviços, constituindo elemento essencial ao desenvolvimento e à prestação dos serviços terceirizados, sendo eles:</w:t>
      </w:r>
    </w:p>
    <w:p w14:paraId="5E42E50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a) – Serviços de limpeza;</w:t>
      </w:r>
    </w:p>
    <w:p w14:paraId="475A6629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b) – Serviços de conservação;</w:t>
      </w:r>
    </w:p>
    <w:p w14:paraId="720E1A7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c) – Serviços de segurança, de vigilância e de portaria;</w:t>
      </w:r>
    </w:p>
    <w:p w14:paraId="2219624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d) – Serviços de recepção;</w:t>
      </w:r>
    </w:p>
    <w:p w14:paraId="42DD0A8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e) – Serviços de copeiragem;</w:t>
      </w:r>
    </w:p>
    <w:p w14:paraId="34EA9040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f) – Serviços de reprografia;</w:t>
      </w:r>
    </w:p>
    <w:p w14:paraId="25ACB69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g) – Serviços de telefonia;</w:t>
      </w:r>
    </w:p>
    <w:p w14:paraId="6DE5F32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h) – Serviços de manutenção de prédios, de equipamentos, de veículos e de instalações;</w:t>
      </w:r>
    </w:p>
    <w:p w14:paraId="29AD3A3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i) – Serviços de secretariado e secretariado executivo;</w:t>
      </w:r>
    </w:p>
    <w:p w14:paraId="75A01CBC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j) – Serviços de auxiliar de escritório;</w:t>
      </w:r>
    </w:p>
    <w:p w14:paraId="1A7B4BB0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k) – Serviços de auxiliar administrativo;</w:t>
      </w:r>
    </w:p>
    <w:p w14:paraId="07136E4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 xml:space="preserve">l) – Serviços de </w:t>
      </w:r>
      <w:r>
        <w:rPr>
          <w:rFonts w:ascii="TTE4E9E668t00" w:hAnsi="TTE4E9E668t00" w:cs="TTE4E9E668t00"/>
        </w:rPr>
        <w:t xml:space="preserve">office boy </w:t>
      </w:r>
      <w:r>
        <w:rPr>
          <w:rFonts w:ascii="TTE4E87780t00" w:hAnsi="TTE4E87780t00" w:cs="TTE4E87780t00"/>
        </w:rPr>
        <w:t>(contínuo);</w:t>
      </w:r>
    </w:p>
    <w:p w14:paraId="0F7ACE13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m) – Serviços de digitação;</w:t>
      </w:r>
    </w:p>
    <w:p w14:paraId="7540636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n) – Serviços de assessoria de imprensa e de relações públicas;</w:t>
      </w:r>
    </w:p>
    <w:p w14:paraId="4233331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o) – Serviços de motorista, no caso de os veículos serem fornecidos pelo próprio órgão licitante;</w:t>
      </w:r>
    </w:p>
    <w:p w14:paraId="413C328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p) – Serviços de ascensorista;</w:t>
      </w:r>
    </w:p>
    <w:p w14:paraId="3D6A5255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q) – Serviços de enfermagem; e</w:t>
      </w:r>
    </w:p>
    <w:p w14:paraId="32E56E0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r) – Serviços de agentes comunitários de saúde.</w:t>
      </w:r>
    </w:p>
    <w:p w14:paraId="26BBED7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disposto nesta Cláusula não autoriza outras formas de terceirização sem previsão legal.</w:t>
      </w:r>
    </w:p>
    <w:p w14:paraId="1292F5E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– As partes podem, a qualquer momento, mediante comunicação e acordos prévios, ampliar o rol de serviços elencados no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.</w:t>
      </w:r>
    </w:p>
    <w:p w14:paraId="2AEFA34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Segunda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Considera-se cooperativa de mão de obra, aquela associação cuja atividade precípua seja a mera intermediação individual de trabalhadores de uma ou várias profissões (inexistindo assim vínculo de solidariedade entre seus associados), que não detenham qualquer meio de produção, e cujos serviços sejam prestados a terceiros, de forma individual (e não coletiva), pelos seus associados.</w:t>
      </w:r>
    </w:p>
    <w:p w14:paraId="46580C99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Terceira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obriga-se a estabelecer regras claras nos editais de licitação, a fim de esclarecer a natureza dos serviços licitados, determinando, por conseguinte, se os mesmos podem ser prestados por empresas prestadoras de serviços (trabalhadores subordinados), cooperativas de trabalho, trabalhadores autônomos, avulsos ou eventuais;</w:t>
      </w:r>
    </w:p>
    <w:p w14:paraId="3AE824B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É lícita a contratação de genuínas sociedades cooperativas desde que os serviços licitados não estejam incluídos no rol inserido nas alíneas “a” a “r” da Cláusula Primeira e sejam prestados em caráter coletivo e com absoluta autonomia dos cooperados, seja em relação às cooperativas, seja em relação ao tomador dos serviços, devendo ser juntada, na fase de habilitação, listagem contendo o nome de todos os associados. Esclarecem as partes que somente os serviços podem ser terceirizados, restando absolutamente vedado o fornecimento (intermediação de mão de obra) de trabalhadores a órgãos públicos por cooperativas de qualquer natureza.</w:t>
      </w:r>
    </w:p>
    <w:p w14:paraId="76D495B4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Os editais de licitação que se destinem a contratar os serviços disciplinados pela Cláusula Primeira deverão fazer expressa menção ao presente termo de conciliação e sua homologação, se possível transcrevendo-os na íntegra ou fazendo parte integrante desses editais, como anexo.</w:t>
      </w:r>
    </w:p>
    <w:p w14:paraId="548020D0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Terceiro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Para a prestação de serviços em sua forma subordinada, o </w:t>
      </w:r>
      <w:r>
        <w:rPr>
          <w:rFonts w:ascii="TTE431A0A0t00" w:hAnsi="TTE431A0A0t00" w:cs="TTE431A0A0t00"/>
        </w:rPr>
        <w:t xml:space="preserve">licitante </w:t>
      </w:r>
      <w:r>
        <w:rPr>
          <w:rFonts w:ascii="TTE4E87780t00" w:hAnsi="TTE4E87780t00" w:cs="TTE4E87780t00"/>
        </w:rPr>
        <w:t>vencedor do certame deverá comprovar a condição de empregador dos prestadores de serviços para as quais se objetiva a contratação, constituindo-se esse requisito, condição obrigatória à assinatura do respectivo contrato.</w:t>
      </w:r>
    </w:p>
    <w:p w14:paraId="5277A04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DAS SANÇÕES PELO DESCUMPRIMENTO</w:t>
      </w:r>
    </w:p>
    <w:p w14:paraId="524DBAE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Quarta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obriga-se ao pagamento de multa (astreinte) correspondente a R$1.000,00 (um mil reais) por trabalhador que esteja em desacordo com as condições estabelecidas no presente Termo de Conciliação, sendo a mesma reversível ao Fundo de Amparo ao Trabalhador (FAT).</w:t>
      </w:r>
    </w:p>
    <w:p w14:paraId="0B07552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servidor público que, em nome da Administração, firmar o contrato de prestação de serviços nas atividades relacionadas nas alíneas “a” a “r” da Cláusula Primeira, será responsável solidário por qualquer contratação irregular, respondendo pela multa prevista no caput, sem prejuízo das demais cominações legais.</w:t>
      </w:r>
    </w:p>
    <w:p w14:paraId="335BA0D3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Em caso de notícia de descumprimento dos termos firmados neste ajuste, a UNIÃO, depois de intimada, terá prazo de 20 (vinte) dias para apresentar sua justificativa perante o Ministério Público do Trabalho.</w:t>
      </w:r>
    </w:p>
    <w:p w14:paraId="5D3593B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EXTENSÃO DO AJUSTE À ADMINISTRAÇÃO PÚBLICA INDIRETA</w:t>
      </w:r>
    </w:p>
    <w:p w14:paraId="6B6FF3B8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Quinta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se compromete a recomendar o estabelecimento das mesmas diretrizes ora pactuadas em relação às autarquias, fundações públicas, empresas públicas e sociedades de economia mista, a fim de vincular todos os órgãos integrantes da administração pública indireta ao cumprimento do presente termo de conciliação, sendo que em relação às empresas públicas e sociedades de economia mista deverá ser dado conhecimento ao Departamento de Coordenação e Controle das Empresas Estatais – DEST, do Ministério do Planejamento, Orçamento e Gestão, ou órgão equivalente, para que discipline a matéria no âmbito de sua competência.</w:t>
      </w:r>
    </w:p>
    <w:p w14:paraId="40E5D4C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HOMOLOGAÇÃO JUDICIAL DO AJUSTE</w:t>
      </w:r>
    </w:p>
    <w:p w14:paraId="4C219929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Sexta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As partes submetem os termos da presente conciliação à homologação do Juízo da MM. Vigésima Vara do Trabalho, para que o ajuste gere os seus efeitos jurídicos.</w:t>
      </w:r>
    </w:p>
    <w:p w14:paraId="3FFD87D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Sétima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termos da presente avença gerarão seus efeitos jurídicos a partir da data de sua homologação judicial.</w:t>
      </w:r>
    </w:p>
    <w:p w14:paraId="7C50598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único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contratos em vigor entre a UNIÃO e as Cooperativas, que contrariem o presente acordo, não serão renovados ou prorrogados.</w:t>
      </w:r>
    </w:p>
    <w:p w14:paraId="318792D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Oitava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A presente conciliação extingue o processo com exame do mérito apenas em relação à UNIÃO, prosseguindo o feito quanto aos demais réus. Dito isto, por estarem as partes ajustadas e compromissadas, firmam a presente conciliação em cinco vias, a qual terá eficácia de título judicial, nos termos dos artigos 831, parágrafo único, e 876,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, da CLT.</w:t>
      </w:r>
    </w:p>
    <w:p w14:paraId="391A2E2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3C6A8B4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Brasília, 05 de junho de 2003.</w:t>
      </w:r>
    </w:p>
    <w:p w14:paraId="5E6D0FB5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19007D74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GUILHERME MASTRICHI BASSO GUIOMAR RECHIA GOMES</w:t>
      </w:r>
    </w:p>
    <w:p w14:paraId="42D997CB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do Trabalho Vice-Procuradora-Geral do Trabalho</w:t>
      </w:r>
    </w:p>
    <w:p w14:paraId="30A1199E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BRASILINO SANTOS RAMOS FÁBIO LEAL CARDOSO</w:t>
      </w:r>
    </w:p>
    <w:p w14:paraId="2F609831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Procurador-Chefe/PRT 10ª. Região Procurador do Trabalho</w:t>
      </w:r>
    </w:p>
    <w:p w14:paraId="27BB68D1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MOACIR ANTONIO DA SILVA MACHADO</w:t>
      </w:r>
    </w:p>
    <w:p w14:paraId="5BB0EBAC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da União</w:t>
      </w:r>
    </w:p>
    <w:p w14:paraId="2D4E05D8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HELIA MARIA DE OLIVEIRA BETTERO MÁRIO LUIZ GUERREIRO</w:t>
      </w:r>
    </w:p>
    <w:p w14:paraId="2542F993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Sub-Procuradora-Regional da União–1ª. Região Advogado da União</w:t>
      </w:r>
    </w:p>
    <w:p w14:paraId="156D4888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</w:p>
    <w:p w14:paraId="1C8451DD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Testemunhas:</w:t>
      </w:r>
    </w:p>
    <w:p w14:paraId="1B455791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GRIJALBO FERNANDES COUTINHO</w:t>
      </w:r>
    </w:p>
    <w:p w14:paraId="4E3D05B4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Magistrados</w:t>
      </w:r>
    </w:p>
    <w:p w14:paraId="1610B4CB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da Justiça do Trabalho - ANAMATRA</w:t>
      </w:r>
    </w:p>
    <w:p w14:paraId="19F48087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PAULO SÉRGIO DOMINGUES</w:t>
      </w:r>
    </w:p>
    <w:p w14:paraId="53F37809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dos Juízes Federais</w:t>
      </w:r>
    </w:p>
    <w:p w14:paraId="3E50C590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do Brasil - AJUFE</w:t>
      </w:r>
    </w:p>
    <w:p w14:paraId="3BB80C6A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REGINA BUTRUS</w:t>
      </w:r>
    </w:p>
    <w:p w14:paraId="1EC115F4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Procuradores</w:t>
      </w:r>
    </w:p>
    <w:p w14:paraId="7073E424">
      <w:pPr>
        <w:spacing w:after="120"/>
        <w:ind w:left="500" w:right="227"/>
        <w:jc w:val="center"/>
      </w:pPr>
      <w:r>
        <w:rPr>
          <w:rFonts w:ascii="TTE4E87780t00" w:hAnsi="TTE4E87780t00" w:cs="TTE4E87780t00"/>
        </w:rPr>
        <w:t>do Trabalho – ANPT</w:t>
      </w:r>
    </w:p>
    <w:sectPr>
      <w:headerReference r:id="rId3" w:type="default"/>
      <w:footerReference r:id="rId4" w:type="default"/>
      <w:type w:val="continuous"/>
      <w:pgSz w:w="11907" w:h="16840"/>
      <w:pgMar w:top="851" w:right="850" w:bottom="851" w:left="851" w:header="567" w:footer="851" w:gutter="0"/>
      <w:cols w:space="708" w:num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TE431A0A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8778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9E668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FAE8E7">
    <w:pPr>
      <w:pStyle w:val="6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 xml:space="preserve">Pág. 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PAGE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1</w:t>
    </w:r>
    <w:r>
      <w:rPr>
        <w:rStyle w:val="4"/>
        <w:rFonts w:ascii="Verdana" w:hAnsi="Verdana"/>
        <w:sz w:val="18"/>
        <w:szCs w:val="18"/>
      </w:rPr>
      <w:fldChar w:fldCharType="end"/>
    </w:r>
    <w:r>
      <w:rPr>
        <w:rStyle w:val="4"/>
        <w:rFonts w:ascii="Verdana" w:hAnsi="Verdana"/>
        <w:sz w:val="18"/>
        <w:szCs w:val="18"/>
      </w:rPr>
      <w:t>/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NUMPAGES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4</w:t>
    </w:r>
    <w:r>
      <w:rPr>
        <w:rStyle w:val="4"/>
        <w:rFonts w:ascii="Verdana" w:hAnsi="Verdana"/>
        <w:sz w:val="18"/>
        <w:szCs w:val="1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6775C7">
    <w:pPr>
      <w:pStyle w:val="5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>Processo n.º 23069.152663/2025-86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hyphenationZone w:val="425"/>
  <w:drawingGridHorizontalSpacing w:val="100"/>
  <w:drawingGridVerticalSpacing w:val="136"/>
  <w:displayHorizontalDrawingGridEvery w:val="0"/>
  <w:displayVerticalDrawingGridEvery w:val="2"/>
  <w:noPunctuationKerning w:val="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711"/>
    <w:rsid w:val="0000760E"/>
    <w:rsid w:val="000421C0"/>
    <w:rsid w:val="0006060C"/>
    <w:rsid w:val="000812A5"/>
    <w:rsid w:val="000B7F4E"/>
    <w:rsid w:val="000D50AA"/>
    <w:rsid w:val="00106AE1"/>
    <w:rsid w:val="001218EE"/>
    <w:rsid w:val="001315D6"/>
    <w:rsid w:val="001475D3"/>
    <w:rsid w:val="00151B2E"/>
    <w:rsid w:val="00172641"/>
    <w:rsid w:val="00173E1B"/>
    <w:rsid w:val="00190E3C"/>
    <w:rsid w:val="001A1161"/>
    <w:rsid w:val="001A3A3C"/>
    <w:rsid w:val="001C198F"/>
    <w:rsid w:val="001D0707"/>
    <w:rsid w:val="001D7F90"/>
    <w:rsid w:val="001E1F01"/>
    <w:rsid w:val="001E46EA"/>
    <w:rsid w:val="00203C9A"/>
    <w:rsid w:val="00216501"/>
    <w:rsid w:val="002220E1"/>
    <w:rsid w:val="00234E42"/>
    <w:rsid w:val="0027193E"/>
    <w:rsid w:val="00272694"/>
    <w:rsid w:val="00274871"/>
    <w:rsid w:val="002817CB"/>
    <w:rsid w:val="0029364D"/>
    <w:rsid w:val="002B7069"/>
    <w:rsid w:val="002B7646"/>
    <w:rsid w:val="002D2AB6"/>
    <w:rsid w:val="002D43CF"/>
    <w:rsid w:val="002D6AF4"/>
    <w:rsid w:val="00321329"/>
    <w:rsid w:val="00323514"/>
    <w:rsid w:val="00360C2F"/>
    <w:rsid w:val="00391440"/>
    <w:rsid w:val="003B11F0"/>
    <w:rsid w:val="003C537F"/>
    <w:rsid w:val="003E15B3"/>
    <w:rsid w:val="004317D2"/>
    <w:rsid w:val="00462850"/>
    <w:rsid w:val="00490943"/>
    <w:rsid w:val="004C6111"/>
    <w:rsid w:val="004C6724"/>
    <w:rsid w:val="004D37D0"/>
    <w:rsid w:val="004D6AAB"/>
    <w:rsid w:val="004F0853"/>
    <w:rsid w:val="004F0990"/>
    <w:rsid w:val="00507FEB"/>
    <w:rsid w:val="005133D8"/>
    <w:rsid w:val="0051395B"/>
    <w:rsid w:val="00544124"/>
    <w:rsid w:val="00566C72"/>
    <w:rsid w:val="00583B99"/>
    <w:rsid w:val="005849FF"/>
    <w:rsid w:val="00593F25"/>
    <w:rsid w:val="005E16A2"/>
    <w:rsid w:val="005F5B01"/>
    <w:rsid w:val="00606497"/>
    <w:rsid w:val="00625964"/>
    <w:rsid w:val="00633EE8"/>
    <w:rsid w:val="006765BD"/>
    <w:rsid w:val="006767AE"/>
    <w:rsid w:val="006C344B"/>
    <w:rsid w:val="006E0379"/>
    <w:rsid w:val="00705221"/>
    <w:rsid w:val="00711236"/>
    <w:rsid w:val="00771499"/>
    <w:rsid w:val="00777AAE"/>
    <w:rsid w:val="00787221"/>
    <w:rsid w:val="007B4E6A"/>
    <w:rsid w:val="007D6D01"/>
    <w:rsid w:val="007F4959"/>
    <w:rsid w:val="007F7476"/>
    <w:rsid w:val="00802210"/>
    <w:rsid w:val="00817305"/>
    <w:rsid w:val="0082090E"/>
    <w:rsid w:val="00821896"/>
    <w:rsid w:val="0083073C"/>
    <w:rsid w:val="008A7E9B"/>
    <w:rsid w:val="008A7FC6"/>
    <w:rsid w:val="008B1EB9"/>
    <w:rsid w:val="008D267C"/>
    <w:rsid w:val="008E2FC5"/>
    <w:rsid w:val="008F5ED0"/>
    <w:rsid w:val="00910C62"/>
    <w:rsid w:val="0091175F"/>
    <w:rsid w:val="00926B5F"/>
    <w:rsid w:val="009306D8"/>
    <w:rsid w:val="00931D50"/>
    <w:rsid w:val="009404B8"/>
    <w:rsid w:val="00954DB2"/>
    <w:rsid w:val="0096600C"/>
    <w:rsid w:val="0098505C"/>
    <w:rsid w:val="009A2104"/>
    <w:rsid w:val="009C2015"/>
    <w:rsid w:val="009C2612"/>
    <w:rsid w:val="00A233C1"/>
    <w:rsid w:val="00A25DAE"/>
    <w:rsid w:val="00A32286"/>
    <w:rsid w:val="00A4192B"/>
    <w:rsid w:val="00A45549"/>
    <w:rsid w:val="00AA04E4"/>
    <w:rsid w:val="00AB3077"/>
    <w:rsid w:val="00AB50AB"/>
    <w:rsid w:val="00AE2DBE"/>
    <w:rsid w:val="00AF39C1"/>
    <w:rsid w:val="00AF5572"/>
    <w:rsid w:val="00B019FB"/>
    <w:rsid w:val="00B031C6"/>
    <w:rsid w:val="00B10BBC"/>
    <w:rsid w:val="00B10DC9"/>
    <w:rsid w:val="00B16466"/>
    <w:rsid w:val="00B32EFF"/>
    <w:rsid w:val="00B406B6"/>
    <w:rsid w:val="00B60E03"/>
    <w:rsid w:val="00B61346"/>
    <w:rsid w:val="00B61711"/>
    <w:rsid w:val="00BA08CB"/>
    <w:rsid w:val="00BD2623"/>
    <w:rsid w:val="00C32C12"/>
    <w:rsid w:val="00C5291D"/>
    <w:rsid w:val="00CD6AB9"/>
    <w:rsid w:val="00CE33B4"/>
    <w:rsid w:val="00CE7C3E"/>
    <w:rsid w:val="00D147C3"/>
    <w:rsid w:val="00D260DC"/>
    <w:rsid w:val="00D450F8"/>
    <w:rsid w:val="00D604FB"/>
    <w:rsid w:val="00D7104C"/>
    <w:rsid w:val="00D821AC"/>
    <w:rsid w:val="00DB1AFE"/>
    <w:rsid w:val="00DC0E45"/>
    <w:rsid w:val="00DC68D6"/>
    <w:rsid w:val="00DF084A"/>
    <w:rsid w:val="00E12F4C"/>
    <w:rsid w:val="00E203D1"/>
    <w:rsid w:val="00E34B5F"/>
    <w:rsid w:val="00E5524D"/>
    <w:rsid w:val="00E55655"/>
    <w:rsid w:val="00EB1722"/>
    <w:rsid w:val="00EE40AD"/>
    <w:rsid w:val="00F231F5"/>
    <w:rsid w:val="00F56666"/>
    <w:rsid w:val="00FA770B"/>
    <w:rsid w:val="00FB7533"/>
    <w:rsid w:val="00FC0D94"/>
    <w:rsid w:val="00FC65B5"/>
    <w:rsid w:val="00FE21AB"/>
    <w:rsid w:val="1B5C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age number"/>
    <w:basedOn w:val="2"/>
    <w:qFormat/>
    <w:uiPriority w:val="0"/>
  </w:style>
  <w:style w:type="paragraph" w:styleId="5">
    <w:name w:val="header"/>
    <w:basedOn w:val="1"/>
    <w:link w:val="9"/>
    <w:qFormat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qFormat/>
    <w:uiPriority w:val="0"/>
    <w:pPr>
      <w:tabs>
        <w:tab w:val="center" w:pos="4419"/>
        <w:tab w:val="right" w:pos="8838"/>
      </w:tabs>
    </w:pPr>
  </w:style>
  <w:style w:type="paragraph" w:styleId="7">
    <w:name w:val="Balloon Text"/>
    <w:basedOn w:val="1"/>
    <w:link w:val="8"/>
    <w:qFormat/>
    <w:uiPriority w:val="0"/>
    <w:rPr>
      <w:rFonts w:ascii="Tahoma" w:hAnsi="Tahoma" w:cs="Tahoma"/>
      <w:sz w:val="16"/>
      <w:szCs w:val="16"/>
    </w:rPr>
  </w:style>
  <w:style w:type="character" w:customStyle="1" w:styleId="8">
    <w:name w:val="Texto de balão Char"/>
    <w:basedOn w:val="2"/>
    <w:link w:val="7"/>
    <w:qFormat/>
    <w:uiPriority w:val="0"/>
    <w:rPr>
      <w:rFonts w:ascii="Tahoma" w:hAnsi="Tahoma" w:cs="Tahoma"/>
      <w:sz w:val="16"/>
      <w:szCs w:val="16"/>
    </w:rPr>
  </w:style>
  <w:style w:type="character" w:customStyle="1" w:styleId="9">
    <w:name w:val="Cabeçalho Char"/>
    <w:basedOn w:val="2"/>
    <w:link w:val="5"/>
    <w:qFormat/>
    <w:uiPriority w:val="99"/>
    <w:rPr>
      <w:sz w:val="24"/>
      <w:szCs w:val="24"/>
    </w:rPr>
  </w:style>
  <w:style w:type="paragraph" w:styleId="10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Universidade Federal Fluminense</Company>
  <Pages>4</Pages>
  <Words>1651</Words>
  <Characters>8921</Characters>
  <Lines>74</Lines>
  <Paragraphs>21</Paragraphs>
  <TotalTime>1</TotalTime>
  <ScaleCrop>false</ScaleCrop>
  <LinksUpToDate>false</LinksUpToDate>
  <CharactersWithSpaces>10551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2024-12-15T00:41:00Z</dcterms:created>
  <dc:creator>CPL 3</dc:creator>
  <cp:lastModifiedBy>jubor</cp:lastModifiedBy>
  <cp:lastPrinted>2025-01-27T03:49:00Z</cp:lastPrinted>
  <dcterms:modified xsi:type="dcterms:W3CDTF">2025-01-31T19:35:55Z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1046-12.2.0.19805</vt:lpwstr>
  </property>
  <property fmtid="{D5CDD505-2E9C-101B-9397-08002B2CF9AE}" pid="3" name="ICV">
    <vt:lpwstr>18878053B867458489001B5F4BDFD40B_12</vt:lpwstr>
  </property>
</Properties>
</file>