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F028A">
      <w:pPr>
        <w:pStyle w:val="17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-427990</wp:posOffset>
            </wp:positionV>
            <wp:extent cx="640080" cy="619125"/>
            <wp:effectExtent l="0" t="0" r="7620" b="9525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</w:t>
      </w:r>
      <w:r>
        <w:br w:type="textWrapping"/>
      </w:r>
    </w:p>
    <w:p w14:paraId="278851EF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MINISTÉRIO DA EDUCAÇÃO</w:t>
      </w:r>
    </w:p>
    <w:p w14:paraId="33BC0C94">
      <w:pPr>
        <w:pStyle w:val="2"/>
        <w:spacing w:before="0"/>
        <w:jc w:val="center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UNIVERSIDADE FEDERAL FLUMINENSE</w:t>
      </w:r>
      <w:bookmarkStart w:id="2" w:name="_GoBack"/>
      <w:bookmarkEnd w:id="2"/>
    </w:p>
    <w:p w14:paraId="503B5092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PRO REITORIA DE ADMINISTRAÇÃO</w:t>
      </w:r>
    </w:p>
    <w:p w14:paraId="0E8EE3D5">
      <w:pPr>
        <w:pStyle w:val="54"/>
        <w:rPr>
          <w:rFonts w:asciiTheme="minorHAnsi" w:hAnsiTheme="minorHAnsi"/>
          <w:b/>
        </w:rPr>
      </w:pPr>
    </w:p>
    <w:p w14:paraId="1AC72059">
      <w:pPr>
        <w:jc w:val="center"/>
        <w:rPr>
          <w:rFonts w:hint="default" w:asciiTheme="minorHAnsi" w:hAnsiTheme="minorHAnsi" w:cstheme="minorHAnsi"/>
          <w:b/>
          <w:color w:val="0000FF"/>
          <w:sz w:val="24"/>
          <w:szCs w:val="24"/>
          <w:lang w:val="pt-BR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PREGÃO ELETRÔNICO Nº </w:t>
      </w:r>
      <w:r>
        <w:rPr>
          <w:rFonts w:asciiTheme="minorHAnsi" w:hAnsiTheme="minorHAnsi" w:cstheme="minorHAnsi"/>
          <w:b/>
          <w:color w:val="auto"/>
          <w:sz w:val="24"/>
          <w:szCs w:val="24"/>
          <w:lang w:val="pt-BR"/>
        </w:rPr>
        <w:t>90.007/2025</w:t>
      </w:r>
    </w:p>
    <w:p w14:paraId="6430B21F">
      <w:pPr>
        <w:pStyle w:val="54"/>
        <w:rPr>
          <w:rFonts w:asciiTheme="minorHAnsi" w:hAnsiTheme="minorHAnsi"/>
          <w:b/>
        </w:rPr>
      </w:pPr>
    </w:p>
    <w:p w14:paraId="3B2E4D84">
      <w:pPr>
        <w:pStyle w:val="5"/>
        <w:rPr>
          <w:rFonts w:cs="Arial" w:asciiTheme="minorHAnsi" w:hAnsiTheme="minorHAnsi"/>
          <w:sz w:val="24"/>
          <w:szCs w:val="24"/>
          <w:u w:val="none"/>
        </w:rPr>
      </w:pPr>
      <w:r>
        <w:rPr>
          <w:rFonts w:cs="Arial" w:asciiTheme="minorHAnsi" w:hAnsiTheme="minorHAnsi"/>
          <w:sz w:val="24"/>
          <w:szCs w:val="24"/>
          <w:u w:val="none"/>
        </w:rPr>
        <w:t xml:space="preserve">ANEXO  X DO EDITAL </w:t>
      </w:r>
    </w:p>
    <w:p w14:paraId="7A609D43">
      <w:pPr>
        <w:rPr>
          <w:lang w:val="pt-PT"/>
        </w:rPr>
      </w:pPr>
    </w:p>
    <w:p w14:paraId="677E0B26">
      <w:pPr>
        <w:rPr>
          <w:lang w:val="pt-PT"/>
        </w:rPr>
      </w:pPr>
    </w:p>
    <w:p w14:paraId="697E9BBA">
      <w:pPr>
        <w:pStyle w:val="5"/>
        <w:rPr>
          <w:rFonts w:cs="Arial" w:asciiTheme="minorHAnsi" w:hAnsiTheme="minorHAnsi"/>
          <w:sz w:val="16"/>
          <w:szCs w:val="16"/>
        </w:rPr>
      </w:pPr>
    </w:p>
    <w:p w14:paraId="39291021">
      <w:pPr>
        <w:pStyle w:val="5"/>
        <w:rPr>
          <w:rFonts w:cs="Arial" w:asciiTheme="minorHAnsi" w:hAnsiTheme="minorHAnsi"/>
          <w:sz w:val="20"/>
        </w:rPr>
      </w:pPr>
      <w:r>
        <w:rPr>
          <w:rFonts w:cs="Arial" w:asciiTheme="minorHAnsi" w:hAnsiTheme="minorHAnsi"/>
          <w:sz w:val="20"/>
        </w:rPr>
        <w:t>MEMÓRIA DE CÁLCULO DA PLANILHA DE CUSTO E FORMAÇÃO DE PREÇO</w:t>
      </w:r>
    </w:p>
    <w:p w14:paraId="775C887E">
      <w:pPr>
        <w:rPr>
          <w:rFonts w:cs="Arial" w:asciiTheme="minorHAnsi" w:hAnsiTheme="minorHAnsi"/>
          <w:sz w:val="16"/>
          <w:szCs w:val="16"/>
          <w:lang w:val="pt-PT"/>
        </w:rPr>
      </w:pPr>
    </w:p>
    <w:p w14:paraId="33ED470E">
      <w:pPr>
        <w:rPr>
          <w:rFonts w:cs="Arial" w:asciiTheme="minorHAnsi" w:hAnsiTheme="minorHAnsi"/>
          <w:b/>
          <w:sz w:val="16"/>
          <w:szCs w:val="16"/>
          <w:u w:val="single"/>
          <w:lang w:val="pt-PT"/>
        </w:rPr>
      </w:pPr>
    </w:p>
    <w:p w14:paraId="30CBB28A">
      <w:pPr>
        <w:pStyle w:val="60"/>
        <w:rPr>
          <w:rFonts w:ascii="Calibri" w:hAnsi="Calibri" w:cs="Arial"/>
          <w:b/>
          <w:i/>
          <w:sz w:val="22"/>
          <w:szCs w:val="22"/>
        </w:rPr>
      </w:pPr>
      <w:r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118D126E">
      <w:pPr>
        <w:pStyle w:val="54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C08C593">
      <w:pPr>
        <w:pStyle w:val="54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27907A69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6CB4D819">
      <w:pPr>
        <w:rPr>
          <w:rFonts w:ascii="Calibri" w:hAnsi="Calibri" w:cs="Arial"/>
          <w:sz w:val="22"/>
          <w:szCs w:val="22"/>
        </w:rPr>
      </w:pPr>
    </w:p>
    <w:p w14:paraId="70D31BA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6DD80D0F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26DD0FCE">
      <w:pPr>
        <w:pStyle w:val="54"/>
        <w:jc w:val="both"/>
        <w:rPr>
          <w:rFonts w:asciiTheme="minorHAnsi" w:hAnsiTheme="minorHAnsi" w:eastAsiaTheme="minorHAnsi" w:cstheme="minorHAnsi"/>
        </w:rPr>
      </w:pPr>
      <w:r>
        <w:rPr>
          <w:rStyle w:val="35"/>
          <w:rFonts w:ascii="Calibri" w:hAnsi="Calibri"/>
          <w:sz w:val="22"/>
          <w:szCs w:val="22"/>
        </w:rPr>
        <w:t xml:space="preserve">A 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empresa deverá indicar qual seu enquadramento sindical, sendo a elaboração de sua proposta de acordo com a convenção coletiva do sindicato relacionado à sua atividade preponderante (Arts. 570, 577 e 581, §2º da CLT, Art. 8º, II, CF e Acórdão TCU 1097/2019, Plenário). Os valores dos salários e benefícios dos profissionais previstos neste Edital foram considerados de acordo com o estabelecido </w:t>
      </w:r>
    </w:p>
    <w:p w14:paraId="1479F85B">
      <w:pPr>
        <w:pStyle w:val="54"/>
        <w:jc w:val="both"/>
        <w:rPr>
          <w:rStyle w:val="35"/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eastAsiaTheme="minorHAnsi" w:cstheme="minorHAnsi"/>
        </w:rPr>
        <w:t xml:space="preserve"> </w:t>
      </w:r>
      <w:r>
        <w:rPr>
          <w:rFonts w:asciiTheme="minorHAnsi" w:hAnsiTheme="minorHAnsi" w:eastAsiaTheme="minorHAnsi" w:cstheme="minorHAnsi"/>
          <w:sz w:val="20"/>
          <w:szCs w:val="20"/>
        </w:rPr>
        <w:t>SINDICATO DAS EMP ASSEIO E CONS EST DO RIO DE JANEIRO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, por meio da Convenção Coletiva de Trabalho 2024/2025, registrada sob o nº </w:t>
      </w:r>
      <w:r>
        <w:rPr>
          <w:rStyle w:val="35"/>
          <w:rFonts w:asciiTheme="minorHAnsi" w:hAnsiTheme="minorHAnsi" w:cstheme="minorHAnsi"/>
          <w:b/>
          <w:sz w:val="22"/>
          <w:szCs w:val="22"/>
        </w:rPr>
        <w:t>RJ001171/2024</w:t>
      </w:r>
      <w:r>
        <w:rPr>
          <w:rStyle w:val="35"/>
          <w:rFonts w:asciiTheme="minorHAnsi" w:hAnsiTheme="minorHAnsi" w:cstheme="minorHAnsi"/>
          <w:b/>
          <w:bCs/>
          <w:sz w:val="22"/>
          <w:szCs w:val="22"/>
        </w:rPr>
        <w:t>.</w:t>
      </w:r>
    </w:p>
    <w:p w14:paraId="09AEC5C9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4050F700">
      <w:pPr>
        <w:tabs>
          <w:tab w:val="left" w:pos="2552"/>
        </w:tabs>
        <w:spacing w:before="120" w:after="120" w:line="276" w:lineRule="auto"/>
        <w:ind w:right="-15"/>
        <w:jc w:val="both"/>
        <w:rPr>
          <w:rFonts w:cs="Arial"/>
          <w:i/>
          <w:color w:val="FF0000"/>
          <w:lang w:eastAsia="en-US"/>
        </w:rPr>
      </w:pP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O(s) sindicato(s) indicado(s) nos subitens acima não são de utilização obrigatória pelos licitantes (Acórdão TCU nº 369/2012), mas sempre se exigirá o cumprimento dos </w:t>
      </w:r>
      <w:r>
        <w:rPr>
          <w:rFonts w:asciiTheme="minorHAnsi" w:hAnsiTheme="minorHAnsi" w:cstheme="minorHAnsi"/>
          <w:i/>
          <w:color w:val="FF0000"/>
          <w:sz w:val="22"/>
          <w:szCs w:val="22"/>
        </w:rPr>
        <w:t>acordos, dissídios ou</w:t>
      </w: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 convenções coletivas adotados por cada licitante/contratante.</w:t>
      </w:r>
      <w:r>
        <w:rPr>
          <w:rFonts w:cs="Arial"/>
          <w:i/>
          <w:color w:val="FF0000"/>
          <w:lang w:eastAsia="en-US"/>
        </w:rPr>
        <w:t xml:space="preserve"> </w:t>
      </w:r>
    </w:p>
    <w:p w14:paraId="04AE4B4F">
      <w:pPr>
        <w:pStyle w:val="54"/>
        <w:jc w:val="both"/>
        <w:rPr>
          <w:rStyle w:val="35"/>
          <w:rFonts w:ascii="Calibri" w:hAnsi="Calibri"/>
          <w:bCs/>
          <w:sz w:val="22"/>
          <w:szCs w:val="22"/>
          <w:highlight w:val="yellow"/>
        </w:rPr>
      </w:pPr>
      <w:r>
        <w:rPr>
          <w:rStyle w:val="35"/>
          <w:rFonts w:ascii="Calibri" w:hAnsi="Calibri"/>
          <w:sz w:val="22"/>
          <w:szCs w:val="22"/>
        </w:rPr>
        <w:t xml:space="preserve">Observação: Conforme Cláusulas da CCT registrada sob o nº </w:t>
      </w:r>
      <w:r>
        <w:rPr>
          <w:rStyle w:val="35"/>
          <w:rFonts w:asciiTheme="minorHAnsi" w:hAnsiTheme="minorHAnsi" w:cstheme="minorHAnsi"/>
          <w:b/>
          <w:sz w:val="22"/>
          <w:szCs w:val="22"/>
        </w:rPr>
        <w:t xml:space="preserve">RJ001171/2024 e </w:t>
      </w:r>
      <w:r>
        <w:rPr>
          <w:rFonts w:ascii="Calibri" w:hAnsi="Calibri" w:cs="Calibri"/>
          <w:b/>
          <w:bCs/>
          <w:sz w:val="22"/>
          <w:szCs w:val="22"/>
        </w:rPr>
        <w:t>RJ001151/2024</w:t>
      </w:r>
      <w:r>
        <w:rPr>
          <w:rStyle w:val="35"/>
          <w:rFonts w:ascii="Calibri" w:hAnsi="Calibri"/>
          <w:b/>
          <w:sz w:val="22"/>
          <w:szCs w:val="22"/>
        </w:rPr>
        <w:t xml:space="preserve">, </w:t>
      </w:r>
      <w:r>
        <w:rPr>
          <w:rStyle w:val="35"/>
          <w:rFonts w:ascii="Calibri" w:hAnsi="Calibri"/>
          <w:bCs/>
          <w:sz w:val="22"/>
          <w:szCs w:val="22"/>
        </w:rPr>
        <w:t>o salário dos profissionais será:</w:t>
      </w:r>
    </w:p>
    <w:p w14:paraId="2D8BB7F1">
      <w:pPr>
        <w:pStyle w:val="54"/>
        <w:jc w:val="both"/>
        <w:rPr>
          <w:rFonts w:ascii="Calibri" w:hAnsi="Calibri"/>
          <w:b/>
          <w:u w:val="single"/>
        </w:rPr>
      </w:pPr>
    </w:p>
    <w:tbl>
      <w:tblPr>
        <w:tblStyle w:val="70"/>
        <w:tblW w:w="8691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4520"/>
        <w:gridCol w:w="1784"/>
        <w:gridCol w:w="1296"/>
      </w:tblGrid>
      <w:tr w14:paraId="4012DA6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  <w:noWrap/>
          </w:tcPr>
          <w:p w14:paraId="48BC040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Ordem</w:t>
            </w:r>
          </w:p>
        </w:tc>
        <w:tc>
          <w:tcPr>
            <w:tcW w:w="452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  <w:noWrap/>
          </w:tcPr>
          <w:p w14:paraId="6FF26C0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Posto</w:t>
            </w:r>
          </w:p>
        </w:tc>
        <w:tc>
          <w:tcPr>
            <w:tcW w:w="178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  <w:noWrap/>
          </w:tcPr>
          <w:p w14:paraId="42276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Referência Salário</w:t>
            </w:r>
          </w:p>
        </w:tc>
        <w:tc>
          <w:tcPr>
            <w:tcW w:w="129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  <w:noWrap/>
          </w:tcPr>
          <w:p w14:paraId="7DCD17B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Salário</w:t>
            </w:r>
          </w:p>
        </w:tc>
      </w:tr>
      <w:tr w14:paraId="352F813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noWrap/>
          </w:tcPr>
          <w:p w14:paraId="2E50CFD3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4520" w:type="dxa"/>
            <w:noWrap/>
          </w:tcPr>
          <w:p w14:paraId="6D418C8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Porteiro</w:t>
            </w:r>
          </w:p>
        </w:tc>
        <w:tc>
          <w:tcPr>
            <w:tcW w:w="1784" w:type="dxa"/>
            <w:noWrap/>
          </w:tcPr>
          <w:p w14:paraId="06B9A7D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RJ001171/2024</w:t>
            </w:r>
          </w:p>
        </w:tc>
        <w:tc>
          <w:tcPr>
            <w:tcW w:w="1296" w:type="dxa"/>
            <w:noWrap/>
          </w:tcPr>
          <w:p w14:paraId="1B6964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R$ 1.783,92</w:t>
            </w:r>
          </w:p>
        </w:tc>
      </w:tr>
      <w:tr w14:paraId="21EDD96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noWrap/>
          </w:tcPr>
          <w:p w14:paraId="30024553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4520" w:type="dxa"/>
            <w:noWrap/>
          </w:tcPr>
          <w:p w14:paraId="622A4B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Zelador</w:t>
            </w:r>
          </w:p>
        </w:tc>
        <w:tc>
          <w:tcPr>
            <w:tcW w:w="1784" w:type="dxa"/>
            <w:noWrap/>
          </w:tcPr>
          <w:p w14:paraId="0BAA0E34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RJ001171/2024</w:t>
            </w:r>
          </w:p>
        </w:tc>
        <w:tc>
          <w:tcPr>
            <w:tcW w:w="1296" w:type="dxa"/>
            <w:noWrap/>
          </w:tcPr>
          <w:p w14:paraId="15EF8C80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R$ 1.783,92</w:t>
            </w:r>
          </w:p>
        </w:tc>
      </w:tr>
      <w:tr w14:paraId="03A014D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noWrap/>
          </w:tcPr>
          <w:p w14:paraId="08F26E3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4520" w:type="dxa"/>
            <w:noWrap/>
          </w:tcPr>
          <w:p w14:paraId="577A22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Supervisor</w:t>
            </w:r>
          </w:p>
        </w:tc>
        <w:tc>
          <w:tcPr>
            <w:tcW w:w="1784" w:type="dxa"/>
            <w:noWrap/>
          </w:tcPr>
          <w:p w14:paraId="0397988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RJ001171/2024</w:t>
            </w:r>
          </w:p>
        </w:tc>
        <w:tc>
          <w:tcPr>
            <w:tcW w:w="1296" w:type="dxa"/>
            <w:noWrap/>
          </w:tcPr>
          <w:p w14:paraId="69C347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R$ 4.109,88</w:t>
            </w:r>
          </w:p>
        </w:tc>
      </w:tr>
      <w:tr w14:paraId="101A9F8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noWrap/>
          </w:tcPr>
          <w:p w14:paraId="2F4BCFF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4520" w:type="dxa"/>
            <w:noWrap/>
          </w:tcPr>
          <w:p w14:paraId="0A765D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Inspetor de Serviços</w:t>
            </w:r>
          </w:p>
        </w:tc>
        <w:tc>
          <w:tcPr>
            <w:tcW w:w="1784" w:type="dxa"/>
            <w:noWrap/>
          </w:tcPr>
          <w:p w14:paraId="79FA1D5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RJ001171/2024</w:t>
            </w:r>
          </w:p>
        </w:tc>
        <w:tc>
          <w:tcPr>
            <w:tcW w:w="1296" w:type="dxa"/>
            <w:noWrap/>
          </w:tcPr>
          <w:p w14:paraId="0B45CEC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R$ 2.388,78</w:t>
            </w:r>
          </w:p>
        </w:tc>
      </w:tr>
      <w:tr w14:paraId="313A55F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noWrap/>
          </w:tcPr>
          <w:p w14:paraId="370B6E1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4520" w:type="dxa"/>
            <w:noWrap/>
          </w:tcPr>
          <w:p w14:paraId="4C8B88E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Bombeiro Civil</w:t>
            </w:r>
          </w:p>
        </w:tc>
        <w:tc>
          <w:tcPr>
            <w:tcW w:w="1784" w:type="dxa"/>
            <w:noWrap/>
          </w:tcPr>
          <w:p w14:paraId="2010CFC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RJ001151/2024</w:t>
            </w:r>
          </w:p>
        </w:tc>
        <w:tc>
          <w:tcPr>
            <w:tcW w:w="1296" w:type="dxa"/>
            <w:noWrap/>
          </w:tcPr>
          <w:p w14:paraId="3FFEE8E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R$1.754,67</w:t>
            </w:r>
          </w:p>
        </w:tc>
      </w:tr>
    </w:tbl>
    <w:p w14:paraId="609D1381">
      <w:pPr>
        <w:spacing w:line="276" w:lineRule="auto"/>
        <w:jc w:val="both"/>
        <w:rPr>
          <w:rFonts w:ascii="Calibri" w:hAnsi="Calibri" w:cs="Arial"/>
          <w:b/>
        </w:rPr>
      </w:pPr>
    </w:p>
    <w:p w14:paraId="09A35979">
      <w:pPr>
        <w:spacing w:line="276" w:lineRule="auto"/>
        <w:jc w:val="both"/>
        <w:rPr>
          <w:rFonts w:ascii="Calibri" w:hAnsi="Calibri" w:cs="Arial"/>
          <w:b/>
        </w:rPr>
      </w:pPr>
    </w:p>
    <w:p w14:paraId="050237B9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6CF38BD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periculosidade apenas para o posto de Bombeiro Civil (30%).</w:t>
      </w:r>
    </w:p>
    <w:p w14:paraId="14A9459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3CDE842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D) Adicional Noturno</w:t>
      </w:r>
    </w:p>
    <w:p w14:paraId="76B6183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de Adicional Noturno, conforme Planilha de Formação de Custos (Anexo IV do Edital).</w:t>
      </w:r>
    </w:p>
    <w:p w14:paraId="4AE7CA2A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Para os Postos de Porteiro, Zelador 44 horas tarde/noite previsão de 1,1429 horas com adicional noturno por dia trabalhado (20,88). </w:t>
      </w:r>
    </w:p>
    <w:p w14:paraId="532AF04D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sz w:val="22"/>
          <w:szCs w:val="22"/>
        </w:rPr>
        <w:t>Para os postos com jornada 12x36 Noturno, previsão de 7 horas com adicional noturno por dia trabalhado (15,21);</w:t>
      </w:r>
    </w:p>
    <w:p w14:paraId="42CBFA4E">
      <w:pPr>
        <w:spacing w:line="276" w:lineRule="auto"/>
        <w:jc w:val="both"/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 Módulo 1 refere-se ao </w:t>
      </w: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valor mensal devido ao empregado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3E8E6D67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7907E673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E) Adicional de hora noturna reduzida</w:t>
      </w:r>
    </w:p>
    <w:p w14:paraId="3F20C868">
      <w:pPr>
        <w:autoSpaceDE w:val="0"/>
        <w:autoSpaceDN w:val="0"/>
        <w:adjustRightInd w:val="0"/>
        <w:rPr>
          <w:rFonts w:ascii="Calibri" w:hAnsi="Calibri" w:cs="Calibri" w:eastAsiaTheme="minorHAnsi"/>
          <w:color w:val="000000"/>
          <w:sz w:val="22"/>
          <w:szCs w:val="22"/>
          <w:lang w:eastAsia="en-US"/>
        </w:rPr>
      </w:pPr>
      <w:r>
        <w:rPr>
          <w:rFonts w:ascii="Calibri" w:hAnsi="Calibri" w:cs="Calibri" w:eastAsiaTheme="minorHAnsi"/>
          <w:color w:val="000000"/>
          <w:sz w:val="22"/>
          <w:szCs w:val="22"/>
          <w:lang w:eastAsia="en-US"/>
        </w:rPr>
        <w:t xml:space="preserve">Não há previsão de adicional noturno. </w:t>
      </w:r>
    </w:p>
    <w:p w14:paraId="293581F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4C88508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1-A) Intrajornada</w:t>
      </w:r>
    </w:p>
    <w:p w14:paraId="1BA42746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</w:t>
      </w:r>
    </w:p>
    <w:p w14:paraId="0383781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45584EC">
      <w:pPr>
        <w:tabs>
          <w:tab w:val="left" w:pos="8130"/>
        </w:tabs>
        <w:ind w:left="720"/>
        <w:jc w:val="both"/>
        <w:rPr>
          <w:rFonts w:asciiTheme="minorHAnsi" w:hAnsiTheme="minorHAnsi" w:cstheme="minorHAnsi"/>
        </w:rPr>
      </w:pPr>
    </w:p>
    <w:p w14:paraId="15661CD1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1436370</wp:posOffset>
                </wp:positionV>
                <wp:extent cx="222250" cy="0"/>
                <wp:effectExtent l="0" t="0" r="25400" b="19050"/>
                <wp:wrapNone/>
                <wp:docPr id="26175212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3" o:spid="_x0000_s1026" o:spt="20" style="position:absolute;left:0pt;margin-left:26.6pt;margin-top:113.1pt;height:0pt;width:17.5pt;z-index:251663360;mso-width-relative:page;mso-height-relative:page;" filled="f" stroked="t" coordsize="21600,21600" o:gfxdata="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CnZFg3VAAAACQEAAA8A&#10;AAAAAAAAAQAgAAAAIgAAAGRycy9kb3ducmV2LnhtbFBLAQIUABQAAAAIAIdO4kBiRv3M4QEAANgD&#10;AAAOAAAAAAAAAAEAIAAAACQBAABkcnMvZTJvRG9jLnhtbFBLBQYAAAAABgAGAFkBAAB3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(44 horas semanais) – 2ª feira à Sábado</w:t>
      </w:r>
      <w:r>
        <w:rPr>
          <w:rFonts w:asciiTheme="minorHAnsi" w:hAnsiTheme="minorHAnsi"/>
          <w:iCs/>
          <w:sz w:val="22"/>
          <w:szCs w:val="22"/>
          <w:u w:val="single"/>
        </w:rPr>
        <w:t>:</w:t>
      </w:r>
    </w:p>
    <w:p w14:paraId="096C31B4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16BB8D9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3433094F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24F8EB6D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06 dias de trabalho por semana (jornada de 44 horas), temos:</w:t>
      </w:r>
    </w:p>
    <w:p w14:paraId="7C6C724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676860FC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(6/7)  = 8,5714</w:t>
      </w:r>
    </w:p>
    <w:p w14:paraId="2A5D8C1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61D37749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8,5714 + 3= </w:t>
      </w:r>
      <w:r>
        <w:rPr>
          <w:rFonts w:asciiTheme="minorHAnsi" w:hAnsiTheme="minorHAnsi"/>
          <w:b/>
          <w:iCs/>
          <w:sz w:val="22"/>
          <w:szCs w:val="22"/>
        </w:rPr>
        <w:t>11,5714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0894292E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36FC6E47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0D1F65D9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1 = 52,1429  (dias de final de semana no ano)</w:t>
      </w:r>
    </w:p>
    <w:p w14:paraId="0892F75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52,1429 + 11,5714 = 63,7143 (dias não trabalhados no ano)</w:t>
      </w:r>
    </w:p>
    <w:p w14:paraId="0926D531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63,7143 = 301,2857 (dias de trabalho no ano)</w:t>
      </w:r>
    </w:p>
    <w:p w14:paraId="31CD687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301,2857 :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25,11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276F49DF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7BE55645">
      <w:pPr>
        <w:pStyle w:val="63"/>
        <w:spacing w:beforeAutospacing="0" w:afterAutospacing="0"/>
        <w:rPr>
          <w:rFonts w:asciiTheme="minorHAnsi" w:hAnsiTheme="minorHAnsi"/>
          <w:iCs/>
          <w:sz w:val="20"/>
          <w:szCs w:val="20"/>
          <w:u w:val="single"/>
        </w:rPr>
      </w:pPr>
      <w:r>
        <w:rPr>
          <w:rFonts w:asciiTheme="minorHAnsi" w:hAnsiTheme="minorHAnsi"/>
          <w:b/>
          <w:iCs/>
          <w:sz w:val="20"/>
          <w:szCs w:val="20"/>
          <w:u w:val="single"/>
        </w:rPr>
        <w:t>Média Mensal de Dias Trabalhados (12x36)</w:t>
      </w:r>
      <w:r>
        <w:rPr>
          <w:rFonts w:asciiTheme="minorHAnsi" w:hAnsiTheme="minorHAnsi"/>
          <w:iCs/>
          <w:sz w:val="20"/>
          <w:szCs w:val="20"/>
          <w:u w:val="single"/>
        </w:rPr>
        <w:t>:</w:t>
      </w:r>
    </w:p>
    <w:p w14:paraId="282B9592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0"/>
          <w:szCs w:val="20"/>
          <w:u w:val="single"/>
        </w:rPr>
      </w:pPr>
    </w:p>
    <w:p w14:paraId="2B15C94C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365 : 12 = 30,42   (média de dias no mês)</w:t>
      </w:r>
    </w:p>
    <w:p w14:paraId="7DD8387B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30,42 : 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15,21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 no mês para a jornada 12x36 horas) </w:t>
      </w:r>
    </w:p>
    <w:p w14:paraId="603A1190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5D421266">
      <w:pPr>
        <w:spacing w:line="276" w:lineRule="auto"/>
        <w:jc w:val="both"/>
        <w:rPr>
          <w:rFonts w:ascii="Calibri" w:hAnsi="Calibri" w:cs="Arial"/>
          <w:b/>
        </w:rPr>
      </w:pPr>
    </w:p>
    <w:p w14:paraId="4AC8C0A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9" o:spid="_x0000_s1026" o:spt="20" style="position:absolute;left:0pt;margin-left:26.6pt;margin-top:113.15pt;height:0.05pt;width:17.55pt;z-index:251660288;mso-width-relative:page;mso-height-relative:page;" filled="f" stroked="t" coordsize="21600,21600" o:gfxdata="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y+w8E1gAAAAkBAAAPAAAA&#10;AAAAAAEAIAAAACIAAABkcnMvZG93bnJldi54bWxQSwECFAAUAAAACACHTuJAWGrjwt4BAADaAwAA&#10;DgAAAAAAAAABACAAAAAlAQAAZHJzL2Uyb0RvYy54bWxQSwUGAAAAAAYABgBZAQAAd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12947CB9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658190C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2.1 – 13º Salário, Férias e Adicional de Férias</w:t>
      </w:r>
    </w:p>
    <w:p w14:paraId="369D399B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891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2"/>
        <w:gridCol w:w="2218"/>
        <w:gridCol w:w="839"/>
        <w:gridCol w:w="2809"/>
        <w:gridCol w:w="1667"/>
        <w:gridCol w:w="222"/>
      </w:tblGrid>
      <w:tr w14:paraId="4CFE3D4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8B7B2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91" w:type="dxa"/>
            <w:gridSpan w:val="2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A37304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245236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290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16B5AE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87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E8AB3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  <w:tc>
          <w:tcPr>
            <w:tcW w:w="15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6A049613">
            <w:pPr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635AED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72" w:type="dxa"/>
            <w:shd w:val="clear" w:color="auto" w:fill="DBE5F1" w:themeFill="accent1" w:themeFillTint="33"/>
          </w:tcPr>
          <w:p w14:paraId="5080C51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291" w:type="dxa"/>
            <w:gridSpan w:val="2"/>
            <w:shd w:val="clear" w:color="auto" w:fill="DBE5F1" w:themeFill="accent1" w:themeFillTint="33"/>
          </w:tcPr>
          <w:p w14:paraId="77162BCB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89AF12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900" w:type="dxa"/>
            <w:shd w:val="clear" w:color="auto" w:fill="DBE5F1" w:themeFill="accent1" w:themeFillTint="33"/>
          </w:tcPr>
          <w:p w14:paraId="5B230A83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87" w:type="dxa"/>
            <w:shd w:val="clear" w:color="auto" w:fill="DBE5F1" w:themeFill="accent1" w:themeFillTint="33"/>
          </w:tcPr>
          <w:p w14:paraId="6A572226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  <w:tc>
          <w:tcPr>
            <w:tcW w:w="15" w:type="dxa"/>
            <w:shd w:val="clear" w:color="auto" w:fill="DBE5F1" w:themeFill="accent1" w:themeFillTint="33"/>
          </w:tcPr>
          <w:p w14:paraId="2BC5EE7D"/>
        </w:tc>
      </w:tr>
      <w:tr w14:paraId="7B72555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</w:tcPr>
          <w:p w14:paraId="32507B8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291" w:type="dxa"/>
            <w:gridSpan w:val="2"/>
          </w:tcPr>
          <w:p w14:paraId="549F97C0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51" w:type="dxa"/>
          </w:tcPr>
          <w:p w14:paraId="098D72F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900" w:type="dxa"/>
          </w:tcPr>
          <w:p w14:paraId="127F91B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87" w:type="dxa"/>
          </w:tcPr>
          <w:p w14:paraId="4306179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  <w:tc>
          <w:tcPr>
            <w:tcW w:w="15" w:type="dxa"/>
          </w:tcPr>
          <w:p w14:paraId="5BC3A3DE"/>
        </w:tc>
      </w:tr>
      <w:tr w14:paraId="3286C1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464" w:type="dxa"/>
            <w:gridSpan w:val="3"/>
            <w:shd w:val="clear" w:color="auto" w:fill="DBE5F1" w:themeFill="accent1" w:themeFillTint="33"/>
          </w:tcPr>
          <w:p w14:paraId="6C40AE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86D21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901" w:type="dxa"/>
            <w:shd w:val="clear" w:color="auto" w:fill="DBE5F1" w:themeFill="accent1" w:themeFillTint="33"/>
          </w:tcPr>
          <w:p w14:paraId="5DA0EEB6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DBE5F1" w:themeFill="accent1" w:themeFillTint="33"/>
          </w:tcPr>
          <w:p w14:paraId="01F295E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" w:type="dxa"/>
            <w:shd w:val="clear" w:color="auto" w:fill="DBE5F1" w:themeFill="accent1" w:themeFillTint="33"/>
          </w:tcPr>
          <w:p w14:paraId="526CC9CE"/>
        </w:tc>
      </w:tr>
      <w:tr w14:paraId="4F26DC1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95" w:type="dxa"/>
            <w:gridSpan w:val="2"/>
          </w:tcPr>
          <w:p w14:paraId="76B4582F">
            <w:pPr>
              <w:ind w:right="-4"/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268" w:type="dxa"/>
          </w:tcPr>
          <w:p w14:paraId="7FA7EFA4">
            <w:pPr>
              <w:ind w:right="-4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Incidência do Submódulo 2.2 - Encargos previdenciários (GPS), FGTS e outras contribuições</w:t>
            </w:r>
          </w:p>
        </w:tc>
        <w:tc>
          <w:tcPr>
            <w:tcW w:w="851" w:type="dxa"/>
          </w:tcPr>
          <w:p w14:paraId="68A16E6C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7,82</w:t>
            </w:r>
            <w:r>
              <w:rPr>
                <w:rStyle w:val="47"/>
                <w:rFonts w:ascii="Calibri" w:hAnsi="Calibri" w:cs="Arial"/>
                <w:sz w:val="18"/>
                <w:szCs w:val="18"/>
              </w:rPr>
              <w:footnoteReference w:id="0"/>
            </w:r>
          </w:p>
        </w:tc>
        <w:tc>
          <w:tcPr>
            <w:tcW w:w="2900" w:type="dxa"/>
          </w:tcPr>
          <w:p w14:paraId="14160B3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=Total da remuneração x Percentual da tabela do Anexo XII</w:t>
            </w:r>
          </w:p>
        </w:tc>
        <w:tc>
          <w:tcPr>
            <w:tcW w:w="1702" w:type="dxa"/>
            <w:gridSpan w:val="2"/>
          </w:tcPr>
          <w:p w14:paraId="2CB8F8A0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</w:tbl>
    <w:p w14:paraId="20D5CFD2">
      <w:pPr>
        <w:jc w:val="center"/>
        <w:rPr>
          <w:rFonts w:ascii="Calibri" w:hAnsi="Calibri" w:cs="Arial"/>
        </w:rPr>
      </w:pPr>
    </w:p>
    <w:p w14:paraId="45927BF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1FAB6471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0D38FA20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5DE06481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47CA2A0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3C778DF8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518E45A0">
      <w:pPr>
        <w:jc w:val="both"/>
        <w:rPr>
          <w:rFonts w:ascii="Calibri" w:hAnsi="Calibri" w:cs="Arial"/>
          <w:u w:val="single"/>
          <w:lang w:val="pt-PT"/>
        </w:rPr>
      </w:pPr>
    </w:p>
    <w:p w14:paraId="5A11DF7E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7AB7D2D7">
      <w:pPr>
        <w:rPr>
          <w:rFonts w:ascii="Calibri" w:hAnsi="Calibri" w:cs="Arial"/>
        </w:rPr>
      </w:pPr>
    </w:p>
    <w:tbl>
      <w:tblPr>
        <w:tblStyle w:val="70"/>
        <w:tblW w:w="900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126"/>
        <w:gridCol w:w="850"/>
        <w:gridCol w:w="1842"/>
        <w:gridCol w:w="3344"/>
      </w:tblGrid>
      <w:tr w14:paraId="57AA996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5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9207BC9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E39CD9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A92337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5CE1D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4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F4C92D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011BB93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45" w:type="dxa"/>
            <w:shd w:val="clear" w:color="auto" w:fill="DBE5F1" w:themeFill="accent1" w:themeFillTint="33"/>
          </w:tcPr>
          <w:p w14:paraId="46CACC18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D0494D9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63CF4AC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2273CD1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4F90CD2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14:paraId="43B3CC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</w:tcPr>
          <w:p w14:paraId="1F9D87F1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974DFE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0" w:type="dxa"/>
          </w:tcPr>
          <w:p w14:paraId="13BF4EF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</w:tcPr>
          <w:p w14:paraId="2D4637D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9DA386E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14:paraId="30B4E37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5" w:type="dxa"/>
            <w:shd w:val="clear" w:color="auto" w:fill="DBE5F1" w:themeFill="accent1" w:themeFillTint="33"/>
          </w:tcPr>
          <w:p w14:paraId="63BFADEF">
            <w:pPr>
              <w:jc w:val="center"/>
              <w:rPr>
                <w:rFonts w:ascii="Calibri" w:hAnsi="Calibri" w:cs="Arial"/>
                <w:b/>
                <w:bCs w:val="0"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80A6A8">
            <w:pPr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21864609">
            <w:pPr>
              <w:jc w:val="center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37399A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  <w:p w14:paraId="37E0EC9D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RAT: 1%, 2% ou </w:t>
            </w:r>
            <w:r>
              <w:rPr>
                <w:rStyle w:val="8"/>
                <w:rFonts w:asciiTheme="minorHAnsi" w:hAnsiTheme="minorHAnsi"/>
                <w:b w:val="0"/>
                <w:sz w:val="16"/>
                <w:szCs w:val="16"/>
                <w:shd w:val="clear" w:color="auto" w:fill="FFFFFF"/>
              </w:rPr>
              <w:t>3%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 x </w:t>
            </w:r>
            <w:r>
              <w:rPr>
                <w:rStyle w:val="39"/>
                <w:rFonts w:asciiTheme="minorHAnsi" w:hAnsiTheme="minorHAnsi"/>
                <w:sz w:val="16"/>
                <w:szCs w:val="16"/>
                <w:shd w:val="clear" w:color="auto" w:fill="FFFFFF"/>
              </w:rPr>
              <w:t>FAP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: 0,5 a 2% </w:t>
            </w:r>
          </w:p>
          <w:p w14:paraId="4AE213CF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</w:p>
          <w:p w14:paraId="5E1EBEB2">
            <w:pPr>
              <w:rPr>
                <w:rFonts w:cs="Arial" w:asciiTheme="minorHAnsi" w:hAnsi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CNAE 7820-5/00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=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RAT </w:t>
            </w:r>
            <w:r>
              <w:rPr>
                <w:rFonts w:asciiTheme="minorHAnsi" w:hAnsiTheme="minorHAnsi"/>
                <w:b/>
                <w:sz w:val="16"/>
                <w:szCs w:val="16"/>
                <w:shd w:val="clear" w:color="auto" w:fill="FFFFFF"/>
              </w:rPr>
              <w:t>3% x</w:t>
            </w:r>
            <w:r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2% FAP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(considerando a maior)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5C868BFA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RATxFAT – </w:t>
            </w:r>
            <w:r>
              <w:rPr>
                <w:rStyle w:val="11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>
              <w:rPr>
                <w:rFonts w:ascii="Calibri" w:hAnsi="Calibr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14:paraId="5267C88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45" w:type="dxa"/>
          </w:tcPr>
          <w:p w14:paraId="268635E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</w:tcPr>
          <w:p w14:paraId="05CF90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0" w:type="dxa"/>
          </w:tcPr>
          <w:p w14:paraId="06EF076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</w:tcPr>
          <w:p w14:paraId="1AFCF017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4934FC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14:paraId="71737F0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845" w:type="dxa"/>
            <w:shd w:val="clear" w:color="auto" w:fill="DBE5F1" w:themeFill="accent1" w:themeFillTint="33"/>
          </w:tcPr>
          <w:p w14:paraId="7284B1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788D03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6A8599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0381FBFB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2CAC84E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Decreto 2.318/86</w:t>
            </w:r>
          </w:p>
        </w:tc>
      </w:tr>
      <w:tr w14:paraId="3537FD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45" w:type="dxa"/>
          </w:tcPr>
          <w:p w14:paraId="76DC81E9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</w:tcPr>
          <w:p w14:paraId="0470B02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0" w:type="dxa"/>
          </w:tcPr>
          <w:p w14:paraId="72234A7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</w:tcPr>
          <w:p w14:paraId="4EEBD5AC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87114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Art.8º, Lei 8029/90 e Lei 8154/90</w:t>
            </w:r>
          </w:p>
        </w:tc>
      </w:tr>
      <w:tr w14:paraId="5B09864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45" w:type="dxa"/>
            <w:shd w:val="clear" w:color="auto" w:fill="DBE5F1" w:themeFill="accent1" w:themeFillTint="33"/>
          </w:tcPr>
          <w:p w14:paraId="3FF9699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E558EF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1359846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C391684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6521C18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14:paraId="5B24A59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5" w:type="dxa"/>
          </w:tcPr>
          <w:p w14:paraId="1771E4E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2126" w:type="dxa"/>
          </w:tcPr>
          <w:p w14:paraId="076857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0" w:type="dxa"/>
          </w:tcPr>
          <w:p w14:paraId="48F954A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</w:tcPr>
          <w:p w14:paraId="20326B35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9479B7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14:paraId="315DD15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845" w:type="dxa"/>
            <w:shd w:val="clear" w:color="auto" w:fill="DBE5F1" w:themeFill="accent1" w:themeFillTint="33"/>
          </w:tcPr>
          <w:p w14:paraId="27F229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101D3688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4BC1C756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409167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DBE5F1" w:themeFill="accent1" w:themeFillTint="33"/>
          </w:tcPr>
          <w:p w14:paraId="4BAFC678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7735F2F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6BB5E1B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BA00A8F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</w:rPr>
        <w:t> O SAT a depender do grau de risco do serviço irá variar entre 1%, para risco leve, de 2%, para risco médio, e de 3% de risco grave. No caso, consideraremos as alíquotas de 3%, relativa à Locação de mão de obra temporária (CNAE 7820-5-00).</w:t>
      </w:r>
    </w:p>
    <w:p w14:paraId="05C1DFE7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9B74D1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251661312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4AEC597">
                            <w:pPr>
                              <w:pStyle w:val="63"/>
                              <w:spacing w:beforeAutospacing="0" w:afterAutospacing="0"/>
                              <w:rPr>
                                <w:rFonts w:cs="Arial" w:asciiTheme="minorHAnsi" w:hAnsiTheme="minorHAnsi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8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3FDEDF7D">
                            <w:pPr>
                              <w:pStyle w:val="19"/>
                              <w:spacing w:beforeAutospacing="0" w:afterAutospacing="0"/>
                              <w:rPr>
                                <w:rFonts w:cs="Arial" w:asciiTheme="minorHAnsi" w:hAnsiTheme="minorHAnsi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11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643089A3">
                            <w:pPr>
                              <w:pStyle w:val="64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Forma 2" o:spid="_x0000_s1026" o:spt="2" style="position:absolute;left:0pt;margin-left:-0.05pt;margin-top:-329.35pt;height:195.45pt;width:141.95pt;mso-position-horizontal-relative:margin;mso-position-vertical-relative:margin;mso-wrap-distance-bottom:7.2pt;mso-wrap-distance-left:10.8pt;mso-wrap-distance-right:10.8pt;mso-wrap-distance-top:7.2pt;rotation:5898240f;z-index:251661312;v-text-anchor:middle;mso-width-relative:page;mso-height-relative:page;" fillcolor="#D7E4BD [1302]" filled="t" stroked="f" coordsize="21600,21600" arcsize="0.130324074074074" o:gfxdata="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vbSwDcAAAACwEAAA8AAAAAAAAAAQAgAAAAIgAAAGRycy9kb3ducmV2&#10;LnhtbFBLAQIUABQAAAAIAIdO4kBn10aW+AEAAAEEAAAOAAAAAAAAAAEAIAAAACsBAABkcnMvZTJv&#10;RG9jLnhtbFBLBQYAAAAABgAGAFkBAACV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4AEC597">
                      <w:pPr>
                        <w:pStyle w:val="63"/>
                        <w:spacing w:beforeAutospacing="0" w:afterAutospacing="0"/>
                        <w:rPr>
                          <w:rFonts w:cs="Arial" w:asciiTheme="minorHAnsi" w:hAnsiTheme="minorHAnsi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8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3FDEDF7D">
                      <w:pPr>
                        <w:pStyle w:val="19"/>
                        <w:spacing w:beforeAutospacing="0" w:afterAutospacing="0"/>
                        <w:rPr>
                          <w:rFonts w:cs="Arial" w:asciiTheme="minorHAnsi" w:hAnsiTheme="minorHAnsi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11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643089A3">
                      <w:pPr>
                        <w:pStyle w:val="64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12 = número de meses no ano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0816A4E9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Obs.: Incidirá apenas na linha A do Submódulo 2.1 pois, na base de cálculo no primeiro ano, consideraremos que, inicialmente, não haverá prorrogação do contrato e segundo a tabela de incidência do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67C141DA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7C0845C6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469A740">
      <w:pPr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OBS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>
        <w:rPr>
          <w:rFonts w:asciiTheme="minorHAnsi" w:hAnsiTheme="minorHAnsi" w:cstheme="minorHAnsi"/>
          <w:b/>
          <w:sz w:val="22"/>
          <w:szCs w:val="22"/>
          <w:lang w:val="pt-PT"/>
        </w:rPr>
        <w:t>total do Submódulo 2.2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 + Incidência do Submódulo 2.2  - Encargos previdenciários (GPS), FGTS e outras contribuições sobre o 13º (décimo terceiro) Salário, Férias e Adicional de Férias (letra C do Submódulo 2.1).</w:t>
      </w:r>
    </w:p>
    <w:p w14:paraId="444238D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3B8C3E5E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0E416BF3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7ED70DE8">
      <w:pPr>
        <w:jc w:val="both"/>
        <w:rPr>
          <w:rFonts w:ascii="Calibri" w:hAnsi="Calibri" w:cs="Arial"/>
          <w:b/>
          <w:u w:val="single"/>
          <w:lang w:val="pt-PT"/>
        </w:rPr>
      </w:pPr>
      <w:r>
        <w:rPr>
          <w:rFonts w:ascii="Calibri" w:hAnsi="Calibri" w:cs="Arial"/>
          <w:b/>
          <w:u w:val="single"/>
          <w:lang w:val="pt-PT"/>
        </w:rPr>
        <w:t>Conforme CCT:</w:t>
      </w:r>
    </w:p>
    <w:p w14:paraId="1B3D8C2C">
      <w:pPr>
        <w:jc w:val="both"/>
        <w:rPr>
          <w:rFonts w:ascii="Calibri" w:hAnsi="Calibri" w:cs="Arial"/>
          <w:b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410"/>
        <w:gridCol w:w="4966"/>
      </w:tblGrid>
      <w:tr w14:paraId="3EF5D97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3736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41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83091A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496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A5160A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VALOR (R$) </w:t>
            </w:r>
          </w:p>
        </w:tc>
      </w:tr>
      <w:tr w14:paraId="07E8AC7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62" w:type="dxa"/>
            <w:shd w:val="clear" w:color="auto" w:fill="DBE5F1" w:themeFill="accent1" w:themeFillTint="33"/>
          </w:tcPr>
          <w:p w14:paraId="78A441D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507E6A8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Transporte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1CC9E1D0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valor do transporte x nº de passagens por dia x nº de dias trabalhados – (6% x valor salário base)</w:t>
            </w:r>
          </w:p>
        </w:tc>
      </w:tr>
      <w:tr w14:paraId="4DDBF6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</w:tcPr>
          <w:p w14:paraId="042C80FC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410" w:type="dxa"/>
          </w:tcPr>
          <w:p w14:paraId="3A5D08C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4966" w:type="dxa"/>
          </w:tcPr>
          <w:p w14:paraId="1E26B434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Há previsão de Vale diário no valor de R$23,50 (Cláusula 22ª da CCT)</w:t>
            </w:r>
          </w:p>
        </w:tc>
      </w:tr>
      <w:tr w14:paraId="4A4E61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0A92FEC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4444C70C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Benefício Social Familiar</w:t>
            </w:r>
          </w:p>
          <w:p w14:paraId="1D94FE63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66" w:type="dxa"/>
            <w:shd w:val="clear" w:color="auto" w:fill="DBE5F1" w:themeFill="accent1" w:themeFillTint="33"/>
          </w:tcPr>
          <w:p w14:paraId="77EFEC6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28ª da CCT =  R$20,15, vedado qualquer desconto do trabalhador</w:t>
            </w:r>
          </w:p>
        </w:tc>
      </w:tr>
      <w:tr w14:paraId="4FB0B66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72" w:type="dxa"/>
            <w:gridSpan w:val="2"/>
            <w:shd w:val="clear" w:color="auto" w:fill="DBE5F1" w:themeFill="accent1" w:themeFillTint="33"/>
          </w:tcPr>
          <w:p w14:paraId="237E6D6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4438BCD3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9527FC2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7CFC165B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6DF29BF0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lang w:eastAsia="en-US"/>
        </w:rPr>
      </w:pPr>
      <w:r>
        <w:rPr>
          <w:rFonts w:asciiTheme="minorHAnsi" w:hAnsiTheme="minorHAnsi" w:cstheme="minorHAnsi"/>
          <w:b/>
          <w:bCs/>
          <w:color w:val="000000"/>
          <w:lang w:eastAsia="en-US"/>
        </w:rPr>
        <w:t>Nota 1: </w:t>
      </w:r>
      <w:r>
        <w:rPr>
          <w:rFonts w:asciiTheme="minorHAnsi" w:hAnsiTheme="minorHAnsi" w:cstheme="minorHAnsi"/>
          <w:color w:val="000000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0F554232">
      <w:pPr>
        <w:jc w:val="both"/>
        <w:rPr>
          <w:rFonts w:ascii="Calibri" w:hAnsi="Calibri" w:cs="Arial"/>
          <w:u w:val="single"/>
        </w:rPr>
      </w:pPr>
    </w:p>
    <w:p w14:paraId="54D9435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Transporte</w:t>
      </w:r>
    </w:p>
    <w:p w14:paraId="2DF85B62">
      <w:pPr>
        <w:spacing w:line="276" w:lineRule="auto"/>
        <w:rPr>
          <w:rFonts w:asciiTheme="minorHAnsi" w:hAnsiTheme="minorHAnsi"/>
          <w:iCs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a.1. Para fins de estimativa, foi considerado o valor referente ao preço da passagem de ônibus em Niterói, considerando duas passagens de ida e duas passagens de volta, com o desconto de 6% do empregado</w:t>
      </w:r>
      <w:r>
        <w:rPr>
          <w:rFonts w:asciiTheme="minorHAnsi" w:hAnsiTheme="minorHAnsi"/>
          <w:iCs/>
          <w:sz w:val="22"/>
          <w:szCs w:val="22"/>
        </w:rPr>
        <w:t>:</w:t>
      </w:r>
    </w:p>
    <w:p w14:paraId="2BD69A1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24EBC1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1191D19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R$ 8,55 x 2 x </w:t>
      </w:r>
      <w:r>
        <w:rPr>
          <w:rFonts w:asciiTheme="minorHAnsi" w:hAnsiTheme="minorHAnsi"/>
          <w:b/>
          <w:iCs/>
          <w:sz w:val="22"/>
          <w:szCs w:val="22"/>
        </w:rPr>
        <w:t>20,88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22213EA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070DE4F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6 dias na semana</w:t>
      </w:r>
    </w:p>
    <w:p w14:paraId="3B16531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R$ 8,55 x 2 x </w:t>
      </w:r>
      <w:r>
        <w:rPr>
          <w:rFonts w:asciiTheme="minorHAnsi" w:hAnsiTheme="minorHAnsi"/>
          <w:b/>
          <w:iCs/>
          <w:sz w:val="22"/>
          <w:szCs w:val="22"/>
        </w:rPr>
        <w:t>25,11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73D17AEA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12x36h = </w:t>
      </w:r>
      <w:r>
        <w:rPr>
          <w:rFonts w:ascii="Calibri" w:hAnsi="Calibri" w:cs="Arial"/>
          <w:b/>
          <w:sz w:val="22"/>
          <w:szCs w:val="22"/>
        </w:rPr>
        <w:t>valor do transporte x nº de passagens por dia x nº de dias trabalhados – (6% x valor salário base)</w:t>
      </w:r>
    </w:p>
    <w:p w14:paraId="4665598C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R$ 8,55 x 2 x </w:t>
      </w:r>
      <w:r>
        <w:rPr>
          <w:rFonts w:asciiTheme="minorHAnsi" w:hAnsiTheme="minorHAnsi"/>
          <w:b/>
          <w:iCs/>
          <w:sz w:val="22"/>
          <w:szCs w:val="22"/>
        </w:rPr>
        <w:t>15,21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32734C0B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FA9D931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color w:val="FF0000"/>
        </w:rPr>
        <w:t xml:space="preserve">                                       </w:t>
      </w:r>
    </w:p>
    <w:p w14:paraId="20D7416D">
      <w:pPr>
        <w:spacing w:line="276" w:lineRule="auto"/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</w:rPr>
        <w:t xml:space="preserve">B) Auxílio-alimentação - </w:t>
      </w:r>
      <w:r>
        <w:rPr>
          <w:rFonts w:ascii="Calibri" w:hAnsi="Calibri" w:cs="Arial"/>
          <w:b/>
          <w:sz w:val="22"/>
          <w:szCs w:val="22"/>
          <w:u w:val="single"/>
          <w:lang w:val="pt-PT"/>
        </w:rPr>
        <w:t xml:space="preserve">Todos os Postos </w:t>
      </w:r>
    </w:p>
    <w:p w14:paraId="76F6B85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este custo, sendo R$23,50 por dia trabalhado, com desconto de 10% (Dez por cento) do valor total do auxílio concedido no mês de competência (Cláusula 22ª da CCT).</w:t>
      </w:r>
    </w:p>
    <w:p w14:paraId="7209CC9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E009A80">
      <w:pPr>
        <w:rPr>
          <w:rFonts w:ascii="Calibri" w:hAnsi="Calibri" w:cs="Arial"/>
          <w:sz w:val="18"/>
          <w:szCs w:val="18"/>
          <w:lang w:eastAsia="en-US"/>
        </w:rPr>
      </w:pPr>
      <w:r>
        <w:rPr>
          <w:rFonts w:ascii="Calibri" w:hAnsi="Calibri" w:cs="Arial"/>
          <w:b/>
          <w:sz w:val="22"/>
          <w:szCs w:val="22"/>
        </w:rPr>
        <w:t>C) Benefício Social Familiar</w:t>
      </w:r>
    </w:p>
    <w:p w14:paraId="25BC783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5507472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Cláusula 28ª da CCT =  R$20,15 vedado qualquer desconto do trabalhador</w:t>
      </w:r>
    </w:p>
    <w:p w14:paraId="7C85D9F9">
      <w:pPr>
        <w:jc w:val="both"/>
        <w:rPr>
          <w:rFonts w:ascii="Calibri" w:hAnsi="Calibri" w:cs="Arial"/>
          <w:sz w:val="22"/>
          <w:szCs w:val="22"/>
        </w:rPr>
      </w:pPr>
    </w:p>
    <w:p w14:paraId="48B4A4A8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551D8F2E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5"/>
        <w:gridCol w:w="3119"/>
        <w:gridCol w:w="1844"/>
      </w:tblGrid>
      <w:tr w14:paraId="2BC1540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A0AC2DB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5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9E24205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9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80B9A53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302C3A32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17A204E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50" w:type="dxa"/>
            <w:shd w:val="clear" w:color="auto" w:fill="DBE5F1" w:themeFill="accent1" w:themeFillTint="33"/>
          </w:tcPr>
          <w:p w14:paraId="32C23FEE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611B52B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indenizado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70404A3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+ 13º + Férias + 1/3 constitucional) / meses do ano] x indicador de rotatividade de dispensa sem justa causa =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 5%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6D6BC165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9E7407E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14:paraId="265799C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50" w:type="dxa"/>
          </w:tcPr>
          <w:p w14:paraId="3DA2F7A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5" w:type="dxa"/>
          </w:tcPr>
          <w:p w14:paraId="30044E9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</w:tcPr>
          <w:p w14:paraId="3047A6D0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[(Remuneração + 13º) / 12)] x 5% x 8%</w:t>
            </w:r>
          </w:p>
        </w:tc>
        <w:tc>
          <w:tcPr>
            <w:tcW w:w="1843" w:type="dxa"/>
          </w:tcPr>
          <w:p w14:paraId="47D736A1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Súmula nº 305 do TST</w:t>
            </w:r>
          </w:p>
        </w:tc>
      </w:tr>
      <w:tr w14:paraId="4C536B6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0" w:type="dxa"/>
            <w:shd w:val="clear" w:color="auto" w:fill="DBE5F1" w:themeFill="accent1" w:themeFillTint="33"/>
          </w:tcPr>
          <w:p w14:paraId="09B23DB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5F706C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40CAC918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Zerado. 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3E91734A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Leis n.ºs 8.036/90 e</w:t>
            </w:r>
          </w:p>
          <w:p w14:paraId="6D00A1F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9.491/97</w:t>
            </w:r>
          </w:p>
        </w:tc>
      </w:tr>
      <w:tr w14:paraId="796F72E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74B6DD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2125" w:type="dxa"/>
          </w:tcPr>
          <w:p w14:paraId="63C17F69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Trabalhado</w:t>
            </w:r>
          </w:p>
        </w:tc>
        <w:tc>
          <w:tcPr>
            <w:tcW w:w="3119" w:type="dxa"/>
          </w:tcPr>
          <w:p w14:paraId="1141C2BA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benefícios mensais e diários não dedutíveis, ex. beneficio social familiar) / dias do mês) / meses do ano] x 7 dias de redução da jornada.</w:t>
            </w:r>
          </w:p>
        </w:tc>
        <w:tc>
          <w:tcPr>
            <w:tcW w:w="1843" w:type="dxa"/>
          </w:tcPr>
          <w:p w14:paraId="22D81C69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7C69C85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7289BC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0" w:type="dxa"/>
            <w:shd w:val="clear" w:color="auto" w:fill="DBE5F1" w:themeFill="accent1" w:themeFillTint="33"/>
          </w:tcPr>
          <w:p w14:paraId="43971667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643403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Incidência dos encargos do Submódulo 2.2 sobre Aviso Prévio Trabalhado.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D034CC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72A657F8">
            <w:pPr>
              <w:jc w:val="center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</w:tc>
      </w:tr>
      <w:tr w14:paraId="5E0852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50" w:type="dxa"/>
          </w:tcPr>
          <w:p w14:paraId="291DF50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2125" w:type="dxa"/>
          </w:tcPr>
          <w:p w14:paraId="7D4E93B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9" w:type="dxa"/>
          </w:tcPr>
          <w:p w14:paraId="4A85C2D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  <w:p w14:paraId="088FEF7F">
            <w:pPr>
              <w:rPr>
                <w:rFonts w:cs="Arial" w:asciiTheme="minorHAnsi" w:hAnsiTheme="minorHAnsi"/>
                <w:sz w:val="18"/>
                <w:szCs w:val="18"/>
              </w:rPr>
            </w:pPr>
          </w:p>
          <w:p w14:paraId="14E3A29F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Remuneração x 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4% </w:t>
            </w:r>
            <w:r>
              <w:rPr>
                <w:rFonts w:cs="Arial" w:asciiTheme="minorHAnsi" w:hAnsiTheme="minorHAnsi"/>
                <w:b/>
                <w:sz w:val="18"/>
                <w:szCs w:val="18"/>
              </w:rPr>
              <w:t>(Anexo XII, IN 05/2017)</w:t>
            </w:r>
          </w:p>
        </w:tc>
        <w:tc>
          <w:tcPr>
            <w:tcW w:w="1843" w:type="dxa"/>
          </w:tcPr>
          <w:p w14:paraId="7BE26C2C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385CDFF4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141C805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50" w:type="dxa"/>
            <w:shd w:val="clear" w:color="auto" w:fill="DBE5F1" w:themeFill="accent1" w:themeFillTint="33"/>
          </w:tcPr>
          <w:p w14:paraId="005D876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shd w:val="clear" w:color="auto" w:fill="DBE5F1" w:themeFill="accent1" w:themeFillTint="33"/>
          </w:tcPr>
          <w:p w14:paraId="1F201060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C20EED2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shd w:val="clear" w:color="auto" w:fill="DBE5F1" w:themeFill="accent1" w:themeFillTint="33"/>
          </w:tcPr>
          <w:p w14:paraId="0676BC25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</w:tr>
    </w:tbl>
    <w:p w14:paraId="2474DD48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  <w:r>
        <w:rPr>
          <w:rFonts w:cs="Arial" w:asciiTheme="minorHAnsi" w:hAnsiTheme="minorHAnsi" w:eastAsiaTheme="minorHAnsi"/>
          <w:sz w:val="16"/>
          <w:szCs w:val="16"/>
          <w:lang w:eastAsia="en-US"/>
        </w:rPr>
        <w:t>OBSERVAÇÕES: Nota Técnica nº 652/2017 - MP</w:t>
      </w:r>
    </w:p>
    <w:p w14:paraId="3259CBCE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9EC5D9A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BCFA687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 xml:space="preserve">Módulo 4 – Custo de Reposição de Profissional Ausente </w:t>
      </w:r>
    </w:p>
    <w:p w14:paraId="28344AC2">
      <w:pPr>
        <w:rPr>
          <w:rFonts w:ascii="Calibri" w:hAnsi="Calibri" w:cs="Arial"/>
          <w:sz w:val="22"/>
          <w:szCs w:val="22"/>
        </w:rPr>
      </w:pPr>
    </w:p>
    <w:p w14:paraId="7924B36A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4.1 – Ausências Legais</w:t>
      </w:r>
    </w:p>
    <w:p w14:paraId="1003D987">
      <w:pPr>
        <w:rPr>
          <w:rFonts w:ascii="Calibri" w:hAnsi="Calibri" w:cs="Arial"/>
          <w:lang w:val="pt-PT"/>
        </w:rPr>
      </w:pPr>
    </w:p>
    <w:tbl>
      <w:tblPr>
        <w:tblStyle w:val="70"/>
        <w:tblW w:w="9351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719"/>
        <w:gridCol w:w="2601"/>
        <w:gridCol w:w="4518"/>
      </w:tblGrid>
      <w:tr w14:paraId="6D3631D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EBCD8C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96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DD5F24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31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03BBBA67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531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3EAAE86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5D4F44B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2" w:type="dxa"/>
            <w:shd w:val="clear" w:color="auto" w:fill="DBE5F1" w:themeFill="accent1" w:themeFillTint="33"/>
          </w:tcPr>
          <w:p w14:paraId="53237CF8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137E0AD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65729E4A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Esse custo será zerado no primeiro ano.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792F61F5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  <w:p w14:paraId="29CDF57B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</w:p>
        </w:tc>
      </w:tr>
      <w:tr w14:paraId="69BC0C7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450C73A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964" w:type="dxa"/>
          </w:tcPr>
          <w:p w14:paraId="09BCBC1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314" w:type="dxa"/>
          </w:tcPr>
          <w:p w14:paraId="28884E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AL= nDR(AL) x CDR / 12</w:t>
            </w:r>
          </w:p>
        </w:tc>
        <w:tc>
          <w:tcPr>
            <w:tcW w:w="3531" w:type="dxa"/>
          </w:tcPr>
          <w:p w14:paraId="102E677C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473 da CLT / Acórdão TCU 1.753/2008:  Calculado segundo estimativa do MPOG (manual de preenchimento, pg 54).</w:t>
            </w:r>
          </w:p>
          <w:p w14:paraId="5F44B4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nDR(AL)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- nº médio anual de dias de ausências legais por ano =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2,96</w:t>
            </w:r>
          </w:p>
        </w:tc>
      </w:tr>
      <w:tr w14:paraId="0106AF7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42" w:type="dxa"/>
            <w:shd w:val="clear" w:color="auto" w:fill="DBE5F1" w:themeFill="accent1" w:themeFillTint="33"/>
          </w:tcPr>
          <w:p w14:paraId="6E36545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354D9EA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Licença-Paternidade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7DCBACC0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LP= nDR(LP) x % LP x CDR/12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09AF444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7º, XIX, CF/88 e</w:t>
            </w:r>
          </w:p>
          <w:p w14:paraId="23DB1B75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10, § 1º, da CLT.</w:t>
            </w:r>
          </w:p>
          <w:p w14:paraId="27B90B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27):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1,5%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trabalhadores tem filhos. 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14:paraId="6A6304F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788507BE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1964" w:type="dxa"/>
          </w:tcPr>
          <w:p w14:paraId="2286FCB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314" w:type="dxa"/>
          </w:tcPr>
          <w:p w14:paraId="2F9A8F4A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AT= nDR(AT) x % AT x CDR/12</w:t>
            </w:r>
          </w:p>
        </w:tc>
        <w:tc>
          <w:tcPr>
            <w:tcW w:w="3531" w:type="dxa"/>
          </w:tcPr>
          <w:p w14:paraId="5777DF4D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Arts. 19 a 23 c/c § 2º, Art. 43 da Lei 8.213/91.</w:t>
            </w:r>
          </w:p>
          <w:p w14:paraId="2CBE6983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28):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0,78%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empregados se acidentam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1FE2869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5051BA40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356CCBF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  <w:shd w:val="clear" w:color="auto" w:fill="DBE5F1" w:themeFill="accent1" w:themeFillTint="33"/>
          </w:tcPr>
          <w:p w14:paraId="73C237C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7CE34C32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36EF1845">
            <w:pPr>
              <w:pStyle w:val="58"/>
              <w:ind w:left="-70"/>
              <w:jc w:val="both"/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 xml:space="preserve">(*) </w:t>
            </w:r>
            <w:r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  <w:t>AMT: FPAM + (BMDND x 3,95 x  % a.a AM) : 12 + IAM</w:t>
            </w:r>
          </w:p>
          <w:p w14:paraId="0D82DD85">
            <w:pPr>
              <w:jc w:val="center"/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078F19C">
            <w:pPr>
              <w:rPr>
                <w:rStyle w:val="11"/>
                <w:rFonts w:asciiTheme="minorHAnsi" w:hAnsiTheme="minorHAnsi"/>
                <w:i w:val="0"/>
                <w:sz w:val="18"/>
                <w:szCs w:val="18"/>
                <w:highlight w:val="white"/>
              </w:rPr>
            </w:pPr>
            <w:r>
              <w:rPr>
                <w:rStyle w:val="11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6AD9D3A6">
            <w:r>
              <w:rPr>
                <w:rFonts w:ascii="Calibri" w:hAnsi="Calibri" w:cs="Arial"/>
                <w:b/>
                <w:sz w:val="18"/>
                <w:szCs w:val="18"/>
              </w:rPr>
              <w:t>Considerando os dados do IBGE 2021, a taxa de fecundidade no estado do Rio de Janeiro é de 1,72% &lt;</w:t>
            </w:r>
            <w:r>
              <w:t>https://www.ibge.gov.br/apps/populacao/projecao/&gt;. Acesso em 23/05/2021)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41996963">
            <w:pPr>
              <w:rPr>
                <w:rFonts w:cs="Arial" w:asciiTheme="minorHAnsi" w:hAnsiTheme="minorHAnsi" w:eastAsiaTheme="minorHAnsi"/>
                <w:i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Considerando dados de contratos anteriores com tipo de serviço assemelhado,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temos que aproximadamente 12% de mulheres do número </w:t>
            </w:r>
            <w:r>
              <w:rPr>
                <w:rFonts w:ascii="Calibri" w:hAnsi="Calibri" w:cs="Arial"/>
                <w:sz w:val="18"/>
                <w:szCs w:val="18"/>
              </w:rPr>
              <w:t xml:space="preserve">total de trabalhadores. Sendo assim, a percentagem de afastamento maternidade é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de 12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 x 1,72%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 = 0,21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</w:t>
            </w:r>
          </w:p>
        </w:tc>
      </w:tr>
      <w:tr w14:paraId="524568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</w:tcPr>
          <w:p w14:paraId="29D983C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1964" w:type="dxa"/>
          </w:tcPr>
          <w:p w14:paraId="18A0E98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314" w:type="dxa"/>
          </w:tcPr>
          <w:p w14:paraId="702B5BB2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</w:tcPr>
          <w:p w14:paraId="4A69A75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-</w:t>
            </w:r>
          </w:p>
        </w:tc>
      </w:tr>
      <w:tr w14:paraId="6751598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2" w:type="dxa"/>
            <w:shd w:val="clear" w:color="auto" w:fill="DBE5F1" w:themeFill="accent1" w:themeFillTint="33"/>
          </w:tcPr>
          <w:p w14:paraId="4BD37E0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964" w:type="dxa"/>
            <w:shd w:val="clear" w:color="auto" w:fill="DBE5F1" w:themeFill="accent1" w:themeFillTint="33"/>
          </w:tcPr>
          <w:p w14:paraId="0B95E94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1122CE0B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F47248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</w:p>
        </w:tc>
      </w:tr>
    </w:tbl>
    <w:p w14:paraId="36E3C3D7">
      <w:pPr>
        <w:ind w:left="426"/>
        <w:jc w:val="both"/>
        <w:rPr>
          <w:rStyle w:val="8"/>
          <w:rFonts w:cs="Arial" w:asciiTheme="minorHAnsi" w:hAnsiTheme="minorHAnsi"/>
          <w:color w:val="000000"/>
          <w:sz w:val="16"/>
          <w:szCs w:val="16"/>
          <w:shd w:val="clear" w:color="auto" w:fill="FFFFFF"/>
        </w:rPr>
      </w:pPr>
    </w:p>
    <w:p w14:paraId="5ADCF35C">
      <w:pPr>
        <w:ind w:left="426"/>
        <w:rPr>
          <w:rFonts w:cs="Arial" w:asciiTheme="minorHAnsi" w:hAnsiTheme="minorHAnsi"/>
          <w:color w:val="000000"/>
          <w:sz w:val="22"/>
          <w:szCs w:val="22"/>
          <w:highlight w:val="white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6970EB9B">
      <w:pPr>
        <w:ind w:left="42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C0B9BAF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>OBSERVAÇÕES:</w:t>
      </w:r>
    </w:p>
    <w:p w14:paraId="54606483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10FCCA90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4CF3A90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3AA8BD5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Custo mensal do repositor (mód. 1 + mód. 2 + mod. 3 + maternidade + mód. 5 – (transp. – aliment. – equip.  – materiais)</w:t>
      </w:r>
    </w:p>
    <w:p w14:paraId="7674DB91">
      <w:pPr>
        <w:rPr>
          <w:sz w:val="22"/>
          <w:szCs w:val="22"/>
        </w:rPr>
      </w:pPr>
      <w:r>
        <w:rPr>
          <w:rFonts w:cs="Arial" w:asciiTheme="minorHAnsi" w:hAnsiTheme="minorHAnsi" w:eastAsiaTheme="minorHAnsi"/>
          <w:b/>
          <w:sz w:val="22"/>
          <w:szCs w:val="22"/>
          <w:lang w:eastAsia="en-US"/>
        </w:rPr>
        <w:t xml:space="preserve">                                               CDR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=                                                 _____________________________________________</w:t>
      </w:r>
    </w:p>
    <w:p w14:paraId="7C183A8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       Dias do mês (30)</w:t>
      </w:r>
    </w:p>
    <w:p w14:paraId="4889C912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68F39FC3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profissional vinculado ao contrato, tais como materiais, equipamentos, vale transporte, auxílio refeição, etc.</w:t>
      </w:r>
    </w:p>
    <w:p w14:paraId="6544EF1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094BA0B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04B2016E">
      <w:pPr>
        <w:pStyle w:val="58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3BED8CBD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 xml:space="preserve">CÁLCULO DO </w:t>
      </w:r>
      <w:r>
        <w:rPr>
          <w:rFonts w:cs="Arial" w:asciiTheme="minorHAnsi" w:hAnsiTheme="minorHAnsi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(*)</w:t>
      </w:r>
    </w:p>
    <w:p w14:paraId="233CF5D8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74B0285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  <w:r>
        <w:rPr>
          <w:rFonts w:cs="Arial" w:asciiTheme="minorHAnsi" w:hAnsiTheme="minorHAnsi" w:eastAsiaTheme="minorHAnsi"/>
          <w:sz w:val="22"/>
          <w:szCs w:val="22"/>
          <w:lang w:val="en-US" w:eastAsia="en-US"/>
        </w:rPr>
        <w:t>AMT: FPAM + (BMDND x 3,95 x  % a.a AM) : 12 + IAM</w:t>
      </w:r>
    </w:p>
    <w:p w14:paraId="2509BA9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</w:p>
    <w:p w14:paraId="0148639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FPAM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Ferias proporcionais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[(F + AF) x 3,95/12)]</w:t>
      </w:r>
    </w:p>
    <w:p w14:paraId="51224451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IAM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Incidência do submódulo 2.2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[(R + 13º) x %TE (alíquota encargos) x 3,95)] x %AM : 12</w:t>
      </w:r>
    </w:p>
    <w:p w14:paraId="2AA3BFC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3880AE72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3BB11D50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14BE4DFF">
                            <w:pPr>
                              <w:pStyle w:val="6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Caixa de texto 6" o:spid="_x0000_s1026" o:spt="1" style="position:absolute;left:0pt;margin-left:83.35pt;margin-top:4.6pt;height:37.9pt;width:274pt;z-index:251661312;mso-width-relative:page;mso-height-relative:page;" fillcolor="#DDD9C3 [2894]" filled="t" stroked="t" coordsize="21600,21600" o:gfxdata="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C39QB3WAAAACAEAAA8AAAAAAAAAAQAg&#10;AAAAIgAAAGRycy9kb3ducmV2LnhtbFBLAQIUABQAAAAIAIdO4kBHSTgU1wEAAN4DAAAOAAAAAAAA&#10;AAEAIAAAACUBAABkcnMvZTJvRG9jLnhtbFBLBQYAAAAABgAGAFkBAABuBQAAAAA=&#10;">
                <v:fill on="t" focussize="0,0"/>
                <v:stroke weight="0.510236220472441pt" color="#000000 [3204]" joinstyle="round"/>
                <v:imagedata o:title=""/>
                <o:lock v:ext="edit" aspectratio="f"/>
                <v:textbox>
                  <w:txbxContent>
                    <w:p w14:paraId="3880AE72">
                      <w:pPr>
                        <w:pStyle w:val="66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3BB11D50">
                      <w:pPr>
                        <w:pStyle w:val="66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14BE4DFF">
                      <w:pPr>
                        <w:pStyle w:val="6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670201B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5309FA4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40D2E28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754987D2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4.2 – </w:t>
      </w:r>
      <w:r>
        <w:rPr>
          <w:rStyle w:val="8"/>
          <w:rFonts w:cs="Arial" w:asciiTheme="minorHAnsi" w:hAnsiTheme="minorHAnsi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20EC6C44">
      <w:pPr>
        <w:tabs>
          <w:tab w:val="left" w:pos="8130"/>
        </w:tabs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intrajornada.</w:t>
      </w:r>
    </w:p>
    <w:p w14:paraId="2902329D">
      <w:pPr>
        <w:jc w:val="both"/>
        <w:rPr>
          <w:rFonts w:ascii="Calibri" w:hAnsi="Calibri" w:cs="Arial"/>
        </w:rPr>
      </w:pPr>
    </w:p>
    <w:p w14:paraId="545C7691">
      <w:pPr>
        <w:jc w:val="both"/>
        <w:rPr>
          <w:rFonts w:ascii="Calibri" w:hAnsi="Calibri" w:cs="Arial"/>
          <w:b/>
          <w:u w:val="single"/>
        </w:rPr>
      </w:pPr>
    </w:p>
    <w:p w14:paraId="7A3D8817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259ADE62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41520B2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Uniformes</w:t>
      </w:r>
    </w:p>
    <w:p w14:paraId="28DBC971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1A53996C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Consultar o detalhamento do Anexo III-B.</w:t>
      </w:r>
    </w:p>
    <w:p w14:paraId="5A6D678D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143AB62">
      <w:pPr>
        <w:rPr>
          <w:rFonts w:cs="Arial" w:asciiTheme="minorHAnsi" w:hAnsiTheme="minorHAnsi"/>
          <w:b/>
          <w:sz w:val="22"/>
          <w:szCs w:val="22"/>
          <w:lang w:val="pt-PT"/>
        </w:rPr>
      </w:pPr>
      <w:r>
        <w:rPr>
          <w:rFonts w:cs="Arial" w:asciiTheme="minorHAnsi" w:hAnsiTheme="minorHAnsi"/>
          <w:b/>
          <w:sz w:val="22"/>
          <w:szCs w:val="22"/>
          <w:lang w:val="pt-PT"/>
        </w:rPr>
        <w:t>B) EQUIPAMENTOS</w:t>
      </w:r>
    </w:p>
    <w:p w14:paraId="7A4A58DF">
      <w:pPr>
        <w:rPr>
          <w:rFonts w:cs="Arial" w:asciiTheme="minorHAnsi" w:hAnsiTheme="minorHAnsi"/>
          <w:b/>
          <w:sz w:val="22"/>
          <w:szCs w:val="22"/>
          <w:lang w:val="pt-PT"/>
        </w:rPr>
      </w:pPr>
    </w:p>
    <w:p w14:paraId="6CE6356A">
      <w:pPr>
        <w:rPr>
          <w:rFonts w:cs="Arial" w:asciiTheme="minorHAnsi" w:hAnsiTheme="minorHAnsi"/>
          <w:bCs/>
          <w:sz w:val="22"/>
          <w:szCs w:val="22"/>
          <w:lang w:val="pt-PT"/>
        </w:rPr>
      </w:pPr>
      <w:r>
        <w:rPr>
          <w:rFonts w:cs="Arial" w:asciiTheme="minorHAnsi" w:hAnsiTheme="minorHAnsi"/>
          <w:bCs/>
          <w:sz w:val="22"/>
          <w:szCs w:val="22"/>
          <w:lang w:val="pt-PT"/>
        </w:rPr>
        <w:t>Consultar o detalhamento do Anexo III-A.</w:t>
      </w:r>
    </w:p>
    <w:p w14:paraId="547AB4A7">
      <w:pPr>
        <w:rPr>
          <w:rFonts w:cs="Arial" w:asciiTheme="minorHAnsi" w:hAnsiTheme="minorHAnsi"/>
          <w:bCs/>
          <w:sz w:val="22"/>
          <w:szCs w:val="22"/>
          <w:lang w:val="pt-PT"/>
        </w:rPr>
      </w:pPr>
    </w:p>
    <w:p w14:paraId="4F639521">
      <w:pPr>
        <w:rPr>
          <w:rFonts w:cs="Arial" w:asciiTheme="minorHAnsi" w:hAnsiTheme="minorHAnsi"/>
          <w:b/>
          <w:sz w:val="22"/>
          <w:szCs w:val="22"/>
          <w:lang w:val="pt-PT"/>
        </w:rPr>
      </w:pPr>
      <w:r>
        <w:rPr>
          <w:rFonts w:cs="Arial" w:asciiTheme="minorHAnsi" w:hAnsiTheme="minorHAnsi"/>
          <w:b/>
          <w:sz w:val="22"/>
          <w:szCs w:val="22"/>
          <w:lang w:val="pt-PT"/>
        </w:rPr>
        <w:t>C) Materiais</w:t>
      </w:r>
    </w:p>
    <w:p w14:paraId="41D9CF96">
      <w:pPr>
        <w:rPr>
          <w:rFonts w:cs="Arial" w:asciiTheme="minorHAnsi" w:hAnsiTheme="minorHAnsi"/>
          <w:b/>
          <w:sz w:val="22"/>
          <w:szCs w:val="22"/>
          <w:lang w:val="pt-PT"/>
        </w:rPr>
      </w:pPr>
    </w:p>
    <w:p w14:paraId="7B356F6F">
      <w:pPr>
        <w:rPr>
          <w:rFonts w:cs="Arial" w:asciiTheme="minorHAnsi" w:hAnsiTheme="minorHAnsi"/>
          <w:bCs/>
          <w:sz w:val="22"/>
          <w:szCs w:val="22"/>
          <w:lang w:val="pt-PT"/>
        </w:rPr>
      </w:pPr>
      <w:r>
        <w:rPr>
          <w:rFonts w:cs="Arial" w:asciiTheme="minorHAnsi" w:hAnsiTheme="minorHAnsi"/>
          <w:bCs/>
          <w:sz w:val="22"/>
          <w:szCs w:val="22"/>
          <w:lang w:val="pt-PT"/>
        </w:rPr>
        <w:t>Consultar o detalhamento do Anexo III-C.</w:t>
      </w:r>
    </w:p>
    <w:p w14:paraId="1622DFE2">
      <w:pPr>
        <w:rPr>
          <w:rFonts w:cs="Arial" w:asciiTheme="minorHAnsi" w:hAnsiTheme="minorHAnsi"/>
          <w:b/>
        </w:rPr>
      </w:pPr>
    </w:p>
    <w:p w14:paraId="7CF4D73D">
      <w:pPr>
        <w:rPr>
          <w:rFonts w:cs="Arial" w:asciiTheme="minorHAnsi" w:hAnsiTheme="minorHAnsi"/>
          <w:b/>
          <w:lang w:val="pt-PT"/>
        </w:rPr>
      </w:pPr>
    </w:p>
    <w:p w14:paraId="38A59BF6">
      <w:pP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445D0C6D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5D0B869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0B28631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BD2E26A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0444C37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6353E4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E37514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37003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18111B60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20358E6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2484200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BCD011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02AF755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1CDD48E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41A4F2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FFE4E2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A092BA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61BDF58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7043144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86D7E0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7B896A3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14:paraId="4A51C8A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4F8266C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58AD0B5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19849B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03A9F6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E8B853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982460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65C64DF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46379D1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2A61F99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0BB204E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4773F2D4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5E922850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22FB0C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8215E4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2B96A0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PRESUMIDO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A3E4C1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0AF8D7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41AFF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AC25D9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3D8DFB92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501BB5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07822D53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28116FA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3FF5B489">
            <w:pPr>
              <w:jc w:val="both"/>
              <w:rPr>
                <w:rFonts w:cs="Arial" w:asciiTheme="minorHAnsi" w:hAnsiTheme="minorHAnsi"/>
                <w:b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296A294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52033F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1AE4A4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76655B3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7E0115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68BD39E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E63B2A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11C999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0,65% e COFINS = 3,00%)</w:t>
            </w:r>
          </w:p>
        </w:tc>
      </w:tr>
      <w:tr w14:paraId="48C9C51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0AAE85B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644D478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3BEC6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7682BA7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7F9B1D1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CB88A84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4EA6F7F1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7DB5DE1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1038EA0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72771DB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5EBC6D31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51725A0">
      <w:pPr>
        <w:rPr>
          <w:rFonts w:ascii="Calibri" w:hAnsi="Calibri" w:cs="Arial" w:eastAsiaTheme="minorHAnsi"/>
          <w:lang w:eastAsia="en-US"/>
        </w:rPr>
      </w:pPr>
    </w:p>
    <w:p w14:paraId="240B475D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5FBD8543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4AE4A50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CUSTOS INDIRETOS:</w:t>
      </w:r>
    </w:p>
    <w:p w14:paraId="2D6592EA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5) x % custos indiretos (média praticada pelas empresas do setor)</w:t>
      </w:r>
    </w:p>
    <w:p w14:paraId="2CC1E929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51353A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34141936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4,11%</w:t>
      </w:r>
    </w:p>
    <w:p w14:paraId="117CA043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 Minas = 4,31%</w:t>
      </w:r>
    </w:p>
    <w:p w14:paraId="751CD87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6%</w:t>
      </w:r>
    </w:p>
    <w:p w14:paraId="6EAA55C7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4,80%</w:t>
      </w:r>
    </w:p>
    <w:bookmarkEnd w:id="0"/>
    <w:p w14:paraId="22E8387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1CC2958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LUCRO:</w:t>
      </w:r>
    </w:p>
    <w:p w14:paraId="505ADA3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871D06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51562078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277FB629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34141943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2,00%</w:t>
      </w:r>
    </w:p>
    <w:p w14:paraId="697BF8C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RioMinas = 4,75%</w:t>
      </w:r>
    </w:p>
    <w:p w14:paraId="5403680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5%</w:t>
      </w:r>
    </w:p>
    <w:p w14:paraId="21BB5CF8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BEA49F2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3,92%</w:t>
      </w:r>
    </w:p>
    <w:bookmarkEnd w:id="1"/>
    <w:p w14:paraId="1BE5C235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58583103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TRIBUTOS:</w:t>
      </w:r>
    </w:p>
    <w:p w14:paraId="4A5D1E0D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156AA0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i/>
          <w:sz w:val="22"/>
          <w:szCs w:val="22"/>
        </w:rPr>
        <w:t>Fator de divisão</w:t>
      </w:r>
      <w:r>
        <w:rPr>
          <w:rFonts w:cs="Arial" w:asciiTheme="minorHAnsi" w:hAnsiTheme="minorHAnsi"/>
          <w:sz w:val="22"/>
          <w:szCs w:val="22"/>
        </w:rPr>
        <w:t>: 1 – (Alíquota do PIS + Alíquota da COFINS + Alíquota do ISS) : 100</w:t>
      </w:r>
    </w:p>
    <w:p w14:paraId="24C55EBB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2CFE867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color w:val="FF0000"/>
          <w:sz w:val="22"/>
          <w:szCs w:val="22"/>
        </w:rPr>
        <w:t>Base de Cálculo: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(Módulo 1 + Módulo 2 + Módulo 3 + Módulo 4 + Módulo 5 + Módulo 6-A + Modulo 6-B) : Fator de Divisão</w:t>
      </w:r>
    </w:p>
    <w:p w14:paraId="3D13814C">
      <w:pPr>
        <w:spacing w:line="276" w:lineRule="auto"/>
        <w:jc w:val="both"/>
        <w:rPr>
          <w:rFonts w:asciiTheme="minorHAnsi" w:hAnsiTheme="minorHAnsi" w:eastAsiaTheme="minorHAnsi"/>
          <w:sz w:val="22"/>
          <w:szCs w:val="22"/>
          <w:highlight w:val="yellow"/>
          <w:lang w:eastAsia="en-US"/>
        </w:rPr>
      </w:pPr>
    </w:p>
    <w:p w14:paraId="30541E32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federais: Base de cálculo x alíquota (PIS e COFINS)</w:t>
      </w:r>
    </w:p>
    <w:p w14:paraId="261738FC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municipais: Base de cálculo x alíquota (ISS)</w:t>
      </w:r>
    </w:p>
    <w:p w14:paraId="63F1E6B3">
      <w:pPr>
        <w:jc w:val="center"/>
        <w:rPr>
          <w:rFonts w:ascii="Calibri" w:hAnsi="Calibri" w:cs="Arial" w:eastAsiaTheme="minorHAnsi"/>
          <w:b/>
          <w:sz w:val="22"/>
          <w:szCs w:val="22"/>
          <w:lang w:eastAsia="en-US"/>
        </w:rPr>
      </w:pPr>
    </w:p>
    <w:p w14:paraId="522C41FC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6EC3C0A">
      <w:pPr>
        <w:spacing w:line="276" w:lineRule="auto"/>
        <w:jc w:val="both"/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Tributação</w:t>
      </w:r>
    </w:p>
    <w:p w14:paraId="2FC7F6CB">
      <w:pPr>
        <w:spacing w:line="276" w:lineRule="auto"/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25539533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28F9BFF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A6050A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>
        <w:rPr>
          <w:rFonts w:cs="Arial" w:asciiTheme="minorHAnsi" w:hAnsiTheme="minorHAnsi"/>
          <w:b/>
          <w:sz w:val="22"/>
          <w:szCs w:val="22"/>
        </w:rPr>
        <w:t>para a empresa que optar pelo regime tributário de LUCRO REAL ou PRESUMIDO</w:t>
      </w:r>
      <w:r>
        <w:rPr>
          <w:rFonts w:cs="Arial" w:asciiTheme="minorHAnsi" w:hAnsiTheme="minorHAnsi"/>
          <w:sz w:val="22"/>
          <w:szCs w:val="22"/>
        </w:rPr>
        <w:t xml:space="preserve">, </w:t>
      </w:r>
      <w:r>
        <w:rPr>
          <w:rFonts w:cs="Arial" w:asciiTheme="minorHAnsi" w:hAnsiTheme="minorHAnsi"/>
          <w:b/>
          <w:sz w:val="22"/>
          <w:szCs w:val="22"/>
        </w:rPr>
        <w:t>já que estão contidos no lucro bruto apresentado na proposta</w:t>
      </w:r>
      <w:r>
        <w:rPr>
          <w:rFonts w:cs="Arial" w:asciiTheme="minorHAnsi" w:hAnsiTheme="minorHAnsi"/>
          <w:sz w:val="22"/>
          <w:szCs w:val="22"/>
        </w:rPr>
        <w:t xml:space="preserve"> e em virtude da determinação contida na Súmula do TCU nº 254, Acórdão TCU nº 1591/2008 – Plenário, Acórdão TCU nº 264/2012 – Plenário e Informativo  de Jurisprudência TCU nº 279.</w:t>
      </w:r>
    </w:p>
    <w:p w14:paraId="4C027699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</w:rPr>
      </w:pPr>
    </w:p>
    <w:p w14:paraId="158CAF51">
      <w:pPr>
        <w:shd w:val="clear" w:color="auto" w:fill="FFFFFF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>
        <w:rPr>
          <w:rFonts w:cs="Arial" w:asciiTheme="minorHAnsi" w:hAnsiTheme="minorHAnsi"/>
          <w:b/>
          <w:bCs/>
          <w:sz w:val="22"/>
          <w:szCs w:val="22"/>
          <w:u w:val="single"/>
        </w:rPr>
        <w:t>tributárias.</w:t>
      </w:r>
      <w:r>
        <w:rPr>
          <w:rFonts w:cs="Arial" w:asciiTheme="minorHAnsi" w:hAnsiTheme="minorHAnsi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512E60D6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B45C43C">
      <w:pPr>
        <w:shd w:val="clear" w:color="auto" w:fill="FFFFFF"/>
        <w:spacing w:line="276" w:lineRule="auto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A LICITANTE deverá </w:t>
      </w:r>
      <w:r>
        <w:rPr>
          <w:rFonts w:ascii="Calibri" w:hAnsi="Calibri" w:eastAsia="Lucida Sans Unicode"/>
          <w:b/>
          <w:kern w:val="2"/>
          <w:sz w:val="22"/>
          <w:szCs w:val="22"/>
        </w:rPr>
        <w:t>comprovar, por meio de documentação hábil (DCTF, GFIP, EFD etc), a opção aos regimes acima elencados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a fim de que se possa </w:t>
      </w:r>
      <w:r>
        <w:rPr>
          <w:rFonts w:ascii="Calibri" w:hAnsi="Calibri" w:eastAsia="Lucida Sans Unicode"/>
          <w:b/>
          <w:kern w:val="2"/>
          <w:sz w:val="22"/>
          <w:szCs w:val="22"/>
        </w:rPr>
        <w:t>certificar que as alíquotas do PIS e da COFINS e da Contribuição Social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consignadas na planilha conferem com sua opção tributária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3E86317A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hAnsi="Calibri" w:eastAsia="Lucida Sans Unicode"/>
          <w:kern w:val="2"/>
          <w:sz w:val="22"/>
          <w:szCs w:val="22"/>
        </w:rPr>
      </w:pPr>
    </w:p>
    <w:p w14:paraId="3D24DC94">
      <w:pPr>
        <w:widowControl w:val="0"/>
        <w:tabs>
          <w:tab w:val="left" w:pos="1560"/>
        </w:tabs>
        <w:spacing w:line="276" w:lineRule="auto"/>
        <w:jc w:val="both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Calibri" w:hAnsi="Calibri" w:eastAsia="Lucida Sans Unicode"/>
          <w:kern w:val="2"/>
          <w:sz w:val="22"/>
          <w:szCs w:val="22"/>
        </w:rPr>
        <w:t xml:space="preserve">As </w:t>
      </w:r>
      <w:r>
        <w:rPr>
          <w:rFonts w:ascii="Calibri" w:hAnsi="Calibri" w:eastAsia="Lucida Sans Unicode"/>
          <w:b/>
          <w:kern w:val="2"/>
          <w:sz w:val="22"/>
          <w:szCs w:val="22"/>
        </w:rPr>
        <w:t>empresas tributadas pelo regime de incidência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 </w:t>
      </w:r>
      <w:r>
        <w:rPr>
          <w:rFonts w:ascii="Calibri" w:hAnsi="Calibri" w:eastAsia="Lucida Sans Unicode"/>
          <w:b/>
          <w:kern w:val="2"/>
          <w:sz w:val="22"/>
          <w:szCs w:val="22"/>
        </w:rPr>
        <w:t>PIS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 </w:t>
      </w:r>
      <w:r>
        <w:rPr>
          <w:rFonts w:ascii="Calibri" w:hAnsi="Calibri" w:eastAsia="Lucida Sans Unicode"/>
          <w:b/>
          <w:kern w:val="2"/>
          <w:sz w:val="22"/>
          <w:szCs w:val="22"/>
        </w:rPr>
        <w:t>COFINS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devem cotar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tendo em vista que as Leis 10.637/2002 e 10.833/2003, apurada com base nos dados da </w:t>
      </w:r>
      <w:r>
        <w:rPr>
          <w:rFonts w:ascii="Calibri" w:hAnsi="Calibri" w:eastAsia="Lucida Sans Unicode"/>
          <w:b/>
          <w:kern w:val="2"/>
          <w:sz w:val="22"/>
          <w:szCs w:val="22"/>
        </w:rPr>
        <w:t>Escrituração Fiscal Digital da Contribuição para o PIS/PASEP e para a COFINS (EFD-Contribuições)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cujos respectivos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registros deverão ser remetidos juntamente com a proposta e as planilhas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4A2EE9A4">
      <w:pPr>
        <w:widowControl w:val="0"/>
        <w:spacing w:line="276" w:lineRule="auto"/>
        <w:ind w:left="708"/>
        <w:rPr>
          <w:rFonts w:ascii="Calibri" w:hAnsi="Calibri" w:eastAsia="Lucida Sans Unicode"/>
          <w:kern w:val="2"/>
          <w:sz w:val="22"/>
          <w:szCs w:val="22"/>
        </w:rPr>
      </w:pPr>
    </w:p>
    <w:p w14:paraId="04C6042F">
      <w:pPr>
        <w:widowControl w:val="0"/>
        <w:tabs>
          <w:tab w:val="left" w:pos="1560"/>
        </w:tabs>
        <w:spacing w:line="276" w:lineRule="auto"/>
        <w:jc w:val="both"/>
      </w:pPr>
      <w:r>
        <w:rPr>
          <w:rFonts w:ascii="Calibri" w:hAnsi="Calibri" w:eastAsia="Lucida Sans Unicode"/>
          <w:kern w:val="2"/>
          <w:sz w:val="22"/>
          <w:szCs w:val="22"/>
        </w:rPr>
        <w:t xml:space="preserve">Caso a LICITANTE tenha </w:t>
      </w:r>
      <w:r>
        <w:rPr>
          <w:rFonts w:ascii="Calibri" w:hAnsi="Calibri" w:eastAsia="Lucida Sans Unicode"/>
          <w:b/>
          <w:kern w:val="2"/>
          <w:sz w:val="22"/>
          <w:szCs w:val="22"/>
        </w:rPr>
        <w:t>recolhido tributos pelo regime de incidência 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em apenas </w:t>
      </w:r>
      <w:r>
        <w:rPr>
          <w:rFonts w:ascii="Calibri" w:hAnsi="Calibri" w:eastAsia="Lucida Sans Unicode"/>
          <w:b/>
          <w:kern w:val="2"/>
          <w:sz w:val="22"/>
          <w:szCs w:val="22"/>
        </w:rPr>
        <w:t>alguns meses do período que deve ser considerado para o cálculo do percentual médio efetivo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(12 meses anteriores à data da proposta), poderá apresentar o cálculo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considerando apenas os meses em que houve recolhimento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sectPr>
      <w:headerReference r:id="rId4" w:type="default"/>
      <w:footerReference r:id="rId5" w:type="default"/>
      <w:pgSz w:w="11906" w:h="16838"/>
      <w:pgMar w:top="1417" w:right="1274" w:bottom="1417" w:left="1418" w:header="708" w:footer="306" w:gutter="0"/>
      <w:pgBorders w:offsetFrom="page">
        <w:top w:val="single" w:color="000000" w:sz="18" w:space="24"/>
        <w:left w:val="single" w:color="000000" w:sz="18" w:space="24"/>
        <w:bottom w:val="single" w:color="000000" w:sz="18" w:space="24"/>
        <w:right w:val="single" w:color="000000" w:sz="18" w:space="24"/>
      </w:pgBorders>
      <w:cols w:space="720" w:num="1"/>
      <w:formProt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C4E8B7">
    <w:pPr>
      <w:pStyle w:val="22"/>
    </w:pPr>
    <w:r>
      <w:t>____________________________________________________________________</w:t>
    </w:r>
  </w:p>
  <w:p w14:paraId="26207778">
    <w:pPr>
      <w:pStyle w:val="22"/>
      <w:jc w:val="center"/>
      <w:rPr>
        <w:i/>
      </w:rPr>
    </w:pPr>
    <w:r>
      <w:rPr>
        <w:sz w:val="12"/>
        <w:szCs w:val="12"/>
      </w:rPr>
      <w:t>Anexo X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3"/>
        <w:rFonts w:ascii="Verdana" w:hAnsi="Verdana" w:eastAsia="MS Gothic"/>
        <w:sz w:val="16"/>
        <w:szCs w:val="16"/>
      </w:rPr>
      <w:t xml:space="preserve">1/10 </w:t>
    </w:r>
  </w:p>
  <w:p w14:paraId="4693F8E8">
    <w:pPr>
      <w:pStyle w:val="22"/>
      <w:rPr>
        <w:sz w:val="12"/>
        <w:szCs w:val="12"/>
      </w:rPr>
    </w:pPr>
  </w:p>
  <w:p w14:paraId="35C0AC9B">
    <w:pPr>
      <w:pStyle w:val="2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63DA2296">
      <w:pPr>
        <w:pStyle w:val="25"/>
      </w:pPr>
      <w:r>
        <w:rPr>
          <w:rStyle w:val="49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6B957">
    <w:pPr>
      <w:pStyle w:val="20"/>
      <w:jc w:val="right"/>
      <w:rPr>
        <w:rFonts w:asciiTheme="minorHAnsi" w:hAnsiTheme="minorHAnsi"/>
        <w:sz w:val="16"/>
        <w:szCs w:val="16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>Processo: 23069.191928/2024-81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54062C"/>
    <w:multiLevelType w:val="multilevel"/>
    <w:tmpl w:val="0554062C"/>
    <w:lvl w:ilvl="0" w:tentative="0">
      <w:start w:val="1"/>
      <w:numFmt w:val="decimal"/>
      <w:lvlText w:val="(%1)"/>
      <w:lvlJc w:val="left"/>
      <w:pPr>
        <w:ind w:left="786" w:hanging="360"/>
      </w:pPr>
    </w:lvl>
    <w:lvl w:ilvl="1" w:tentative="0">
      <w:start w:val="1"/>
      <w:numFmt w:val="lowerLetter"/>
      <w:lvlText w:val="%2."/>
      <w:lvlJc w:val="left"/>
      <w:pPr>
        <w:ind w:left="1506" w:hanging="360"/>
      </w:pPr>
    </w:lvl>
    <w:lvl w:ilvl="2" w:tentative="0">
      <w:start w:val="1"/>
      <w:numFmt w:val="lowerRoman"/>
      <w:lvlText w:val="%3."/>
      <w:lvlJc w:val="right"/>
      <w:pPr>
        <w:ind w:left="2226" w:hanging="180"/>
      </w:pPr>
    </w:lvl>
    <w:lvl w:ilvl="3" w:tentative="0">
      <w:start w:val="1"/>
      <w:numFmt w:val="decimal"/>
      <w:lvlText w:val="%4."/>
      <w:lvlJc w:val="left"/>
      <w:pPr>
        <w:ind w:left="2946" w:hanging="360"/>
      </w:pPr>
    </w:lvl>
    <w:lvl w:ilvl="4" w:tentative="0">
      <w:start w:val="1"/>
      <w:numFmt w:val="lowerLetter"/>
      <w:lvlText w:val="%5."/>
      <w:lvlJc w:val="left"/>
      <w:pPr>
        <w:ind w:left="3666" w:hanging="360"/>
      </w:pPr>
    </w:lvl>
    <w:lvl w:ilvl="5" w:tentative="0">
      <w:start w:val="1"/>
      <w:numFmt w:val="lowerRoman"/>
      <w:lvlText w:val="%6."/>
      <w:lvlJc w:val="right"/>
      <w:pPr>
        <w:ind w:left="4386" w:hanging="180"/>
      </w:pPr>
    </w:lvl>
    <w:lvl w:ilvl="6" w:tentative="0">
      <w:start w:val="1"/>
      <w:numFmt w:val="decimal"/>
      <w:lvlText w:val="%7."/>
      <w:lvlJc w:val="left"/>
      <w:pPr>
        <w:ind w:left="5106" w:hanging="360"/>
      </w:pPr>
    </w:lvl>
    <w:lvl w:ilvl="7" w:tentative="0">
      <w:start w:val="1"/>
      <w:numFmt w:val="lowerLetter"/>
      <w:lvlText w:val="%8."/>
      <w:lvlJc w:val="left"/>
      <w:pPr>
        <w:ind w:left="5826" w:hanging="360"/>
      </w:pPr>
    </w:lvl>
    <w:lvl w:ilvl="8" w:tentative="0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cumentProtection w:enforcement="0"/>
  <w:defaultTabStop w:val="708"/>
  <w:hyphenationZone w:val="425"/>
  <w:characterSpacingControl w:val="doNotCompress"/>
  <w:footnotePr>
    <w:footnote w:id="2"/>
    <w:footnote w:id="3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1D"/>
    <w:rsid w:val="00022464"/>
    <w:rsid w:val="00025F14"/>
    <w:rsid w:val="00062EE7"/>
    <w:rsid w:val="0007091C"/>
    <w:rsid w:val="00081D06"/>
    <w:rsid w:val="00083DB0"/>
    <w:rsid w:val="000904BD"/>
    <w:rsid w:val="00096953"/>
    <w:rsid w:val="000D4F19"/>
    <w:rsid w:val="000D50AA"/>
    <w:rsid w:val="000D7E4A"/>
    <w:rsid w:val="000E60C1"/>
    <w:rsid w:val="00100793"/>
    <w:rsid w:val="00127394"/>
    <w:rsid w:val="0013021D"/>
    <w:rsid w:val="00131DDA"/>
    <w:rsid w:val="001338D9"/>
    <w:rsid w:val="00133CD1"/>
    <w:rsid w:val="0014616A"/>
    <w:rsid w:val="00150365"/>
    <w:rsid w:val="001518A3"/>
    <w:rsid w:val="00156A99"/>
    <w:rsid w:val="001776C1"/>
    <w:rsid w:val="0019718E"/>
    <w:rsid w:val="001D0DA4"/>
    <w:rsid w:val="001E1541"/>
    <w:rsid w:val="002100BD"/>
    <w:rsid w:val="00215289"/>
    <w:rsid w:val="0022215B"/>
    <w:rsid w:val="00222366"/>
    <w:rsid w:val="00233184"/>
    <w:rsid w:val="00240C8D"/>
    <w:rsid w:val="00241E06"/>
    <w:rsid w:val="002426B0"/>
    <w:rsid w:val="00242E8C"/>
    <w:rsid w:val="00262EB7"/>
    <w:rsid w:val="00290823"/>
    <w:rsid w:val="00296321"/>
    <w:rsid w:val="002B5411"/>
    <w:rsid w:val="002E1E6B"/>
    <w:rsid w:val="002E31AA"/>
    <w:rsid w:val="002F73F4"/>
    <w:rsid w:val="0030151E"/>
    <w:rsid w:val="0030302C"/>
    <w:rsid w:val="003150FF"/>
    <w:rsid w:val="00327BF6"/>
    <w:rsid w:val="003339BA"/>
    <w:rsid w:val="0035251D"/>
    <w:rsid w:val="00363E9E"/>
    <w:rsid w:val="0036420B"/>
    <w:rsid w:val="00380B50"/>
    <w:rsid w:val="00382F6B"/>
    <w:rsid w:val="00383723"/>
    <w:rsid w:val="003858BC"/>
    <w:rsid w:val="003B2BEE"/>
    <w:rsid w:val="003D2A1B"/>
    <w:rsid w:val="003D7132"/>
    <w:rsid w:val="003E2244"/>
    <w:rsid w:val="003F496D"/>
    <w:rsid w:val="003F53BE"/>
    <w:rsid w:val="004020FD"/>
    <w:rsid w:val="00423679"/>
    <w:rsid w:val="00425FD6"/>
    <w:rsid w:val="0043494E"/>
    <w:rsid w:val="00442149"/>
    <w:rsid w:val="004442E8"/>
    <w:rsid w:val="0044582E"/>
    <w:rsid w:val="00456CA1"/>
    <w:rsid w:val="00460EF0"/>
    <w:rsid w:val="004706D0"/>
    <w:rsid w:val="00481D1C"/>
    <w:rsid w:val="004933EB"/>
    <w:rsid w:val="004939C6"/>
    <w:rsid w:val="004A4856"/>
    <w:rsid w:val="004B4712"/>
    <w:rsid w:val="004C5329"/>
    <w:rsid w:val="004D3DBC"/>
    <w:rsid w:val="004D4C2F"/>
    <w:rsid w:val="004E1415"/>
    <w:rsid w:val="004E1728"/>
    <w:rsid w:val="004E5031"/>
    <w:rsid w:val="00515DDC"/>
    <w:rsid w:val="005209B9"/>
    <w:rsid w:val="00572950"/>
    <w:rsid w:val="00594F68"/>
    <w:rsid w:val="005B72D0"/>
    <w:rsid w:val="005C4DE5"/>
    <w:rsid w:val="005E5BE8"/>
    <w:rsid w:val="0060694C"/>
    <w:rsid w:val="0061341E"/>
    <w:rsid w:val="00627150"/>
    <w:rsid w:val="00643118"/>
    <w:rsid w:val="00664443"/>
    <w:rsid w:val="00674915"/>
    <w:rsid w:val="00675CD9"/>
    <w:rsid w:val="006927ED"/>
    <w:rsid w:val="00694321"/>
    <w:rsid w:val="00695D13"/>
    <w:rsid w:val="006962AF"/>
    <w:rsid w:val="006A1B35"/>
    <w:rsid w:val="006A24B4"/>
    <w:rsid w:val="006A5225"/>
    <w:rsid w:val="006B073D"/>
    <w:rsid w:val="006B1E82"/>
    <w:rsid w:val="006B3F03"/>
    <w:rsid w:val="006B75C2"/>
    <w:rsid w:val="006C0732"/>
    <w:rsid w:val="006F4C05"/>
    <w:rsid w:val="006F50E0"/>
    <w:rsid w:val="00710621"/>
    <w:rsid w:val="00714503"/>
    <w:rsid w:val="00720009"/>
    <w:rsid w:val="007217B8"/>
    <w:rsid w:val="00751436"/>
    <w:rsid w:val="00757BF8"/>
    <w:rsid w:val="00760403"/>
    <w:rsid w:val="0076112C"/>
    <w:rsid w:val="007643DE"/>
    <w:rsid w:val="00786D92"/>
    <w:rsid w:val="00791490"/>
    <w:rsid w:val="007B0AD0"/>
    <w:rsid w:val="007B1961"/>
    <w:rsid w:val="007B23CA"/>
    <w:rsid w:val="007C0B40"/>
    <w:rsid w:val="007C31B8"/>
    <w:rsid w:val="007C5E16"/>
    <w:rsid w:val="007D5DDC"/>
    <w:rsid w:val="007D776F"/>
    <w:rsid w:val="007F03D4"/>
    <w:rsid w:val="007F4CE0"/>
    <w:rsid w:val="007F7BA5"/>
    <w:rsid w:val="0081045C"/>
    <w:rsid w:val="00834AAA"/>
    <w:rsid w:val="00853327"/>
    <w:rsid w:val="00864661"/>
    <w:rsid w:val="00876481"/>
    <w:rsid w:val="00880459"/>
    <w:rsid w:val="00883403"/>
    <w:rsid w:val="008862D8"/>
    <w:rsid w:val="008A6FF3"/>
    <w:rsid w:val="008B36E0"/>
    <w:rsid w:val="008B6503"/>
    <w:rsid w:val="008C1B2B"/>
    <w:rsid w:val="008D647E"/>
    <w:rsid w:val="008F098C"/>
    <w:rsid w:val="009143CE"/>
    <w:rsid w:val="00951E7B"/>
    <w:rsid w:val="009660B4"/>
    <w:rsid w:val="00A11B58"/>
    <w:rsid w:val="00A34AB3"/>
    <w:rsid w:val="00A50A1A"/>
    <w:rsid w:val="00A531F5"/>
    <w:rsid w:val="00A57223"/>
    <w:rsid w:val="00A5736E"/>
    <w:rsid w:val="00A657B5"/>
    <w:rsid w:val="00A777DD"/>
    <w:rsid w:val="00AA205C"/>
    <w:rsid w:val="00AA3D68"/>
    <w:rsid w:val="00AA68C0"/>
    <w:rsid w:val="00AC0F0D"/>
    <w:rsid w:val="00AC3CFF"/>
    <w:rsid w:val="00AD06CA"/>
    <w:rsid w:val="00AD242D"/>
    <w:rsid w:val="00B14366"/>
    <w:rsid w:val="00B602FA"/>
    <w:rsid w:val="00B73F23"/>
    <w:rsid w:val="00B807D1"/>
    <w:rsid w:val="00B83795"/>
    <w:rsid w:val="00BC1110"/>
    <w:rsid w:val="00BC4EF0"/>
    <w:rsid w:val="00BD0E8C"/>
    <w:rsid w:val="00BE1D75"/>
    <w:rsid w:val="00BF05FF"/>
    <w:rsid w:val="00C03647"/>
    <w:rsid w:val="00C14F74"/>
    <w:rsid w:val="00C57E60"/>
    <w:rsid w:val="00C609DB"/>
    <w:rsid w:val="00C60C1C"/>
    <w:rsid w:val="00C85F08"/>
    <w:rsid w:val="00C86FD7"/>
    <w:rsid w:val="00C90D31"/>
    <w:rsid w:val="00CB6253"/>
    <w:rsid w:val="00CC4061"/>
    <w:rsid w:val="00CD5693"/>
    <w:rsid w:val="00CE38FA"/>
    <w:rsid w:val="00CF30B1"/>
    <w:rsid w:val="00D010D1"/>
    <w:rsid w:val="00D54961"/>
    <w:rsid w:val="00D66379"/>
    <w:rsid w:val="00D91DD1"/>
    <w:rsid w:val="00DA53E7"/>
    <w:rsid w:val="00DB1FCE"/>
    <w:rsid w:val="00E1260A"/>
    <w:rsid w:val="00E16A83"/>
    <w:rsid w:val="00E354DA"/>
    <w:rsid w:val="00E40030"/>
    <w:rsid w:val="00E477A6"/>
    <w:rsid w:val="00E941AC"/>
    <w:rsid w:val="00E97BDA"/>
    <w:rsid w:val="00EB64F6"/>
    <w:rsid w:val="00EC705B"/>
    <w:rsid w:val="00ED04BC"/>
    <w:rsid w:val="00EF182A"/>
    <w:rsid w:val="00F02E97"/>
    <w:rsid w:val="00F136AD"/>
    <w:rsid w:val="00F14725"/>
    <w:rsid w:val="00F61A0A"/>
    <w:rsid w:val="00F6782F"/>
    <w:rsid w:val="00F7074E"/>
    <w:rsid w:val="00F77BB2"/>
    <w:rsid w:val="00F92087"/>
    <w:rsid w:val="00F94D2F"/>
    <w:rsid w:val="00F94D80"/>
    <w:rsid w:val="00F97FCD"/>
    <w:rsid w:val="00FD17C8"/>
    <w:rsid w:val="43603A4D"/>
    <w:rsid w:val="6C9D4424"/>
    <w:rsid w:val="7130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36"/>
    <w:semiHidden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paragraph" w:styleId="4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376092" w:themeColor="accent1" w:themeShade="BF"/>
    </w:rPr>
  </w:style>
  <w:style w:type="paragraph" w:styleId="5">
    <w:name w:val="heading 7"/>
    <w:basedOn w:val="1"/>
    <w:next w:val="1"/>
    <w:link w:val="28"/>
    <w:qFormat/>
    <w:uiPriority w:val="0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6"/>
    <w:qFormat/>
    <w:uiPriority w:val="22"/>
    <w:rPr>
      <w:b/>
      <w:bCs/>
    </w:rPr>
  </w:style>
  <w:style w:type="character" w:styleId="9">
    <w:name w:val="annotation reference"/>
    <w:basedOn w:val="6"/>
    <w:semiHidden/>
    <w:unhideWhenUsed/>
    <w:qFormat/>
    <w:uiPriority w:val="99"/>
    <w:rPr>
      <w:sz w:val="16"/>
      <w:szCs w:val="16"/>
    </w:rPr>
  </w:style>
  <w:style w:type="character" w:styleId="10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Emphasis"/>
    <w:basedOn w:val="6"/>
    <w:qFormat/>
    <w:uiPriority w:val="20"/>
    <w:rPr>
      <w:i/>
      <w:iCs/>
    </w:rPr>
  </w:style>
  <w:style w:type="character" w:styleId="12">
    <w:name w:val="Hyperlink"/>
    <w:basedOn w:val="6"/>
    <w:semiHidden/>
    <w:unhideWhenUsed/>
    <w:uiPriority w:val="99"/>
    <w:rPr>
      <w:color w:val="0000FF"/>
      <w:u w:val="single"/>
    </w:rPr>
  </w:style>
  <w:style w:type="character" w:styleId="13">
    <w:name w:val="page number"/>
    <w:qFormat/>
    <w:uiPriority w:val="0"/>
  </w:style>
  <w:style w:type="paragraph" w:styleId="14">
    <w:name w:val="List"/>
    <w:basedOn w:val="15"/>
    <w:uiPriority w:val="0"/>
    <w:rPr>
      <w:rFonts w:cs="Arial"/>
    </w:rPr>
  </w:style>
  <w:style w:type="paragraph" w:styleId="15">
    <w:name w:val="Body Text"/>
    <w:basedOn w:val="1"/>
    <w:qFormat/>
    <w:uiPriority w:val="0"/>
    <w:pPr>
      <w:spacing w:after="140" w:line="276" w:lineRule="auto"/>
    </w:pPr>
  </w:style>
  <w:style w:type="paragraph" w:styleId="16">
    <w:name w:val="annotation text"/>
    <w:basedOn w:val="1"/>
    <w:link w:val="40"/>
    <w:semiHidden/>
    <w:unhideWhenUsed/>
    <w:qFormat/>
    <w:uiPriority w:val="99"/>
  </w:style>
  <w:style w:type="paragraph" w:styleId="17">
    <w:name w:val="Body Text Indent 2"/>
    <w:basedOn w:val="1"/>
    <w:link w:val="30"/>
    <w:qFormat/>
    <w:uiPriority w:val="0"/>
    <w:pPr>
      <w:ind w:left="3686"/>
      <w:jc w:val="both"/>
    </w:pPr>
    <w:rPr>
      <w:rFonts w:ascii="Arial" w:hAnsi="Arial"/>
      <w:b/>
    </w:rPr>
  </w:style>
  <w:style w:type="paragraph" w:styleId="18">
    <w:name w:val="Title"/>
    <w:basedOn w:val="1"/>
    <w:next w:val="15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19">
    <w:name w:val="Normal (Web)"/>
    <w:basedOn w:val="1"/>
    <w:semiHidden/>
    <w:unhideWhenUsed/>
    <w:qFormat/>
    <w:uiPriority w:val="99"/>
    <w:pPr>
      <w:spacing w:beforeAutospacing="1" w:afterAutospacing="1"/>
    </w:pPr>
    <w:rPr>
      <w:sz w:val="24"/>
      <w:szCs w:val="24"/>
    </w:rPr>
  </w:style>
  <w:style w:type="paragraph" w:styleId="20">
    <w:name w:val="header"/>
    <w:basedOn w:val="1"/>
    <w:link w:val="32"/>
    <w:unhideWhenUsed/>
    <w:uiPriority w:val="99"/>
    <w:pPr>
      <w:tabs>
        <w:tab w:val="center" w:pos="4252"/>
        <w:tab w:val="right" w:pos="8504"/>
      </w:tabs>
    </w:pPr>
  </w:style>
  <w:style w:type="paragraph" w:styleId="21">
    <w:name w:val="annotation subject"/>
    <w:basedOn w:val="16"/>
    <w:next w:val="16"/>
    <w:link w:val="41"/>
    <w:semiHidden/>
    <w:unhideWhenUsed/>
    <w:qFormat/>
    <w:uiPriority w:val="99"/>
    <w:rPr>
      <w:b/>
      <w:bCs/>
    </w:rPr>
  </w:style>
  <w:style w:type="paragraph" w:styleId="22">
    <w:name w:val="footer"/>
    <w:basedOn w:val="1"/>
    <w:link w:val="33"/>
    <w:unhideWhenUsed/>
    <w:qFormat/>
    <w:uiPriority w:val="99"/>
    <w:pPr>
      <w:tabs>
        <w:tab w:val="center" w:pos="4252"/>
        <w:tab w:val="right" w:pos="8504"/>
      </w:tabs>
    </w:pPr>
  </w:style>
  <w:style w:type="paragraph" w:styleId="23">
    <w:name w:val="caption"/>
    <w:basedOn w:val="1"/>
    <w:next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24">
    <w:name w:val="Balloon Text"/>
    <w:basedOn w:val="1"/>
    <w:link w:val="3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25">
    <w:name w:val="footnote text"/>
    <w:basedOn w:val="1"/>
    <w:link w:val="46"/>
    <w:semiHidden/>
    <w:unhideWhenUsed/>
    <w:uiPriority w:val="99"/>
  </w:style>
  <w:style w:type="paragraph" w:styleId="26">
    <w:name w:val="Body Text Indent"/>
    <w:basedOn w:val="1"/>
    <w:link w:val="29"/>
    <w:qFormat/>
    <w:uiPriority w:val="0"/>
    <w:pPr>
      <w:ind w:left="426" w:hanging="426"/>
    </w:pPr>
  </w:style>
  <w:style w:type="table" w:styleId="27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8">
    <w:name w:val="Título 7 Char"/>
    <w:basedOn w:val="6"/>
    <w:link w:val="5"/>
    <w:qFormat/>
    <w:uiPriority w:val="0"/>
    <w:rPr>
      <w:rFonts w:ascii="Arial" w:hAnsi="Arial" w:eastAsia="Times New Roman" w:cs="Times New Roman"/>
      <w:b/>
      <w:sz w:val="28"/>
      <w:szCs w:val="20"/>
      <w:u w:val="single"/>
      <w:lang w:val="pt-PT"/>
    </w:rPr>
  </w:style>
  <w:style w:type="character" w:customStyle="1" w:styleId="29">
    <w:name w:val="Recuo de corpo de texto Char"/>
    <w:basedOn w:val="6"/>
    <w:link w:val="26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0">
    <w:name w:val="Recuo de corpo de texto 2 Char"/>
    <w:basedOn w:val="6"/>
    <w:link w:val="17"/>
    <w:qFormat/>
    <w:uiPriority w:val="0"/>
    <w:rPr>
      <w:rFonts w:ascii="Arial" w:hAnsi="Arial" w:eastAsia="Times New Roman" w:cs="Times New Roman"/>
      <w:b/>
      <w:sz w:val="20"/>
      <w:szCs w:val="20"/>
    </w:rPr>
  </w:style>
  <w:style w:type="character" w:customStyle="1" w:styleId="31">
    <w:name w:val="Texto de balão Char"/>
    <w:basedOn w:val="6"/>
    <w:link w:val="24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character" w:customStyle="1" w:styleId="32">
    <w:name w:val="Cabeçalho Char"/>
    <w:basedOn w:val="6"/>
    <w:link w:val="20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3">
    <w:name w:val="Rodapé Char"/>
    <w:basedOn w:val="6"/>
    <w:link w:val="22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Título 1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  <w:lang w:eastAsia="pt-BR"/>
    </w:rPr>
  </w:style>
  <w:style w:type="character" w:customStyle="1" w:styleId="35">
    <w:name w:val="Fonte parág. padrão6"/>
    <w:qFormat/>
    <w:uiPriority w:val="0"/>
  </w:style>
  <w:style w:type="character" w:customStyle="1" w:styleId="36">
    <w:name w:val="Título 2 Char"/>
    <w:basedOn w:val="6"/>
    <w:link w:val="3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26"/>
      <w:szCs w:val="26"/>
      <w:lang w:eastAsia="pt-BR"/>
    </w:rPr>
  </w:style>
  <w:style w:type="character" w:customStyle="1" w:styleId="37">
    <w:name w:val="Título 4 Char"/>
    <w:basedOn w:val="6"/>
    <w:link w:val="4"/>
    <w:semiHidden/>
    <w:qFormat/>
    <w:uiPriority w:val="9"/>
    <w:rPr>
      <w:rFonts w:asciiTheme="majorHAnsi" w:hAnsiTheme="majorHAnsi" w:eastAsiaTheme="majorEastAsia" w:cstheme="majorBidi"/>
      <w:i/>
      <w:iCs/>
      <w:color w:val="376092" w:themeColor="accent1" w:themeShade="BF"/>
      <w:sz w:val="20"/>
      <w:szCs w:val="20"/>
      <w:lang w:eastAsia="pt-BR"/>
    </w:rPr>
  </w:style>
  <w:style w:type="character" w:customStyle="1" w:styleId="38">
    <w:name w:val="Link da Internet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39">
    <w:name w:val="qtip-link"/>
    <w:basedOn w:val="6"/>
    <w:qFormat/>
    <w:uiPriority w:val="0"/>
  </w:style>
  <w:style w:type="character" w:customStyle="1" w:styleId="40">
    <w:name w:val="Texto de comentário Char"/>
    <w:basedOn w:val="6"/>
    <w:link w:val="16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1">
    <w:name w:val="Assunto do comentário Char"/>
    <w:basedOn w:val="40"/>
    <w:link w:val="21"/>
    <w:semiHidden/>
    <w:qFormat/>
    <w:uiPriority w:val="99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42">
    <w:name w:val="m_7892110431564642023ttulo2char"/>
    <w:basedOn w:val="6"/>
    <w:qFormat/>
    <w:uiPriority w:val="0"/>
  </w:style>
  <w:style w:type="character" w:customStyle="1" w:styleId="43">
    <w:name w:val="WW8Num5z3"/>
    <w:qFormat/>
    <w:uiPriority w:val="0"/>
    <w:rPr>
      <w:rFonts w:ascii="Symbol" w:hAnsi="Symbol" w:cs="Symbol"/>
    </w:rPr>
  </w:style>
  <w:style w:type="character" w:customStyle="1" w:styleId="44">
    <w:name w:val="WW8Num5z4"/>
    <w:qFormat/>
    <w:uiPriority w:val="0"/>
    <w:rPr>
      <w:rFonts w:ascii="Courier New" w:hAnsi="Courier New" w:cs="Courier New"/>
    </w:rPr>
  </w:style>
  <w:style w:type="character" w:customStyle="1" w:styleId="45">
    <w:name w:val="WW8Num6z0"/>
    <w:qFormat/>
    <w:uiPriority w:val="0"/>
    <w:rPr>
      <w:rFonts w:ascii="Times New Roman" w:hAnsi="Times New Roman" w:cs="Times New Roman"/>
    </w:rPr>
  </w:style>
  <w:style w:type="character" w:customStyle="1" w:styleId="46">
    <w:name w:val="Texto de nota de rodapé Char"/>
    <w:basedOn w:val="6"/>
    <w:link w:val="25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7">
    <w:name w:val="Âncora da nota de rodapé"/>
    <w:uiPriority w:val="0"/>
    <w:rPr>
      <w:vertAlign w:val="superscript"/>
    </w:rPr>
  </w:style>
  <w:style w:type="character" w:customStyle="1" w:styleId="48">
    <w:name w:val="Footnote Characters"/>
    <w:basedOn w:val="6"/>
    <w:semiHidden/>
    <w:unhideWhenUsed/>
    <w:qFormat/>
    <w:uiPriority w:val="99"/>
    <w:rPr>
      <w:vertAlign w:val="superscript"/>
    </w:rPr>
  </w:style>
  <w:style w:type="character" w:customStyle="1" w:styleId="49">
    <w:name w:val="Caracteres de nota de rodapé"/>
    <w:qFormat/>
    <w:uiPriority w:val="0"/>
  </w:style>
  <w:style w:type="character" w:customStyle="1" w:styleId="50">
    <w:name w:val="Âncora da nota de fim"/>
    <w:uiPriority w:val="0"/>
    <w:rPr>
      <w:vertAlign w:val="superscript"/>
    </w:rPr>
  </w:style>
  <w:style w:type="character" w:customStyle="1" w:styleId="51">
    <w:name w:val="Caracteres de nota de fim"/>
    <w:qFormat/>
    <w:uiPriority w:val="0"/>
  </w:style>
  <w:style w:type="paragraph" w:customStyle="1" w:styleId="52">
    <w:name w:val="Índice"/>
    <w:basedOn w:val="1"/>
    <w:qFormat/>
    <w:uiPriority w:val="0"/>
    <w:pPr>
      <w:suppressLineNumbers/>
    </w:pPr>
    <w:rPr>
      <w:rFonts w:cs="Arial"/>
    </w:rPr>
  </w:style>
  <w:style w:type="paragraph" w:customStyle="1" w:styleId="53">
    <w:name w:val="ParaPrinc"/>
    <w:basedOn w:val="1"/>
    <w:qFormat/>
    <w:uiPriority w:val="0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customStyle="1" w:styleId="54">
    <w:name w:val="Default"/>
    <w:qFormat/>
    <w:uiPriority w:val="0"/>
    <w:rPr>
      <w:rFonts w:ascii="Arial" w:hAnsi="Arial" w:eastAsia="Times New Roman" w:cs="Arial"/>
      <w:color w:val="000000"/>
      <w:sz w:val="24"/>
      <w:szCs w:val="24"/>
      <w:lang w:val="pt-BR" w:eastAsia="pt-BR" w:bidi="ar-SA"/>
    </w:rPr>
  </w:style>
  <w:style w:type="paragraph" w:customStyle="1" w:styleId="55">
    <w:name w:val="WW-Recuo de corpo de texto 2"/>
    <w:basedOn w:val="1"/>
    <w:qFormat/>
    <w:uiPriority w:val="0"/>
    <w:pPr>
      <w:suppressAutoHyphens/>
      <w:ind w:firstLine="708"/>
      <w:jc w:val="both"/>
    </w:pPr>
    <w:rPr>
      <w:b/>
    </w:rPr>
  </w:style>
  <w:style w:type="paragraph" w:customStyle="1" w:styleId="56">
    <w:name w:val="Contrato"/>
    <w:basedOn w:val="1"/>
    <w:qFormat/>
    <w:uiPriority w:val="0"/>
    <w:pPr>
      <w:spacing w:after="240"/>
      <w:jc w:val="both"/>
    </w:pPr>
    <w:rPr>
      <w:sz w:val="24"/>
    </w:rPr>
  </w:style>
  <w:style w:type="paragraph" w:customStyle="1" w:styleId="57">
    <w:name w:val="Cabeçalho e Rodapé"/>
    <w:basedOn w:val="1"/>
    <w:qFormat/>
    <w:uiPriority w:val="0"/>
  </w:style>
  <w:style w:type="paragraph" w:styleId="58">
    <w:name w:val="List Paragraph"/>
    <w:basedOn w:val="1"/>
    <w:qFormat/>
    <w:uiPriority w:val="34"/>
    <w:pPr>
      <w:ind w:left="720"/>
      <w:contextualSpacing/>
    </w:pPr>
  </w:style>
  <w:style w:type="paragraph" w:customStyle="1" w:styleId="59">
    <w:name w:val="Parágrafo da Lista1"/>
    <w:basedOn w:val="1"/>
    <w:qFormat/>
    <w:uiPriority w:val="0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60">
    <w:name w:val="_A010165"/>
    <w:qFormat/>
    <w:uiPriority w:val="0"/>
    <w:pPr>
      <w:tabs>
        <w:tab w:val="left" w:pos="937"/>
      </w:tabs>
      <w:suppressAutoHyphens/>
      <w:jc w:val="both"/>
    </w:pPr>
    <w:rPr>
      <w:rFonts w:ascii="Arial" w:hAnsi="Arial" w:eastAsia="Times New Roman" w:cs="Times New Roman"/>
      <w:color w:val="000000"/>
      <w:lang w:val="pt-BR" w:eastAsia="ar-SA" w:bidi="ar-SA"/>
    </w:rPr>
  </w:style>
  <w:style w:type="paragraph" w:customStyle="1" w:styleId="61">
    <w:name w:val="Table Paragraph"/>
    <w:basedOn w:val="1"/>
    <w:qFormat/>
    <w:uiPriority w:val="1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62">
    <w:name w:val="rtejustify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3">
    <w:name w:val="rtecenter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4">
    <w:name w:val="rteindent1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5">
    <w:name w:val="texto_justificado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6">
    <w:name w:val="Conteúdo do quadro"/>
    <w:basedOn w:val="1"/>
    <w:qFormat/>
    <w:uiPriority w:val="0"/>
  </w:style>
  <w:style w:type="table" w:customStyle="1" w:styleId="67">
    <w:name w:val="Tabela de Grade 4 - Ênfase 31"/>
    <w:basedOn w:val="7"/>
    <w:uiPriority w:val="49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68">
    <w:name w:val="Tabela de Lista 3 - Ênfase 31"/>
    <w:basedOn w:val="7"/>
    <w:qFormat/>
    <w:uiPriority w:val="48"/>
    <w:tblPr>
      <w:tblBorders>
        <w:top w:val="single" w:color="9BBB59" w:themeColor="accent3" w:sz="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9BBB59" w:themeColor="accent3" w:sz="4" w:space="0"/>
          <w:right w:val="single" w:color="9BBB59" w:themeColor="accent3" w:sz="4" w:space="0"/>
        </w:tcBorders>
      </w:tcPr>
    </w:tblStylePr>
    <w:tblStylePr w:type="band1Horz">
      <w:tcPr>
        <w:tcBorders>
          <w:top w:val="single" w:color="9BBB59" w:themeColor="accent3" w:sz="4" w:space="0"/>
          <w:bottom w:val="single" w:color="9BBB59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9BBB59" w:themeColor="accent3" w:sz="4" w:space="0"/>
          <w:left w:val="nil"/>
        </w:tcBorders>
      </w:tcPr>
    </w:tblStylePr>
    <w:tblStylePr w:type="swCell">
      <w:tcPr>
        <w:tcBorders>
          <w:top w:val="double" w:color="9BBB59" w:themeColor="accent3" w:sz="4" w:space="0"/>
          <w:right w:val="nil"/>
        </w:tcBorders>
      </w:tcPr>
    </w:tblStylePr>
  </w:style>
  <w:style w:type="table" w:customStyle="1" w:styleId="69">
    <w:name w:val="Tabela de Grade 6 Colorida - Ênfase 31"/>
    <w:basedOn w:val="7"/>
    <w:qFormat/>
    <w:uiPriority w:val="51"/>
    <w:rPr>
      <w:color w:val="77933C" w:themeColor="accent3" w:themeShade="BF"/>
    </w:rPr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9BBB59" w:themeColor="accent3" w:sz="12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70">
    <w:name w:val="Tabela de Grade 4 - Ênfase 11"/>
    <w:basedOn w:val="7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1">
    <w:name w:val="Grid Table 4 Accent 1"/>
    <w:basedOn w:val="7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2">
    <w:name w:val="Grid Table 5 Dark Accent 1"/>
    <w:basedOn w:val="7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4D733A-D005-4F7B-8526-FBAE27407E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2898</Words>
  <Characters>15652</Characters>
  <Lines>130</Lines>
  <Paragraphs>37</Paragraphs>
  <TotalTime>3</TotalTime>
  <ScaleCrop>false</ScaleCrop>
  <LinksUpToDate>false</LinksUpToDate>
  <CharactersWithSpaces>18513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2024-12-15T01:26:00Z</dcterms:created>
  <dc:creator>bteixeira</dc:creator>
  <cp:lastModifiedBy>jubor</cp:lastModifiedBy>
  <cp:lastPrinted>2024-06-18T01:53:00Z</cp:lastPrinted>
  <dcterms:modified xsi:type="dcterms:W3CDTF">2025-01-28T18:02:22Z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1046-12.2.0.19805</vt:lpwstr>
  </property>
  <property fmtid="{D5CDD505-2E9C-101B-9397-08002B2CF9AE}" pid="9" name="ICV">
    <vt:lpwstr>F43EC5D11F8341BCA4071A96CDC1D5E6_12</vt:lpwstr>
  </property>
</Properties>
</file>