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uppressLineNumbers/>
        <w:spacing w:before="0" w:line="276" w:lineRule="auto"/>
        <w:ind w:left="567" w:hanging="567"/>
        <w:contextualSpacing/>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keepNext/>
        <w:keepLines/>
        <w:suppressLineNumbers/>
        <w:tabs>
          <w:tab w:val="left" w:pos="6284"/>
        </w:tabs>
        <w:ind w:left="567" w:hanging="567"/>
        <w:contextualSpacing/>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uppressLineNumbers/>
        <w:spacing w:before="0"/>
        <w:ind w:left="567" w:hanging="567"/>
        <w:contextualSpacing/>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keepNext/>
        <w:keepLines/>
        <w:suppressLineNumbers/>
        <w:ind w:left="567" w:hanging="567"/>
        <w:contextualSpacing/>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keepNext/>
        <w:keepLines/>
        <w:suppressLineNumbers/>
        <w:spacing w:after="120" w:line="276" w:lineRule="auto"/>
        <w:ind w:left="567" w:right="-15" w:hanging="567"/>
        <w:contextualSpacing/>
        <w:rPr>
          <w:rFonts w:asciiTheme="minorHAnsi" w:hAnsiTheme="minorHAnsi" w:cstheme="minorHAnsi"/>
          <w:b/>
          <w:bCs/>
          <w:sz w:val="22"/>
          <w:szCs w:val="22"/>
        </w:rPr>
      </w:pPr>
    </w:p>
    <w:p w14:paraId="653E43E2">
      <w:pPr>
        <w:pStyle w:val="29"/>
        <w:keepNext/>
        <w:keepLines/>
        <w:suppressLineNumbers/>
        <w:suppressAutoHyphens/>
        <w:ind w:left="567" w:hanging="567"/>
        <w:contextualSpacing/>
        <w:rPr>
          <w:rFonts w:asciiTheme="minorHAnsi" w:hAnsiTheme="minorHAnsi" w:cstheme="minorHAnsi"/>
          <w:b/>
          <w:bCs/>
          <w:sz w:val="22"/>
          <w:szCs w:val="22"/>
        </w:rPr>
      </w:pPr>
    </w:p>
    <w:p w14:paraId="46AFE12B">
      <w:pPr>
        <w:keepNext/>
        <w:keepLines/>
        <w:suppressLineNumbers/>
        <w:spacing w:after="288" w:afterLines="120" w:line="312" w:lineRule="auto"/>
        <w:ind w:left="567" w:hanging="567"/>
        <w:contextualSpacing/>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V</w:t>
      </w:r>
      <w:r>
        <w:rPr>
          <w:rFonts w:asciiTheme="minorHAnsi" w:hAnsiTheme="minorHAnsi" w:cstheme="minorHAnsi"/>
          <w:b/>
          <w:bCs/>
          <w:color w:val="FF0000"/>
          <w:sz w:val="22"/>
          <w:szCs w:val="22"/>
        </w:rPr>
        <w:t xml:space="preserve">II – CE. </w:t>
      </w:r>
      <w:r>
        <w:rPr>
          <w:rFonts w:hint="default" w:asciiTheme="minorHAnsi" w:hAnsiTheme="minorHAnsi" w:cstheme="minorHAnsi"/>
          <w:b/>
          <w:bCs/>
          <w:color w:val="FF0000"/>
          <w:sz w:val="22"/>
          <w:szCs w:val="22"/>
          <w:lang w:val="pt-BR"/>
        </w:rPr>
        <w:t>90.004</w:t>
      </w:r>
      <w:r>
        <w:rPr>
          <w:rFonts w:asciiTheme="minorHAnsi" w:hAnsiTheme="minorHAnsi" w:cstheme="minorHAnsi"/>
          <w:b/>
          <w:bCs/>
          <w:color w:val="FF0000"/>
          <w:sz w:val="22"/>
          <w:szCs w:val="22"/>
        </w:rPr>
        <w:t>/2024 – MINUTA DO TERMO DE CONTRATO</w:t>
      </w:r>
    </w:p>
    <w:p w14:paraId="0183C6AD">
      <w:pPr>
        <w:keepNext/>
        <w:keepLines/>
        <w:suppressLineNumbers/>
        <w:spacing w:after="288" w:afterLines="120" w:line="312" w:lineRule="auto"/>
        <w:ind w:left="567" w:hanging="567"/>
        <w:contextualSpacing/>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xml:space="preserve">° </w:t>
      </w:r>
      <w:r>
        <w:rPr>
          <w:rFonts w:asciiTheme="minorHAnsi" w:hAnsiTheme="minorHAnsi" w:cstheme="minorHAnsi"/>
          <w:sz w:val="22"/>
          <w:szCs w:val="22"/>
        </w:rPr>
        <w:t>23069.175801/2024-14</w:t>
      </w:r>
      <w:r>
        <w:rPr>
          <w:rFonts w:asciiTheme="minorHAnsi" w:hAnsiTheme="minorHAnsi" w:cstheme="minorHAnsi"/>
          <w:bCs/>
          <w:sz w:val="22"/>
          <w:szCs w:val="22"/>
        </w:rPr>
        <w:t>)</w:t>
      </w:r>
    </w:p>
    <w:p w14:paraId="37698BDA">
      <w:pPr>
        <w:pStyle w:val="504"/>
        <w:keepNext/>
        <w:keepLines/>
        <w:suppressLineNumbers/>
        <w:suppressAutoHyphens/>
        <w:spacing w:before="0" w:after="288" w:afterLines="120" w:line="312" w:lineRule="auto"/>
        <w:ind w:left="5670" w:hanging="6"/>
        <w:contextualSpacing/>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keepNext/>
        <w:keepLines/>
        <w:suppressLineNumbers/>
        <w:spacing w:after="288" w:afterLines="120" w:line="312" w:lineRule="auto"/>
        <w:ind w:left="284"/>
        <w:contextualSpacing/>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sz w:val="22"/>
          <w:szCs w:val="22"/>
        </w:rPr>
        <w:t xml:space="preserve">23069.175801/2024-14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da Concorrência Eletrônica n</w:t>
      </w:r>
      <w:r>
        <w:rPr>
          <w:rFonts w:hint="default" w:eastAsia="Arial" w:asciiTheme="minorHAnsi" w:hAnsiTheme="minorHAnsi" w:cstheme="minorHAnsi"/>
          <w:i/>
          <w:iCs/>
          <w:sz w:val="22"/>
          <w:szCs w:val="22"/>
          <w:lang w:val="pt-BR"/>
        </w:rPr>
        <w:t xml:space="preserve"> 90.004/</w:t>
      </w:r>
      <w:r>
        <w:rPr>
          <w:rFonts w:eastAsia="Arial" w:asciiTheme="minorHAnsi" w:hAnsiTheme="minorHAnsi" w:cstheme="minorHAnsi"/>
          <w:i/>
          <w:iCs/>
          <w:sz w:val="22"/>
          <w:szCs w:val="22"/>
        </w:rPr>
        <w:t>2024,</w:t>
      </w:r>
      <w:r>
        <w:rPr>
          <w:rFonts w:eastAsia="Arial" w:asciiTheme="minorHAnsi" w:hAnsiTheme="minorHAnsi" w:cstheme="minorHAnsi"/>
          <w:sz w:val="22"/>
          <w:szCs w:val="22"/>
        </w:rPr>
        <w:t xml:space="preserve"> mediante as cláusulas e condições a seguir enunciadas.</w:t>
      </w:r>
    </w:p>
    <w:p w14:paraId="386E9A7C">
      <w:pPr>
        <w:pStyle w:val="492"/>
        <w:numPr>
          <w:ilvl w:val="0"/>
          <w:numId w:val="8"/>
        </w:numPr>
        <w:spacing w:before="120" w:after="288" w:afterLines="120" w:line="312" w:lineRule="auto"/>
        <w:ind w:left="0" w:firstLine="0"/>
        <w:rPr>
          <w:color w:val="FFFFFF" w:themeColor="background1"/>
          <w14:textFill>
            <w14:solidFill>
              <w14:schemeClr w14:val="bg1"/>
            </w14:solidFill>
          </w14:textFill>
        </w:rPr>
      </w:pPr>
      <w:r>
        <w:t>CLÁUSULA PRIMEIRA – OBJETO (</w:t>
      </w:r>
      <w:r>
        <w:fldChar w:fldCharType="begin"/>
      </w:r>
      <w:r>
        <w:instrText xml:space="preserve"> HYPERLINK "http://www.planalto.gov.br/ccivil_03/_ato2019-2022/2021/lei/L14133.htm" \l "art92" </w:instrText>
      </w:r>
      <w:r>
        <w:fldChar w:fldCharType="separate"/>
      </w:r>
      <w:r>
        <w:rPr>
          <w:rStyle w:val="18"/>
        </w:rPr>
        <w:t>art. 92, I e II</w:t>
      </w:r>
      <w:r>
        <w:rPr>
          <w:rStyle w:val="18"/>
        </w:rPr>
        <w:fldChar w:fldCharType="end"/>
      </w:r>
      <w:r>
        <w:t>)</w:t>
      </w:r>
    </w:p>
    <w:p w14:paraId="0629488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objeto do presente instrumento é </w:t>
      </w:r>
      <w:r>
        <w:rPr>
          <w:rFonts w:asciiTheme="minorHAnsi" w:hAnsiTheme="minorHAnsi" w:cstheme="minorHAnsi"/>
          <w:sz w:val="22"/>
          <w:szCs w:val="22"/>
          <w:lang w:val="en-US" w:eastAsia="zh-CN"/>
        </w:rPr>
        <w:t xml:space="preserve">Contratação de obra, com fornecimento de materiais e mão-de-obra para construção de quadra poliesportiva </w:t>
      </w:r>
      <w:r>
        <w:rPr>
          <w:rFonts w:hint="default" w:asciiTheme="minorHAnsi" w:hAnsiTheme="minorHAnsi" w:cstheme="minorHAnsi"/>
          <w:sz w:val="22"/>
          <w:szCs w:val="22"/>
          <w:lang w:val="en-US" w:eastAsia="zh-CN"/>
        </w:rPr>
        <w:t>no campus da Universidade Federal Fluminense em Santo Antônio de Pádua, localizado à Estr. João Jasbick s/n, Bairro Aeroporto, Santo Antônio de Pádua/RJ</w:t>
      </w:r>
      <w:r>
        <w:rPr>
          <w:rFonts w:asciiTheme="minorHAnsi" w:hAnsiTheme="minorHAnsi" w:cstheme="minorHAnsi"/>
          <w:sz w:val="22"/>
          <w:szCs w:val="22"/>
        </w:rPr>
        <w:t>, conforme condições estabelecidas no Termo de Referência.</w:t>
      </w:r>
    </w:p>
    <w:p w14:paraId="78D0802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7512"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fixed"/>
        <w:tblCellMar>
          <w:top w:w="0" w:type="dxa"/>
          <w:left w:w="108" w:type="dxa"/>
          <w:bottom w:w="0" w:type="dxa"/>
          <w:right w:w="108" w:type="dxa"/>
        </w:tblCellMar>
      </w:tblPr>
      <w:tblGrid>
        <w:gridCol w:w="2554"/>
        <w:gridCol w:w="1277"/>
        <w:gridCol w:w="1134"/>
        <w:gridCol w:w="1558"/>
        <w:gridCol w:w="989"/>
      </w:tblGrid>
      <w:tr w14:paraId="2D40424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255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9C6522D">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ESPECIFICAÇÃO</w:t>
            </w:r>
          </w:p>
        </w:tc>
        <w:tc>
          <w:tcPr>
            <w:tcW w:w="127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84B4A70">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CATSER</w:t>
            </w:r>
          </w:p>
        </w:tc>
        <w:tc>
          <w:tcPr>
            <w:tcW w:w="113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B73661B">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UNIDADE DE MEDIDA</w:t>
            </w:r>
          </w:p>
        </w:tc>
        <w:tc>
          <w:tcPr>
            <w:tcW w:w="1558"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520F539">
            <w:pPr>
              <w:widowControl w:val="0"/>
              <w:spacing w:before="120" w:after="288" w:afterLines="120" w:line="276" w:lineRule="auto"/>
              <w:jc w:val="center"/>
              <w:rPr>
                <w:rFonts w:eastAsia="Arial" w:asciiTheme="minorHAnsi" w:hAnsiTheme="minorHAnsi" w:cstheme="minorHAnsi"/>
                <w:b w:val="0"/>
                <w:bCs w:val="0"/>
                <w:color w:val="auto"/>
                <w:sz w:val="22"/>
                <w:szCs w:val="22"/>
              </w:rPr>
            </w:pPr>
            <w:r>
              <w:rPr>
                <w:rFonts w:eastAsia="Arial" w:asciiTheme="minorHAnsi" w:hAnsiTheme="minorHAnsi" w:cstheme="minorHAnsi"/>
                <w:b/>
                <w:bCs/>
                <w:color w:val="auto"/>
                <w:sz w:val="22"/>
                <w:szCs w:val="22"/>
              </w:rPr>
              <w:t>QUANTIDADE</w:t>
            </w:r>
          </w:p>
        </w:tc>
        <w:tc>
          <w:tcPr>
            <w:tcW w:w="989"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633617E9">
            <w:pPr>
              <w:widowControl w:val="0"/>
              <w:spacing w:before="120" w:after="288" w:afterLines="120" w:line="276" w:lineRule="auto"/>
              <w:jc w:val="center"/>
              <w:rPr>
                <w:rFonts w:eastAsia="Arial" w:asciiTheme="minorHAnsi" w:hAnsiTheme="minorHAnsi" w:cstheme="minorHAnsi"/>
                <w:b w:val="0"/>
                <w:bCs w:val="0"/>
                <w:color w:val="auto"/>
                <w:sz w:val="22"/>
                <w:szCs w:val="22"/>
              </w:rPr>
            </w:pPr>
            <w:r>
              <w:rPr>
                <w:rFonts w:eastAsia="Arial" w:asciiTheme="minorHAnsi" w:hAnsiTheme="minorHAnsi" w:cstheme="minorHAnsi"/>
                <w:b/>
                <w:bCs/>
                <w:color w:val="auto"/>
                <w:sz w:val="22"/>
                <w:szCs w:val="22"/>
              </w:rPr>
              <w:t>VALOR TOTAL</w:t>
            </w:r>
          </w:p>
        </w:tc>
      </w:tr>
      <w:tr w14:paraId="1C6E938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2554" w:type="dxa"/>
            <w:shd w:val="clear" w:color="auto" w:fill="DBE5F1" w:themeFill="accent1" w:themeFillTint="33"/>
          </w:tcPr>
          <w:p w14:paraId="7D8FBE7F">
            <w:pPr>
              <w:widowControl w:val="0"/>
              <w:spacing w:before="120" w:after="288" w:afterLines="120" w:line="276" w:lineRule="auto"/>
              <w:jc w:val="both"/>
              <w:rPr>
                <w:rFonts w:hint="default" w:eastAsia="Arial" w:asciiTheme="minorHAnsi" w:hAnsiTheme="minorHAnsi" w:cstheme="minorHAnsi"/>
                <w:color w:val="000000"/>
                <w:sz w:val="22"/>
                <w:szCs w:val="22"/>
                <w:lang w:val="pt-BR"/>
              </w:rPr>
            </w:pPr>
            <w:r>
              <w:rPr>
                <w:rFonts w:asciiTheme="minorHAnsi" w:hAnsiTheme="minorHAnsi" w:cstheme="minorHAnsi"/>
                <w:sz w:val="22"/>
                <w:szCs w:val="22"/>
                <w:lang w:val="en-US" w:eastAsia="zh-CN"/>
              </w:rPr>
              <w:t xml:space="preserve">Contratação de obra, com fornecimento de materiais e mão-de-obra para construção de quadra poliesportiva </w:t>
            </w:r>
            <w:r>
              <w:rPr>
                <w:rFonts w:hint="default" w:asciiTheme="minorHAnsi" w:hAnsiTheme="minorHAnsi" w:cstheme="minorHAnsi"/>
                <w:sz w:val="22"/>
                <w:szCs w:val="22"/>
                <w:lang w:val="en-US" w:eastAsia="zh-CN"/>
              </w:rPr>
              <w:t>no campus da Universidade Federal Fluminense em Santo Antônio de Pádua, localizado à Estr. João Jasbick s/n, Bairro Aeroporto, Santo Antônio de Pádua/RJ</w:t>
            </w:r>
            <w:r>
              <w:rPr>
                <w:rFonts w:hint="default" w:asciiTheme="minorHAnsi" w:hAnsiTheme="minorHAnsi" w:cstheme="minorHAnsi"/>
                <w:sz w:val="22"/>
                <w:szCs w:val="22"/>
                <w:lang w:val="pt-BR" w:eastAsia="zh-CN"/>
              </w:rPr>
              <w:t>.</w:t>
            </w:r>
            <w:bookmarkStart w:id="10" w:name="_GoBack"/>
            <w:bookmarkEnd w:id="10"/>
          </w:p>
        </w:tc>
        <w:tc>
          <w:tcPr>
            <w:tcW w:w="1277" w:type="dxa"/>
            <w:shd w:val="clear" w:color="auto" w:fill="DBE5F1" w:themeFill="accent1" w:themeFillTint="33"/>
          </w:tcPr>
          <w:p w14:paraId="0E8C171C">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20060</w:t>
            </w:r>
          </w:p>
        </w:tc>
        <w:tc>
          <w:tcPr>
            <w:tcW w:w="1134" w:type="dxa"/>
            <w:shd w:val="clear" w:color="auto" w:fill="DBE5F1" w:themeFill="accent1" w:themeFillTint="33"/>
          </w:tcPr>
          <w:p w14:paraId="2F5F4226">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Serviço</w:t>
            </w:r>
          </w:p>
        </w:tc>
        <w:tc>
          <w:tcPr>
            <w:tcW w:w="1558" w:type="dxa"/>
            <w:shd w:val="clear" w:color="auto" w:fill="DBE5F1" w:themeFill="accent1" w:themeFillTint="33"/>
          </w:tcPr>
          <w:p w14:paraId="74796F63">
            <w:pPr>
              <w:widowControl w:val="0"/>
              <w:spacing w:before="120" w:after="288" w:afterLines="120" w:line="276" w:lineRule="auto"/>
              <w:ind w:firstLine="30"/>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01</w:t>
            </w:r>
          </w:p>
        </w:tc>
        <w:tc>
          <w:tcPr>
            <w:tcW w:w="989" w:type="dxa"/>
            <w:shd w:val="clear" w:color="auto" w:fill="DBE5F1" w:themeFill="accent1" w:themeFillTint="33"/>
          </w:tcPr>
          <w:p w14:paraId="005372FA">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R$</w:t>
            </w:r>
          </w:p>
        </w:tc>
      </w:tr>
    </w:tbl>
    <w:p w14:paraId="47460A9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Vinculam esta contratação, independentemente de transcrição:</w:t>
      </w:r>
    </w:p>
    <w:p w14:paraId="65124809">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O Termo de Referência;</w:t>
      </w:r>
    </w:p>
    <w:p w14:paraId="09625CB0">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O Edital da Licitação;</w:t>
      </w:r>
    </w:p>
    <w:p w14:paraId="1D8A7021">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Proposta do contratado;</w:t>
      </w:r>
    </w:p>
    <w:p w14:paraId="62FC718F">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Eventuais anexos dos documentos supracitados.</w:t>
      </w:r>
    </w:p>
    <w:p w14:paraId="099D776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regime de execução é o de empreitada por preço global.</w:t>
      </w:r>
    </w:p>
    <w:p w14:paraId="78FA9F4E">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SEGUNDA – VIGÊNCIA E PRORROGAÇÃO</w:t>
      </w:r>
    </w:p>
    <w:p w14:paraId="5066F4AE">
      <w:pPr>
        <w:pStyle w:val="498"/>
        <w:numPr>
          <w:ilvl w:val="1"/>
          <w:numId w:val="9"/>
        </w:numPr>
        <w:ind w:left="0" w:firstLine="0"/>
        <w:rPr>
          <w:rFonts w:eastAsia="Arial Unicode MS"/>
          <w:i w:val="0"/>
          <w:iCs w:val="0"/>
          <w:color w:val="auto"/>
        </w:rPr>
      </w:pPr>
      <w:r>
        <w:rPr>
          <w:rFonts w:eastAsia="Arial Unicode MS" w:asciiTheme="minorHAnsi" w:hAnsiTheme="minorHAnsi" w:cstheme="minorHAnsi"/>
          <w:i w:val="0"/>
          <w:iCs w:val="0"/>
          <w:color w:val="auto"/>
          <w:sz w:val="22"/>
          <w:szCs w:val="22"/>
        </w:rPr>
        <w:t xml:space="preserve">O prazo de vigência da contratação é de 10 (quinze) meses contados da assinatura pelas partes, prorrogável por até 10 anos, na forma dos </w:t>
      </w:r>
      <w:r>
        <w:fldChar w:fldCharType="begin"/>
      </w:r>
      <w:r>
        <w:instrText xml:space="preserve"> HYPERLINK "http://www.planalto.gov.br/ccivil_03/_ato2019-2022/2021/lei/L14133.htm" \l "art106" </w:instrText>
      </w:r>
      <w:r>
        <w:fldChar w:fldCharType="separate"/>
      </w:r>
      <w:r>
        <w:fldChar w:fldCharType="begin"/>
      </w:r>
      <w:r>
        <w:instrText xml:space="preserve"> HYPERLINK "http://www.planalto.gov.br/ccivil_03/_ato2019-2022/2021/lei/L14133.htm" \l "art105" </w:instrText>
      </w:r>
      <w:r>
        <w:fldChar w:fldCharType="separate"/>
      </w:r>
      <w:r>
        <w:rPr>
          <w:rFonts w:eastAsia="Arial Unicode MS"/>
          <w:i w:val="0"/>
          <w:iCs w:val="0"/>
          <w:color w:val="auto"/>
        </w:rPr>
        <w:t>do artigo 105 da Lei n° 14.133, de 2021</w:t>
      </w:r>
      <w:r>
        <w:rPr>
          <w:rFonts w:eastAsia="Arial Unicode MS"/>
          <w:i w:val="0"/>
          <w:iCs w:val="0"/>
          <w:color w:val="auto"/>
        </w:rPr>
        <w:fldChar w:fldCharType="end"/>
      </w:r>
      <w:r>
        <w:rPr>
          <w:rFonts w:eastAsia="Arial Unicode MS"/>
          <w:i w:val="0"/>
          <w:iCs w:val="0"/>
          <w:color w:val="auto"/>
        </w:rPr>
        <w:t>.</w:t>
      </w:r>
      <w:r>
        <w:rPr>
          <w:rFonts w:eastAsia="Arial Unicode MS"/>
          <w:i w:val="0"/>
          <w:iCs w:val="0"/>
          <w:color w:val="auto"/>
        </w:rPr>
        <w:fldChar w:fldCharType="end"/>
      </w:r>
    </w:p>
    <w:p w14:paraId="0E2D91A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prazo para execução do objeto será de 06 (seis meses), conforme Cronograma Físico Financeiro.</w:t>
      </w:r>
    </w:p>
    <w:p w14:paraId="38706CB4">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prorrogação de que trata este item é condicionada ao ateste, pela autoridade competente, de que as condições e os preços permanecem vantajosos para a Administração, permitida a negociação com o contratado, </w:t>
      </w:r>
    </w:p>
    <w:p w14:paraId="4C070F6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contratado não tem direito subjetivo à prorrogação contratual.</w:t>
      </w:r>
    </w:p>
    <w:p w14:paraId="45E5DBD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prorrogação de contrato deverá ser promovida mediante celebração de termo aditivo. </w:t>
      </w:r>
    </w:p>
    <w:p w14:paraId="2E70402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contrato não poderá ser prorrogado quando o contratado tiver sido penalizado nas sanções de declaração de inidoneidade ou impedimento de licitar e contratar com poder público, observadas as abrangências de aplicação.</w:t>
      </w:r>
    </w:p>
    <w:p w14:paraId="235A299B">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bookmarkStart w:id="0" w:name="_Hlk114497577"/>
      <w:bookmarkEnd w:id="0"/>
      <w:bookmarkStart w:id="1" w:name="_Hlk114497502"/>
      <w:bookmarkEnd w:id="1"/>
      <w:r>
        <w:rPr>
          <w:rFonts w:asciiTheme="minorHAnsi" w:hAnsiTheme="minorHAnsi" w:cstheme="minorHAnsi"/>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IV, VII e XVIII)</w:t>
      </w:r>
      <w:r>
        <w:rPr>
          <w:rStyle w:val="18"/>
          <w:rFonts w:asciiTheme="minorHAnsi" w:hAnsiTheme="minorHAnsi" w:cstheme="minorHAnsi"/>
          <w:sz w:val="22"/>
          <w:szCs w:val="22"/>
        </w:rPr>
        <w:fldChar w:fldCharType="end"/>
      </w:r>
    </w:p>
    <w:p w14:paraId="54FAE8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524ADFEC">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QUARTA – SUBCONTRATAÇÃO</w:t>
      </w:r>
    </w:p>
    <w:p w14:paraId="1332277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É permitida a subcontratação parcial em até 50% (cinquenta por cento) do total do objeto e apenas quanto a itens que por sua especialização requeiram o emprego de empresas ou profissionais especialmente habilitados, com a prévia anuência por escrito da CONTRATANTE, continuando, porém, a CONTRATADA a responder direta e exclusivamente, pela fiel observância das obrigações contratuais (artigo 10º do Decreto 7.581/2011), nas seguintes condições:</w:t>
      </w:r>
    </w:p>
    <w:p w14:paraId="6C732A95">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Quando permitida a subcontratação, a CONTRATADA deverá apresentar documentação do subcontratado que comprove sua habilitação jurídica, regularidade fiscal e a qualificação técnica necessária à execução da parcela da obra ou do serviço subcontratado. </w:t>
      </w:r>
    </w:p>
    <w:p w14:paraId="12C91F1C">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subcontratação não exclui a responsabilidade da CONTRATADA perante a administração pública quanto à qualidade técnica da obra ou do serviço prestado. </w:t>
      </w:r>
    </w:p>
    <w:p w14:paraId="3BDE6CE5">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Os serviços que estiverem a cargo de empresas subcontratadas serão articulados entre si pela CONTRATADA, de modo a proporcionar andamento harmonioso da obra no seu conjunto. </w:t>
      </w:r>
    </w:p>
    <w:p w14:paraId="47849C8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De nenhum modo a Fiscalização interferirá diretamente junto às empresas subcontratadas. Qualquer notificação ou impugnação de serviço ou material será feita diretamente à CONTRATADA.</w:t>
      </w:r>
    </w:p>
    <w:p w14:paraId="6CFB8220">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CONTRATADA não poderá alegar a subcontratação ou tentar transferir para as subcontratadas a obrigação e responsabilidade perante a CONTRATANTE, de manter e fielmente bem executar o objeto integral contratado. A subcontratação depende de autorização prévia da CONTRATANTE, a quem incumbe avaliar se a subcontratada cumpre os requisitos de qualificação técnica necessários para a execução do objeto. </w:t>
      </w:r>
    </w:p>
    <w:p w14:paraId="4EEE4D8A">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No caso de obras, somente será autorizada a subcontratação de empresas que expressamente aceitem o cumprimento das cláusulas assecuratórias de direitos trabalhistas, previstas na Instrução Normativa SEGES/MP nº 6, de 6 de julho de 2018. </w:t>
      </w:r>
    </w:p>
    <w:p w14:paraId="2F934D1B">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14:paraId="6140146D">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p>
    <w:p w14:paraId="7EC4E285">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QUINTA – PREÇO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003DE8A">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valor total da contratação é de R$.......... (.....)</w:t>
      </w:r>
    </w:p>
    <w:p w14:paraId="7F7CFC1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78DF1142">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valor acima é meramente estimativo, de forma que os pagamentos devidos ao contratado dependerão dos quantitativos efetivamente fornecidos.</w:t>
      </w:r>
    </w:p>
    <w:p w14:paraId="20A5FF33">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 e VI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B3C028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encontram-se definidos no Termo de Referência, anexo a este Contrato.</w:t>
      </w:r>
    </w:p>
    <w:p w14:paraId="68389A1A">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SÉTIMA - REAJUSTE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E7CBAB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Os preços inicialmente contratados são fixos e irreajustáveis no prazo de um ano contado da data do orçamento estimado.</w:t>
      </w:r>
    </w:p>
    <w:p w14:paraId="72143EE5">
      <w:pPr>
        <w:pStyle w:val="101"/>
        <w:numPr>
          <w:ilvl w:val="2"/>
          <w:numId w:val="9"/>
        </w:numPr>
        <w:ind w:left="284" w:firstLine="0"/>
        <w:rPr>
          <w:rFonts w:asciiTheme="minorHAnsi" w:hAnsiTheme="minorHAnsi" w:cstheme="minorHAnsi"/>
          <w:color w:val="auto"/>
          <w:sz w:val="22"/>
          <w:szCs w:val="22"/>
        </w:rPr>
      </w:pPr>
      <w:r>
        <w:rPr>
          <w:rFonts w:asciiTheme="minorHAnsi" w:hAnsiTheme="minorHAnsi" w:cstheme="minorHAnsi"/>
          <w:color w:val="auto"/>
          <w:sz w:val="22"/>
          <w:szCs w:val="22"/>
        </w:rPr>
        <w:t xml:space="preserve">O orçamento estimado pela Administração baseou-se nas planilhas referenciais [elaboradas com base no SINAPI (SICRO) do mês xxxx do ano de yyyy] OU [datadas de ____/ _____/____]. </w:t>
      </w:r>
    </w:p>
    <w:p w14:paraId="0DBDC26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Após o interregno de um ano, e independentemente de pedido do contratado, os preços iniciais serão reajustados, mediante a aplicação, pelo contratante, do índice INCC, exclusivamente para as obrigações iniciadas e concluídas após a ocorrência da anualidade.</w:t>
      </w:r>
    </w:p>
    <w:p w14:paraId="43D833A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Nos reajustes subsequentes ao primeiro, o interregno mínimo de um ano será contado a partir dos efeitos financeiros do último reajuste.</w:t>
      </w:r>
    </w:p>
    <w:p w14:paraId="58424AA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023709B1">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Fica o Contratado obrigado a apresentar memória de cálculo referente ao reajustamento de preços do valor remanescente, sempre que este ocorrer.</w:t>
      </w:r>
    </w:p>
    <w:p w14:paraId="147B8C0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Nas aferições finais, o(s) índice(s) utilizado(s) para reajuste será(ão), obrigatoriamente, o(s) definitivo(s).</w:t>
      </w:r>
    </w:p>
    <w:p w14:paraId="62B8331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Caso o(s) índice(s) estabelecido(s) para reajustamento venha(m) a ser extinto(s) ou de qualquer forma não possa(m) mais ser utilizado(s), será(ão) adotado(s), em substituição, o(s) que vier(em) a ser determinado(s) pela legislação então em vigor.</w:t>
      </w:r>
    </w:p>
    <w:p w14:paraId="4F8C4FC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Na ausência de previsão legal quanto ao índice substituto, as partes elegerão novo índice oficial, para reajustamento do preço do valor remanescente, por meio de termo aditivo. </w:t>
      </w:r>
    </w:p>
    <w:p w14:paraId="54DD19A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reajuste será realizado por apostilamento.</w:t>
      </w:r>
    </w:p>
    <w:p w14:paraId="412EC4E9">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A44E7E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São obrigações do Contratante:</w:t>
      </w:r>
    </w:p>
    <w:p w14:paraId="00823B4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1F29C86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20F9B93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14:paraId="27432EE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576A89A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2D2EA8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Comunicar a empresa para emissão de Nota Fiscal no que se refere à parcela incontroversa da execução do objeto, para efeito de liquidação e pagamento, quando houver controvérsia sobre a execução do objeto, quanto à dimensão, qualidade e quantidade, conforme o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art. 143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200A2A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1D6CFC4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Aplicar ao Contratado as sanções previstas na lei e neste Contrato; </w:t>
      </w:r>
    </w:p>
    <w:p w14:paraId="7917AD6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1C6502D2">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A29EC0E">
      <w:pPr>
        <w:pStyle w:val="101"/>
        <w:numPr>
          <w:ilvl w:val="2"/>
          <w:numId w:val="9"/>
        </w:numPr>
        <w:ind w:left="284" w:firstLine="0"/>
        <w:rPr>
          <w:rFonts w:asciiTheme="minorHAnsi" w:hAnsiTheme="minorHAnsi" w:cstheme="minorHAnsi"/>
          <w:color w:val="auto"/>
          <w:sz w:val="22"/>
          <w:szCs w:val="22"/>
        </w:rPr>
      </w:pPr>
      <w:r>
        <w:rPr>
          <w:rFonts w:asciiTheme="minorHAnsi" w:hAnsiTheme="minorHAnsi" w:cstheme="minorHAnsi"/>
          <w:sz w:val="22"/>
          <w:szCs w:val="22"/>
        </w:rPr>
        <w:t xml:space="preserve"> </w:t>
      </w:r>
      <w:r>
        <w:rPr>
          <w:rFonts w:asciiTheme="minorHAnsi" w:hAnsiTheme="minorHAnsi" w:cstheme="minorHAnsi"/>
          <w:color w:val="auto"/>
          <w:sz w:val="22"/>
          <w:szCs w:val="22"/>
        </w:rPr>
        <w:t xml:space="preserve">A Administração terá o prazo de 30 (trinta) dias, a contar da data do protocolo do requerimento para decidir, admitida a prorrogação motivada, por igual período. </w:t>
      </w:r>
    </w:p>
    <w:p w14:paraId="6551D702">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p>
    <w:p w14:paraId="0FB26695">
      <w:pPr>
        <w:pStyle w:val="498"/>
        <w:numPr>
          <w:ilvl w:val="1"/>
          <w:numId w:val="9"/>
        </w:numPr>
        <w:ind w:left="0" w:firstLine="0"/>
        <w:rPr>
          <w:rFonts w:eastAsia="Arial Unicode MS" w:asciiTheme="minorHAnsi" w:hAnsiTheme="minorHAnsi" w:cstheme="minorHAnsi"/>
          <w:i w:val="0"/>
          <w:iCs w:val="0"/>
          <w:color w:val="auto"/>
          <w:sz w:val="22"/>
          <w:szCs w:val="22"/>
        </w:rPr>
      </w:pPr>
      <w:bookmarkStart w:id="2" w:name="_Hlk114499841"/>
      <w:bookmarkEnd w:id="2"/>
      <w:r>
        <w:rPr>
          <w:rFonts w:eastAsia="Arial Unicode MS" w:asciiTheme="minorHAnsi" w:hAnsiTheme="minorHAnsi" w:cstheme="minorHAnsi"/>
          <w:i w:val="0"/>
          <w:iCs w:val="0"/>
          <w:color w:val="auto"/>
          <w:sz w:val="22"/>
          <w:szCs w:val="22"/>
        </w:rPr>
        <w:t>Notificar os emitentes das garantias quanto ao início de processo administrativo para apuração de descumprimento de cláusulas contratuais.</w:t>
      </w:r>
    </w:p>
    <w:p w14:paraId="4A16297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t>do art. 93, §2º, da Lei nº 14.133, de 2021</w:t>
      </w:r>
      <w:r>
        <w:fldChar w:fldCharType="end"/>
      </w:r>
      <w:r>
        <w:rPr>
          <w:rFonts w:asciiTheme="minorHAnsi" w:hAnsiTheme="minorHAnsi" w:cstheme="minorHAnsi"/>
          <w:sz w:val="22"/>
          <w:szCs w:val="22"/>
        </w:rPr>
        <w:t>.</w:t>
      </w:r>
    </w:p>
    <w:p w14:paraId="4F416AB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Fornecer por escrito as informações necessárias para o desenvolvimento dos serviços objeto do contrato.</w:t>
      </w:r>
    </w:p>
    <w:p w14:paraId="1BA78F9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Realizar avaliações periódicas da qualidade dos serviços, após seu recebimento.</w:t>
      </w:r>
    </w:p>
    <w:p w14:paraId="063CC55D">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Exigir do Contratado que providencie a seguinte documentação como condição indispensável para o recebimento definitivo de objeto, quando for o caso:</w:t>
      </w:r>
    </w:p>
    <w:p w14:paraId="646C4006">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"as built", elaborado pelo responsável por sua execução;</w:t>
      </w:r>
    </w:p>
    <w:p w14:paraId="27E10BB6">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comprovação das ligações definitivas de energia, água, telefone e gás;</w:t>
      </w:r>
    </w:p>
    <w:p w14:paraId="7F8AFD4F">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laudo de vistoria do corpo de bombeiros aprovando o serviço;</w:t>
      </w:r>
    </w:p>
    <w:p w14:paraId="1224C8BF">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carta "habite-se", emitida pela prefeitura; e</w:t>
      </w:r>
    </w:p>
    <w:p w14:paraId="28360368">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certidão negativa de débitos previdenciários específica para o registro da obra junto ao Cartório de Registro de Imóveis;</w:t>
      </w:r>
    </w:p>
    <w:p w14:paraId="3B2D7337">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Arquivar, entre outros documentos, de projetos, "as built", especificações técnicas, orçamentos, termos de recebimento, contratos e aditamentos, relatórios de inspeções técnicas após o recebimento do serviço e notificações expedidas.</w:t>
      </w:r>
    </w:p>
    <w:p w14:paraId="59A9D4E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14:paraId="635A810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Não responder por quaisquer compromissos assumidos pelo Contratado com terceiros, ainda que vinculados à execução do contrato, bem como por qualquer dano causado a terceiros em decorrência de ato do Contratado, de seus empregados, prepostos ou subordinados.</w:t>
      </w:r>
    </w:p>
    <w:p w14:paraId="2214F03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Previamente à expedição da ordem de serviço, verificar pendências, liberar áreas e/ou adotar providências cabíveis para a regularidade do início da sua execução.</w:t>
      </w:r>
    </w:p>
    <w:p w14:paraId="184F4AF0">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4FAA9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0F42F5C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Manter preposto aceito pela Administração no local do serviço para representá-lo na execução do contrato.</w:t>
      </w:r>
    </w:p>
    <w:p w14:paraId="16DB565E">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778D18C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r>
        <w:rPr>
          <w:rFonts w:asciiTheme="minorHAnsi" w:hAnsiTheme="minorHAnsi" w:cstheme="minorHAnsi"/>
          <w:color w:val="000000" w:themeColor="text1"/>
          <w:sz w:val="22"/>
          <w:szCs w:val="22"/>
          <w14:textFill>
            <w14:solidFill>
              <w14:schemeClr w14:val="tx1"/>
            </w14:solidFill>
          </w14:textFill>
        </w:rPr>
        <w:t xml:space="preserve"> e </w:t>
      </w:r>
      <w:r>
        <w:rPr>
          <w:rFonts w:asciiTheme="minorHAnsi" w:hAnsiTheme="minorHAnsi" w:cstheme="minorHAnsi"/>
          <w:sz w:val="22"/>
          <w:szCs w:val="22"/>
        </w:rPr>
        <w:t>prestar todo esclarecimento ou informação por eles solicitados;</w:t>
      </w:r>
    </w:p>
    <w:p w14:paraId="7AFC992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478D628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160A001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18B2D99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Efetuar comunicação ao Contratante, assim que tiver ciência da impossibilidade de realização ou finalização do serviço no prazo estabelecido, para adoção de ações de contingência cabíveis. </w:t>
      </w:r>
    </w:p>
    <w:p w14:paraId="205217C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do fiscal ou gestor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867D1D1">
      <w:pPr>
        <w:pStyle w:val="99"/>
        <w:numPr>
          <w:ilvl w:val="1"/>
          <w:numId w:val="9"/>
        </w:numPr>
        <w:ind w:left="0" w:firstLine="0"/>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w:t>
      </w:r>
    </w:p>
    <w:p w14:paraId="11E8F733">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prova de regularidade relativa à Seguridade Social; </w:t>
      </w:r>
    </w:p>
    <w:p w14:paraId="316022D0">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certidão conjunta relativa aos tributos federais e à Dívida Ativa da União;</w:t>
      </w:r>
    </w:p>
    <w:p w14:paraId="502463BF">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certidões que comprovem a regularidade perante a Fazenda Municipal ou Distrital do domicílio ou sede do contratado; </w:t>
      </w:r>
    </w:p>
    <w:p w14:paraId="1F137C97">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Certidão de Regularidade do FGTS – CRF; e</w:t>
      </w:r>
    </w:p>
    <w:p w14:paraId="499F7D67">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Certidão Negativa de Débitos Trabalhistas – CNDT; </w:t>
      </w:r>
    </w:p>
    <w:p w14:paraId="069ABC6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9396E3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2B4513E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141A924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5A69F76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2E44BC7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1DFF658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69E75B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6BABBEA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36BD6315">
      <w:pPr>
        <w:pStyle w:val="99"/>
        <w:numPr>
          <w:ilvl w:val="1"/>
          <w:numId w:val="9"/>
        </w:numPr>
        <w:ind w:left="0" w:firstLine="0"/>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A8EFDD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AABDE9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2E87326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3A47FE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5C5A7715">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Ceder ao Contratante todos os direitos patrimoniais relativos ao objeto contratado, o qual poderá ser livremente utilizado e/ou alterado em outras ocasiões, sem necessidade de nova autorização do Contratado.</w:t>
      </w:r>
    </w:p>
    <w:p w14:paraId="159740FD">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Considerando que o projeto contratado se refere a obra imaterial de caráter tecnológico, insuscetível de privilégio, a cessão dos direitos a que se refere o subitem acima inclui o fornecimento de todos os dados, documentos e elementos de informação pertinentes à tecnologia de concepção, desenvolvimento, fixação em suporte físico de qualquer natureza e aplicação da obra.</w:t>
      </w:r>
    </w:p>
    <w:p w14:paraId="66A4F40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Manter os empregados nos horários predeterminados pelo Contratante.</w:t>
      </w:r>
    </w:p>
    <w:p w14:paraId="6132099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Apresentar os empregados devidamente identificados por meio de crachá.</w:t>
      </w:r>
    </w:p>
    <w:p w14:paraId="57A6619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Apresentar ao Contratante, quando for o caso, a relação nominal dos empregados que adentrarão no órgão para a execução do serviço.</w:t>
      </w:r>
    </w:p>
    <w:p w14:paraId="24FA83C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Observar os preceitos da legislação sobre a jornada de trabalho, conforme a categoria profissional.</w:t>
      </w:r>
    </w:p>
    <w:p w14:paraId="399DF2F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14:paraId="7B7E8B6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do Contratante.</w:t>
      </w:r>
    </w:p>
    <w:p w14:paraId="40B6C58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14:paraId="3EC5E26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os seus empregados, quanto à prevenção de incêndios nas áreas do Contratante.</w:t>
      </w:r>
    </w:p>
    <w:p w14:paraId="488A7E8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Adotar as providências e precauções necessárias, inclusive consulta nos respectivos órgãos, se necessário for, a fim de que não venham a ser danificadas as redes hidrossanitárias, elétricas e de comunicação.</w:t>
      </w:r>
    </w:p>
    <w:p w14:paraId="0423D77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Estar registrada ou inscrita no Conselho Profissional competente, conforme as áreas de atuação previstas no Termo de Referência, em plena validade.</w:t>
      </w:r>
    </w:p>
    <w:p w14:paraId="6E0E617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Obter junto aos órgãos competentes, conforme o caso, as licenças necessárias e demais documentos e autorizações exigíveis, na forma da legislação aplicável.</w:t>
      </w:r>
    </w:p>
    <w:p w14:paraId="38BF40D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1C27741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14:paraId="309E479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Utilizar somente matéria-prima florestal procedente, nos termos do </w:t>
      </w:r>
      <w:r>
        <w:fldChar w:fldCharType="begin"/>
      </w:r>
      <w:r>
        <w:instrText xml:space="preserve"> HYPERLINK "http://www.planalto.gov.br/ccivil_03/_ato2004-2006/2006/decreto/d5975.htm" \l "art11" </w:instrText>
      </w:r>
      <w:r>
        <w:fldChar w:fldCharType="separate"/>
      </w:r>
      <w:r>
        <w:rPr>
          <w:rStyle w:val="18"/>
          <w:rFonts w:asciiTheme="minorHAnsi" w:hAnsiTheme="minorHAnsi" w:cstheme="minorHAnsi"/>
          <w:sz w:val="22"/>
          <w:szCs w:val="22"/>
        </w:rPr>
        <w:t>artigo 11 do Decreto n° 5.975, de 2006</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de: </w:t>
      </w:r>
    </w:p>
    <w:p w14:paraId="432E2C06">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manejo florestal, realizado por meio de Plano de Manejo Florestal Sustentável - PMFS devidamente aprovado pelo órgão competente do Sistema Nacional do Meio Ambiente - SISNAMA;</w:t>
      </w:r>
    </w:p>
    <w:p w14:paraId="5D5BC1C9">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 xml:space="preserve">supressão da vegetação natural, devidamente autorizada pelo órgão competente do Sistema Nacional do Meio Ambiente - SISNAMA; </w:t>
      </w:r>
    </w:p>
    <w:p w14:paraId="24263388">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 xml:space="preserve">florestas plantadas; e </w:t>
      </w:r>
    </w:p>
    <w:p w14:paraId="6893B761">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outras fontes de biomassa florestal, definidas em normas específicas do órgão ambiental competente.</w:t>
      </w:r>
    </w:p>
    <w:p w14:paraId="05EEEF5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Comprovar a procedência legal dos produtos ou subprodutos florestais utilizados em cada etapa da execução contratual, nos termos do </w:t>
      </w:r>
      <w:r>
        <w:fldChar w:fldCharType="begin"/>
      </w:r>
      <w:r>
        <w:instrText xml:space="preserve"> HYPERLINK "https://www.gov.br/compras/pt-br/acesso-a-informacao/legislacao/instrucoes-normativas/instrucao-normativa-no-01-de-19-de-janeiro-de-2010" </w:instrText>
      </w:r>
      <w:r>
        <w:fldChar w:fldCharType="separate"/>
      </w:r>
      <w:r>
        <w:rPr>
          <w:rStyle w:val="18"/>
          <w:rFonts w:asciiTheme="minorHAnsi" w:hAnsiTheme="minorHAnsi" w:cstheme="minorHAnsi"/>
          <w:sz w:val="22"/>
          <w:szCs w:val="22"/>
        </w:rPr>
        <w:t>artigo 4°, inciso IX, da Instrução Normativa SLTI/MP n° 1, de 19/01/2010</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por ocasião da respectiva medição, mediante a apresentação dos seguintes documentos, conforme o caso: </w:t>
      </w:r>
    </w:p>
    <w:p w14:paraId="3A5F9931">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Cópias autenticadas das notas fiscais de aquisição dos produtos ou subprodutos florestais; </w:t>
      </w:r>
    </w:p>
    <w:p w14:paraId="0084D16F">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r>
        <w:fldChar w:fldCharType="begin"/>
      </w:r>
      <w:r>
        <w:instrText xml:space="preserve"> HYPERLINK "https://www.planalto.gov.br/ccivil_03/leis/l6938.htm" \l "art17" </w:instrText>
      </w:r>
      <w:r>
        <w:fldChar w:fldCharType="separate"/>
      </w:r>
      <w:r>
        <w:rPr>
          <w:rStyle w:val="18"/>
          <w:rFonts w:eastAsia="Calibri" w:asciiTheme="minorHAnsi" w:hAnsiTheme="minorHAnsi" w:cstheme="minorHAnsi"/>
          <w:sz w:val="22"/>
          <w:szCs w:val="22"/>
          <w:lang w:eastAsia="en-US"/>
        </w:rPr>
        <w:t>artigo 17, inciso II, da Lei n° 6.938, de 1981</w:t>
      </w:r>
      <w:r>
        <w:rPr>
          <w:rStyle w:val="18"/>
          <w:rFonts w:eastAsia="Calibri"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e legislação correlata;</w:t>
      </w:r>
    </w:p>
    <w:p w14:paraId="026340A2">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Documento de Origem Florestal – DOF, instituído pela </w:t>
      </w:r>
      <w:r>
        <w:fldChar w:fldCharType="begin"/>
      </w:r>
      <w:r>
        <w:instrText xml:space="preserve"> HYPERLINK "http://www.ibama.gov.br/component/legislacao/?view=legislacao&amp;legislacao=112647" </w:instrText>
      </w:r>
      <w:r>
        <w:fldChar w:fldCharType="separate"/>
      </w:r>
      <w:r>
        <w:rPr>
          <w:rFonts w:asciiTheme="minorHAnsi" w:hAnsiTheme="minorHAnsi" w:cstheme="minorHAnsi"/>
          <w:sz w:val="22"/>
          <w:szCs w:val="22"/>
          <w:lang w:eastAsia="en-US"/>
        </w:rPr>
        <w:t>Portaria n° 253, de 18/08/2006</w:t>
      </w:r>
      <w:r>
        <w:rPr>
          <w:rFonts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xml:space="preserve">, do Ministério do Meio Ambiente, e </w:t>
      </w:r>
      <w:r>
        <w:fldChar w:fldCharType="begin"/>
      </w:r>
      <w:r>
        <w:instrText xml:space="preserve"> HYPERLINK "http://www.ibama.gov.br/phocadownload/sinaflor/2018/2018-06-13-Ibama-IN-IBAMA-21-24-12-2014-SINAFLOR-DOF-compilada.pdf" </w:instrText>
      </w:r>
      <w:r>
        <w:fldChar w:fldCharType="separate"/>
      </w:r>
      <w:r>
        <w:rPr>
          <w:rFonts w:asciiTheme="minorHAnsi" w:hAnsiTheme="minorHAnsi" w:cstheme="minorHAnsi"/>
          <w:sz w:val="22"/>
          <w:szCs w:val="22"/>
          <w:lang w:eastAsia="en-US"/>
        </w:rPr>
        <w:t>Instrução Normativa IBAMA n° 21, de 24/12/2014</w:t>
      </w:r>
      <w:r>
        <w:rPr>
          <w:rFonts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quando se tratar de produtos ou subprodutos florestais de origem nativa cujo transporte e armazenamento exijam a emissão de tal licença obrigatória; e</w:t>
      </w:r>
    </w:p>
    <w:p w14:paraId="34B327E6">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14:paraId="580E6580">
      <w:pPr>
        <w:pStyle w:val="99"/>
        <w:numPr>
          <w:ilvl w:val="1"/>
          <w:numId w:val="9"/>
        </w:numPr>
        <w:ind w:left="0"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Observar as </w:t>
      </w:r>
      <w:r>
        <w:rPr>
          <w:rFonts w:asciiTheme="minorHAnsi" w:hAnsiTheme="minorHAnsi" w:cstheme="minorHAnsi"/>
          <w:sz w:val="22"/>
          <w:szCs w:val="22"/>
        </w:rPr>
        <w:t>diretrizes</w:t>
      </w:r>
      <w:r>
        <w:rPr>
          <w:rFonts w:asciiTheme="minorHAnsi" w:hAnsiTheme="minorHAnsi" w:cstheme="minorHAnsi"/>
          <w:sz w:val="22"/>
          <w:szCs w:val="22"/>
          <w:lang w:eastAsia="en-US"/>
        </w:rPr>
        <w:t xml:space="preserve">, critérios e procedimentos para a gestão dos resíduos da construção civil </w:t>
      </w:r>
      <w:r>
        <w:rPr>
          <w:rFonts w:asciiTheme="minorHAnsi" w:hAnsiTheme="minorHAnsi" w:cstheme="minorHAnsi"/>
          <w:sz w:val="22"/>
          <w:szCs w:val="22"/>
        </w:rPr>
        <w:t>estabelecidos</w:t>
      </w:r>
      <w:r>
        <w:rPr>
          <w:rFonts w:asciiTheme="minorHAnsi" w:hAnsiTheme="minorHAnsi" w:cstheme="minorHAnsi"/>
          <w:sz w:val="22"/>
          <w:szCs w:val="22"/>
          <w:lang w:eastAsia="en-US"/>
        </w:rPr>
        <w:t xml:space="preserve"> na Resolução nº 307, de 05/07/2002, com as alterações posteriores, do Conselho Nacional de Meio Ambiente - CONAMA, conforme </w:t>
      </w:r>
      <w:r>
        <w:fldChar w:fldCharType="begin"/>
      </w:r>
      <w:r>
        <w:instrText xml:space="preserve"> HYPERLINK "https://www.gov.br/compras/pt-br/acesso-a-informacao/legislacao/instrucoes-normativas/instrucao-normativa-no-01-de-19-de-janeiro-de-2010" \l "art4§2" </w:instrText>
      </w:r>
      <w:r>
        <w:fldChar w:fldCharType="separate"/>
      </w:r>
      <w:r>
        <w:rPr>
          <w:rStyle w:val="18"/>
          <w:rFonts w:eastAsia="Calibri" w:asciiTheme="minorHAnsi" w:hAnsiTheme="minorHAnsi" w:cstheme="minorHAnsi"/>
          <w:sz w:val="22"/>
          <w:szCs w:val="22"/>
          <w:lang w:eastAsia="en-US"/>
        </w:rPr>
        <w:t>artigo 4°, §§ 2° e 3°, da Instrução Normativa SLTI/MP n° 1, de 19/01/2010</w:t>
      </w:r>
      <w:r>
        <w:rPr>
          <w:rStyle w:val="18"/>
          <w:rFonts w:eastAsia="Calibri" w:asciiTheme="minorHAnsi" w:hAnsiTheme="minorHAnsi" w:cstheme="minorHAnsi"/>
          <w:sz w:val="22"/>
          <w:szCs w:val="22"/>
          <w:lang w:eastAsia="en-US"/>
        </w:rPr>
        <w:fldChar w:fldCharType="end"/>
      </w:r>
      <w:r>
        <w:rPr>
          <w:rFonts w:asciiTheme="minorHAnsi" w:hAnsiTheme="minorHAnsi" w:cstheme="minorHAnsi"/>
          <w:sz w:val="22"/>
          <w:szCs w:val="22"/>
          <w:lang w:eastAsia="en-US"/>
        </w:rPr>
        <w:t>, nos seguintes termos:</w:t>
      </w:r>
    </w:p>
    <w:p w14:paraId="3B58C0DF">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56EBF33E">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Nos termos dos </w:t>
      </w:r>
      <w:r>
        <w:fldChar w:fldCharType="begin"/>
      </w:r>
      <w:r>
        <w:instrText xml:space="preserve"> HYPERLINK "https://cetesb.sp.gov.br/licenciamento/documentos/2002_Res_CONAMA_307.pdf" </w:instrText>
      </w:r>
      <w:r>
        <w:fldChar w:fldCharType="separate"/>
      </w:r>
      <w:r>
        <w:rPr>
          <w:rStyle w:val="18"/>
          <w:rFonts w:eastAsia="Calibri" w:asciiTheme="minorHAnsi" w:hAnsiTheme="minorHAnsi" w:cstheme="minorHAnsi"/>
          <w:sz w:val="22"/>
          <w:szCs w:val="22"/>
          <w:lang w:eastAsia="en-US"/>
        </w:rPr>
        <w:t>artigos 3° e 10° da Resolução CONAMA n° 307, de 05/07/2002</w:t>
      </w:r>
      <w:r>
        <w:rPr>
          <w:rStyle w:val="18"/>
          <w:rFonts w:eastAsia="Calibri" w:asciiTheme="minorHAnsi" w:hAnsiTheme="minorHAnsi" w:cstheme="minorHAnsi"/>
          <w:sz w:val="22"/>
          <w:szCs w:val="22"/>
          <w:lang w:eastAsia="en-US"/>
        </w:rPr>
        <w:fldChar w:fldCharType="end"/>
      </w:r>
      <w:r>
        <w:rPr>
          <w:rFonts w:asciiTheme="minorHAnsi" w:hAnsiTheme="minorHAnsi" w:cstheme="minorHAnsi"/>
          <w:sz w:val="22"/>
          <w:szCs w:val="22"/>
          <w:lang w:eastAsia="en-US"/>
        </w:rPr>
        <w:t>, o Contratado deverá providenciar a destinação ambientalmente adequada dos resíduos da construção civil originários da contratação, obedecendo, no que couber, aos seguintes procedimentos:</w:t>
      </w:r>
    </w:p>
    <w:p w14:paraId="34DF6F42">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resíduos Classe A (reutilizáveis ou recicláveis como agregados): deverão ser reutilizados ou reciclados na forma de agregados, ou encaminhados a aterros de resíduos classe A de preservação de material para usos futuros. </w:t>
      </w:r>
    </w:p>
    <w:p w14:paraId="7ABC19BB">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B (recicláveis para outras destinações): deverão ser reutilizados, reciclados ou encaminhados a áreas de armazenamento temporário, sendo dispostos de modo a permitir a sua utilização ou reciclagem futura.</w:t>
      </w:r>
    </w:p>
    <w:p w14:paraId="1D340436">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6F924708">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D (perigosos, contaminados ou prejudiciais à saúde): deverão ser armazenados, transportados, reutilizados e destinados em conformidade com as normas técnicas específicas.</w:t>
      </w:r>
    </w:p>
    <w:p w14:paraId="59BBFFAE">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Em nenhuma hipótese o Contratado poderá dispor os resíduos originários da contratação em aterros de resíduos sólidos urbanos, áreas de “bota fora”, encostas, corpos d´água, lotes vagos e áreas protegidas por Lei, bem como em áreas não licenciadas.</w:t>
      </w:r>
    </w:p>
    <w:p w14:paraId="1C4CA721">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estão acompanhados de Controle de Transporte de Resíduos, em conformidade com as normas da Agência Brasileira de Normas Técnicas - ABNT, ABNT NBR ns. 15.112, 15.113, 15.114, 15.115 e 15.116, de 2004.</w:t>
      </w:r>
    </w:p>
    <w:p w14:paraId="43B46C90">
      <w:pPr>
        <w:pStyle w:val="99"/>
        <w:numPr>
          <w:ilvl w:val="1"/>
          <w:numId w:val="9"/>
        </w:numPr>
        <w:ind w:left="0"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Observar as </w:t>
      </w:r>
      <w:r>
        <w:rPr>
          <w:rFonts w:asciiTheme="minorHAnsi" w:hAnsiTheme="minorHAnsi" w:cstheme="minorHAnsi"/>
          <w:sz w:val="22"/>
          <w:szCs w:val="22"/>
        </w:rPr>
        <w:t>seguintes</w:t>
      </w:r>
      <w:r>
        <w:rPr>
          <w:rFonts w:asciiTheme="minorHAnsi" w:hAnsiTheme="minorHAnsi" w:cstheme="minorHAnsi"/>
          <w:sz w:val="22"/>
          <w:szCs w:val="22"/>
          <w:lang w:eastAsia="en-US"/>
        </w:rPr>
        <w:t xml:space="preserve"> diretrizes de caráter ambiental:</w:t>
      </w:r>
    </w:p>
    <w:p w14:paraId="02BDB24F">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Qualquer</w:t>
      </w:r>
      <w:r>
        <w:rPr>
          <w:rFonts w:asciiTheme="minorHAnsi" w:hAnsiTheme="minorHAnsi" w:cstheme="minorHAnsi"/>
          <w:color w:val="auto"/>
          <w:sz w:val="22"/>
          <w:szCs w:val="22"/>
        </w:rPr>
        <w:t xml:space="preserve"> instalação, equipamento ou processo, situado em local fixo, que</w:t>
      </w:r>
      <w:r>
        <w:rPr>
          <w:rFonts w:asciiTheme="minorHAnsi" w:hAnsiTheme="minorHAnsi" w:cstheme="minorHAnsi"/>
          <w:color w:val="auto"/>
          <w:sz w:val="22"/>
          <w:szCs w:val="22"/>
          <w:lang w:eastAsia="en-US"/>
        </w:rPr>
        <w:t xml:space="preserve"> </w:t>
      </w:r>
      <w:r>
        <w:rPr>
          <w:rFonts w:asciiTheme="minorHAnsi" w:hAnsiTheme="minorHAnsi" w:cstheme="minorHAnsi"/>
          <w:color w:val="auto"/>
          <w:sz w:val="22"/>
          <w:szCs w:val="22"/>
        </w:rPr>
        <w:t>libere</w:t>
      </w:r>
      <w:r>
        <w:rPr>
          <w:rFonts w:asciiTheme="minorHAnsi" w:hAnsiTheme="minorHAnsi" w:cstheme="minorHAnsi"/>
          <w:color w:val="auto"/>
          <w:sz w:val="22"/>
          <w:szCs w:val="22"/>
          <w:lang w:eastAsia="en-US"/>
        </w:rPr>
        <w:t xml:space="preserve"> ou emita matéria para a atmosfera, por emissão pontual ou fugitiva, </w:t>
      </w:r>
      <w:r>
        <w:rPr>
          <w:rFonts w:asciiTheme="minorHAnsi" w:hAnsiTheme="minorHAnsi" w:cstheme="minorHAnsi"/>
          <w:color w:val="auto"/>
          <w:sz w:val="22"/>
          <w:szCs w:val="22"/>
        </w:rPr>
        <w:t>utilizado</w:t>
      </w:r>
      <w:r>
        <w:rPr>
          <w:rFonts w:asciiTheme="minorHAnsi" w:hAnsiTheme="minorHAnsi" w:cstheme="minorHAnsi"/>
          <w:color w:val="auto"/>
          <w:sz w:val="22"/>
          <w:szCs w:val="22"/>
          <w:lang w:eastAsia="en-US"/>
        </w:rPr>
        <w:t xml:space="preserve"> na execução contratual, deverá respeitar os limites máximos de emissão de poluentes admitidos na </w:t>
      </w:r>
      <w:r>
        <w:fldChar w:fldCharType="begin"/>
      </w:r>
      <w:r>
        <w:instrText xml:space="preserve"> HYPERLINK "http://www.ipaam.am.gov.br/wp-content/uploads/2021/01/Conama-382-Poluentes-atmosfericos.pdf" </w:instrText>
      </w:r>
      <w:r>
        <w:fldChar w:fldCharType="separate"/>
      </w:r>
      <w:r>
        <w:rPr>
          <w:rStyle w:val="18"/>
          <w:rFonts w:eastAsia="Calibri" w:asciiTheme="minorHAnsi" w:hAnsiTheme="minorHAnsi" w:cstheme="minorHAnsi"/>
          <w:color w:val="auto"/>
          <w:sz w:val="22"/>
          <w:szCs w:val="22"/>
          <w:lang w:eastAsia="en-US"/>
        </w:rPr>
        <w:t>Resolução CONAMA n° 382, de 26/12/2006</w:t>
      </w:r>
      <w:r>
        <w:rPr>
          <w:rStyle w:val="18"/>
          <w:rFonts w:eastAsia="Calibri" w:asciiTheme="minorHAnsi" w:hAnsiTheme="minorHAnsi" w:cstheme="minorHAnsi"/>
          <w:color w:val="auto"/>
          <w:sz w:val="22"/>
          <w:szCs w:val="22"/>
          <w:lang w:eastAsia="en-US"/>
        </w:rPr>
        <w:fldChar w:fldCharType="end"/>
      </w:r>
      <w:r>
        <w:rPr>
          <w:rFonts w:asciiTheme="minorHAnsi" w:hAnsiTheme="minorHAnsi" w:cstheme="minorHAnsi"/>
          <w:color w:val="auto"/>
          <w:sz w:val="22"/>
          <w:szCs w:val="22"/>
          <w:lang w:eastAsia="en-US"/>
        </w:rPr>
        <w:t>, e legislação correlata, de acordo com o poluente e o tipo de fonte.</w:t>
      </w:r>
    </w:p>
    <w:p w14:paraId="426E41F6">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 xml:space="preserve">Na execução contratual, conforme o caso, a emissão de ruídos não poderá ultrapassar os níveis </w:t>
      </w:r>
      <w:r>
        <w:rPr>
          <w:rFonts w:asciiTheme="minorHAnsi" w:hAnsiTheme="minorHAnsi" w:cstheme="minorHAnsi"/>
          <w:color w:val="auto"/>
          <w:sz w:val="22"/>
          <w:szCs w:val="22"/>
        </w:rPr>
        <w:t>considerados</w:t>
      </w:r>
      <w:r>
        <w:rPr>
          <w:rFonts w:asciiTheme="minorHAnsi" w:hAnsiTheme="minorHAnsi" w:cstheme="minorHAnsi"/>
          <w:color w:val="auto"/>
          <w:sz w:val="22"/>
          <w:szCs w:val="22"/>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w:t>
      </w:r>
      <w:r>
        <w:fldChar w:fldCharType="begin"/>
      </w:r>
      <w:r>
        <w:instrText xml:space="preserve"> HYPERLINK "http://www.ibama.gov.br/sophia/cnia/legislacao/MMA/RE0001-080390.PDF" </w:instrText>
      </w:r>
      <w:r>
        <w:fldChar w:fldCharType="separate"/>
      </w:r>
      <w:r>
        <w:rPr>
          <w:rStyle w:val="18"/>
          <w:rFonts w:asciiTheme="minorHAnsi" w:hAnsiTheme="minorHAnsi" w:cstheme="minorHAnsi"/>
          <w:color w:val="auto"/>
          <w:sz w:val="22"/>
          <w:szCs w:val="22"/>
        </w:rPr>
        <w:t>Resolução CONAMA n° 01, de 08/03/90</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lang w:eastAsia="en-US"/>
        </w:rPr>
        <w:t>, e legislação correlata.</w:t>
      </w:r>
    </w:p>
    <w:p w14:paraId="1AE55C3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Nos termos do </w:t>
      </w:r>
      <w:r>
        <w:fldChar w:fldCharType="begin"/>
      </w:r>
      <w:r>
        <w:instrText xml:space="preserve"> HYPERLINK "https://www.gov.br/compras/pt-br/acesso-a-informacao/legislacao/instrucoes-normativas/instrucao-normativa-no-01-de-19-de-janeiro-de-2010" </w:instrText>
      </w:r>
      <w:r>
        <w:fldChar w:fldCharType="separate"/>
      </w:r>
      <w:r>
        <w:rPr>
          <w:rStyle w:val="18"/>
          <w:rFonts w:asciiTheme="minorHAnsi" w:hAnsiTheme="minorHAnsi" w:cstheme="minorHAnsi"/>
          <w:color w:val="auto"/>
          <w:sz w:val="22"/>
          <w:szCs w:val="22"/>
        </w:rPr>
        <w:t>artigo 4°, § 3°, da Instrução Normativa SLTI/MP n° 1, de 19/01/2010</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6C0FF01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14:paraId="3A7A861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14:paraId="0976CAD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14:paraId="2D507392">
      <w:pPr>
        <w:pStyle w:val="498"/>
        <w:numPr>
          <w:ilvl w:val="1"/>
          <w:numId w:val="9"/>
        </w:numPr>
        <w:ind w:left="0" w:firstLine="0"/>
        <w:rPr>
          <w:rFonts w:asciiTheme="minorHAnsi" w:hAnsiTheme="minorHAnsi" w:cstheme="minorHAnsi"/>
          <w:i w:val="0"/>
          <w:iCs w:val="0"/>
          <w:color w:val="auto"/>
          <w:sz w:val="22"/>
          <w:szCs w:val="22"/>
          <w:lang w:eastAsia="en-US"/>
        </w:rPr>
      </w:pPr>
      <w:r>
        <w:rPr>
          <w:rFonts w:asciiTheme="minorHAnsi" w:hAnsiTheme="minorHAnsi" w:cstheme="minorHAnsi"/>
          <w:i w:val="0"/>
          <w:iCs w:val="0"/>
          <w:color w:val="auto"/>
          <w:sz w:val="22"/>
          <w:szCs w:val="22"/>
          <w:lang w:eastAsia="en-US"/>
        </w:rPr>
        <w:t>Fornecer os projetos executivos desenvolvidos pelos Contratados,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62A91669">
      <w:pPr>
        <w:pStyle w:val="500"/>
        <w:numPr>
          <w:ilvl w:val="2"/>
          <w:numId w:val="9"/>
        </w:numPr>
        <w:ind w:left="284" w:firstLine="0"/>
        <w:rPr>
          <w:rFonts w:asciiTheme="minorHAnsi" w:hAnsiTheme="minorHAnsi" w:cstheme="minorHAnsi"/>
          <w:i w:val="0"/>
          <w:iCs w:val="0"/>
          <w:color w:val="auto"/>
          <w:sz w:val="22"/>
          <w:szCs w:val="22"/>
          <w:lang w:eastAsia="en-US"/>
        </w:rPr>
      </w:pPr>
      <w:r>
        <w:rPr>
          <w:rFonts w:asciiTheme="minorHAnsi" w:hAnsiTheme="minorHAnsi" w:cstheme="minorHAnsi"/>
          <w:i w:val="0"/>
          <w:iCs w:val="0"/>
          <w:color w:val="auto"/>
          <w:sz w:val="22"/>
          <w:szCs w:val="22"/>
          <w:lang w:eastAsia="en-US"/>
        </w:rPr>
        <w:t>A elaboração dos projetos executivos deverá partir das soluções desenvolvidas nos anteprojetos constantes neste Termo de Referência e seus anexos (Caderno de Encargos e Especificações Técnicas) e apresentar o detalhamento dos elementos construtivos e especificações técnicas, incorporando as alterações exigidas pelas mútuas interferências entre os diversos projetos.</w:t>
      </w:r>
    </w:p>
    <w:p w14:paraId="0BCD95C9">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lang w:eastAsia="en-US"/>
        </w:rPr>
        <w:t>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houver, os técnicos da área requisitante, o preposto da empresa e os gerentes das áreas que executarão os serviços contratados.</w:t>
      </w:r>
    </w:p>
    <w:p w14:paraId="68F7F91D">
      <w:pPr>
        <w:pStyle w:val="492"/>
        <w:numPr>
          <w:ilvl w:val="0"/>
          <w:numId w:val="9"/>
        </w:numPr>
        <w:rPr>
          <w:rFonts w:asciiTheme="minorHAnsi" w:hAnsiTheme="minorHAnsi" w:cstheme="minorHAnsi"/>
          <w:sz w:val="22"/>
          <w:szCs w:val="22"/>
        </w:rPr>
      </w:pPr>
      <w:r>
        <w:rPr>
          <w:rFonts w:asciiTheme="minorHAnsi" w:hAnsiTheme="minorHAnsi" w:cstheme="minorHAnsi"/>
          <w:sz w:val="22"/>
          <w:szCs w:val="22"/>
        </w:rPr>
        <w:t>CLÁUSULA DÉCIMA- OBRIGAÇÕES PERTINENTES À LGPD</w:t>
      </w:r>
    </w:p>
    <w:p w14:paraId="0C1CB71D">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44A98463">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648B44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1E394B0F">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17013F91">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25F04B3C">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0E83010F">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52CC622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05DD8959">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EACA64">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30631481">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641658D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485B81A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contratos e convênios de que trata o </w:t>
      </w:r>
      <w:r>
        <w:fldChar w:fldCharType="begin"/>
      </w:r>
      <w:r>
        <w:instrText xml:space="preserve"> HYPERLINK "https://www.planalto.gov.br/ccivil_03/_ato2015-2018/2018/lei/l13709.htm" \l "art26§1" </w:instrText>
      </w:r>
      <w:r>
        <w:fldChar w:fldCharType="separate"/>
      </w:r>
      <w:r>
        <w:rPr>
          <w:rStyle w:val="18"/>
          <w:rFonts w:asciiTheme="minorHAnsi" w:hAnsiTheme="minorHAnsi" w:cstheme="minorHAnsi"/>
          <w:i w:val="0"/>
          <w:iCs w:val="0"/>
          <w:color w:val="auto"/>
          <w:sz w:val="22"/>
          <w:szCs w:val="22"/>
        </w:rPr>
        <w:t>§ 1º do art. 26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deverão ser comunicados à autoridade nacional.</w:t>
      </w:r>
    </w:p>
    <w:p w14:paraId="798ACBEC">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AEB0ACC">
      <w:pPr>
        <w:pStyle w:val="498"/>
        <w:numPr>
          <w:ilvl w:val="1"/>
          <w:numId w:val="9"/>
        </w:numPr>
        <w:ind w:left="0" w:firstLine="0"/>
        <w:rPr>
          <w:rFonts w:asciiTheme="minorHAnsi" w:hAnsiTheme="minorHAnsi" w:cstheme="minorHAnsi"/>
          <w:i w:val="0"/>
          <w:iCs w:val="0"/>
          <w:color w:val="auto"/>
          <w:sz w:val="22"/>
          <w:szCs w:val="22"/>
        </w:rPr>
      </w:pPr>
      <w:bookmarkStart w:id="3" w:name="_Ref122964679"/>
      <w:r>
        <w:rPr>
          <w:rFonts w:asciiTheme="minorHAnsi" w:hAnsiTheme="minorHAnsi" w:cstheme="minorHAnsi"/>
          <w:i w:val="0"/>
          <w:iCs w:val="0"/>
          <w:color w:val="auto"/>
          <w:sz w:val="22"/>
          <w:szCs w:val="22"/>
        </w:rPr>
        <w:t xml:space="preserve">A contratação conta com garantia de execução, nos moldes do </w:t>
      </w:r>
      <w:r>
        <w:fldChar w:fldCharType="begin"/>
      </w:r>
      <w:r>
        <w:instrText xml:space="preserve"> HYPERLINK "http://www.planalto.gov.br/ccivil_03/_ato2019-2022/2021/lei/L14133.htm" \l "art96" </w:instrText>
      </w:r>
      <w:r>
        <w:fldChar w:fldCharType="separate"/>
      </w:r>
      <w:r>
        <w:rPr>
          <w:rStyle w:val="18"/>
          <w:rFonts w:asciiTheme="minorHAnsi" w:hAnsiTheme="minorHAnsi" w:cstheme="minorHAnsi"/>
          <w:i w:val="0"/>
          <w:iCs w:val="0"/>
          <w:color w:val="auto"/>
          <w:sz w:val="22"/>
          <w:szCs w:val="22"/>
        </w:rPr>
        <w:t>art. 96 da Lei nº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em valor correspondente a 5% (cinco por cento) do valor total do contrato.</w:t>
      </w:r>
      <w:bookmarkEnd w:id="3"/>
    </w:p>
    <w:p w14:paraId="06442370">
      <w:pPr>
        <w:pStyle w:val="99"/>
        <w:numPr>
          <w:ilvl w:val="1"/>
          <w:numId w:val="9"/>
        </w:numPr>
        <w:spacing w:after="288" w:afterLines="120" w:line="312" w:lineRule="auto"/>
        <w:ind w:left="0" w:firstLine="567"/>
        <w:rPr>
          <w:rFonts w:asciiTheme="minorHAnsi" w:hAnsiTheme="minorHAnsi" w:cstheme="minorHAnsi"/>
          <w:sz w:val="22"/>
          <w:szCs w:val="22"/>
        </w:rPr>
      </w:pPr>
      <w:r>
        <w:rPr>
          <w:rFonts w:asciiTheme="minorHAnsi" w:hAnsiTheme="minorHAnsi" w:cstheme="minorHAnsi"/>
          <w:sz w:val="22"/>
          <w:szCs w:val="22"/>
        </w:rPr>
        <w:t>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5% (cinco por cento) do valor total do contrato.</w:t>
      </w:r>
    </w:p>
    <w:p w14:paraId="73F741A6">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utilizada a modalidade de seguro-garantia, a apólice deverá ter validade durante a vigência do contrato e por mais 90 (noventa) dias após término deste prazo de vigência, permanecendo em vigor  mesmo que o contratado não pague o prêmio nas datas convencionadas.</w:t>
      </w:r>
    </w:p>
    <w:p w14:paraId="6F9E6E4B">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apólice do seguro garantia deverá acompanhar as modificações referentes à vigência do contrato principal mediante a emissão do respectivo endosso pela seguradora.</w:t>
      </w:r>
    </w:p>
    <w:p w14:paraId="2BFA3027">
      <w:pPr>
        <w:pStyle w:val="498"/>
        <w:numPr>
          <w:ilvl w:val="1"/>
          <w:numId w:val="9"/>
        </w:numPr>
        <w:ind w:left="0" w:firstLine="0"/>
        <w:rPr>
          <w:rFonts w:asciiTheme="minorHAnsi" w:hAnsiTheme="minorHAnsi" w:cstheme="minorHAnsi"/>
          <w:i w:val="0"/>
          <w:iCs w:val="0"/>
          <w:color w:val="auto"/>
          <w:sz w:val="22"/>
          <w:szCs w:val="22"/>
        </w:rPr>
      </w:pPr>
      <w:bookmarkStart w:id="4" w:name="_Ref122963805"/>
      <w:r>
        <w:rPr>
          <w:rFonts w:asciiTheme="minorHAnsi" w:hAnsiTheme="minorHAnsi" w:cstheme="minorHAnsi"/>
          <w:i w:val="0"/>
          <w:iCs w:val="0"/>
          <w:color w:val="auto"/>
          <w:sz w:val="22"/>
          <w:szCs w:val="22"/>
        </w:rPr>
        <w:t xml:space="preserve">Será permitida a substituição da apólice de seguro-garantia na data de renovação ou de aniversário, desde que mantidas as condições e coberturas da apólice vigente e nenhum período fique descoberto, ressalvado o disposto no item </w:t>
      </w:r>
      <w:r>
        <w:rPr>
          <w:rFonts w:asciiTheme="minorHAnsi" w:hAnsiTheme="minorHAnsi" w:cstheme="minorHAnsi"/>
          <w:i w:val="0"/>
          <w:iCs w:val="0"/>
          <w:color w:val="auto"/>
          <w:sz w:val="22"/>
          <w:szCs w:val="22"/>
        </w:rPr>
        <w:fldChar w:fldCharType="begin"/>
      </w:r>
      <w:r>
        <w:rPr>
          <w:rFonts w:asciiTheme="minorHAnsi" w:hAnsiTheme="minorHAnsi" w:cstheme="minorHAnsi"/>
          <w:i w:val="0"/>
          <w:iCs w:val="0"/>
          <w:color w:val="auto"/>
          <w:sz w:val="22"/>
          <w:szCs w:val="22"/>
        </w:rPr>
        <w:instrText xml:space="preserve"> REF _Ref118297051 \r \h  \* MERGEFORMAT </w:instrText>
      </w:r>
      <w:r>
        <w:rPr>
          <w:rFonts w:asciiTheme="minorHAnsi" w:hAnsiTheme="minorHAnsi" w:cstheme="minorHAnsi"/>
          <w:i w:val="0"/>
          <w:iCs w:val="0"/>
          <w:color w:val="auto"/>
          <w:sz w:val="22"/>
          <w:szCs w:val="22"/>
        </w:rPr>
        <w:fldChar w:fldCharType="separate"/>
      </w:r>
      <w:r>
        <w:rPr>
          <w:rFonts w:asciiTheme="minorHAnsi" w:hAnsiTheme="minorHAnsi" w:cstheme="minorHAnsi"/>
          <w:i w:val="0"/>
          <w:iCs w:val="0"/>
          <w:color w:val="auto"/>
          <w:sz w:val="22"/>
          <w:szCs w:val="22"/>
        </w:rPr>
        <w:t>12.6</w:t>
      </w:r>
      <w:r>
        <w:rPr>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deste contrato.</w:t>
      </w:r>
      <w:bookmarkEnd w:id="4"/>
    </w:p>
    <w:p w14:paraId="38161A37">
      <w:pPr>
        <w:pStyle w:val="498"/>
        <w:numPr>
          <w:ilvl w:val="1"/>
          <w:numId w:val="9"/>
        </w:numPr>
        <w:ind w:left="0" w:firstLine="0"/>
        <w:rPr>
          <w:rFonts w:asciiTheme="minorHAnsi" w:hAnsiTheme="minorHAnsi" w:cstheme="minorHAnsi"/>
          <w:i w:val="0"/>
          <w:iCs w:val="0"/>
          <w:color w:val="auto"/>
          <w:sz w:val="22"/>
          <w:szCs w:val="22"/>
        </w:rPr>
      </w:pPr>
      <w:bookmarkStart w:id="5" w:name="_Ref118297051"/>
      <w:bookmarkStart w:id="6" w:name="_Ref122963836"/>
      <w:r>
        <w:rPr>
          <w:rFonts w:asciiTheme="minorHAnsi" w:hAnsiTheme="minorHAnsi" w:cstheme="minorHAnsi"/>
          <w:i w:val="0"/>
          <w:iCs w:val="0"/>
          <w:color w:val="auto"/>
          <w:sz w:val="22"/>
          <w:szCs w:val="22"/>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5"/>
      <w:bookmarkEnd w:id="6"/>
    </w:p>
    <w:p w14:paraId="42F885D9">
      <w:pPr>
        <w:pStyle w:val="498"/>
        <w:numPr>
          <w:ilvl w:val="1"/>
          <w:numId w:val="9"/>
        </w:numPr>
        <w:ind w:left="0" w:firstLine="0"/>
        <w:rPr>
          <w:rFonts w:asciiTheme="minorHAnsi" w:hAnsiTheme="minorHAnsi" w:cstheme="minorHAnsi"/>
          <w:i w:val="0"/>
          <w:iCs w:val="0"/>
          <w:color w:val="auto"/>
          <w:sz w:val="22"/>
          <w:szCs w:val="22"/>
        </w:rPr>
      </w:pPr>
      <w:bookmarkStart w:id="7" w:name="_Ref118297166"/>
      <w:r>
        <w:rPr>
          <w:rFonts w:asciiTheme="minorHAnsi" w:hAnsiTheme="minorHAnsi" w:cstheme="minorHAnsi"/>
          <w:i w:val="0"/>
          <w:iCs w:val="0"/>
          <w:color w:val="auto"/>
          <w:sz w:val="22"/>
          <w:szCs w:val="22"/>
        </w:rPr>
        <w:t>A garantia assegurará, qualquer que seja a modalidade escolhida, o pagamento de:</w:t>
      </w:r>
      <w:bookmarkEnd w:id="7"/>
      <w:r>
        <w:rPr>
          <w:rFonts w:asciiTheme="minorHAnsi" w:hAnsiTheme="minorHAnsi" w:cstheme="minorHAnsi"/>
          <w:i w:val="0"/>
          <w:iCs w:val="0"/>
          <w:color w:val="auto"/>
          <w:sz w:val="22"/>
          <w:szCs w:val="22"/>
        </w:rPr>
        <w:t xml:space="preserve"> </w:t>
      </w:r>
    </w:p>
    <w:p w14:paraId="5333B5D0">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prejuízos advindos do não cumprimento do objeto do contrato e do não adimplemento das demais obrigações nele previstas; </w:t>
      </w:r>
    </w:p>
    <w:p w14:paraId="01D2E08E">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multas moratórias e punitivas aplicadas pela Administração à contratada; e  </w:t>
      </w:r>
    </w:p>
    <w:p w14:paraId="11FD61F5">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obrigações trabalhistas e previdenciárias de qualquer natureza e para com o FGTS, não adimplidas pelo contratado, quando couber.</w:t>
      </w:r>
    </w:p>
    <w:p w14:paraId="40A3BA9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modalidade seguro-garantia somente será aceita se contemplar todos os eventos indicados no item </w:t>
      </w:r>
      <w:r>
        <w:rPr>
          <w:rFonts w:asciiTheme="minorHAnsi" w:hAnsiTheme="minorHAnsi" w:cstheme="minorHAnsi"/>
          <w:i w:val="0"/>
          <w:iCs w:val="0"/>
          <w:color w:val="auto"/>
          <w:sz w:val="22"/>
          <w:szCs w:val="22"/>
        </w:rPr>
        <w:fldChar w:fldCharType="begin"/>
      </w:r>
      <w:r>
        <w:rPr>
          <w:rFonts w:asciiTheme="minorHAnsi" w:hAnsiTheme="minorHAnsi" w:cstheme="minorHAnsi"/>
          <w:i w:val="0"/>
          <w:iCs w:val="0"/>
          <w:color w:val="auto"/>
          <w:sz w:val="22"/>
          <w:szCs w:val="22"/>
        </w:rPr>
        <w:instrText xml:space="preserve"> REF _Ref118297166 \r \h  \* MERGEFORMAT </w:instrText>
      </w:r>
      <w:r>
        <w:rPr>
          <w:rFonts w:asciiTheme="minorHAnsi" w:hAnsiTheme="minorHAnsi" w:cstheme="minorHAnsi"/>
          <w:i w:val="0"/>
          <w:iCs w:val="0"/>
          <w:color w:val="auto"/>
          <w:sz w:val="22"/>
          <w:szCs w:val="22"/>
        </w:rPr>
        <w:fldChar w:fldCharType="separate"/>
      </w:r>
      <w:r>
        <w:rPr>
          <w:rFonts w:asciiTheme="minorHAnsi" w:hAnsiTheme="minorHAnsi" w:cstheme="minorHAnsi"/>
          <w:i w:val="0"/>
          <w:iCs w:val="0"/>
          <w:color w:val="auto"/>
          <w:sz w:val="22"/>
          <w:szCs w:val="22"/>
        </w:rPr>
        <w:t>12.7</w:t>
      </w:r>
      <w:r>
        <w:rPr>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observada a legislação que rege a matéria. </w:t>
      </w:r>
    </w:p>
    <w:p w14:paraId="643A0161">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em dinheiro deverá ser efetuada em favor do contratante, em conta específica na Caixa Econômica Federal, com correção monetária.</w:t>
      </w:r>
    </w:p>
    <w:p w14:paraId="2053CDD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4A0D7924">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No caso de garantia na modalidade de fiança bancária, deverá ser emitida por banco ou instituição financeira devidamente autorizada a operar no País pelo Banco Central do Brasil, e deverá constar expressa renúncia do fiador aos benefícios do </w:t>
      </w:r>
      <w:r>
        <w:fldChar w:fldCharType="begin"/>
      </w:r>
      <w:r>
        <w:instrText xml:space="preserve"> HYPERLINK "https://www.planalto.gov.br/ccivil_03/leis/2002/l10406compilada.htm" \l "art827" </w:instrText>
      </w:r>
      <w:r>
        <w:fldChar w:fldCharType="separate"/>
      </w:r>
      <w:r>
        <w:rPr>
          <w:rStyle w:val="18"/>
          <w:rFonts w:asciiTheme="minorHAnsi" w:hAnsiTheme="minorHAnsi" w:cstheme="minorHAnsi"/>
          <w:i w:val="0"/>
          <w:iCs w:val="0"/>
          <w:color w:val="auto"/>
          <w:sz w:val="22"/>
          <w:szCs w:val="22"/>
        </w:rPr>
        <w:t>artigo 827 do Código Civil.</w:t>
      </w:r>
      <w:r>
        <w:rPr>
          <w:rStyle w:val="18"/>
          <w:rFonts w:asciiTheme="minorHAnsi" w:hAnsiTheme="minorHAnsi" w:cstheme="minorHAnsi"/>
          <w:i w:val="0"/>
          <w:iCs w:val="0"/>
          <w:color w:val="auto"/>
          <w:sz w:val="22"/>
          <w:szCs w:val="22"/>
        </w:rPr>
        <w:fldChar w:fldCharType="end"/>
      </w:r>
    </w:p>
    <w:p w14:paraId="01ED3C7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No caso de alteração do valor do contrato, ou prorrogação de sua vigência, a garantia deverá ser ajustada ou renovada, seguindo os mesmos parâmetros utilizados quando da contratação. </w:t>
      </w:r>
    </w:p>
    <w:p w14:paraId="0535414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 o valor da garantia for utilizado total ou parcialmente em pagamento de qualquer obrigação, o Contratado obriga-se a fazer a respectiva reposição no prazo máximo de 10 (dez) dias úteis, contados da data em que for notificada.</w:t>
      </w:r>
    </w:p>
    <w:p w14:paraId="6716F6EC">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Contratante executará a garantia na forma prevista na legislação que rege a matéria.</w:t>
      </w:r>
    </w:p>
    <w:p w14:paraId="770BA54C">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emitente da garantia ofertada pelo contratado deverá ser notificado pelo contratante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i w:val="0"/>
          <w:iCs w:val="0"/>
          <w:color w:val="auto"/>
          <w:sz w:val="22"/>
          <w:szCs w:val="22"/>
        </w:rPr>
        <w:t>art. 137, § 4º, da Lei n.º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14D142E8">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r>
        <w:fldChar w:fldCharType="begin"/>
      </w:r>
      <w:r>
        <w:instrText xml:space="preserve"> HYPERLINK "https://www.in.gov.br/en/web/dou/-/circular-susep-n-662-de-11-de-abril-de-2022-392772088" \l "art20" </w:instrText>
      </w:r>
      <w:r>
        <w:fldChar w:fldCharType="separate"/>
      </w:r>
      <w:r>
        <w:rPr>
          <w:rStyle w:val="18"/>
          <w:rFonts w:asciiTheme="minorHAnsi" w:hAnsiTheme="minorHAnsi" w:cstheme="minorHAnsi"/>
          <w:i w:val="0"/>
          <w:iCs w:val="0"/>
          <w:color w:val="auto"/>
          <w:sz w:val="22"/>
          <w:szCs w:val="22"/>
        </w:rPr>
        <w:t>art. 20 da Circular Susep n° 662, de 11 de abril de 2022</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3B008025">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1D40D85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somente será liberada ou restituída após a fiel execução do contrato ou após a sua extinção por culpa exclusiva da Administração e, quando em dinheiro, será atualizada monetariamente.</w:t>
      </w:r>
    </w:p>
    <w:p w14:paraId="5BB78333">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garantidor não é parte para figurar em processo administrativo instaurado pelo contratante com o objetivo de apurar prejuízos e/ou aplicar sanções à contratada. </w:t>
      </w:r>
    </w:p>
    <w:p w14:paraId="2A312B5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autoriza o contratante a reter, a qualquer tempo, a garantia, na forma prevista no Edital e neste Contrato.</w:t>
      </w:r>
    </w:p>
    <w:p w14:paraId="3B57C2E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de execução é independente de eventual garantia do produto ou serviço prevista especificamente no Termo de Referência.</w:t>
      </w:r>
    </w:p>
    <w:p w14:paraId="30DDEBA5">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CA5E1D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Comete infração administrativa, nos termos da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o contratado que:</w:t>
      </w:r>
    </w:p>
    <w:p w14:paraId="12D6118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w:t>
      </w:r>
    </w:p>
    <w:p w14:paraId="396C589E">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 que cause grave dano à Administração ou ao funcionamento dos serviços públicos ou ao interesse coletivo;</w:t>
      </w:r>
    </w:p>
    <w:p w14:paraId="0C906BA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total do contrato;</w:t>
      </w:r>
    </w:p>
    <w:p w14:paraId="1B7FDA97">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ensejar o retardamento da execução ou da entrega do objeto da contratação sem motivo justificado;</w:t>
      </w:r>
    </w:p>
    <w:p w14:paraId="12F1874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apresentar documentação falsa ou prestar declaração falsa durante a execução do contrato;</w:t>
      </w:r>
    </w:p>
    <w:p w14:paraId="56E09ADE">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praticar ato fraudulento na execução do contrato;</w:t>
      </w:r>
    </w:p>
    <w:p w14:paraId="01A22732">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comportar-se de modo inidôneo ou cometer fraude de qualquer natureza;</w:t>
      </w:r>
    </w:p>
    <w:p w14:paraId="44C655E5">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praticar ato lesivo previsto no </w:t>
      </w:r>
      <w:r>
        <w:fldChar w:fldCharType="begin"/>
      </w:r>
      <w:r>
        <w:instrText xml:space="preserve"> HYPERLINK "https://www.planalto.gov.br/ccivil_03/_ato2011-2014/2013/lei/l12846.htm" \l "art5" </w:instrText>
      </w:r>
      <w:r>
        <w:fldChar w:fldCharType="separate"/>
      </w:r>
      <w:r>
        <w:rPr>
          <w:rStyle w:val="18"/>
          <w:rFonts w:eastAsia="Arial" w:asciiTheme="minorHAnsi" w:hAnsiTheme="minorHAnsi" w:cstheme="minorHAnsi"/>
          <w:sz w:val="22"/>
          <w:szCs w:val="22"/>
        </w:rPr>
        <w:t>art. 5º da Lei nº 12.846, de 1º de agosto de 2013</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07DA1CE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Serão aplicadas ao contratado que incorrer nas infrações acima descritas as seguintes sanções:</w:t>
      </w:r>
    </w:p>
    <w:p w14:paraId="55932EF1">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Advertência</w:t>
      </w:r>
      <w:r>
        <w:rPr>
          <w:rFonts w:eastAsia="Arial" w:asciiTheme="minorHAnsi" w:hAnsiTheme="minorHAnsi" w:cstheme="minorHAnsi"/>
          <w:sz w:val="22"/>
          <w:szCs w:val="22"/>
        </w:rPr>
        <w:t>, quando o contratado der causa à inexecução parcial do contrato, sempre que não se justificar a imposição de penalidade mais grave (</w:t>
      </w:r>
      <w:r>
        <w:fldChar w:fldCharType="begin"/>
      </w:r>
      <w:r>
        <w:instrText xml:space="preserve"> HYPERLINK "http://www.planalto.gov.br/ccivil_03/_ato2019-2022/2021/lei/L14133.htm" \l "art156§2" </w:instrText>
      </w:r>
      <w:r>
        <w:fldChar w:fldCharType="separate"/>
      </w:r>
      <w:r>
        <w:rPr>
          <w:rStyle w:val="18"/>
          <w:rFonts w:eastAsia="Arial" w:asciiTheme="minorHAnsi" w:hAnsiTheme="minorHAnsi" w:cstheme="minorHAnsi"/>
          <w:sz w:val="22"/>
          <w:szCs w:val="22"/>
        </w:rPr>
        <w:t xml:space="preserve">art. 156, §2º, da </w:t>
      </w:r>
      <w:bookmarkStart w:id="8" w:name="_Hlk114504069"/>
      <w:r>
        <w:rPr>
          <w:rStyle w:val="18"/>
          <w:rFonts w:eastAsia="Arial" w:asciiTheme="minorHAnsi" w:hAnsiTheme="minorHAnsi" w:cstheme="minorHAnsi"/>
          <w:sz w:val="22"/>
          <w:szCs w:val="22"/>
        </w:rPr>
        <w:t>Lei nº 14.133, de 2021</w:t>
      </w:r>
      <w:bookmarkEnd w:id="8"/>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0A7CC4C5">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Impedimento de licitar e contratar</w:t>
      </w:r>
      <w:r>
        <w:rPr>
          <w:rFonts w:eastAsia="Arial" w:asciiTheme="minorHAnsi" w:hAnsiTheme="minorHAnsi" w:cstheme="minorHAnsi"/>
          <w:sz w:val="22"/>
          <w:szCs w:val="22"/>
        </w:rPr>
        <w:t>, quando praticadas as condutas descritas nas alíneas “b”, “c” e “d” do subitem acima deste Contrato, sempre que não se justificar a imposição de penalidade mais grave (</w:t>
      </w:r>
      <w:r>
        <w:fldChar w:fldCharType="begin"/>
      </w:r>
      <w:r>
        <w:instrText xml:space="preserve"> HYPERLINK "http://www.planalto.gov.br/ccivil_03/_ato2019-2022/2021/lei/L14133.htm" \l "art156§4" </w:instrText>
      </w:r>
      <w:r>
        <w:fldChar w:fldCharType="separate"/>
      </w:r>
      <w:r>
        <w:rPr>
          <w:rStyle w:val="18"/>
          <w:rFonts w:eastAsia="Arial" w:asciiTheme="minorHAnsi" w:hAnsiTheme="minorHAnsi" w:cstheme="minorHAnsi"/>
          <w:sz w:val="22"/>
          <w:szCs w:val="22"/>
        </w:rPr>
        <w:t>art. 156, § 4º,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6F957EA6">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Declaração de inidoneidade para licitar e contratar</w:t>
      </w:r>
      <w:r>
        <w:rPr>
          <w:rFonts w:eastAsia="Arial" w:asciiTheme="minorHAnsi" w:hAnsiTheme="minorHAnsi" w:cstheme="minorHAnsi"/>
          <w:sz w:val="22"/>
          <w:szCs w:val="22"/>
        </w:rPr>
        <w:t>, quando praticadas as condutas descritas nas alíneas “e”, “f”, “g” e “h” do subitem acima deste Contrato, bem como nas alíneas “b”, “c” e “d”, que justifiquem a imposição de penalidade mais grave (</w:t>
      </w:r>
      <w:r>
        <w:fldChar w:fldCharType="begin"/>
      </w:r>
      <w:r>
        <w:instrText xml:space="preserve"> HYPERLINK "http://www.planalto.gov.br/ccivil_03/_ato2019-2022/2021/lei/L14133.htm" \l "art156§5" </w:instrText>
      </w:r>
      <w:r>
        <w:fldChar w:fldCharType="separate"/>
      </w:r>
      <w:r>
        <w:rPr>
          <w:rStyle w:val="18"/>
          <w:rFonts w:eastAsia="Arial" w:asciiTheme="minorHAnsi" w:hAnsiTheme="minorHAnsi" w:cstheme="minorHAnsi"/>
          <w:sz w:val="22"/>
          <w:szCs w:val="22"/>
        </w:rPr>
        <w:t>art. 156, §5º,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55289247">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Multa:</w:t>
      </w:r>
    </w:p>
    <w:p w14:paraId="10807DE5">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Moratória de 2% (dois por cento) por dia de atraso injustificado sobre o valor da parcela inadimplida, até o limite de 30 (trinta) dias;</w:t>
      </w:r>
    </w:p>
    <w:p w14:paraId="2C6A7456">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Moratória de 0,07% (sete centésimos por cento) do valor total do contrato por dia de atraso injustificado, até o máximo de 2% (dois por cento), pela inobservância do prazo fixado para apresentação, suplementação ou reposição da garantia. </w:t>
      </w:r>
    </w:p>
    <w:p w14:paraId="0AFDDF49">
      <w:pPr>
        <w:numPr>
          <w:ilvl w:val="7"/>
          <w:numId w:val="15"/>
        </w:numPr>
        <w:spacing w:before="120" w:after="120" w:line="276" w:lineRule="auto"/>
        <w:ind w:left="851"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O atraso superior a 25 (vinte e cinco)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eastAsia="Arial" w:asciiTheme="minorHAnsi" w:hAnsiTheme="minorHAnsi" w:cstheme="minorHAnsi"/>
          <w:color w:val="auto"/>
          <w:sz w:val="22"/>
          <w:szCs w:val="22"/>
        </w:rPr>
        <w:t>inciso I do art. 137 da Lei n. 14.133, de 2021</w:t>
      </w:r>
      <w:r>
        <w:rPr>
          <w:rStyle w:val="18"/>
          <w:rFonts w:eastAsia="Arial" w:asciiTheme="minorHAnsi" w:hAnsiTheme="minorHAnsi" w:cstheme="minorHAnsi"/>
          <w:color w:val="auto"/>
          <w:sz w:val="22"/>
          <w:szCs w:val="22"/>
        </w:rPr>
        <w:fldChar w:fldCharType="end"/>
      </w:r>
      <w:r>
        <w:rPr>
          <w:rFonts w:eastAsia="Arial" w:asciiTheme="minorHAnsi" w:hAnsiTheme="minorHAnsi" w:cstheme="minorHAnsi"/>
          <w:sz w:val="22"/>
          <w:szCs w:val="22"/>
        </w:rPr>
        <w:t xml:space="preserve">. </w:t>
      </w:r>
    </w:p>
    <w:p w14:paraId="486BB768">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Compensatória, para as infrações descritas nas alíneas “e” a “h” do subitem 12.1, de 10% a 20% do valor do Contrato.</w:t>
      </w:r>
    </w:p>
    <w:p w14:paraId="6767D9FC">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Compensatória, para a inexecução total do contrato prevista na alínea “c” do subitem 12.1, de 5% a 10%  do valor do Contrato. </w:t>
      </w:r>
    </w:p>
    <w:p w14:paraId="16228426">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infração descrita na alínea “b” do subitem 12.1, a multa será de 1% a 10%  do valor do Contrato.</w:t>
      </w:r>
    </w:p>
    <w:p w14:paraId="453452FD">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infrações descritas na alínea “d” do subitem 12.1, a multa será de 1% a 10%  do valor do Contrato.</w:t>
      </w:r>
    </w:p>
    <w:p w14:paraId="03607BB2">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a infração descrita na alínea “a” do subitem 12.1, a multa será de 1% a 10% do valor do Contrato, ressalvadas as seguintes infrações:</w:t>
      </w:r>
    </w:p>
    <w:p w14:paraId="7740E8F9">
      <w:pPr>
        <w:pStyle w:val="78"/>
        <w:numPr>
          <w:ilvl w:val="1"/>
          <w:numId w:val="9"/>
        </w:num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A aplicação das sanções previstas neste Contrato não exclui, em hipótese alguma, a obrigação de reparação integral do dano causado ao Contratante (</w:t>
      </w:r>
      <w:r>
        <w:fldChar w:fldCharType="begin"/>
      </w:r>
      <w:r>
        <w:instrText xml:space="preserve"> HYPERLINK "http://www.planalto.gov.br/ccivil_03/_ato2019-2022/2021/lei/L14133.htm" \l "art156§9" </w:instrText>
      </w:r>
      <w:r>
        <w:fldChar w:fldCharType="separate"/>
      </w:r>
      <w:r>
        <w:rPr>
          <w:rStyle w:val="18"/>
          <w:rFonts w:asciiTheme="minorHAnsi" w:hAnsiTheme="minorHAnsi" w:cstheme="minorHAnsi"/>
          <w:sz w:val="22"/>
          <w:szCs w:val="22"/>
        </w:rPr>
        <w:t>art. 156, §9º,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0367F7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Todas as sanções previstas neste Contrato poderão ser aplicadas cumulativamente com a multa (</w:t>
      </w:r>
      <w:r>
        <w:fldChar w:fldCharType="begin"/>
      </w:r>
      <w:r>
        <w:instrText xml:space="preserve"> HYPERLINK "http://www.planalto.gov.br/ccivil_03/_ato2019-2022/2021/lei/L14133.htm" \l "art156§7" </w:instrText>
      </w:r>
      <w:r>
        <w:fldChar w:fldCharType="separate"/>
      </w:r>
      <w:r>
        <w:rPr>
          <w:rStyle w:val="18"/>
          <w:rFonts w:asciiTheme="minorHAnsi" w:hAnsiTheme="minorHAnsi" w:cstheme="minorHAnsi"/>
          <w:sz w:val="22"/>
          <w:szCs w:val="22"/>
        </w:rPr>
        <w:t>art. 156, §7º,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5C58899">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Antes da aplicação da multa será facultada a defesa do interessado no prazo de 15 (quinze) dias úteis, contado da data de sua intimação (</w:t>
      </w:r>
      <w:r>
        <w:fldChar w:fldCharType="begin"/>
      </w:r>
      <w:r>
        <w:instrText xml:space="preserve"> HYPERLINK "http://www.planalto.gov.br/ccivil_03/_ato2019-2022/2021/lei/L14133.htm" \l "art157" </w:instrText>
      </w:r>
      <w:r>
        <w:fldChar w:fldCharType="separate"/>
      </w:r>
      <w:r>
        <w:rPr>
          <w:rStyle w:val="18"/>
          <w:rFonts w:asciiTheme="minorHAnsi" w:hAnsiTheme="minorHAnsi" w:cstheme="minorHAnsi"/>
          <w:sz w:val="22"/>
          <w:szCs w:val="22"/>
        </w:rPr>
        <w:t>art. 157,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16132C">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instrText xml:space="preserve"> HYPERLINK "http://www.planalto.gov.br/ccivil_03/_ato2019-2022/2021/lei/L14133.htm" \l "art156§8" </w:instrText>
      </w:r>
      <w:r>
        <w:fldChar w:fldCharType="separate"/>
      </w:r>
      <w:r>
        <w:rPr>
          <w:rStyle w:val="18"/>
          <w:rFonts w:asciiTheme="minorHAnsi" w:hAnsiTheme="minorHAnsi" w:cstheme="minorHAnsi"/>
          <w:sz w:val="22"/>
          <w:szCs w:val="22"/>
        </w:rPr>
        <w:t>art. 156, §8º,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7EA64AA">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 xml:space="preserve">Previamente ao encaminhamento à cobrança judicial, a multa poderá ser recolhida administrativamente no prazo máximo de </w:t>
      </w:r>
      <w:r>
        <w:rPr>
          <w:rFonts w:asciiTheme="minorHAnsi" w:hAnsiTheme="minorHAnsi" w:cstheme="minorHAnsi"/>
          <w:i/>
          <w:iCs/>
          <w:color w:val="auto"/>
          <w:sz w:val="22"/>
          <w:szCs w:val="22"/>
        </w:rPr>
        <w:t xml:space="preserve">10 (dez) </w:t>
      </w:r>
      <w:r>
        <w:rPr>
          <w:rFonts w:asciiTheme="minorHAnsi" w:hAnsiTheme="minorHAnsi" w:cstheme="minorHAnsi"/>
          <w:sz w:val="22"/>
          <w:szCs w:val="22"/>
        </w:rPr>
        <w:t>dias, a contar da data do recebimento da comunicação enviada pela autoridade competente.</w:t>
      </w:r>
      <w:bookmarkStart w:id="9" w:name="_Hlk78351618"/>
      <w:bookmarkEnd w:id="9"/>
    </w:p>
    <w:p w14:paraId="662493E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Pr>
          <w:rFonts w:asciiTheme="minorHAnsi" w:hAnsiTheme="minorHAnsi" w:cstheme="minorHAnsi"/>
          <w:b/>
          <w:bCs/>
          <w:sz w:val="22"/>
          <w:szCs w:val="22"/>
        </w:rPr>
        <w:t xml:space="preserve">caput </w:t>
      </w:r>
      <w:r>
        <w:rPr>
          <w:rFonts w:asciiTheme="minorHAnsi" w:hAnsiTheme="minorHAnsi" w:cstheme="minorHAnsi"/>
          <w:sz w:val="22"/>
          <w:szCs w:val="22"/>
        </w:rPr>
        <w:t xml:space="preserve">e parágrafos do </w:t>
      </w:r>
      <w:r>
        <w:fldChar w:fldCharType="begin"/>
      </w:r>
      <w:r>
        <w:instrText xml:space="preserve"> HYPERLINK "http://www.planalto.gov.br/ccivil_03/_ato2019-2022/2021/lei/L14133.htm" \l "art158" </w:instrText>
      </w:r>
      <w:r>
        <w:fldChar w:fldCharType="separate"/>
      </w:r>
      <w:r>
        <w:rPr>
          <w:rStyle w:val="18"/>
          <w:rFonts w:asciiTheme="minorHAnsi" w:hAnsiTheme="minorHAnsi" w:cstheme="minorHAnsi"/>
          <w:sz w:val="22"/>
          <w:szCs w:val="22"/>
        </w:rPr>
        <w:t>art. 158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para as penalidades de impedimento de licitar e contratar e de declaração de inidoneidade para licitar ou contratar.</w:t>
      </w:r>
    </w:p>
    <w:p w14:paraId="244A6C4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Na aplicação das sanções serão considerados (</w:t>
      </w:r>
      <w:r>
        <w:fldChar w:fldCharType="begin"/>
      </w:r>
      <w:r>
        <w:instrText xml:space="preserve"> HYPERLINK "http://www.planalto.gov.br/ccivil_03/_ato2019-2022/2021/lei/L14133.htm" \l "art156§1" </w:instrText>
      </w:r>
      <w:r>
        <w:fldChar w:fldCharType="separate"/>
      </w:r>
      <w:r>
        <w:rPr>
          <w:rStyle w:val="18"/>
          <w:rFonts w:asciiTheme="minorHAnsi" w:hAnsiTheme="minorHAnsi" w:cstheme="minorHAnsi"/>
          <w:sz w:val="22"/>
          <w:szCs w:val="22"/>
        </w:rPr>
        <w:t>art. 156, §1º,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284FC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natureza e a gravidade da infração cometida;</w:t>
      </w:r>
    </w:p>
    <w:p w14:paraId="6388A44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peculiaridades do caso concreto;</w:t>
      </w:r>
    </w:p>
    <w:p w14:paraId="0C126F91">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circunstâncias agravantes ou atenuantes;</w:t>
      </w:r>
    </w:p>
    <w:p w14:paraId="3A4EBD4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os danos que dela provierem para o Contratante;</w:t>
      </w:r>
    </w:p>
    <w:p w14:paraId="79BF4D90">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implantação ou o aperfeiçoamento de programa de integridade, conforme normas e orientações dos órgãos de controle.</w:t>
      </w:r>
    </w:p>
    <w:p w14:paraId="3B0F7D2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atos previstos como infrações administrativas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ou em outras leis de licitações e contratos da Administração Pública que também sejam tipificados como atos lesivos </w:t>
      </w:r>
      <w:r>
        <w:fldChar w:fldCharType="begin"/>
      </w:r>
      <w:r>
        <w:instrText xml:space="preserve"> HYPERLINK "https://www.planalto.gov.br/ccivil_03/_ato2011-2014/2013/lei/l12846.htm" </w:instrText>
      </w:r>
      <w:r>
        <w:fldChar w:fldCharType="separate"/>
      </w:r>
      <w:r>
        <w:rPr>
          <w:rStyle w:val="18"/>
          <w:rFonts w:asciiTheme="minorHAnsi" w:hAnsiTheme="minorHAnsi" w:cstheme="minorHAnsi"/>
          <w:sz w:val="22"/>
          <w:szCs w:val="22"/>
        </w:rPr>
        <w:t>na Lei nº 12.846, de 2013</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serão apurados e julgados conjuntamente, nos mesmos autos, observados o rito procedimental e autoridade competente definidos na referida </w:t>
      </w:r>
      <w:r>
        <w:fldChar w:fldCharType="begin"/>
      </w:r>
      <w:r>
        <w:instrText xml:space="preserve"> HYPERLINK "http://www.planalto.gov.br/ccivil_03/_ato2019-2022/2021/lei/L14133.htm" \l "art159" </w:instrText>
      </w:r>
      <w:r>
        <w:fldChar w:fldCharType="separate"/>
      </w:r>
      <w:r>
        <w:rPr>
          <w:rStyle w:val="18"/>
          <w:rFonts w:asciiTheme="minorHAnsi" w:hAnsiTheme="minorHAnsi" w:cstheme="minorHAnsi"/>
          <w:sz w:val="22"/>
          <w:szCs w:val="22"/>
        </w:rPr>
        <w:t>Lei (art. 159</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C422EE4">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instrText xml:space="preserve"> HYPERLINK "http://www.planalto.gov.br/ccivil_03/_ato2019-2022/2021/lei/L14133.htm" \l "art160" </w:instrText>
      </w:r>
      <w:r>
        <w:fldChar w:fldCharType="separate"/>
      </w:r>
      <w:r>
        <w:rPr>
          <w:rStyle w:val="18"/>
          <w:rFonts w:asciiTheme="minorHAnsi" w:hAnsiTheme="minorHAnsi" w:cstheme="minorHAnsi"/>
          <w:sz w:val="22"/>
          <w:szCs w:val="22"/>
        </w:rPr>
        <w:t>art. 160,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20DD138">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 xml:space="preserve"> O Contratante deverá, no prazo máximo de 15 (quinze) dias úteis, contado da data de aplicação da sanção, informar e manter atualizados os dados relativos às sanções por ela aplicadas, para fins de publicidade no </w:t>
      </w:r>
      <w:r>
        <w:fldChar w:fldCharType="begin"/>
      </w:r>
      <w:r>
        <w:instrText xml:space="preserve"> HYPERLINK "https://ceiscadastro.cgu.gov.br/index.aspx?ReturnUrl=%2f" </w:instrText>
      </w:r>
      <w:r>
        <w:fldChar w:fldCharType="separate"/>
      </w:r>
      <w:r>
        <w:rPr>
          <w:rStyle w:val="18"/>
          <w:rFonts w:asciiTheme="minorHAnsi" w:hAnsiTheme="minorHAnsi" w:cstheme="minorHAnsi"/>
          <w:sz w:val="22"/>
          <w:szCs w:val="22"/>
        </w:rPr>
        <w:t>Cadastro Nacional de Empresas Inidôneas e Suspensas (Ceis)</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no Cadastro Nacional de Empresas Punidas (Cnep), instituídos no âmbito do Poder Executivo Federal. (</w:t>
      </w:r>
      <w:r>
        <w:fldChar w:fldCharType="begin"/>
      </w:r>
      <w:r>
        <w:instrText xml:space="preserve"> HYPERLINK "http://www.planalto.gov.br/ccivil_03/_ato2019-2022/2021/lei/L14133.htm" \l "art161" </w:instrText>
      </w:r>
      <w:r>
        <w:fldChar w:fldCharType="separate"/>
      </w:r>
      <w:r>
        <w:rPr>
          <w:rStyle w:val="18"/>
          <w:rFonts w:asciiTheme="minorHAnsi" w:hAnsiTheme="minorHAnsi" w:cstheme="minorHAnsi"/>
          <w:sz w:val="22"/>
          <w:szCs w:val="22"/>
        </w:rPr>
        <w:t>Art. 161,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203CDE">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r>
        <w:fldChar w:fldCharType="begin"/>
      </w:r>
      <w:r>
        <w:instrText xml:space="preserve"> HYPERLINK "http://www.planalto.gov.br/ccivil_03/_ato2019-2022/2021/lei/L14133.htm" \l "art163" </w:instrText>
      </w:r>
      <w:r>
        <w:fldChar w:fldCharType="separate"/>
      </w:r>
      <w:r>
        <w:rPr>
          <w:rStyle w:val="18"/>
          <w:rFonts w:asciiTheme="minorHAnsi" w:hAnsiTheme="minorHAnsi" w:cstheme="minorHAnsi"/>
          <w:sz w:val="22"/>
          <w:szCs w:val="22"/>
        </w:rPr>
        <w:t>art. 163 da Lei nº 14.133/21.</w:t>
      </w:r>
      <w:r>
        <w:rPr>
          <w:rStyle w:val="18"/>
          <w:rFonts w:asciiTheme="minorHAnsi" w:hAnsiTheme="minorHAnsi" w:cstheme="minorHAnsi"/>
          <w:sz w:val="22"/>
          <w:szCs w:val="22"/>
        </w:rPr>
        <w:fldChar w:fldCharType="end"/>
      </w:r>
    </w:p>
    <w:p w14:paraId="4ACBDD4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r>
        <w:fldChar w:fldCharType="begin"/>
      </w:r>
      <w:r>
        <w:instrText xml:space="preserve"> HYPERLINK "https://www.gov.br/compras/pt-br/acesso-a-informacao/legislacao/instrucoes-normativas/instrucao-normativa-seges-me-no-26-de-13-de-abril-de-2022" </w:instrText>
      </w:r>
      <w:r>
        <w:fldChar w:fldCharType="separate"/>
      </w:r>
      <w:r>
        <w:rPr>
          <w:rStyle w:val="18"/>
          <w:rFonts w:asciiTheme="minorHAnsi" w:hAnsiTheme="minorHAnsi" w:cstheme="minorHAnsi"/>
          <w:sz w:val="22"/>
          <w:szCs w:val="22"/>
        </w:rPr>
        <w:t>Instrução Normativa SEGES/ME nº 26, de 13 de abril de 2022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9F5A5D9">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04C72DD">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será extinto quando vencido o prazo nele estipulado, independentemente de terem sido cumpridas ou não as obrigações de ambas as partes contraentes.</w:t>
      </w:r>
    </w:p>
    <w:p w14:paraId="6FDF5F5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poderá ser extinto antes do prazo nele fixado, sem ônus para o contratante, quando esta não dispuser de créditos orçamentários para sua continuidade ou quando entender que o contrato não mais lhe oferece vantagem.</w:t>
      </w:r>
    </w:p>
    <w:p w14:paraId="6759E78B">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extinção nesta hipótese ocorrerá na próxima data de aniversário do contrato, desde que haja a notificação do contratado pelo contratante nesse sentido com pelo menos 2 (dois) meses de antecedência desse dia.</w:t>
      </w:r>
    </w:p>
    <w:p w14:paraId="7F14B66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a notificação da não-continuidade do contrato de que trata este subitem ocorra com menos de 2 (dois) meses da data de aniversário, a extinção contratual ocorrerá após 2 (dois) meses da data da comunicação.</w:t>
      </w:r>
    </w:p>
    <w:p w14:paraId="58A697B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artigo 137 da Lei nº 14.133/21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amigavelmente, </w:t>
      </w:r>
      <w:r>
        <w:rPr>
          <w:rFonts w:asciiTheme="minorHAnsi" w:hAnsiTheme="minorHAnsi" w:cstheme="minorHAnsi"/>
          <w:color w:val="000000" w:themeColor="text1"/>
          <w:sz w:val="22"/>
          <w:szCs w:val="22"/>
          <w14:textFill>
            <w14:solidFill>
              <w14:schemeClr w14:val="tx1"/>
            </w14:solidFill>
          </w14:textFill>
        </w:rPr>
        <w:t>assegurados o contraditório e a ampla defesa</w:t>
      </w:r>
      <w:r>
        <w:rPr>
          <w:rFonts w:asciiTheme="minorHAnsi" w:hAnsiTheme="minorHAnsi" w:cstheme="minorHAnsi"/>
          <w:sz w:val="22"/>
          <w:szCs w:val="22"/>
        </w:rPr>
        <w:t>.</w:t>
      </w:r>
    </w:p>
    <w:p w14:paraId="0A17ED21">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 xml:space="preserve">Nesta hipótese, aplicam-se também os </w:t>
      </w:r>
      <w:r>
        <w:fldChar w:fldCharType="begin"/>
      </w:r>
      <w:r>
        <w:instrText xml:space="preserve"> HYPERLINK "http://www.planalto.gov.br/ccivil_03/_ato2019-2022/2021/lei/L14133.htm" \l "art138" </w:instrText>
      </w:r>
      <w:r>
        <w:fldChar w:fldCharType="separate"/>
      </w:r>
      <w:r>
        <w:rPr>
          <w:rStyle w:val="18"/>
          <w:rFonts w:asciiTheme="minorHAnsi" w:hAnsiTheme="minorHAnsi" w:cstheme="minorHAnsi"/>
          <w:sz w:val="22"/>
          <w:szCs w:val="22"/>
        </w:rPr>
        <w:t>artigos 138 e 139</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da mesma Lei.</w:t>
      </w:r>
    </w:p>
    <w:p w14:paraId="52F0B8B2">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77EA56DB">
      <w:pPr>
        <w:pStyle w:val="102"/>
        <w:numPr>
          <w:ilvl w:val="3"/>
          <w:numId w:val="9"/>
        </w:numPr>
        <w:ind w:left="567" w:firstLine="0"/>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Se a operação </w:t>
      </w:r>
      <w:r>
        <w:rPr>
          <w:rFonts w:asciiTheme="minorHAnsi" w:hAnsiTheme="minorHAnsi" w:cstheme="minorHAnsi"/>
          <w:sz w:val="22"/>
          <w:szCs w:val="22"/>
        </w:rPr>
        <w:t>implicar mudança da pessoa jurídica contratada, deverá ser formalizado termo aditivo para alteração subjetiva.</w:t>
      </w:r>
    </w:p>
    <w:p w14:paraId="741319B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1BCECC50">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14:paraId="6780E783">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14:paraId="573E6D3F">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Indenizações e multas.</w:t>
      </w:r>
    </w:p>
    <w:p w14:paraId="10F1EFD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r>
        <w:fldChar w:fldCharType="begin"/>
      </w:r>
      <w:r>
        <w:instrText xml:space="preserve"> HYPERLINK "http://www.planalto.gov.br/ccivil_03/_ato2019-2022/2021/lei/L14133.htm" \l "art131" \h </w:instrText>
      </w:r>
      <w:r>
        <w:fldChar w:fldCharType="separate"/>
      </w:r>
      <w:r>
        <w:rPr>
          <w:rStyle w:val="18"/>
          <w:rFonts w:asciiTheme="minorHAnsi" w:hAnsiTheme="minorHAnsi" w:cstheme="minorHAnsi"/>
          <w:sz w:val="22"/>
          <w:szCs w:val="22"/>
        </w:rPr>
        <w:t xml:space="preserve">art. 131, </w:t>
      </w:r>
      <w:r>
        <w:rPr>
          <w:rStyle w:val="18"/>
          <w:rFonts w:asciiTheme="minorHAnsi" w:hAnsiTheme="minorHAnsi" w:cstheme="minorHAnsi"/>
          <w:iCs/>
          <w:sz w:val="22"/>
          <w:szCs w:val="22"/>
        </w:rPr>
        <w:t xml:space="preserve">caput, </w:t>
      </w:r>
      <w:r>
        <w:rPr>
          <w:rStyle w:val="18"/>
          <w:rFonts w:asciiTheme="minorHAnsi" w:hAnsiTheme="minorHAnsi" w:cstheme="minorHAnsi"/>
          <w:sz w:val="22"/>
          <w:szCs w:val="22"/>
        </w:rPr>
        <w:t>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2C8BD34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14:paraId="0B35AE34">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568BF1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3E775954">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03AAB70C">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473CFE6E">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09F9AF36">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4AC357A6">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43065B83">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65F1931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 dotação relativa aos exercícios financeiros subsequentes será indicada após aprovação da Lei Orçamentária respectiva e liberação dos créditos correspondentes, mediante apostilamento.</w:t>
      </w:r>
    </w:p>
    <w:p w14:paraId="7FA5E0A1">
      <w:pPr>
        <w:pStyle w:val="492"/>
        <w:numPr>
          <w:ilvl w:val="0"/>
          <w:numId w:val="9"/>
        </w:numPr>
        <w:spacing w:before="120" w:after="288" w:afterLines="120" w:line="312" w:lineRule="auto"/>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QUINTA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9A76E9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Fonts w:asciiTheme="minorHAnsi" w:hAnsiTheme="minorHAnsi" w:cstheme="minorHAnsi"/>
          <w:sz w:val="22"/>
          <w:szCs w:val="22"/>
        </w:rPr>
        <w:t>Lei nº 14.133, de 2021</w:t>
      </w:r>
      <w:r>
        <w:rPr>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7493758">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ALTERAÇÕES</w:t>
      </w:r>
    </w:p>
    <w:p w14:paraId="5EDD0B2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Eventuais alterações contratuais reger-se-ão pela disciplina dos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arts. 124 e seguintes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1029FE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3CBC4F1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1F33ACE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r>
        <w:fldChar w:fldCharType="begin"/>
      </w:r>
      <w:r>
        <w:instrText xml:space="preserve"> HYPERLINK "http://www.planalto.gov.br/ccivil_03/_ato2019-2022/2021/lei/L14133.htm" \l "art136" </w:instrText>
      </w:r>
      <w:r>
        <w:fldChar w:fldCharType="separate"/>
      </w:r>
      <w:r>
        <w:rPr>
          <w:rStyle w:val="18"/>
          <w:rFonts w:asciiTheme="minorHAnsi" w:hAnsiTheme="minorHAnsi" w:cstheme="minorHAnsi"/>
          <w:sz w:val="22"/>
          <w:szCs w:val="22"/>
        </w:rPr>
        <w:t>art. 136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C7C0710">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5D27A3B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art. 91, </w:t>
      </w:r>
      <w:r>
        <w:rPr>
          <w:rFonts w:asciiTheme="minorHAnsi" w:hAnsiTheme="minorHAnsi" w:cstheme="minorHAnsi"/>
          <w:i/>
          <w:iCs/>
          <w:sz w:val="22"/>
          <w:szCs w:val="22"/>
        </w:rPr>
        <w:t>caput,</w:t>
      </w:r>
      <w:r>
        <w:rPr>
          <w:rFonts w:asciiTheme="minorHAnsi" w:hAnsiTheme="minorHAnsi" w:cstheme="minorHAnsi"/>
          <w:sz w:val="22"/>
          <w:szCs w:val="22"/>
        </w:rPr>
        <w:t xml:space="preserve"> da Lei n.º 14.133, de 2021, e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E302872">
      <w:pPr>
        <w:pStyle w:val="99"/>
        <w:keepNext/>
        <w:keepLines/>
        <w:numPr>
          <w:ilvl w:val="0"/>
          <w:numId w:val="0"/>
        </w:numPr>
        <w:suppressLineNumbers/>
        <w:suppressAutoHyphens/>
        <w:spacing w:before="0" w:after="288" w:afterLines="120" w:line="360" w:lineRule="auto"/>
        <w:ind w:left="858" w:hanging="432"/>
        <w:contextualSpacing/>
        <w:rPr>
          <w:rFonts w:asciiTheme="minorHAnsi" w:hAnsiTheme="minorHAnsi" w:cstheme="minorHAnsi"/>
          <w:sz w:val="22"/>
          <w:szCs w:val="22"/>
        </w:rPr>
      </w:pPr>
    </w:p>
    <w:p w14:paraId="5C31E496">
      <w:pPr>
        <w:pStyle w:val="99"/>
        <w:keepNext/>
        <w:keepLines/>
        <w:numPr>
          <w:ilvl w:val="0"/>
          <w:numId w:val="0"/>
        </w:numPr>
        <w:suppressLineNumbers/>
        <w:suppressAutoHyphens/>
        <w:spacing w:before="0" w:after="288" w:afterLines="120" w:line="360" w:lineRule="auto"/>
        <w:ind w:left="360"/>
        <w:contextualSpacing/>
        <w:rPr>
          <w:rFonts w:asciiTheme="minorHAnsi" w:hAnsiTheme="minorHAnsi" w:cstheme="minorHAnsi"/>
          <w:b/>
          <w:bCs/>
          <w:sz w:val="22"/>
          <w:szCs w:val="22"/>
        </w:rPr>
      </w:pPr>
      <w:r>
        <w:rPr>
          <w:rFonts w:asciiTheme="minorHAnsi" w:hAnsiTheme="minorHAnsi" w:cstheme="minorHAnsi"/>
          <w:b/>
          <w:bCs/>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b/>
          <w:bCs/>
          <w:color w:val="auto"/>
          <w:sz w:val="22"/>
          <w:szCs w:val="22"/>
        </w:rPr>
        <w:t>art. 92, §1º</w:t>
      </w:r>
      <w:r>
        <w:rPr>
          <w:rStyle w:val="18"/>
          <w:rFonts w:asciiTheme="minorHAnsi" w:hAnsiTheme="minorHAnsi" w:cstheme="minorHAnsi"/>
          <w:b/>
          <w:bCs/>
          <w:color w:val="auto"/>
          <w:sz w:val="22"/>
          <w:szCs w:val="22"/>
        </w:rPr>
        <w:fldChar w:fldCharType="end"/>
      </w:r>
      <w:r>
        <w:rPr>
          <w:rFonts w:asciiTheme="minorHAnsi" w:hAnsiTheme="minorHAnsi" w:cstheme="minorHAnsi"/>
          <w:b/>
          <w:bCs/>
          <w:sz w:val="22"/>
          <w:szCs w:val="22"/>
        </w:rPr>
        <w:t>)</w:t>
      </w:r>
    </w:p>
    <w:p w14:paraId="011B23EA">
      <w:pPr>
        <w:pStyle w:val="99"/>
        <w:keepNext/>
        <w:keepLines/>
        <w:numPr>
          <w:ilvl w:val="1"/>
          <w:numId w:val="18"/>
        </w:numPr>
        <w:suppressLineNumbers/>
        <w:suppressAutoHyphens/>
        <w:spacing w:before="0" w:after="288" w:afterLines="120" w:line="360" w:lineRule="auto"/>
        <w:ind w:left="426"/>
        <w:contextualSpacing/>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3C4B8C95">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p>
    <w:p w14:paraId="6EBD887F">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keepNext/>
        <w:keepLines/>
        <w:suppressLineNumbers/>
        <w:spacing w:after="120" w:line="276" w:lineRule="auto"/>
        <w:ind w:left="567" w:right="-15" w:hanging="567"/>
        <w:contextualSpacing/>
        <w:rPr>
          <w:rFonts w:asciiTheme="minorHAnsi" w:hAnsiTheme="minorHAnsi" w:cstheme="minorHAnsi"/>
          <w:b/>
          <w:bCs/>
          <w:sz w:val="22"/>
          <w:szCs w:val="22"/>
        </w:rPr>
      </w:pPr>
    </w:p>
    <w:p w14:paraId="4624D86B">
      <w:pPr>
        <w:keepNext/>
        <w:keepLines/>
        <w:suppressLineNumbers/>
        <w:spacing w:after="120" w:line="276" w:lineRule="auto"/>
        <w:ind w:left="567" w:right="-15" w:hanging="567"/>
        <w:contextualSpacing/>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 w:name="Calibri-Bol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5F32625C">
    <w:pPr>
      <w:pStyle w:val="33"/>
      <w:rPr>
        <w:rFonts w:cs="Arial"/>
        <w:sz w:val="14"/>
        <w:szCs w:val="14"/>
      </w:rPr>
    </w:pPr>
    <w:r>
      <w:rPr>
        <w:rFonts w:cs="Arial"/>
        <w:sz w:val="14"/>
        <w:szCs w:val="14"/>
      </w:rPr>
      <w:t>Câmara Nacional de Modelos de Licitações e Contratos da Consultoria-Geral da União</w:t>
    </w:r>
  </w:p>
  <w:p w14:paraId="2AF453AB">
    <w:pPr>
      <w:pStyle w:val="33"/>
      <w:rPr>
        <w:rFonts w:cs="Arial"/>
        <w:sz w:val="14"/>
        <w:szCs w:val="14"/>
      </w:rPr>
    </w:pPr>
    <w:r>
      <w:rPr>
        <w:rFonts w:cs="Arial"/>
        <w:sz w:val="14"/>
        <w:szCs w:val="14"/>
      </w:rPr>
      <w:t>Atualização: maio/2023</w:t>
    </w:r>
  </w:p>
  <w:p w14:paraId="7A3A7E57">
    <w:pPr>
      <w:pStyle w:val="33"/>
      <w:rPr>
        <w:rFonts w:cs="Arial"/>
        <w:sz w:val="14"/>
        <w:szCs w:val="14"/>
      </w:rPr>
    </w:pPr>
    <w:r>
      <w:rPr>
        <w:rFonts w:cs="Arial"/>
        <w:sz w:val="14"/>
        <w:szCs w:val="14"/>
      </w:rPr>
      <w:t>Termo de contrato modelo para Pregão Eletrônico – Serviços Comuns de Engenharia - Lei n.º 14.133, de 2021.</w:t>
    </w:r>
  </w:p>
  <w:p w14:paraId="310DCACA">
    <w:pPr>
      <w:pStyle w:val="33"/>
      <w:rPr>
        <w:rFonts w:cs="Arial"/>
        <w:sz w:val="14"/>
        <w:szCs w:val="14"/>
      </w:rPr>
    </w:pPr>
    <w:r>
      <w:rPr>
        <w:rFonts w:cs="Arial"/>
        <w:sz w:val="14"/>
        <w:szCs w:val="14"/>
      </w:rPr>
      <w:t>Aprovado pela Secretaria de Gestão e Inovação.</w:t>
    </w:r>
  </w:p>
  <w:p w14:paraId="4312F900">
    <w:pPr>
      <w:pStyle w:val="33"/>
      <w:tabs>
        <w:tab w:val="right" w:pos="9639"/>
        <w:tab w:val="clear" w:pos="8504"/>
      </w:tabs>
      <w:rPr>
        <w:i/>
      </w:rPr>
    </w:pPr>
    <w:r>
      <w:rPr>
        <w:rFonts w:cs="Arial"/>
        <w:sz w:val="14"/>
        <w:szCs w:val="14"/>
      </w:rPr>
      <w:t>Identidade visual pela Secretaria de Gestão e Inovação</w:t>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9B3C5"/>
    <w:multiLevelType w:val="multilevel"/>
    <w:tmpl w:val="0299B3C5"/>
    <w:lvl w:ilvl="0" w:tentative="0">
      <w:start w:val="1"/>
      <w:numFmt w:val="lowerLetter"/>
      <w:lvlText w:val="%1)"/>
      <w:lvlJc w:val="left"/>
      <w:pPr>
        <w:tabs>
          <w:tab w:val="left" w:pos="0"/>
        </w:tabs>
        <w:ind w:left="1436" w:hanging="360"/>
      </w:pPr>
    </w:lvl>
    <w:lvl w:ilvl="1" w:tentative="0">
      <w:start w:val="1"/>
      <w:numFmt w:val="lowerLetter"/>
      <w:lvlText w:val="%2."/>
      <w:lvlJc w:val="left"/>
      <w:pPr>
        <w:tabs>
          <w:tab w:val="left" w:pos="0"/>
        </w:tabs>
        <w:ind w:left="2156" w:hanging="360"/>
      </w:pPr>
    </w:lvl>
    <w:lvl w:ilvl="2" w:tentative="0">
      <w:start w:val="1"/>
      <w:numFmt w:val="lowerRoman"/>
      <w:lvlText w:val="%3."/>
      <w:lvlJc w:val="right"/>
      <w:pPr>
        <w:tabs>
          <w:tab w:val="left" w:pos="0"/>
        </w:tabs>
        <w:ind w:left="2876" w:hanging="180"/>
      </w:pPr>
    </w:lvl>
    <w:lvl w:ilvl="3" w:tentative="0">
      <w:start w:val="1"/>
      <w:numFmt w:val="decimal"/>
      <w:lvlText w:val="%4."/>
      <w:lvlJc w:val="left"/>
      <w:pPr>
        <w:tabs>
          <w:tab w:val="left" w:pos="0"/>
        </w:tabs>
        <w:ind w:left="3596" w:hanging="360"/>
      </w:pPr>
    </w:lvl>
    <w:lvl w:ilvl="4" w:tentative="0">
      <w:start w:val="1"/>
      <w:numFmt w:val="lowerLetter"/>
      <w:lvlText w:val="%5."/>
      <w:lvlJc w:val="left"/>
      <w:pPr>
        <w:tabs>
          <w:tab w:val="left" w:pos="0"/>
        </w:tabs>
        <w:ind w:left="4316" w:hanging="360"/>
      </w:pPr>
    </w:lvl>
    <w:lvl w:ilvl="5" w:tentative="0">
      <w:start w:val="1"/>
      <w:numFmt w:val="lowerRoman"/>
      <w:lvlText w:val="%6."/>
      <w:lvlJc w:val="right"/>
      <w:pPr>
        <w:tabs>
          <w:tab w:val="left" w:pos="0"/>
        </w:tabs>
        <w:ind w:left="5036" w:hanging="180"/>
      </w:pPr>
    </w:lvl>
    <w:lvl w:ilvl="6" w:tentative="0">
      <w:start w:val="1"/>
      <w:numFmt w:val="decimal"/>
      <w:lvlText w:val="%7."/>
      <w:lvlJc w:val="left"/>
      <w:pPr>
        <w:tabs>
          <w:tab w:val="left" w:pos="0"/>
        </w:tabs>
        <w:ind w:left="5756" w:hanging="360"/>
      </w:pPr>
    </w:lvl>
    <w:lvl w:ilvl="7" w:tentative="0">
      <w:start w:val="1"/>
      <w:numFmt w:val="lowerLetter"/>
      <w:lvlText w:val="%8."/>
      <w:lvlJc w:val="left"/>
      <w:pPr>
        <w:tabs>
          <w:tab w:val="left" w:pos="0"/>
        </w:tabs>
        <w:ind w:left="6476" w:hanging="360"/>
      </w:pPr>
    </w:lvl>
    <w:lvl w:ilvl="8" w:tentative="0">
      <w:start w:val="1"/>
      <w:numFmt w:val="lowerRoman"/>
      <w:lvlText w:val="%9."/>
      <w:lvlJc w:val="right"/>
      <w:pPr>
        <w:tabs>
          <w:tab w:val="left" w:pos="0"/>
        </w:tabs>
        <w:ind w:left="7196" w:hanging="180"/>
      </w:pPr>
    </w:lvl>
  </w:abstractNum>
  <w:abstractNum w:abstractNumId="1">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2">
    <w:nsid w:val="1CFC265D"/>
    <w:multiLevelType w:val="multilevel"/>
    <w:tmpl w:val="1CFC265D"/>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3">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5">
    <w:nsid w:val="371C7350"/>
    <w:multiLevelType w:val="multilevel"/>
    <w:tmpl w:val="371C7350"/>
    <w:lvl w:ilvl="0" w:tentative="0">
      <w:start w:val="18"/>
      <w:numFmt w:val="decimal"/>
      <w:lvlText w:val="%1."/>
      <w:lvlJc w:val="left"/>
      <w:pPr>
        <w:ind w:left="435" w:hanging="435"/>
      </w:pPr>
      <w:rPr>
        <w:rFonts w:hint="default"/>
      </w:rPr>
    </w:lvl>
    <w:lvl w:ilvl="1" w:tentative="0">
      <w:start w:val="1"/>
      <w:numFmt w:val="decimal"/>
      <w:lvlText w:val="%1.%2."/>
      <w:lvlJc w:val="left"/>
      <w:pPr>
        <w:ind w:left="861" w:hanging="435"/>
      </w:pPr>
      <w:rPr>
        <w:rFonts w:hint="default"/>
      </w:rPr>
    </w:lvl>
    <w:lvl w:ilvl="2" w:tentative="0">
      <w:start w:val="1"/>
      <w:numFmt w:val="decimal"/>
      <w:lvlText w:val="%1.%2.%3."/>
      <w:lvlJc w:val="left"/>
      <w:pPr>
        <w:ind w:left="1572" w:hanging="720"/>
      </w:pPr>
      <w:rPr>
        <w:rFonts w:hint="default"/>
      </w:rPr>
    </w:lvl>
    <w:lvl w:ilvl="3" w:tentative="0">
      <w:start w:val="1"/>
      <w:numFmt w:val="decimal"/>
      <w:lvlText w:val="%1.%2.%3.%4."/>
      <w:lvlJc w:val="left"/>
      <w:pPr>
        <w:ind w:left="1998" w:hanging="720"/>
      </w:pPr>
      <w:rPr>
        <w:rFonts w:hint="default"/>
      </w:rPr>
    </w:lvl>
    <w:lvl w:ilvl="4" w:tentative="0">
      <w:start w:val="1"/>
      <w:numFmt w:val="decimal"/>
      <w:lvlText w:val="%1.%2.%3.%4.%5."/>
      <w:lvlJc w:val="left"/>
      <w:pPr>
        <w:ind w:left="2784" w:hanging="1080"/>
      </w:pPr>
      <w:rPr>
        <w:rFonts w:hint="default"/>
      </w:rPr>
    </w:lvl>
    <w:lvl w:ilvl="5" w:tentative="0">
      <w:start w:val="1"/>
      <w:numFmt w:val="decimal"/>
      <w:lvlText w:val="%1.%2.%3.%4.%5.%6."/>
      <w:lvlJc w:val="left"/>
      <w:pPr>
        <w:ind w:left="3210" w:hanging="1080"/>
      </w:pPr>
      <w:rPr>
        <w:rFonts w:hint="default"/>
      </w:rPr>
    </w:lvl>
    <w:lvl w:ilvl="6" w:tentative="0">
      <w:start w:val="1"/>
      <w:numFmt w:val="decimal"/>
      <w:lvlText w:val="%1.%2.%3.%4.%5.%6.%7."/>
      <w:lvlJc w:val="left"/>
      <w:pPr>
        <w:ind w:left="3996" w:hanging="1440"/>
      </w:pPr>
      <w:rPr>
        <w:rFonts w:hint="default"/>
      </w:rPr>
    </w:lvl>
    <w:lvl w:ilvl="7" w:tentative="0">
      <w:start w:val="1"/>
      <w:numFmt w:val="decimal"/>
      <w:lvlText w:val="%1.%2.%3.%4.%5.%6.%7.%8."/>
      <w:lvlJc w:val="left"/>
      <w:pPr>
        <w:ind w:left="4422" w:hanging="1440"/>
      </w:pPr>
      <w:rPr>
        <w:rFonts w:hint="default"/>
      </w:rPr>
    </w:lvl>
    <w:lvl w:ilvl="8" w:tentative="0">
      <w:start w:val="1"/>
      <w:numFmt w:val="decimal"/>
      <w:lvlText w:val="%1.%2.%3.%4.%5.%6.%7.%8.%9."/>
      <w:lvlJc w:val="left"/>
      <w:pPr>
        <w:ind w:left="5208" w:hanging="1800"/>
      </w:pPr>
      <w:rPr>
        <w:rFonts w:hint="default"/>
      </w:rPr>
    </w:lvl>
  </w:abstractNum>
  <w:abstractNum w:abstractNumId="6">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7">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8">
    <w:nsid w:val="48837F27"/>
    <w:multiLevelType w:val="multilevel"/>
    <w:tmpl w:val="48837F27"/>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9">
    <w:nsid w:val="520F70B1"/>
    <w:multiLevelType w:val="multilevel"/>
    <w:tmpl w:val="520F70B1"/>
    <w:lvl w:ilvl="0" w:tentative="0">
      <w:start w:val="1"/>
      <w:numFmt w:val="decimal"/>
      <w:lvlText w:val="%1)"/>
      <w:lvlJc w:val="left"/>
      <w:pPr>
        <w:tabs>
          <w:tab w:val="left" w:pos="0"/>
        </w:tabs>
        <w:ind w:left="360" w:hanging="360"/>
      </w:pPr>
    </w:lvl>
    <w:lvl w:ilvl="1" w:tentative="0">
      <w:start w:val="1"/>
      <w:numFmt w:val="lowerLetter"/>
      <w:lvlText w:val="%2)"/>
      <w:lvlJc w:val="left"/>
      <w:pPr>
        <w:tabs>
          <w:tab w:val="left" w:pos="0"/>
        </w:tabs>
        <w:ind w:left="720" w:hanging="360"/>
      </w:pPr>
    </w:lvl>
    <w:lvl w:ilvl="2" w:tentative="0">
      <w:start w:val="1"/>
      <w:numFmt w:val="lowerRoman"/>
      <w:lvlText w:val="%3)"/>
      <w:lvlJc w:val="left"/>
      <w:pPr>
        <w:tabs>
          <w:tab w:val="left" w:pos="0"/>
        </w:tabs>
        <w:ind w:left="1080" w:hanging="360"/>
      </w:pPr>
    </w:lvl>
    <w:lvl w:ilvl="3" w:tentative="0">
      <w:start w:val="1"/>
      <w:numFmt w:val="decimal"/>
      <w:lvlText w:val="(%4)"/>
      <w:lvlJc w:val="left"/>
      <w:pPr>
        <w:tabs>
          <w:tab w:val="left" w:pos="0"/>
        </w:tabs>
        <w:ind w:left="1440" w:hanging="360"/>
      </w:pPr>
      <w:rPr>
        <w:i w:val="0"/>
      </w:rPr>
    </w:lvl>
    <w:lvl w:ilvl="4" w:tentative="0">
      <w:start w:val="1"/>
      <w:numFmt w:val="lowerLetter"/>
      <w:lvlText w:val="(%5)"/>
      <w:lvlJc w:val="left"/>
      <w:pPr>
        <w:tabs>
          <w:tab w:val="left" w:pos="0"/>
        </w:tabs>
        <w:ind w:left="1800" w:hanging="360"/>
      </w:pPr>
    </w:lvl>
    <w:lvl w:ilvl="5" w:tentative="0">
      <w:start w:val="1"/>
      <w:numFmt w:val="lowerRoman"/>
      <w:lvlText w:val="(%6)"/>
      <w:lvlJc w:val="left"/>
      <w:pPr>
        <w:tabs>
          <w:tab w:val="left" w:pos="0"/>
        </w:tabs>
        <w:ind w:left="2160" w:hanging="360"/>
      </w:pPr>
    </w:lvl>
    <w:lvl w:ilvl="6" w:tentative="0">
      <w:start w:val="1"/>
      <w:numFmt w:val="decimal"/>
      <w:lvlText w:val="%7."/>
      <w:lvlJc w:val="left"/>
      <w:pPr>
        <w:tabs>
          <w:tab w:val="left" w:pos="0"/>
        </w:tabs>
        <w:ind w:left="2520" w:hanging="360"/>
      </w:pPr>
    </w:lvl>
    <w:lvl w:ilvl="7" w:tentative="0">
      <w:start w:val="1"/>
      <w:numFmt w:val="lowerLetter"/>
      <w:lvlText w:val="%8."/>
      <w:lvlJc w:val="left"/>
      <w:pPr>
        <w:tabs>
          <w:tab w:val="left" w:pos="0"/>
        </w:tabs>
        <w:ind w:left="2880" w:hanging="360"/>
      </w:pPr>
    </w:lvl>
    <w:lvl w:ilvl="8" w:tentative="0">
      <w:start w:val="1"/>
      <w:numFmt w:val="lowerRoman"/>
      <w:lvlText w:val="%9."/>
      <w:lvlJc w:val="left"/>
      <w:pPr>
        <w:tabs>
          <w:tab w:val="left" w:pos="0"/>
        </w:tabs>
        <w:ind w:left="3240" w:hanging="360"/>
      </w:pPr>
    </w:lvl>
  </w:abstractNum>
  <w:abstractNum w:abstractNumId="10">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1">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2">
    <w:nsid w:val="5E232489"/>
    <w:multiLevelType w:val="multilevel"/>
    <w:tmpl w:val="5E232489"/>
    <w:lvl w:ilvl="0" w:tentative="0">
      <w:start w:val="1"/>
      <w:numFmt w:val="lowerLetter"/>
      <w:lvlText w:val="%1)"/>
      <w:lvlJc w:val="left"/>
      <w:pPr>
        <w:ind w:left="1599" w:hanging="360"/>
      </w:pPr>
    </w:lvl>
    <w:lvl w:ilvl="1" w:tentative="0">
      <w:start w:val="1"/>
      <w:numFmt w:val="lowerLetter"/>
      <w:lvlText w:val="%2."/>
      <w:lvlJc w:val="left"/>
      <w:pPr>
        <w:ind w:left="2319" w:hanging="360"/>
      </w:pPr>
    </w:lvl>
    <w:lvl w:ilvl="2" w:tentative="0">
      <w:start w:val="1"/>
      <w:numFmt w:val="lowerRoman"/>
      <w:lvlText w:val="%3."/>
      <w:lvlJc w:val="right"/>
      <w:pPr>
        <w:ind w:left="3039" w:hanging="180"/>
      </w:pPr>
    </w:lvl>
    <w:lvl w:ilvl="3" w:tentative="0">
      <w:start w:val="1"/>
      <w:numFmt w:val="decimal"/>
      <w:lvlText w:val="%4."/>
      <w:lvlJc w:val="left"/>
      <w:pPr>
        <w:ind w:left="3759" w:hanging="360"/>
      </w:pPr>
    </w:lvl>
    <w:lvl w:ilvl="4" w:tentative="0">
      <w:start w:val="1"/>
      <w:numFmt w:val="lowerLetter"/>
      <w:lvlText w:val="%5."/>
      <w:lvlJc w:val="left"/>
      <w:pPr>
        <w:ind w:left="4479" w:hanging="360"/>
      </w:pPr>
    </w:lvl>
    <w:lvl w:ilvl="5" w:tentative="0">
      <w:start w:val="1"/>
      <w:numFmt w:val="lowerRoman"/>
      <w:lvlText w:val="%6."/>
      <w:lvlJc w:val="right"/>
      <w:pPr>
        <w:ind w:left="5199" w:hanging="180"/>
      </w:pPr>
    </w:lvl>
    <w:lvl w:ilvl="6" w:tentative="0">
      <w:start w:val="1"/>
      <w:numFmt w:val="decimal"/>
      <w:lvlText w:val="%7."/>
      <w:lvlJc w:val="left"/>
      <w:pPr>
        <w:ind w:left="5919" w:hanging="360"/>
      </w:pPr>
    </w:lvl>
    <w:lvl w:ilvl="7" w:tentative="0">
      <w:start w:val="1"/>
      <w:numFmt w:val="lowerLetter"/>
      <w:lvlText w:val="%8."/>
      <w:lvlJc w:val="left"/>
      <w:pPr>
        <w:ind w:left="6639" w:hanging="360"/>
      </w:pPr>
    </w:lvl>
    <w:lvl w:ilvl="8" w:tentative="0">
      <w:start w:val="1"/>
      <w:numFmt w:val="lowerRoman"/>
      <w:lvlText w:val="%9."/>
      <w:lvlJc w:val="right"/>
      <w:pPr>
        <w:ind w:left="7359" w:hanging="180"/>
      </w:pPr>
    </w:lvl>
  </w:abstractNum>
  <w:abstractNum w:abstractNumId="13">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4">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5">
    <w:nsid w:val="6F5147B9"/>
    <w:multiLevelType w:val="multilevel"/>
    <w:tmpl w:val="6F5147B9"/>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16">
    <w:nsid w:val="7EA9AFCF"/>
    <w:multiLevelType w:val="multilevel"/>
    <w:tmpl w:val="7EA9AFCF"/>
    <w:lvl w:ilvl="0" w:tentative="0">
      <w:start w:val="19"/>
      <w:numFmt w:val="decimal"/>
      <w:lvlText w:val="%1."/>
      <w:lvlJc w:val="left"/>
      <w:pPr>
        <w:tabs>
          <w:tab w:val="left" w:pos="0"/>
        </w:tabs>
        <w:ind w:left="360" w:hanging="360"/>
      </w:pPr>
    </w:lvl>
    <w:lvl w:ilvl="1" w:tentative="0">
      <w:start w:val="1"/>
      <w:numFmt w:val="decimal"/>
      <w:lvlText w:val="%1.%2."/>
      <w:lvlJc w:val="left"/>
      <w:pPr>
        <w:tabs>
          <w:tab w:val="left" w:pos="0"/>
        </w:tabs>
        <w:ind w:left="792" w:hanging="432"/>
      </w:pPr>
      <w:rPr>
        <w:b w:val="0"/>
        <w:i w:val="0"/>
      </w:rPr>
    </w:lvl>
    <w:lvl w:ilvl="2" w:tentative="0">
      <w:start w:val="1"/>
      <w:numFmt w:val="lowerLetter"/>
      <w:lvlText w:val="%3)"/>
      <w:lvlJc w:val="left"/>
      <w:pPr>
        <w:tabs>
          <w:tab w:val="left" w:pos="0"/>
        </w:tabs>
        <w:ind w:left="1224" w:hanging="504"/>
      </w:pPr>
      <w:rPr>
        <w:b w:val="0"/>
      </w:rPr>
    </w:lvl>
    <w:lvl w:ilvl="3" w:tentative="0">
      <w:start w:val="1"/>
      <w:numFmt w:val="decimal"/>
      <w:lvlText w:val="%1.%2.%3.%4."/>
      <w:lvlJc w:val="left"/>
      <w:pPr>
        <w:tabs>
          <w:tab w:val="left" w:pos="0"/>
        </w:tabs>
        <w:ind w:left="1728"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num w:numId="1">
    <w:abstractNumId w:val="7"/>
  </w:num>
  <w:num w:numId="2">
    <w:abstractNumId w:val="11"/>
  </w:num>
  <w:num w:numId="3">
    <w:abstractNumId w:val="13"/>
  </w:num>
  <w:num w:numId="4">
    <w:abstractNumId w:val="14"/>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4"/>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5"/>
  </w:num>
  <w:num w:numId="11">
    <w:abstractNumId w:val="8"/>
  </w:num>
  <w:num w:numId="12">
    <w:abstractNumId w:val="2"/>
  </w:num>
  <w:num w:numId="13">
    <w:abstractNumId w:val="12"/>
  </w:num>
  <w:num w:numId="14">
    <w:abstractNumId w:val="16"/>
  </w:num>
  <w:num w:numId="15">
    <w:abstractNumId w:val="9"/>
  </w:num>
  <w:num w:numId="16">
    <w:abstractNumId w:val="0"/>
  </w:num>
  <w:num w:numId="17">
    <w:abstractNumId w:val="1"/>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hdrShapeDefaults>
    <o:shapelayout v:ext="edit">
      <o:idmap v:ext="edit" data="1"/>
    </o:shapelayout>
  </w:hdrShapeDefault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67937"/>
    <w:rsid w:val="00073A80"/>
    <w:rsid w:val="00074805"/>
    <w:rsid w:val="00081034"/>
    <w:rsid w:val="000815B6"/>
    <w:rsid w:val="000A570B"/>
    <w:rsid w:val="000A58EF"/>
    <w:rsid w:val="000A5C63"/>
    <w:rsid w:val="000A62C8"/>
    <w:rsid w:val="000B5CD5"/>
    <w:rsid w:val="000B7448"/>
    <w:rsid w:val="000D0B49"/>
    <w:rsid w:val="000D13E3"/>
    <w:rsid w:val="000D1838"/>
    <w:rsid w:val="000D62E0"/>
    <w:rsid w:val="000D73FB"/>
    <w:rsid w:val="000E0BB9"/>
    <w:rsid w:val="000F0145"/>
    <w:rsid w:val="0010119F"/>
    <w:rsid w:val="00104571"/>
    <w:rsid w:val="00122A72"/>
    <w:rsid w:val="00123A6B"/>
    <w:rsid w:val="00131CC6"/>
    <w:rsid w:val="00135BEF"/>
    <w:rsid w:val="0014109B"/>
    <w:rsid w:val="00156E3D"/>
    <w:rsid w:val="001571D0"/>
    <w:rsid w:val="00163819"/>
    <w:rsid w:val="0018615A"/>
    <w:rsid w:val="001877DC"/>
    <w:rsid w:val="001917B5"/>
    <w:rsid w:val="00191B50"/>
    <w:rsid w:val="00194CFD"/>
    <w:rsid w:val="00195787"/>
    <w:rsid w:val="001A27F4"/>
    <w:rsid w:val="001A6554"/>
    <w:rsid w:val="001B3F02"/>
    <w:rsid w:val="001C5C08"/>
    <w:rsid w:val="001C723F"/>
    <w:rsid w:val="0020767A"/>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A7BD7"/>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1C39"/>
    <w:rsid w:val="00357088"/>
    <w:rsid w:val="003570DA"/>
    <w:rsid w:val="003804AE"/>
    <w:rsid w:val="00394D5F"/>
    <w:rsid w:val="003A2662"/>
    <w:rsid w:val="003A4456"/>
    <w:rsid w:val="003A5295"/>
    <w:rsid w:val="003B11E3"/>
    <w:rsid w:val="003B787E"/>
    <w:rsid w:val="003C658B"/>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36F9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43AD"/>
    <w:rsid w:val="005262A8"/>
    <w:rsid w:val="00546ADF"/>
    <w:rsid w:val="00552B81"/>
    <w:rsid w:val="00553758"/>
    <w:rsid w:val="00553CB1"/>
    <w:rsid w:val="00561155"/>
    <w:rsid w:val="005807EC"/>
    <w:rsid w:val="0058089D"/>
    <w:rsid w:val="005853CE"/>
    <w:rsid w:val="005A0B33"/>
    <w:rsid w:val="005A0C7A"/>
    <w:rsid w:val="005A51E8"/>
    <w:rsid w:val="005B345F"/>
    <w:rsid w:val="005B3CB4"/>
    <w:rsid w:val="005C41B6"/>
    <w:rsid w:val="005D7737"/>
    <w:rsid w:val="005E6819"/>
    <w:rsid w:val="005E7778"/>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1A2C"/>
    <w:rsid w:val="00656E9A"/>
    <w:rsid w:val="00661793"/>
    <w:rsid w:val="00665924"/>
    <w:rsid w:val="00667772"/>
    <w:rsid w:val="006723C3"/>
    <w:rsid w:val="006757D3"/>
    <w:rsid w:val="0069429E"/>
    <w:rsid w:val="00697869"/>
    <w:rsid w:val="006A50FF"/>
    <w:rsid w:val="006C27E6"/>
    <w:rsid w:val="006D546C"/>
    <w:rsid w:val="006E2B79"/>
    <w:rsid w:val="006E3D66"/>
    <w:rsid w:val="006E4496"/>
    <w:rsid w:val="006E480D"/>
    <w:rsid w:val="006E7396"/>
    <w:rsid w:val="006F29AD"/>
    <w:rsid w:val="0070435E"/>
    <w:rsid w:val="00711ECE"/>
    <w:rsid w:val="00712E04"/>
    <w:rsid w:val="00720609"/>
    <w:rsid w:val="0072557C"/>
    <w:rsid w:val="007312B8"/>
    <w:rsid w:val="0074359C"/>
    <w:rsid w:val="007464EA"/>
    <w:rsid w:val="00747EBB"/>
    <w:rsid w:val="00750831"/>
    <w:rsid w:val="00751153"/>
    <w:rsid w:val="007535D5"/>
    <w:rsid w:val="00754691"/>
    <w:rsid w:val="00767D68"/>
    <w:rsid w:val="00772F28"/>
    <w:rsid w:val="00780E4D"/>
    <w:rsid w:val="00782642"/>
    <w:rsid w:val="007856B1"/>
    <w:rsid w:val="007861D9"/>
    <w:rsid w:val="00792C4F"/>
    <w:rsid w:val="00792EFD"/>
    <w:rsid w:val="00793F13"/>
    <w:rsid w:val="00793F3E"/>
    <w:rsid w:val="00796214"/>
    <w:rsid w:val="007A512D"/>
    <w:rsid w:val="007B50C0"/>
    <w:rsid w:val="007C0405"/>
    <w:rsid w:val="007D1562"/>
    <w:rsid w:val="007D4F40"/>
    <w:rsid w:val="007D5648"/>
    <w:rsid w:val="007D77AE"/>
    <w:rsid w:val="007D7AE5"/>
    <w:rsid w:val="007E3B26"/>
    <w:rsid w:val="007E4F4D"/>
    <w:rsid w:val="007E50AD"/>
    <w:rsid w:val="00800F2B"/>
    <w:rsid w:val="008034B1"/>
    <w:rsid w:val="008065EE"/>
    <w:rsid w:val="008078B0"/>
    <w:rsid w:val="00814931"/>
    <w:rsid w:val="008154F5"/>
    <w:rsid w:val="008227EC"/>
    <w:rsid w:val="00824928"/>
    <w:rsid w:val="00843E3F"/>
    <w:rsid w:val="008540D8"/>
    <w:rsid w:val="008566DD"/>
    <w:rsid w:val="00892576"/>
    <w:rsid w:val="0089665C"/>
    <w:rsid w:val="008B0E2B"/>
    <w:rsid w:val="008C23FF"/>
    <w:rsid w:val="008C54E4"/>
    <w:rsid w:val="008C63D1"/>
    <w:rsid w:val="008C6744"/>
    <w:rsid w:val="008D05AA"/>
    <w:rsid w:val="008D0EDF"/>
    <w:rsid w:val="008D2CD5"/>
    <w:rsid w:val="008E166E"/>
    <w:rsid w:val="008E5324"/>
    <w:rsid w:val="008F3BD8"/>
    <w:rsid w:val="0090037C"/>
    <w:rsid w:val="00912689"/>
    <w:rsid w:val="009271C3"/>
    <w:rsid w:val="009350A3"/>
    <w:rsid w:val="00937A6A"/>
    <w:rsid w:val="00940753"/>
    <w:rsid w:val="00942638"/>
    <w:rsid w:val="00946A34"/>
    <w:rsid w:val="009502A0"/>
    <w:rsid w:val="00951247"/>
    <w:rsid w:val="00973203"/>
    <w:rsid w:val="009920C9"/>
    <w:rsid w:val="009937E6"/>
    <w:rsid w:val="009A4E8F"/>
    <w:rsid w:val="009A60CB"/>
    <w:rsid w:val="009C1A02"/>
    <w:rsid w:val="009E113C"/>
    <w:rsid w:val="009F2EB2"/>
    <w:rsid w:val="009F5F9B"/>
    <w:rsid w:val="00A05241"/>
    <w:rsid w:val="00A21E8F"/>
    <w:rsid w:val="00A23D08"/>
    <w:rsid w:val="00A30A28"/>
    <w:rsid w:val="00A33729"/>
    <w:rsid w:val="00A40586"/>
    <w:rsid w:val="00A4294C"/>
    <w:rsid w:val="00A45504"/>
    <w:rsid w:val="00A54D43"/>
    <w:rsid w:val="00A738FA"/>
    <w:rsid w:val="00A74E08"/>
    <w:rsid w:val="00A76948"/>
    <w:rsid w:val="00A85110"/>
    <w:rsid w:val="00A87093"/>
    <w:rsid w:val="00A93E08"/>
    <w:rsid w:val="00A942C3"/>
    <w:rsid w:val="00AB336E"/>
    <w:rsid w:val="00AB700F"/>
    <w:rsid w:val="00AC3B53"/>
    <w:rsid w:val="00AD214B"/>
    <w:rsid w:val="00AD321A"/>
    <w:rsid w:val="00AE0A71"/>
    <w:rsid w:val="00AE6003"/>
    <w:rsid w:val="00AF32BC"/>
    <w:rsid w:val="00AF3581"/>
    <w:rsid w:val="00AF781E"/>
    <w:rsid w:val="00AF7DA7"/>
    <w:rsid w:val="00B15476"/>
    <w:rsid w:val="00B17DC6"/>
    <w:rsid w:val="00B5046D"/>
    <w:rsid w:val="00B525B8"/>
    <w:rsid w:val="00B54C7E"/>
    <w:rsid w:val="00B558E1"/>
    <w:rsid w:val="00B65537"/>
    <w:rsid w:val="00B66F19"/>
    <w:rsid w:val="00B67441"/>
    <w:rsid w:val="00B72EE9"/>
    <w:rsid w:val="00B77077"/>
    <w:rsid w:val="00B82EC1"/>
    <w:rsid w:val="00B8510A"/>
    <w:rsid w:val="00B85C8F"/>
    <w:rsid w:val="00B90BA6"/>
    <w:rsid w:val="00B94120"/>
    <w:rsid w:val="00B9643D"/>
    <w:rsid w:val="00BA0662"/>
    <w:rsid w:val="00BB0870"/>
    <w:rsid w:val="00BB08AE"/>
    <w:rsid w:val="00BB1363"/>
    <w:rsid w:val="00BB2C3E"/>
    <w:rsid w:val="00BB598F"/>
    <w:rsid w:val="00BC4F69"/>
    <w:rsid w:val="00BE2F47"/>
    <w:rsid w:val="00BE53BB"/>
    <w:rsid w:val="00BE591B"/>
    <w:rsid w:val="00BF0117"/>
    <w:rsid w:val="00BF319D"/>
    <w:rsid w:val="00BF4761"/>
    <w:rsid w:val="00C00AE6"/>
    <w:rsid w:val="00C01D97"/>
    <w:rsid w:val="00C0241D"/>
    <w:rsid w:val="00C107EE"/>
    <w:rsid w:val="00C11C38"/>
    <w:rsid w:val="00C13D03"/>
    <w:rsid w:val="00C154AA"/>
    <w:rsid w:val="00C1654F"/>
    <w:rsid w:val="00C2046E"/>
    <w:rsid w:val="00C30204"/>
    <w:rsid w:val="00C433C3"/>
    <w:rsid w:val="00C44CC3"/>
    <w:rsid w:val="00C45096"/>
    <w:rsid w:val="00C50DCE"/>
    <w:rsid w:val="00C5395D"/>
    <w:rsid w:val="00C6037B"/>
    <w:rsid w:val="00C63DD4"/>
    <w:rsid w:val="00C754FF"/>
    <w:rsid w:val="00C7600F"/>
    <w:rsid w:val="00C804D0"/>
    <w:rsid w:val="00C9098A"/>
    <w:rsid w:val="00CA1C08"/>
    <w:rsid w:val="00CA7862"/>
    <w:rsid w:val="00CB041E"/>
    <w:rsid w:val="00CB5F48"/>
    <w:rsid w:val="00CC4073"/>
    <w:rsid w:val="00CD2701"/>
    <w:rsid w:val="00CD3A73"/>
    <w:rsid w:val="00CE00C9"/>
    <w:rsid w:val="00CE1A91"/>
    <w:rsid w:val="00CE4848"/>
    <w:rsid w:val="00CE4C58"/>
    <w:rsid w:val="00CE53E5"/>
    <w:rsid w:val="00CE7B83"/>
    <w:rsid w:val="00D01911"/>
    <w:rsid w:val="00D03194"/>
    <w:rsid w:val="00D0795F"/>
    <w:rsid w:val="00D11FB6"/>
    <w:rsid w:val="00D15CE1"/>
    <w:rsid w:val="00D166E7"/>
    <w:rsid w:val="00D20659"/>
    <w:rsid w:val="00D24004"/>
    <w:rsid w:val="00D40051"/>
    <w:rsid w:val="00D43BAF"/>
    <w:rsid w:val="00D4570A"/>
    <w:rsid w:val="00D52F83"/>
    <w:rsid w:val="00D541A6"/>
    <w:rsid w:val="00D62B23"/>
    <w:rsid w:val="00D72CFE"/>
    <w:rsid w:val="00D734D3"/>
    <w:rsid w:val="00D7605E"/>
    <w:rsid w:val="00D839EC"/>
    <w:rsid w:val="00D83B02"/>
    <w:rsid w:val="00D901EE"/>
    <w:rsid w:val="00D902D6"/>
    <w:rsid w:val="00D945C1"/>
    <w:rsid w:val="00DB435A"/>
    <w:rsid w:val="00DB6F67"/>
    <w:rsid w:val="00DC6924"/>
    <w:rsid w:val="00DE596B"/>
    <w:rsid w:val="00DF5E89"/>
    <w:rsid w:val="00E03B99"/>
    <w:rsid w:val="00E1163C"/>
    <w:rsid w:val="00E23909"/>
    <w:rsid w:val="00E26469"/>
    <w:rsid w:val="00E31561"/>
    <w:rsid w:val="00E35D83"/>
    <w:rsid w:val="00E43629"/>
    <w:rsid w:val="00E44B0C"/>
    <w:rsid w:val="00E45009"/>
    <w:rsid w:val="00E52524"/>
    <w:rsid w:val="00E578A6"/>
    <w:rsid w:val="00E67DCF"/>
    <w:rsid w:val="00E726A9"/>
    <w:rsid w:val="00EA06C5"/>
    <w:rsid w:val="00EB556D"/>
    <w:rsid w:val="00EB6AF5"/>
    <w:rsid w:val="00EB7F69"/>
    <w:rsid w:val="00ED4EB4"/>
    <w:rsid w:val="00ED7983"/>
    <w:rsid w:val="00F070E5"/>
    <w:rsid w:val="00F12161"/>
    <w:rsid w:val="00F12A88"/>
    <w:rsid w:val="00F12E0D"/>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97CB3"/>
    <w:rsid w:val="00FA11BA"/>
    <w:rsid w:val="00FA37D5"/>
    <w:rsid w:val="00FA404A"/>
    <w:rsid w:val="00FA6B1D"/>
    <w:rsid w:val="00FB7349"/>
    <w:rsid w:val="00FC1C20"/>
    <w:rsid w:val="00FC2D21"/>
    <w:rsid w:val="00FC4618"/>
    <w:rsid w:val="00FC7213"/>
    <w:rsid w:val="00FD0623"/>
    <w:rsid w:val="00FD242D"/>
    <w:rsid w:val="00FE7935"/>
    <w:rsid w:val="00FF6C7B"/>
    <w:rsid w:val="04206256"/>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uiPriority="99" w:semiHidden="0" w:name="header"/>
    <w:lsdException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qFormat="1" w:unhideWhenUsed="0" w:uiPriority="0" w:semiHidden="0" w:name="Body Text Indent 2"/>
    <w:lsdException w:uiPriority="0" w:semiHidden="0" w:name="Body Text Indent 3"/>
    <w:lsdException w:unhideWhenUsed="0" w:uiPriority="0" w:semiHidden="0" w:name="Block Text"/>
    <w:lsdException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uiPriority="39" w:semiHidden="0" w:name="Table Grid"/>
    <w:lsdException w:uiPriority="0" w:name="Table Theme"/>
    <w:lsdException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uiPriority w:val="99"/>
    <w:pPr>
      <w:suppressAutoHyphens w:val="0"/>
      <w:spacing w:after="120"/>
    </w:pPr>
    <w:rPr>
      <w:rFonts w:ascii="Times New Roman" w:hAnsi="Times New Roman" w:cs="Times New Roman"/>
      <w:sz w:val="24"/>
    </w:rPr>
  </w:style>
  <w:style w:type="paragraph" w:styleId="23">
    <w:name w:val="Block Text"/>
    <w:basedOn w:val="1"/>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uiPriority w:val="0"/>
    <w:rPr>
      <w:rFonts w:ascii="Arial" w:hAnsi="Arial" w:cs="Arial"/>
      <w:i/>
      <w:lang w:eastAsia="zh-CN"/>
    </w:rPr>
  </w:style>
  <w:style w:type="character" w:customStyle="1" w:styleId="50">
    <w:name w:val="Título 9 Char"/>
    <w:basedOn w:val="11"/>
    <w:link w:val="10"/>
    <w:uiPriority w:val="0"/>
    <w:rPr>
      <w:rFonts w:ascii="Arial" w:hAnsi="Arial" w:cs="Arial"/>
      <w:i/>
      <w:sz w:val="18"/>
      <w:lang w:eastAsia="zh-CN"/>
    </w:rPr>
  </w:style>
  <w:style w:type="character" w:customStyle="1" w:styleId="51">
    <w:name w:val="Texto de balão Char"/>
    <w:link w:val="36"/>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uiPriority w:val="0"/>
    <w:rPr>
      <w:color w:val="00000A"/>
    </w:rPr>
  </w:style>
  <w:style w:type="character" w:customStyle="1" w:styleId="74">
    <w:name w:val="ListLabel 9"/>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uiPriority w:val="0"/>
    <w:pPr>
      <w:ind w:right="-148"/>
      <w:jc w:val="both"/>
    </w:pPr>
    <w:rPr>
      <w:rFonts w:cs="Times New Roman"/>
      <w:sz w:val="24"/>
      <w:szCs w:val="20"/>
      <w:lang w:eastAsia="ar-SA"/>
    </w:rPr>
  </w:style>
  <w:style w:type="paragraph" w:customStyle="1" w:styleId="88">
    <w:name w:val="Título 1 do Rosinaldo"/>
    <w:basedOn w:val="1"/>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uiPriority w:val="0"/>
  </w:style>
  <w:style w:type="character" w:customStyle="1" w:styleId="107">
    <w:name w:val="WW8Num1z2"/>
    <w:uiPriority w:val="0"/>
  </w:style>
  <w:style w:type="character" w:customStyle="1" w:styleId="108">
    <w:name w:val="WW8Num1z3"/>
    <w:uiPriority w:val="0"/>
  </w:style>
  <w:style w:type="character" w:customStyle="1" w:styleId="109">
    <w:name w:val="WW8Num1z4"/>
    <w:uiPriority w:val="0"/>
  </w:style>
  <w:style w:type="character" w:customStyle="1" w:styleId="110">
    <w:name w:val="WW8Num1z5"/>
    <w:uiPriority w:val="0"/>
  </w:style>
  <w:style w:type="character" w:customStyle="1" w:styleId="111">
    <w:name w:val="WW8Num1z6"/>
    <w:uiPriority w:val="0"/>
  </w:style>
  <w:style w:type="character" w:customStyle="1" w:styleId="112">
    <w:name w:val="WW8Num1z7"/>
    <w:uiPriority w:val="0"/>
  </w:style>
  <w:style w:type="character" w:customStyle="1" w:styleId="113">
    <w:name w:val="WW8Num1z8"/>
    <w:uiPriority w:val="0"/>
  </w:style>
  <w:style w:type="character" w:customStyle="1" w:styleId="114">
    <w:name w:val="WW8Num2z0"/>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uiPriority w:val="0"/>
  </w:style>
  <w:style w:type="character" w:customStyle="1" w:styleId="118">
    <w:name w:val="WW8Num3z3"/>
    <w:uiPriority w:val="0"/>
  </w:style>
  <w:style w:type="character" w:customStyle="1" w:styleId="119">
    <w:name w:val="WW8Num3z4"/>
    <w:uiPriority w:val="0"/>
  </w:style>
  <w:style w:type="character" w:customStyle="1" w:styleId="120">
    <w:name w:val="WW8Num3z5"/>
    <w:uiPriority w:val="0"/>
  </w:style>
  <w:style w:type="character" w:customStyle="1" w:styleId="121">
    <w:name w:val="WW8Num3z6"/>
    <w:uiPriority w:val="0"/>
  </w:style>
  <w:style w:type="character" w:customStyle="1" w:styleId="122">
    <w:name w:val="WW8Num3z7"/>
    <w:uiPriority w:val="0"/>
  </w:style>
  <w:style w:type="character" w:customStyle="1" w:styleId="123">
    <w:name w:val="WW8Num3z8"/>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uiPriority w:val="0"/>
  </w:style>
  <w:style w:type="character" w:customStyle="1" w:styleId="128">
    <w:name w:val="WW8Num5z2"/>
    <w:uiPriority w:val="0"/>
  </w:style>
  <w:style w:type="character" w:customStyle="1" w:styleId="129">
    <w:name w:val="WW8Num5z3"/>
    <w:uiPriority w:val="0"/>
  </w:style>
  <w:style w:type="character" w:customStyle="1" w:styleId="130">
    <w:name w:val="WW8Num5z4"/>
    <w:uiPriority w:val="0"/>
  </w:style>
  <w:style w:type="character" w:customStyle="1" w:styleId="131">
    <w:name w:val="WW8Num5z5"/>
    <w:uiPriority w:val="0"/>
    <w:rPr>
      <w:b/>
      <w:sz w:val="20"/>
      <w:szCs w:val="20"/>
    </w:rPr>
  </w:style>
  <w:style w:type="character" w:customStyle="1" w:styleId="132">
    <w:name w:val="WW8Num5z6"/>
    <w:uiPriority w:val="0"/>
  </w:style>
  <w:style w:type="character" w:customStyle="1" w:styleId="133">
    <w:name w:val="WW8Num5z7"/>
    <w:uiPriority w:val="0"/>
  </w:style>
  <w:style w:type="character" w:customStyle="1" w:styleId="134">
    <w:name w:val="WW8Num5z8"/>
    <w:uiPriority w:val="0"/>
  </w:style>
  <w:style w:type="character" w:customStyle="1" w:styleId="135">
    <w:name w:val="WW8Num6z0"/>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uiPriority w:val="0"/>
    <w:rPr>
      <w:b/>
    </w:rPr>
  </w:style>
  <w:style w:type="character" w:customStyle="1" w:styleId="144">
    <w:name w:val="WW8Num13z2"/>
    <w:uiPriority w:val="0"/>
  </w:style>
  <w:style w:type="character" w:customStyle="1" w:styleId="145">
    <w:name w:val="WW8Num13z3"/>
    <w:uiPriority w:val="0"/>
  </w:style>
  <w:style w:type="character" w:customStyle="1" w:styleId="146">
    <w:name w:val="WW8Num13z4"/>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uiPriority w:val="0"/>
  </w:style>
  <w:style w:type="character" w:customStyle="1" w:styleId="151">
    <w:name w:val="WW8Num14z0"/>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uiPriority w:val="0"/>
    <w:rPr>
      <w:rFonts w:ascii="Wingdings" w:hAnsi="Wingdings" w:cs="Courier New"/>
    </w:rPr>
  </w:style>
  <w:style w:type="character" w:customStyle="1" w:styleId="178">
    <w:name w:val="WW8Num8z3"/>
    <w:uiPriority w:val="0"/>
  </w:style>
  <w:style w:type="character" w:customStyle="1" w:styleId="179">
    <w:name w:val="WW8Num8z4"/>
    <w:uiPriority w:val="0"/>
  </w:style>
  <w:style w:type="character" w:customStyle="1" w:styleId="180">
    <w:name w:val="WW8Num8z7"/>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uiPriority w:val="0"/>
  </w:style>
  <w:style w:type="character" w:customStyle="1" w:styleId="184">
    <w:name w:val="WW8Num9z4"/>
    <w:uiPriority w:val="0"/>
  </w:style>
  <w:style w:type="character" w:customStyle="1" w:styleId="185">
    <w:name w:val="WW8Num9z5"/>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uiPriority w:val="0"/>
    <w:rPr>
      <w:b/>
    </w:rPr>
  </w:style>
  <w:style w:type="character" w:customStyle="1" w:styleId="190">
    <w:name w:val="WW8Num16z2"/>
    <w:uiPriority w:val="0"/>
  </w:style>
  <w:style w:type="character" w:customStyle="1" w:styleId="191">
    <w:name w:val="WW8Num16z3"/>
    <w:uiPriority w:val="0"/>
  </w:style>
  <w:style w:type="character" w:customStyle="1" w:styleId="192">
    <w:name w:val="WW8Num16z4"/>
    <w:uiPriority w:val="0"/>
  </w:style>
  <w:style w:type="character" w:customStyle="1" w:styleId="193">
    <w:name w:val="WW8Num16z5"/>
    <w:uiPriority w:val="0"/>
  </w:style>
  <w:style w:type="character" w:customStyle="1" w:styleId="194">
    <w:name w:val="WW8Num16z6"/>
    <w:uiPriority w:val="0"/>
  </w:style>
  <w:style w:type="character" w:customStyle="1" w:styleId="195">
    <w:name w:val="WW8Num16z7"/>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uiPriority w:val="0"/>
  </w:style>
  <w:style w:type="character" w:customStyle="1" w:styleId="202">
    <w:name w:val="WW8Num17z7"/>
    <w:uiPriority w:val="0"/>
  </w:style>
  <w:style w:type="character" w:customStyle="1" w:styleId="203">
    <w:name w:val="WW8Num17z8"/>
    <w:uiPriority w:val="0"/>
  </w:style>
  <w:style w:type="character" w:customStyle="1" w:styleId="204">
    <w:name w:val="WW8Num19z1"/>
    <w:uiPriority w:val="0"/>
    <w:rPr>
      <w:rFonts w:ascii="Courier New" w:hAnsi="Courier New" w:cs="Courier New"/>
    </w:rPr>
  </w:style>
  <w:style w:type="character" w:customStyle="1" w:styleId="205">
    <w:name w:val="WW8Num19z2"/>
    <w:uiPriority w:val="0"/>
    <w:rPr>
      <w:rFonts w:ascii="Wingdings" w:hAnsi="Wingdings" w:cs="Wingdings"/>
    </w:rPr>
  </w:style>
  <w:style w:type="character" w:customStyle="1" w:styleId="206">
    <w:name w:val="WW8Num19z3"/>
    <w:uiPriority w:val="0"/>
  </w:style>
  <w:style w:type="character" w:customStyle="1" w:styleId="207">
    <w:name w:val="WW8Num19z4"/>
    <w:uiPriority w:val="0"/>
  </w:style>
  <w:style w:type="character" w:customStyle="1" w:styleId="208">
    <w:name w:val="WW8Num19z5"/>
    <w:uiPriority w:val="0"/>
  </w:style>
  <w:style w:type="character" w:customStyle="1" w:styleId="209">
    <w:name w:val="WW8Num19z6"/>
    <w:uiPriority w:val="0"/>
  </w:style>
  <w:style w:type="character" w:customStyle="1" w:styleId="210">
    <w:name w:val="WW8Num19z7"/>
    <w:uiPriority w:val="0"/>
  </w:style>
  <w:style w:type="character" w:customStyle="1" w:styleId="211">
    <w:name w:val="WW8Num19z8"/>
    <w:uiPriority w:val="0"/>
  </w:style>
  <w:style w:type="character" w:customStyle="1" w:styleId="212">
    <w:name w:val="WW8Num21z1"/>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uiPriority w:val="0"/>
  </w:style>
  <w:style w:type="character" w:customStyle="1" w:styleId="215">
    <w:name w:val="WW8Num22z2"/>
    <w:uiPriority w:val="0"/>
  </w:style>
  <w:style w:type="character" w:customStyle="1" w:styleId="216">
    <w:name w:val="WW8Num22z3"/>
    <w:uiPriority w:val="0"/>
  </w:style>
  <w:style w:type="character" w:customStyle="1" w:styleId="217">
    <w:name w:val="WW8Num22z4"/>
    <w:uiPriority w:val="0"/>
  </w:style>
  <w:style w:type="character" w:customStyle="1" w:styleId="218">
    <w:name w:val="WW8Num22z5"/>
    <w:uiPriority w:val="0"/>
  </w:style>
  <w:style w:type="character" w:customStyle="1" w:styleId="219">
    <w:name w:val="WW8Num22z6"/>
    <w:uiPriority w:val="0"/>
  </w:style>
  <w:style w:type="character" w:customStyle="1" w:styleId="220">
    <w:name w:val="WW8Num22z7"/>
    <w:uiPriority w:val="0"/>
  </w:style>
  <w:style w:type="character" w:customStyle="1" w:styleId="221">
    <w:name w:val="WW8Num22z8"/>
    <w:uiPriority w:val="0"/>
  </w:style>
  <w:style w:type="character" w:customStyle="1" w:styleId="222">
    <w:name w:val="WW8Num23z0"/>
    <w:uiPriority w:val="0"/>
    <w:rPr>
      <w:rFonts w:hint="default" w:eastAsia="Times New Roman"/>
    </w:rPr>
  </w:style>
  <w:style w:type="character" w:customStyle="1" w:styleId="223">
    <w:name w:val="WW8Num23z1"/>
    <w:uiPriority w:val="0"/>
  </w:style>
  <w:style w:type="character" w:customStyle="1" w:styleId="224">
    <w:name w:val="WW8Num23z2"/>
    <w:uiPriority w:val="0"/>
  </w:style>
  <w:style w:type="character" w:customStyle="1" w:styleId="225">
    <w:name w:val="WW8Num23z3"/>
    <w:uiPriority w:val="0"/>
  </w:style>
  <w:style w:type="character" w:customStyle="1" w:styleId="226">
    <w:name w:val="WW8Num23z4"/>
    <w:uiPriority w:val="0"/>
  </w:style>
  <w:style w:type="character" w:customStyle="1" w:styleId="227">
    <w:name w:val="WW8Num23z5"/>
    <w:uiPriority w:val="0"/>
  </w:style>
  <w:style w:type="character" w:customStyle="1" w:styleId="228">
    <w:name w:val="WW8Num23z6"/>
    <w:uiPriority w:val="0"/>
  </w:style>
  <w:style w:type="character" w:customStyle="1" w:styleId="229">
    <w:name w:val="WW8Num23z7"/>
    <w:uiPriority w:val="0"/>
  </w:style>
  <w:style w:type="character" w:customStyle="1" w:styleId="230">
    <w:name w:val="WW8Num23z8"/>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uiPriority w:val="0"/>
  </w:style>
  <w:style w:type="character" w:customStyle="1" w:styleId="233">
    <w:name w:val="WW8Num24z2"/>
    <w:uiPriority w:val="0"/>
  </w:style>
  <w:style w:type="character" w:customStyle="1" w:styleId="234">
    <w:name w:val="WW8Num24z3"/>
    <w:uiPriority w:val="0"/>
  </w:style>
  <w:style w:type="character" w:customStyle="1" w:styleId="235">
    <w:name w:val="WW8Num24z4"/>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uiPriority w:val="0"/>
  </w:style>
  <w:style w:type="character" w:customStyle="1" w:styleId="239">
    <w:name w:val="WW8Num24z8"/>
    <w:uiPriority w:val="0"/>
  </w:style>
  <w:style w:type="character" w:customStyle="1" w:styleId="240">
    <w:name w:val="WW8Num25z0"/>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uiPriority w:val="0"/>
    <w:rPr>
      <w:rFonts w:hint="default" w:ascii="Arial Narrow" w:hAnsi="Arial Narrow" w:cs="Arial Narrow"/>
    </w:rPr>
  </w:style>
  <w:style w:type="character" w:customStyle="1" w:styleId="244">
    <w:name w:val="WW8Num26z1"/>
    <w:uiPriority w:val="0"/>
  </w:style>
  <w:style w:type="character" w:customStyle="1" w:styleId="245">
    <w:name w:val="WW8Num26z2"/>
    <w:uiPriority w:val="0"/>
  </w:style>
  <w:style w:type="character" w:customStyle="1" w:styleId="246">
    <w:name w:val="WW8Num26z3"/>
    <w:uiPriority w:val="0"/>
  </w:style>
  <w:style w:type="character" w:customStyle="1" w:styleId="247">
    <w:name w:val="WW8Num26z4"/>
    <w:uiPriority w:val="0"/>
  </w:style>
  <w:style w:type="character" w:customStyle="1" w:styleId="248">
    <w:name w:val="WW8Num26z5"/>
    <w:uiPriority w:val="0"/>
  </w:style>
  <w:style w:type="character" w:customStyle="1" w:styleId="249">
    <w:name w:val="WW8Num26z6"/>
    <w:uiPriority w:val="0"/>
  </w:style>
  <w:style w:type="character" w:customStyle="1" w:styleId="250">
    <w:name w:val="WW8Num26z7"/>
    <w:uiPriority w:val="0"/>
  </w:style>
  <w:style w:type="character" w:customStyle="1" w:styleId="251">
    <w:name w:val="WW8Num26z8"/>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uiPriority w:val="0"/>
  </w:style>
  <w:style w:type="character" w:customStyle="1" w:styleId="255">
    <w:name w:val="WW8Num27z3"/>
    <w:uiPriority w:val="0"/>
  </w:style>
  <w:style w:type="character" w:customStyle="1" w:styleId="256">
    <w:name w:val="WW8Num27z4"/>
    <w:uiPriority w:val="0"/>
  </w:style>
  <w:style w:type="character" w:customStyle="1" w:styleId="257">
    <w:name w:val="WW8Num27z5"/>
    <w:uiPriority w:val="0"/>
  </w:style>
  <w:style w:type="character" w:customStyle="1" w:styleId="258">
    <w:name w:val="WW8Num27z6"/>
    <w:uiPriority w:val="0"/>
  </w:style>
  <w:style w:type="character" w:customStyle="1" w:styleId="259">
    <w:name w:val="WW8Num27z7"/>
    <w:uiPriority w:val="0"/>
  </w:style>
  <w:style w:type="character" w:customStyle="1" w:styleId="260">
    <w:name w:val="WW8Num27z8"/>
    <w:uiPriority w:val="0"/>
  </w:style>
  <w:style w:type="character" w:customStyle="1" w:styleId="261">
    <w:name w:val="Fonte parág. padrão3"/>
    <w:uiPriority w:val="0"/>
  </w:style>
  <w:style w:type="character" w:customStyle="1" w:styleId="262">
    <w:name w:val="Fonte parág. padrão2"/>
    <w:uiPriority w:val="0"/>
  </w:style>
  <w:style w:type="character" w:customStyle="1" w:styleId="263">
    <w:name w:val="WW8Num6z1"/>
    <w:uiPriority w:val="0"/>
    <w:rPr>
      <w:rFonts w:ascii="Courier New" w:hAnsi="Courier New" w:cs="Courier New"/>
    </w:rPr>
  </w:style>
  <w:style w:type="character" w:customStyle="1" w:styleId="264">
    <w:name w:val="WW8Num6z2"/>
    <w:uiPriority w:val="0"/>
    <w:rPr>
      <w:rFonts w:ascii="Wingdings" w:hAnsi="Wingdings" w:cs="Wingdings"/>
    </w:rPr>
  </w:style>
  <w:style w:type="character" w:customStyle="1" w:styleId="265">
    <w:name w:val="WW8Num6z3"/>
    <w:uiPriority w:val="0"/>
  </w:style>
  <w:style w:type="character" w:customStyle="1" w:styleId="266">
    <w:name w:val="WW8Num6z4"/>
    <w:uiPriority w:val="0"/>
  </w:style>
  <w:style w:type="character" w:customStyle="1" w:styleId="267">
    <w:name w:val="WW8Num6z5"/>
    <w:uiPriority w:val="0"/>
  </w:style>
  <w:style w:type="character" w:customStyle="1" w:styleId="268">
    <w:name w:val="WW8Num6z6"/>
    <w:uiPriority w:val="0"/>
  </w:style>
  <w:style w:type="character" w:customStyle="1" w:styleId="269">
    <w:name w:val="WW8Num6z7"/>
    <w:uiPriority w:val="0"/>
  </w:style>
  <w:style w:type="character" w:customStyle="1" w:styleId="270">
    <w:name w:val="WW8Num6z8"/>
    <w:uiPriority w:val="0"/>
  </w:style>
  <w:style w:type="character" w:customStyle="1" w:styleId="271">
    <w:name w:val="WW8Num10z1"/>
    <w:uiPriority w:val="0"/>
    <w:rPr>
      <w:rFonts w:ascii="Wingdings" w:hAnsi="Wingdings" w:cs="Wingdings"/>
    </w:rPr>
  </w:style>
  <w:style w:type="character" w:customStyle="1" w:styleId="272">
    <w:name w:val="WW8Num10z2"/>
    <w:uiPriority w:val="0"/>
    <w:rPr>
      <w:b/>
    </w:rPr>
  </w:style>
  <w:style w:type="character" w:customStyle="1" w:styleId="273">
    <w:name w:val="WW8Num18z1"/>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uiPriority w:val="0"/>
  </w:style>
  <w:style w:type="character" w:customStyle="1" w:styleId="276">
    <w:name w:val="WW8Num18z4"/>
    <w:uiPriority w:val="0"/>
  </w:style>
  <w:style w:type="character" w:customStyle="1" w:styleId="277">
    <w:name w:val="WW8Num18z5"/>
    <w:uiPriority w:val="0"/>
  </w:style>
  <w:style w:type="character" w:customStyle="1" w:styleId="278">
    <w:name w:val="WW8Num18z6"/>
    <w:uiPriority w:val="0"/>
  </w:style>
  <w:style w:type="character" w:customStyle="1" w:styleId="279">
    <w:name w:val="WW8Num18z7"/>
    <w:uiPriority w:val="0"/>
  </w:style>
  <w:style w:type="character" w:customStyle="1" w:styleId="280">
    <w:name w:val="WW8Num18z8"/>
    <w:uiPriority w:val="0"/>
  </w:style>
  <w:style w:type="character" w:customStyle="1" w:styleId="281">
    <w:name w:val="WW8Num20z1"/>
    <w:uiPriority w:val="0"/>
    <w:rPr>
      <w:rFonts w:ascii="Courier New" w:hAnsi="Courier New" w:cs="Courier New"/>
    </w:rPr>
  </w:style>
  <w:style w:type="character" w:customStyle="1" w:styleId="282">
    <w:name w:val="WW8Num20z2"/>
    <w:uiPriority w:val="0"/>
    <w:rPr>
      <w:rFonts w:ascii="Wingdings" w:hAnsi="Wingdings" w:cs="Wingdings"/>
    </w:rPr>
  </w:style>
  <w:style w:type="character" w:customStyle="1" w:styleId="283">
    <w:name w:val="WW8Num20z3"/>
    <w:uiPriority w:val="0"/>
  </w:style>
  <w:style w:type="character" w:customStyle="1" w:styleId="284">
    <w:name w:val="WW8Num20z4"/>
    <w:uiPriority w:val="0"/>
  </w:style>
  <w:style w:type="character" w:customStyle="1" w:styleId="285">
    <w:name w:val="WW8Num20z5"/>
    <w:uiPriority w:val="0"/>
  </w:style>
  <w:style w:type="character" w:customStyle="1" w:styleId="286">
    <w:name w:val="WW8Num20z6"/>
    <w:uiPriority w:val="0"/>
  </w:style>
  <w:style w:type="character" w:customStyle="1" w:styleId="287">
    <w:name w:val="WW8Num20z7"/>
    <w:uiPriority w:val="0"/>
  </w:style>
  <w:style w:type="character" w:customStyle="1" w:styleId="288">
    <w:name w:val="WW8Num20z8"/>
    <w:uiPriority w:val="0"/>
  </w:style>
  <w:style w:type="character" w:customStyle="1" w:styleId="289">
    <w:name w:val="WW8Num7z1"/>
    <w:uiPriority w:val="0"/>
  </w:style>
  <w:style w:type="character" w:customStyle="1" w:styleId="290">
    <w:name w:val="WW8Num7z2"/>
    <w:uiPriority w:val="0"/>
    <w:rPr>
      <w:rFonts w:ascii="Arial Narrow" w:hAnsi="Arial Narrow" w:cs="Arial Narrow"/>
      <w:b/>
      <w:sz w:val="18"/>
      <w:szCs w:val="18"/>
    </w:rPr>
  </w:style>
  <w:style w:type="character" w:customStyle="1" w:styleId="291">
    <w:name w:val="WW8Num7z3"/>
    <w:uiPriority w:val="0"/>
  </w:style>
  <w:style w:type="character" w:customStyle="1" w:styleId="292">
    <w:name w:val="WW8Num7z4"/>
    <w:uiPriority w:val="0"/>
  </w:style>
  <w:style w:type="character" w:customStyle="1" w:styleId="293">
    <w:name w:val="WW8Num7z5"/>
    <w:uiPriority w:val="0"/>
  </w:style>
  <w:style w:type="character" w:customStyle="1" w:styleId="294">
    <w:name w:val="WW8Num7z6"/>
    <w:uiPriority w:val="0"/>
  </w:style>
  <w:style w:type="character" w:customStyle="1" w:styleId="295">
    <w:name w:val="WW8Num7z7"/>
    <w:uiPriority w:val="0"/>
  </w:style>
  <w:style w:type="character" w:customStyle="1" w:styleId="296">
    <w:name w:val="WW8Num7z8"/>
    <w:uiPriority w:val="0"/>
  </w:style>
  <w:style w:type="character" w:customStyle="1" w:styleId="297">
    <w:name w:val="WW8Num10z3"/>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uiPriority w:val="0"/>
    <w:rPr>
      <w:b/>
    </w:rPr>
  </w:style>
  <w:style w:type="character" w:customStyle="1" w:styleId="302">
    <w:name w:val="WW8Num2z1"/>
    <w:uiPriority w:val="0"/>
  </w:style>
  <w:style w:type="character" w:customStyle="1" w:styleId="303">
    <w:name w:val="WW8Num2z2"/>
    <w:uiPriority w:val="0"/>
  </w:style>
  <w:style w:type="character" w:customStyle="1" w:styleId="304">
    <w:name w:val="WW8Num2z3"/>
    <w:uiPriority w:val="0"/>
  </w:style>
  <w:style w:type="character" w:customStyle="1" w:styleId="305">
    <w:name w:val="WW8Num2z4"/>
    <w:uiPriority w:val="0"/>
  </w:style>
  <w:style w:type="character" w:customStyle="1" w:styleId="306">
    <w:name w:val="WW8Num2z5"/>
    <w:uiPriority w:val="0"/>
  </w:style>
  <w:style w:type="character" w:customStyle="1" w:styleId="307">
    <w:name w:val="WW8Num2z6"/>
    <w:uiPriority w:val="0"/>
  </w:style>
  <w:style w:type="character" w:customStyle="1" w:styleId="308">
    <w:name w:val="WW8Num2z7"/>
    <w:uiPriority w:val="0"/>
  </w:style>
  <w:style w:type="character" w:customStyle="1" w:styleId="309">
    <w:name w:val="WW8Num2z8"/>
    <w:uiPriority w:val="0"/>
  </w:style>
  <w:style w:type="character" w:customStyle="1" w:styleId="310">
    <w:name w:val="WW8Num4z2"/>
    <w:uiPriority w:val="0"/>
  </w:style>
  <w:style w:type="character" w:customStyle="1" w:styleId="311">
    <w:name w:val="WW8Num4z3"/>
    <w:uiPriority w:val="0"/>
  </w:style>
  <w:style w:type="character" w:customStyle="1" w:styleId="312">
    <w:name w:val="WW8Num4z4"/>
    <w:uiPriority w:val="0"/>
  </w:style>
  <w:style w:type="character" w:customStyle="1" w:styleId="313">
    <w:name w:val="WW8Num4z5"/>
    <w:uiPriority w:val="0"/>
    <w:rPr>
      <w:b/>
      <w:sz w:val="20"/>
      <w:szCs w:val="20"/>
    </w:rPr>
  </w:style>
  <w:style w:type="character" w:customStyle="1" w:styleId="314">
    <w:name w:val="WW8Num4z6"/>
    <w:uiPriority w:val="0"/>
  </w:style>
  <w:style w:type="character" w:customStyle="1" w:styleId="315">
    <w:name w:val="WW8Num4z7"/>
    <w:uiPriority w:val="0"/>
  </w:style>
  <w:style w:type="character" w:customStyle="1" w:styleId="316">
    <w:name w:val="WW8Num4z8"/>
    <w:uiPriority w:val="0"/>
  </w:style>
  <w:style w:type="character" w:customStyle="1" w:styleId="317">
    <w:name w:val="WW8Num8z2"/>
    <w:uiPriority w:val="0"/>
    <w:rPr>
      <w:rFonts w:ascii="Wingdings" w:hAnsi="Wingdings" w:cs="Wingdings"/>
    </w:rPr>
  </w:style>
  <w:style w:type="character" w:customStyle="1" w:styleId="318">
    <w:name w:val="WW8Num12z1"/>
    <w:uiPriority w:val="0"/>
  </w:style>
  <w:style w:type="character" w:customStyle="1" w:styleId="319">
    <w:name w:val="WW8Num12z2"/>
    <w:uiPriority w:val="0"/>
  </w:style>
  <w:style w:type="character" w:customStyle="1" w:styleId="320">
    <w:name w:val="WW8Num12z3"/>
    <w:uiPriority w:val="0"/>
  </w:style>
  <w:style w:type="character" w:customStyle="1" w:styleId="321">
    <w:name w:val="WW8Num12z4"/>
    <w:uiPriority w:val="0"/>
  </w:style>
  <w:style w:type="character" w:customStyle="1" w:styleId="322">
    <w:name w:val="WW8Num12z5"/>
    <w:uiPriority w:val="0"/>
  </w:style>
  <w:style w:type="character" w:customStyle="1" w:styleId="323">
    <w:name w:val="WW8Num12z6"/>
    <w:uiPriority w:val="0"/>
  </w:style>
  <w:style w:type="character" w:customStyle="1" w:styleId="324">
    <w:name w:val="WW8Num12z7"/>
    <w:uiPriority w:val="0"/>
  </w:style>
  <w:style w:type="character" w:customStyle="1" w:styleId="325">
    <w:name w:val="WW8Num12z8"/>
    <w:uiPriority w:val="0"/>
  </w:style>
  <w:style w:type="character" w:customStyle="1" w:styleId="326">
    <w:name w:val="WW8Num21z2"/>
    <w:uiPriority w:val="0"/>
    <w:rPr>
      <w:b/>
    </w:rPr>
  </w:style>
  <w:style w:type="character" w:customStyle="1" w:styleId="327">
    <w:name w:val="WW8Num21z3"/>
    <w:uiPriority w:val="0"/>
  </w:style>
  <w:style w:type="character" w:customStyle="1" w:styleId="328">
    <w:name w:val="WW8Num21z4"/>
    <w:uiPriority w:val="0"/>
  </w:style>
  <w:style w:type="character" w:customStyle="1" w:styleId="329">
    <w:name w:val="WW8Num21z5"/>
    <w:uiPriority w:val="0"/>
  </w:style>
  <w:style w:type="character" w:customStyle="1" w:styleId="330">
    <w:name w:val="WW8Num21z6"/>
    <w:uiPriority w:val="0"/>
  </w:style>
  <w:style w:type="character" w:customStyle="1" w:styleId="331">
    <w:name w:val="WW8Num21z7"/>
    <w:uiPriority w:val="0"/>
  </w:style>
  <w:style w:type="character" w:customStyle="1" w:styleId="332">
    <w:name w:val="WW8Num21z8"/>
    <w:uiPriority w:val="0"/>
  </w:style>
  <w:style w:type="character" w:customStyle="1" w:styleId="333">
    <w:name w:val="WW8Num25z3"/>
    <w:uiPriority w:val="0"/>
  </w:style>
  <w:style w:type="character" w:customStyle="1" w:styleId="334">
    <w:name w:val="WW8Num25z4"/>
    <w:uiPriority w:val="0"/>
  </w:style>
  <w:style w:type="character" w:customStyle="1" w:styleId="335">
    <w:name w:val="WW8Num25z5"/>
    <w:uiPriority w:val="0"/>
  </w:style>
  <w:style w:type="character" w:customStyle="1" w:styleId="336">
    <w:name w:val="WW8Num25z6"/>
    <w:uiPriority w:val="0"/>
  </w:style>
  <w:style w:type="character" w:customStyle="1" w:styleId="337">
    <w:name w:val="WW8Num25z7"/>
    <w:uiPriority w:val="0"/>
  </w:style>
  <w:style w:type="character" w:customStyle="1" w:styleId="338">
    <w:name w:val="WW8Num25z8"/>
    <w:uiPriority w:val="0"/>
  </w:style>
  <w:style w:type="character" w:customStyle="1" w:styleId="339">
    <w:name w:val="WW8Num28z0"/>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uiPriority w:val="0"/>
  </w:style>
  <w:style w:type="character" w:customStyle="1" w:styleId="342">
    <w:name w:val="WW8Num29z2"/>
    <w:uiPriority w:val="0"/>
  </w:style>
  <w:style w:type="character" w:customStyle="1" w:styleId="343">
    <w:name w:val="WW8Num29z3"/>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uiPriority w:val="0"/>
  </w:style>
  <w:style w:type="character" w:customStyle="1" w:styleId="347">
    <w:name w:val="WW8Num29z7"/>
    <w:uiPriority w:val="0"/>
  </w:style>
  <w:style w:type="character" w:customStyle="1" w:styleId="348">
    <w:name w:val="WW8Num29z8"/>
    <w:uiPriority w:val="0"/>
  </w:style>
  <w:style w:type="character" w:customStyle="1" w:styleId="349">
    <w:name w:val="WW8Num30z0"/>
    <w:uiPriority w:val="0"/>
    <w:rPr>
      <w:b/>
    </w:rPr>
  </w:style>
  <w:style w:type="character" w:customStyle="1" w:styleId="350">
    <w:name w:val="WW8Num30z1"/>
    <w:uiPriority w:val="0"/>
  </w:style>
  <w:style w:type="character" w:customStyle="1" w:styleId="351">
    <w:name w:val="WW8Num30z2"/>
    <w:uiPriority w:val="0"/>
  </w:style>
  <w:style w:type="character" w:customStyle="1" w:styleId="352">
    <w:name w:val="WW8Num30z3"/>
    <w:uiPriority w:val="0"/>
  </w:style>
  <w:style w:type="character" w:customStyle="1" w:styleId="353">
    <w:name w:val="WW8Num30z4"/>
    <w:uiPriority w:val="0"/>
  </w:style>
  <w:style w:type="character" w:customStyle="1" w:styleId="354">
    <w:name w:val="WW8Num30z5"/>
    <w:uiPriority w:val="0"/>
  </w:style>
  <w:style w:type="character" w:customStyle="1" w:styleId="355">
    <w:name w:val="WW8Num30z6"/>
    <w:uiPriority w:val="0"/>
  </w:style>
  <w:style w:type="character" w:customStyle="1" w:styleId="356">
    <w:name w:val="WW8Num30z7"/>
    <w:uiPriority w:val="0"/>
  </w:style>
  <w:style w:type="character" w:customStyle="1" w:styleId="357">
    <w:name w:val="WW8Num30z8"/>
    <w:uiPriority w:val="0"/>
  </w:style>
  <w:style w:type="character" w:customStyle="1" w:styleId="358">
    <w:name w:val="WW8Num31z0"/>
    <w:uiPriority w:val="0"/>
  </w:style>
  <w:style w:type="character" w:customStyle="1" w:styleId="359">
    <w:name w:val="WW8Num31z1"/>
    <w:uiPriority w:val="0"/>
  </w:style>
  <w:style w:type="character" w:customStyle="1" w:styleId="360">
    <w:name w:val="WW8Num31z2"/>
    <w:uiPriority w:val="0"/>
  </w:style>
  <w:style w:type="character" w:customStyle="1" w:styleId="361">
    <w:name w:val="WW8Num31z3"/>
    <w:uiPriority w:val="0"/>
  </w:style>
  <w:style w:type="character" w:customStyle="1" w:styleId="362">
    <w:name w:val="WW8Num31z4"/>
    <w:uiPriority w:val="0"/>
  </w:style>
  <w:style w:type="character" w:customStyle="1" w:styleId="363">
    <w:name w:val="WW8Num31z5"/>
    <w:uiPriority w:val="0"/>
  </w:style>
  <w:style w:type="character" w:customStyle="1" w:styleId="364">
    <w:name w:val="WW8Num31z6"/>
    <w:uiPriority w:val="0"/>
  </w:style>
  <w:style w:type="character" w:customStyle="1" w:styleId="365">
    <w:name w:val="WW8Num31z7"/>
    <w:uiPriority w:val="0"/>
  </w:style>
  <w:style w:type="character" w:customStyle="1" w:styleId="366">
    <w:name w:val="WW8Num31z8"/>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uiPriority w:val="0"/>
  </w:style>
  <w:style w:type="character" w:customStyle="1" w:styleId="373">
    <w:name w:val="WW8Num32z6"/>
    <w:uiPriority w:val="0"/>
  </w:style>
  <w:style w:type="character" w:customStyle="1" w:styleId="374">
    <w:name w:val="WW8Num32z7"/>
    <w:uiPriority w:val="0"/>
  </w:style>
  <w:style w:type="character" w:customStyle="1" w:styleId="375">
    <w:name w:val="WW8Num32z8"/>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uiPriority w:val="0"/>
  </w:style>
  <w:style w:type="character" w:customStyle="1" w:styleId="379">
    <w:name w:val="WW8Num33z3"/>
    <w:uiPriority w:val="0"/>
  </w:style>
  <w:style w:type="character" w:customStyle="1" w:styleId="380">
    <w:name w:val="WW8Num33z4"/>
    <w:uiPriority w:val="0"/>
  </w:style>
  <w:style w:type="character" w:customStyle="1" w:styleId="381">
    <w:name w:val="WW8Num33z5"/>
    <w:uiPriority w:val="0"/>
  </w:style>
  <w:style w:type="character" w:customStyle="1" w:styleId="382">
    <w:name w:val="WW8Num33z6"/>
    <w:uiPriority w:val="0"/>
  </w:style>
  <w:style w:type="character" w:customStyle="1" w:styleId="383">
    <w:name w:val="WW8Num33z7"/>
    <w:uiPriority w:val="0"/>
  </w:style>
  <w:style w:type="character" w:customStyle="1" w:styleId="384">
    <w:name w:val="WW8Num33z8"/>
    <w:uiPriority w:val="0"/>
  </w:style>
  <w:style w:type="character" w:customStyle="1" w:styleId="385">
    <w:name w:val="WW8Num34z0"/>
    <w:uiPriority w:val="0"/>
    <w:rPr>
      <w:sz w:val="24"/>
      <w:szCs w:val="24"/>
    </w:rPr>
  </w:style>
  <w:style w:type="character" w:customStyle="1" w:styleId="386">
    <w:name w:val="WW8Num34z1"/>
    <w:uiPriority w:val="0"/>
  </w:style>
  <w:style w:type="character" w:customStyle="1" w:styleId="387">
    <w:name w:val="WW8Num34z2"/>
    <w:uiPriority w:val="0"/>
  </w:style>
  <w:style w:type="character" w:customStyle="1" w:styleId="388">
    <w:name w:val="WW8Num34z3"/>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uiPriority w:val="0"/>
  </w:style>
  <w:style w:type="character" w:customStyle="1" w:styleId="400">
    <w:name w:val="WW8Num36z7"/>
    <w:uiPriority w:val="0"/>
  </w:style>
  <w:style w:type="character" w:customStyle="1" w:styleId="401">
    <w:name w:val="WW8Num36z8"/>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uiPriority w:val="0"/>
  </w:style>
  <w:style w:type="character" w:customStyle="1" w:styleId="406">
    <w:name w:val="Char Char19"/>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uiPriority w:val="0"/>
    <w:rPr>
      <w:b/>
      <w:i/>
      <w:sz w:val="24"/>
      <w:lang w:val="pt-BR" w:bidi="ar-SA"/>
    </w:rPr>
  </w:style>
  <w:style w:type="character" w:customStyle="1" w:styleId="410">
    <w:name w:val="Char Char15"/>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uiPriority w:val="0"/>
    <w:rPr>
      <w:rFonts w:ascii="Times New Roman" w:hAnsi="Times New Roman" w:eastAsia="Times New Roman" w:cs="Times New Roman"/>
      <w:sz w:val="20"/>
      <w:szCs w:val="20"/>
    </w:rPr>
  </w:style>
  <w:style w:type="character" w:customStyle="1" w:styleId="419">
    <w:name w:val="Char Char6"/>
    <w:uiPriority w:val="0"/>
    <w:rPr>
      <w:rFonts w:ascii="Times New Roman" w:hAnsi="Times New Roman" w:eastAsia="Times New Roman" w:cs="Times New Roman"/>
      <w:sz w:val="24"/>
      <w:szCs w:val="20"/>
    </w:rPr>
  </w:style>
  <w:style w:type="character" w:customStyle="1" w:styleId="420">
    <w:name w:val="Char Char5"/>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uiPriority w:val="0"/>
    <w:rPr>
      <w:rFonts w:ascii="OpenSymbol" w:hAnsi="OpenSymbol" w:eastAsia="OpenSymbol" w:cs="OpenSymbol"/>
    </w:rPr>
  </w:style>
  <w:style w:type="character" w:customStyle="1" w:styleId="429">
    <w:name w:val="Símbolos de numeração"/>
    <w:uiPriority w:val="0"/>
  </w:style>
  <w:style w:type="paragraph" w:customStyle="1" w:styleId="430">
    <w:name w:val="Título4"/>
    <w:basedOn w:val="431"/>
    <w:next w:val="22"/>
    <w:uiPriority w:val="0"/>
  </w:style>
  <w:style w:type="paragraph" w:customStyle="1" w:styleId="431">
    <w:name w:val="Título3"/>
    <w:basedOn w:val="38"/>
    <w:next w:val="22"/>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uiPriority w:val="0"/>
  </w:style>
  <w:style w:type="character" w:customStyle="1" w:styleId="512">
    <w:name w:val="spellingerror"/>
    <w:basedOn w:val="11"/>
    <w:uiPriority w:val="0"/>
  </w:style>
  <w:style w:type="paragraph" w:customStyle="1" w:styleId="513">
    <w:name w:val="textbody"/>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uiPriority w:val="0"/>
    <w:rPr>
      <w:rFonts w:ascii="Arial" w:hAnsi="Arial" w:cs="Arial"/>
      <w:i/>
      <w:iCs/>
      <w:color w:val="FF0000"/>
    </w:rPr>
  </w:style>
  <w:style w:type="paragraph" w:customStyle="1" w:styleId="530">
    <w:name w:val="corp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uiPriority w:val="0"/>
  </w:style>
  <w:style w:type="paragraph" w:customStyle="1" w:styleId="535">
    <w:name w:val="Text body"/>
    <w:basedOn w:val="471"/>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uiPriority w:val="0"/>
    <w:rPr>
      <w:rFonts w:ascii="Arial" w:hAnsi="Arial" w:cs="Arial" w:eastAsiaTheme="majorEastAsia"/>
      <w:color w:val="FF0000"/>
    </w:rPr>
  </w:style>
  <w:style w:type="character" w:customStyle="1" w:styleId="540">
    <w:name w:val="Menção Pendente5"/>
    <w:basedOn w:val="11"/>
    <w:semiHidden/>
    <w:unhideWhenUsed/>
    <w:uiPriority w:val="99"/>
    <w:rPr>
      <w:color w:val="605E5C"/>
      <w:shd w:val="clear" w:color="auto" w:fill="E1DFDD"/>
    </w:rPr>
  </w:style>
  <w:style w:type="table" w:customStyle="1" w:styleId="541">
    <w:name w:val="Grid Table 3 Accent 1"/>
    <w:basedOn w:val="12"/>
    <w:uiPriority w:val="48"/>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BE5F1" w:themeFill="accent1" w:themeFillTint="33"/>
      </w:tcPr>
    </w:tblStylePr>
    <w:tblStylePr w:type="band1Horz">
      <w:tcPr>
        <w:shd w:val="clear" w:color="auto" w:fill="DBE5F1" w:themeFill="accent1" w:themeFillTint="33"/>
      </w:tcPr>
    </w:tblStylePr>
    <w:tblStylePr w:type="neCell">
      <w:tcPr>
        <w:tcBorders>
          <w:bottom w:val="single" w:color="95B3D7" w:themeColor="accent1" w:themeTint="99" w:sz="4" w:space="0"/>
        </w:tcBorders>
      </w:tcPr>
    </w:tblStylePr>
    <w:tblStylePr w:type="nwCell">
      <w:tcPr>
        <w:tcBorders>
          <w:bottom w:val="single" w:color="95B3D7" w:themeColor="accent1" w:themeTint="99" w:sz="4" w:space="0"/>
        </w:tcBorders>
      </w:tcPr>
    </w:tblStylePr>
    <w:tblStylePr w:type="seCell">
      <w:tcPr>
        <w:tcBorders>
          <w:top w:val="single" w:color="95B3D7" w:themeColor="accent1" w:themeTint="99" w:sz="4" w:space="0"/>
        </w:tcBorders>
      </w:tcPr>
    </w:tblStylePr>
    <w:tblStylePr w:type="swCell">
      <w:tcPr>
        <w:tcBorders>
          <w:top w:val="single" w:color="95B3D7" w:themeColor="accent1" w:themeTint="99" w:sz="4" w:space="0"/>
        </w:tcBorders>
      </w:tc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18</Pages>
  <Words>8896</Words>
  <Characters>48043</Characters>
  <Lines>400</Lines>
  <Paragraphs>113</Paragraphs>
  <TotalTime>1</TotalTime>
  <ScaleCrop>false</ScaleCrop>
  <LinksUpToDate>false</LinksUpToDate>
  <CharactersWithSpaces>56826</CharactersWithSpaces>
  <Application>WPS Office_12.2.0.18911_F1E327BC-269C-435d-A152-05C5408002CA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2024-11-13T01:34:00Z</dcterms:created>
  <dc:creator>Adriano</dc:creator>
  <cp:lastModifiedBy>jubor</cp:lastModifiedBy>
  <cp:lastPrinted>2024-11-13T01:31:00Z</cp:lastPrinted>
  <dcterms:modified xsi:type="dcterms:W3CDTF">2024-11-26T17:39:00Z</dcterms:modified>
  <dc:title>NOTAS EXPLICATIVAS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1046-12.2.0.18911</vt:lpwstr>
  </property>
  <property fmtid="{D5CDD505-2E9C-101B-9397-08002B2CF9AE}" pid="3" name="ICV">
    <vt:lpwstr>FF29FE427687451FBFD23F85DDAD4DC7_12</vt:lpwstr>
  </property>
</Properties>
</file>