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F028A">
      <w:pPr>
        <w:pStyle w:val="17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 w:type="textWrapping"/>
      </w:r>
    </w:p>
    <w:p w14:paraId="278851EF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33BC0C94">
      <w:pPr>
        <w:pStyle w:val="2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503B5092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0E8EE3D5">
      <w:pPr>
        <w:pStyle w:val="54"/>
        <w:rPr>
          <w:rFonts w:asciiTheme="minorHAnsi" w:hAnsiTheme="minorHAnsi"/>
          <w:b/>
        </w:rPr>
      </w:pPr>
    </w:p>
    <w:p w14:paraId="1AC72059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PREGÃO ELETRÔNICO Nº </w:t>
      </w:r>
      <w:r>
        <w:rPr>
          <w:rFonts w:hint="default" w:asciiTheme="minorHAnsi" w:hAnsiTheme="minorHAnsi" w:cstheme="minorHAnsi"/>
          <w:b/>
          <w:color w:val="auto"/>
          <w:sz w:val="24"/>
          <w:szCs w:val="24"/>
          <w:lang w:val="pt-BR"/>
        </w:rPr>
        <w:t>90.056</w:t>
      </w:r>
      <w:r>
        <w:rPr>
          <w:rFonts w:asciiTheme="minorHAnsi" w:hAnsiTheme="minorHAnsi" w:cstheme="minorHAnsi"/>
          <w:b/>
          <w:color w:val="auto"/>
          <w:sz w:val="24"/>
          <w:szCs w:val="24"/>
        </w:rPr>
        <w:t>/2024</w:t>
      </w:r>
    </w:p>
    <w:p w14:paraId="6430B21F">
      <w:pPr>
        <w:pStyle w:val="54"/>
        <w:rPr>
          <w:rFonts w:asciiTheme="minorHAnsi" w:hAnsiTheme="minorHAnsi"/>
          <w:b/>
        </w:rPr>
      </w:pPr>
    </w:p>
    <w:p w14:paraId="3B2E4D84">
      <w:pPr>
        <w:pStyle w:val="5"/>
        <w:rPr>
          <w:rFonts w:cs="Arial" w:asciiTheme="minorHAnsi" w:hAnsiTheme="minorHAnsi"/>
          <w:sz w:val="24"/>
          <w:szCs w:val="24"/>
          <w:u w:val="none"/>
        </w:rPr>
      </w:pPr>
      <w:r>
        <w:rPr>
          <w:rFonts w:cs="Arial" w:asciiTheme="minorHAnsi" w:hAnsiTheme="minorHAnsi"/>
          <w:sz w:val="24"/>
          <w:szCs w:val="24"/>
          <w:u w:val="none"/>
        </w:rPr>
        <w:t>ANEXO</w:t>
      </w:r>
      <w:bookmarkStart w:id="2" w:name="_GoBack"/>
      <w:bookmarkEnd w:id="2"/>
      <w:r>
        <w:rPr>
          <w:rFonts w:cs="Arial" w:asciiTheme="minorHAnsi" w:hAnsiTheme="minorHAnsi"/>
          <w:sz w:val="24"/>
          <w:szCs w:val="24"/>
          <w:u w:val="none"/>
        </w:rPr>
        <w:t xml:space="preserve"> X DO EDITAL </w:t>
      </w:r>
    </w:p>
    <w:p w14:paraId="7A609D43">
      <w:pPr>
        <w:rPr>
          <w:lang w:val="pt-PT"/>
        </w:rPr>
      </w:pPr>
    </w:p>
    <w:p w14:paraId="677E0B26">
      <w:pPr>
        <w:rPr>
          <w:lang w:val="pt-PT"/>
        </w:rPr>
      </w:pPr>
    </w:p>
    <w:p w14:paraId="697E9BBA">
      <w:pPr>
        <w:pStyle w:val="5"/>
        <w:rPr>
          <w:rFonts w:cs="Arial" w:asciiTheme="minorHAnsi" w:hAnsiTheme="minorHAnsi"/>
          <w:sz w:val="16"/>
          <w:szCs w:val="16"/>
        </w:rPr>
      </w:pPr>
    </w:p>
    <w:p w14:paraId="39291021">
      <w:pPr>
        <w:pStyle w:val="5"/>
        <w:rPr>
          <w:rFonts w:cs="Arial" w:asciiTheme="minorHAnsi" w:hAnsiTheme="minorHAnsi"/>
          <w:sz w:val="20"/>
        </w:rPr>
      </w:pPr>
      <w:r>
        <w:rPr>
          <w:rFonts w:cs="Arial" w:asciiTheme="minorHAnsi" w:hAnsiTheme="minorHAnsi"/>
          <w:sz w:val="20"/>
        </w:rPr>
        <w:t>MEMÓRIA DE CÁLCULO DA PLANILHA DE CUSTO E FORMAÇÃO DE PREÇO</w:t>
      </w:r>
    </w:p>
    <w:p w14:paraId="775C887E">
      <w:pPr>
        <w:rPr>
          <w:rFonts w:cs="Arial" w:asciiTheme="minorHAnsi" w:hAnsiTheme="minorHAnsi"/>
          <w:sz w:val="16"/>
          <w:szCs w:val="16"/>
          <w:lang w:val="pt-PT"/>
        </w:rPr>
      </w:pPr>
    </w:p>
    <w:p w14:paraId="33ED470E">
      <w:pPr>
        <w:rPr>
          <w:rFonts w:cs="Arial" w:asciiTheme="minorHAnsi" w:hAnsiTheme="minorHAnsi"/>
          <w:b/>
          <w:sz w:val="16"/>
          <w:szCs w:val="16"/>
          <w:u w:val="single"/>
          <w:lang w:val="pt-PT"/>
        </w:rPr>
      </w:pPr>
    </w:p>
    <w:p w14:paraId="30CBB28A">
      <w:pPr>
        <w:pStyle w:val="60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118D126E">
      <w:pPr>
        <w:pStyle w:val="54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C08C593">
      <w:pPr>
        <w:pStyle w:val="54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7907A69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6CB4D819">
      <w:pPr>
        <w:rPr>
          <w:rFonts w:ascii="Calibri" w:hAnsi="Calibri" w:cs="Arial"/>
          <w:sz w:val="22"/>
          <w:szCs w:val="22"/>
        </w:rPr>
      </w:pPr>
    </w:p>
    <w:p w14:paraId="70D31BA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6DD80D0F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1479F85B">
      <w:pPr>
        <w:pStyle w:val="54"/>
        <w:jc w:val="both"/>
        <w:rPr>
          <w:rStyle w:val="35"/>
          <w:rFonts w:asciiTheme="minorHAnsi" w:hAnsiTheme="minorHAnsi" w:cstheme="minorHAnsi"/>
          <w:sz w:val="22"/>
          <w:szCs w:val="22"/>
        </w:rPr>
      </w:pPr>
      <w:r>
        <w:rPr>
          <w:rStyle w:val="35"/>
          <w:rFonts w:ascii="Calibri" w:hAnsi="Calibri"/>
          <w:sz w:val="22"/>
          <w:szCs w:val="22"/>
        </w:rPr>
        <w:t xml:space="preserve">A 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Os valores dos </w:t>
      </w:r>
      <w:r>
        <w:rPr>
          <w:rStyle w:val="35"/>
          <w:rFonts w:asciiTheme="minorHAnsi" w:hAnsiTheme="minorHAnsi" w:cstheme="minorHAnsi"/>
          <w:b/>
          <w:bCs/>
          <w:sz w:val="22"/>
          <w:szCs w:val="22"/>
          <w:u w:val="single"/>
        </w:rPr>
        <w:t>benefícios dos profissionais previstos neste Edita</w:t>
      </w:r>
      <w:r>
        <w:rPr>
          <w:rStyle w:val="35"/>
          <w:rFonts w:asciiTheme="minorHAnsi" w:hAnsiTheme="minorHAnsi" w:cstheme="minorHAnsi"/>
          <w:sz w:val="22"/>
          <w:szCs w:val="22"/>
        </w:rPr>
        <w:t>l foram considerados de acordo com o estabelecido</w:t>
      </w:r>
      <w:r>
        <w:rPr>
          <w:rStyle w:val="35"/>
          <w:rFonts w:hint="default" w:asciiTheme="minorHAnsi" w:hAnsiTheme="minorHAnsi" w:cstheme="minorHAnsi"/>
          <w:sz w:val="22"/>
          <w:szCs w:val="22"/>
          <w:lang w:val="pt-BR"/>
        </w:rPr>
        <w:t xml:space="preserve"> </w:t>
      </w:r>
      <w:r>
        <w:rPr>
          <w:rFonts w:asciiTheme="minorHAnsi" w:hAnsiTheme="minorHAnsi" w:eastAsiaTheme="minorHAnsi" w:cstheme="minorHAnsi"/>
        </w:rPr>
        <w:t xml:space="preserve"> </w:t>
      </w:r>
      <w:r>
        <w:rPr>
          <w:rFonts w:asciiTheme="minorHAnsi" w:hAnsiTheme="minorHAnsi" w:eastAsiaTheme="minorHAnsi" w:cstheme="minorHAnsi"/>
          <w:sz w:val="20"/>
          <w:szCs w:val="20"/>
        </w:rPr>
        <w:t>SINDICATO DAS EMP ASSEIO E CONS EST DO RIO DE JANEIRO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, por meio da Convenção Coletiva de Trabalho 2024/2025, registrada sob o nº </w:t>
      </w:r>
      <w:r>
        <w:rPr>
          <w:rStyle w:val="35"/>
          <w:rFonts w:asciiTheme="minorHAnsi" w:hAnsiTheme="minorHAnsi" w:cstheme="minorHAnsi"/>
          <w:b/>
          <w:sz w:val="22"/>
          <w:szCs w:val="22"/>
        </w:rPr>
        <w:t>RJ001171/2024</w:t>
      </w:r>
      <w:r>
        <w:rPr>
          <w:rStyle w:val="35"/>
          <w:rFonts w:asciiTheme="minorHAnsi" w:hAnsiTheme="minorHAnsi" w:cstheme="minorHAnsi"/>
          <w:b/>
          <w:bCs/>
          <w:sz w:val="22"/>
          <w:szCs w:val="22"/>
        </w:rPr>
        <w:t>.</w:t>
      </w:r>
    </w:p>
    <w:p w14:paraId="09AEC5C9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4050F700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>
        <w:rPr>
          <w:rFonts w:asciiTheme="minorHAnsi" w:hAnsiTheme="minorHAnsi" w:cstheme="minorHAnsi"/>
          <w:i/>
          <w:color w:val="FF0000"/>
          <w:sz w:val="22"/>
          <w:szCs w:val="22"/>
        </w:rPr>
        <w:t>acordos, dissídios ou</w:t>
      </w: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>
        <w:rPr>
          <w:rFonts w:cs="Arial"/>
          <w:i/>
          <w:color w:val="FF0000"/>
          <w:lang w:eastAsia="en-US"/>
        </w:rPr>
        <w:t xml:space="preserve"> </w:t>
      </w:r>
    </w:p>
    <w:p w14:paraId="04AE4B4F">
      <w:pPr>
        <w:pStyle w:val="54"/>
        <w:jc w:val="center"/>
        <w:rPr>
          <w:rStyle w:val="35"/>
          <w:rFonts w:ascii="Calibri" w:hAnsi="Calibri"/>
          <w:bCs/>
          <w:sz w:val="22"/>
          <w:szCs w:val="22"/>
          <w:highlight w:val="yellow"/>
          <w:u w:val="single"/>
        </w:rPr>
      </w:pPr>
      <w:r>
        <w:rPr>
          <w:rStyle w:val="35"/>
          <w:rFonts w:ascii="Calibri" w:hAnsi="Calibri"/>
          <w:sz w:val="22"/>
          <w:szCs w:val="22"/>
          <w:u w:val="single"/>
        </w:rPr>
        <w:t>O</w:t>
      </w:r>
      <w:r>
        <w:rPr>
          <w:rStyle w:val="35"/>
          <w:rFonts w:ascii="Calibri" w:hAnsi="Calibri"/>
          <w:bCs/>
          <w:sz w:val="22"/>
          <w:szCs w:val="22"/>
          <w:u w:val="single"/>
        </w:rPr>
        <w:t xml:space="preserve"> salário dos profissionais será:</w:t>
      </w:r>
    </w:p>
    <w:p w14:paraId="2D8BB7F1">
      <w:pPr>
        <w:pStyle w:val="54"/>
        <w:jc w:val="both"/>
        <w:rPr>
          <w:rFonts w:ascii="Calibri" w:hAnsi="Calibri"/>
          <w:b/>
          <w:u w:val="single"/>
        </w:rPr>
      </w:pPr>
    </w:p>
    <w:tbl>
      <w:tblPr>
        <w:tblStyle w:val="70"/>
        <w:tblW w:w="7980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4920"/>
        <w:gridCol w:w="1298"/>
        <w:gridCol w:w="1280"/>
      </w:tblGrid>
      <w:tr w14:paraId="1FC0CD8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57724B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92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6C9520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Descrição/Especificação</w:t>
            </w:r>
          </w:p>
        </w:tc>
        <w:tc>
          <w:tcPr>
            <w:tcW w:w="124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45CE1E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Quantidade de Pessoal</w:t>
            </w:r>
          </w:p>
        </w:tc>
        <w:tc>
          <w:tcPr>
            <w:tcW w:w="1280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A537BC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VALOR DE MERCADO</w:t>
            </w:r>
          </w:p>
        </w:tc>
      </w:tr>
      <w:tr w14:paraId="7272619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0" w:type="dxa"/>
            <w:noWrap/>
          </w:tcPr>
          <w:p w14:paraId="429A538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920" w:type="dxa"/>
            <w:noWrap/>
          </w:tcPr>
          <w:p w14:paraId="3583D39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Analista de Suporte Técnico em EAD</w:t>
            </w:r>
          </w:p>
        </w:tc>
        <w:tc>
          <w:tcPr>
            <w:tcW w:w="1240" w:type="dxa"/>
            <w:noWrap/>
          </w:tcPr>
          <w:p w14:paraId="1D59F8E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80" w:type="dxa"/>
            <w:noWrap/>
          </w:tcPr>
          <w:p w14:paraId="1FAE07E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R$ 1.900,00</w:t>
            </w:r>
          </w:p>
        </w:tc>
      </w:tr>
      <w:tr w14:paraId="3681DA2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0" w:type="dxa"/>
            <w:noWrap/>
          </w:tcPr>
          <w:p w14:paraId="2917BA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920" w:type="dxa"/>
            <w:noWrap/>
          </w:tcPr>
          <w:p w14:paraId="0E579A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Analista de Gestão de EAD</w:t>
            </w:r>
          </w:p>
        </w:tc>
        <w:tc>
          <w:tcPr>
            <w:tcW w:w="1240" w:type="dxa"/>
            <w:noWrap/>
          </w:tcPr>
          <w:p w14:paraId="51D97A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80" w:type="dxa"/>
            <w:noWrap/>
          </w:tcPr>
          <w:p w14:paraId="1F2DAE3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R$ 2.500,00</w:t>
            </w:r>
          </w:p>
        </w:tc>
      </w:tr>
      <w:tr w14:paraId="3322BC2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noWrap/>
          </w:tcPr>
          <w:p w14:paraId="2E9B30B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920" w:type="dxa"/>
          </w:tcPr>
          <w:p w14:paraId="12A96D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Analista de Desenvolvimento de Sistemas com ênfase em plataforma EAD</w:t>
            </w:r>
          </w:p>
        </w:tc>
        <w:tc>
          <w:tcPr>
            <w:tcW w:w="1240" w:type="dxa"/>
            <w:noWrap/>
          </w:tcPr>
          <w:p w14:paraId="08EC9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80" w:type="dxa"/>
            <w:noWrap/>
          </w:tcPr>
          <w:p w14:paraId="783C0F4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R$ 3.500,00</w:t>
            </w:r>
          </w:p>
        </w:tc>
      </w:tr>
      <w:tr w14:paraId="1C8C77C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0" w:type="dxa"/>
            <w:noWrap/>
          </w:tcPr>
          <w:p w14:paraId="569A232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920" w:type="dxa"/>
            <w:noWrap/>
          </w:tcPr>
          <w:p w14:paraId="72426A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Analista de Implementação em Soluções de EAD</w:t>
            </w:r>
          </w:p>
        </w:tc>
        <w:tc>
          <w:tcPr>
            <w:tcW w:w="1240" w:type="dxa"/>
            <w:noWrap/>
          </w:tcPr>
          <w:p w14:paraId="78FB9A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80" w:type="dxa"/>
            <w:noWrap/>
          </w:tcPr>
          <w:p w14:paraId="676B5A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R$ 5.500,00</w:t>
            </w:r>
          </w:p>
        </w:tc>
      </w:tr>
      <w:tr w14:paraId="21E4E71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0" w:type="dxa"/>
            <w:gridSpan w:val="2"/>
            <w:noWrap/>
          </w:tcPr>
          <w:p w14:paraId="53DC48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240" w:type="dxa"/>
            <w:noWrap/>
          </w:tcPr>
          <w:p w14:paraId="44DA8CC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80" w:type="dxa"/>
            <w:noWrap/>
          </w:tcPr>
          <w:p w14:paraId="0F5744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609D1381">
      <w:pPr>
        <w:spacing w:line="276" w:lineRule="auto"/>
        <w:jc w:val="both"/>
        <w:rPr>
          <w:rFonts w:ascii="Calibri" w:hAnsi="Calibri" w:cs="Arial"/>
          <w:b/>
        </w:rPr>
      </w:pPr>
    </w:p>
    <w:p w14:paraId="09A35979">
      <w:pPr>
        <w:spacing w:line="276" w:lineRule="auto"/>
        <w:jc w:val="both"/>
        <w:rPr>
          <w:rFonts w:ascii="Calibri" w:hAnsi="Calibri" w:cs="Arial"/>
          <w:b/>
        </w:rPr>
      </w:pPr>
    </w:p>
    <w:p w14:paraId="050237B9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6CF38BD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para periculosidade/insalubridade para os postos.</w:t>
      </w:r>
    </w:p>
    <w:p w14:paraId="14A9459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3CDE842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76B6183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de Adicional Noturno, conforme Planilha de Formação de Custos (Anexo IV do Edital).</w:t>
      </w:r>
    </w:p>
    <w:p w14:paraId="42CBFA4E">
      <w:pPr>
        <w:spacing w:line="276" w:lineRule="auto"/>
        <w:jc w:val="both"/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 Módulo 1 refere-se ao </w:t>
      </w: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valor mensal devido ao empregado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3E8E6D67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907E673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3F20C868">
      <w:pPr>
        <w:autoSpaceDE w:val="0"/>
        <w:autoSpaceDN w:val="0"/>
        <w:adjustRightInd w:val="0"/>
        <w:rPr>
          <w:rFonts w:ascii="Calibri" w:hAnsi="Calibri" w:cs="Calibri" w:eastAsiaTheme="minorHAnsi"/>
          <w:color w:val="000000"/>
          <w:sz w:val="22"/>
          <w:szCs w:val="22"/>
          <w:lang w:eastAsia="en-US"/>
        </w:rPr>
      </w:pPr>
      <w:r>
        <w:rPr>
          <w:rFonts w:ascii="Calibri" w:hAnsi="Calibri" w:cs="Calibri" w:eastAsiaTheme="minorHAnsi"/>
          <w:color w:val="000000"/>
          <w:sz w:val="22"/>
          <w:szCs w:val="22"/>
          <w:lang w:eastAsia="en-US"/>
        </w:rPr>
        <w:t xml:space="preserve">Não há previsão de adicional noturno. </w:t>
      </w:r>
    </w:p>
    <w:p w14:paraId="293581F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4C88508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1BA42746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</w:t>
      </w:r>
    </w:p>
    <w:p w14:paraId="0383781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45584EC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7FD9135E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(40 horas semanais) – 2ª a 6ª Feira</w:t>
      </w:r>
    </w:p>
    <w:p w14:paraId="45C901D9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4B58AF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24589BDA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65FB469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50992584">
      <w:pPr>
        <w:rPr>
          <w:rFonts w:asciiTheme="minorHAnsi" w:hAnsiTheme="minorHAnsi"/>
          <w:iCs/>
          <w:sz w:val="22"/>
          <w:szCs w:val="22"/>
        </w:rPr>
      </w:pPr>
    </w:p>
    <w:p w14:paraId="1E411F1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4352323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435D0354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>
        <w:rPr>
          <w:rFonts w:asciiTheme="minorHAnsi" w:hAnsiTheme="minorHAnsi"/>
          <w:b/>
          <w:iCs/>
          <w:sz w:val="22"/>
          <w:szCs w:val="22"/>
        </w:rPr>
        <w:t>10,1429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25592D1">
      <w:pPr>
        <w:rPr>
          <w:rFonts w:asciiTheme="minorHAnsi" w:hAnsiTheme="minorHAnsi"/>
          <w:iCs/>
          <w:sz w:val="22"/>
          <w:szCs w:val="22"/>
        </w:rPr>
      </w:pPr>
    </w:p>
    <w:p w14:paraId="07EE4BF3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5BE44B98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2 = 104,2858  (dias de final de semana no ano)</w:t>
      </w:r>
    </w:p>
    <w:p w14:paraId="6034E766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689E2472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15E914F0">
      <w:pPr>
        <w:rPr>
          <w:rFonts w:asciiTheme="minorHAnsi" w:hAnsiTheme="minorHAnsi"/>
          <w:iCs/>
          <w:color w:val="FF0000"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250,5713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276F49DF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0482D690">
      <w:pPr>
        <w:pStyle w:val="63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4AC8C0A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9" o:spid="_x0000_s1026" o:spt="20" style="position:absolute;left:0pt;margin-left:26.6pt;margin-top:113.15pt;height:0.05pt;width:17.55pt;z-index:251660288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12947CB9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58190C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369D399B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891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14:paraId="4CFE3D4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8B7B2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A37304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245236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16B5AE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E8AB3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A049613">
            <w:pPr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635AED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72" w:type="dxa"/>
            <w:shd w:val="clear" w:color="auto" w:fill="DBE5F1" w:themeFill="accent1" w:themeFillTint="33"/>
          </w:tcPr>
          <w:p w14:paraId="5080C51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DBE5F1" w:themeFill="accent1" w:themeFillTint="33"/>
          </w:tcPr>
          <w:p w14:paraId="77162BC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89AF12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  <w:shd w:val="clear" w:color="auto" w:fill="DBE5F1" w:themeFill="accent1" w:themeFillTint="33"/>
          </w:tcPr>
          <w:p w14:paraId="5B230A83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  <w:shd w:val="clear" w:color="auto" w:fill="DBE5F1" w:themeFill="accent1" w:themeFillTint="33"/>
          </w:tcPr>
          <w:p w14:paraId="6A572226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  <w:shd w:val="clear" w:color="auto" w:fill="DBE5F1" w:themeFill="accent1" w:themeFillTint="33"/>
          </w:tcPr>
          <w:p w14:paraId="2BC5EE7D"/>
        </w:tc>
      </w:tr>
      <w:tr w14:paraId="7B72555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</w:tcPr>
          <w:p w14:paraId="32507B8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549F97C0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098D72F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127F91B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4306179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5BC3A3DE"/>
        </w:tc>
      </w:tr>
      <w:tr w14:paraId="3286C1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464" w:type="dxa"/>
            <w:gridSpan w:val="3"/>
            <w:shd w:val="clear" w:color="auto" w:fill="DBE5F1" w:themeFill="accent1" w:themeFillTint="33"/>
          </w:tcPr>
          <w:p w14:paraId="6C40AE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86D21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DBE5F1" w:themeFill="accent1" w:themeFillTint="33"/>
          </w:tcPr>
          <w:p w14:paraId="5DA0EEB6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DBE5F1" w:themeFill="accent1" w:themeFillTint="33"/>
          </w:tcPr>
          <w:p w14:paraId="01F295E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  <w:shd w:val="clear" w:color="auto" w:fill="DBE5F1" w:themeFill="accent1" w:themeFillTint="33"/>
          </w:tcPr>
          <w:p w14:paraId="526CC9CE"/>
        </w:tc>
      </w:tr>
      <w:tr w14:paraId="4F26DC1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95" w:type="dxa"/>
            <w:gridSpan w:val="2"/>
          </w:tcPr>
          <w:p w14:paraId="76B4582F">
            <w:pPr>
              <w:ind w:right="-4"/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14:paraId="7FA7EFA4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</w:tcPr>
          <w:p w14:paraId="68A16E6C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47"/>
                <w:rFonts w:ascii="Calibri" w:hAnsi="Calibri" w:cs="Arial"/>
                <w:sz w:val="18"/>
                <w:szCs w:val="18"/>
              </w:rPr>
              <w:footnoteReference w:id="0"/>
            </w:r>
          </w:p>
        </w:tc>
        <w:tc>
          <w:tcPr>
            <w:tcW w:w="2900" w:type="dxa"/>
          </w:tcPr>
          <w:p w14:paraId="14160B3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2CB8F8A0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20D5CFD2">
      <w:pPr>
        <w:jc w:val="center"/>
        <w:rPr>
          <w:rFonts w:ascii="Calibri" w:hAnsi="Calibri" w:cs="Arial"/>
        </w:rPr>
      </w:pPr>
    </w:p>
    <w:p w14:paraId="45927BF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1FAB6471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0D38FA20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5DE06481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47CA2A0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3C778DF8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518E45A0">
      <w:pPr>
        <w:jc w:val="both"/>
        <w:rPr>
          <w:rFonts w:ascii="Calibri" w:hAnsi="Calibri" w:cs="Arial"/>
          <w:u w:val="single"/>
          <w:lang w:val="pt-PT"/>
        </w:rPr>
      </w:pPr>
    </w:p>
    <w:p w14:paraId="5A11DF7E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7AB7D2D7">
      <w:pPr>
        <w:rPr>
          <w:rFonts w:ascii="Calibri" w:hAnsi="Calibri" w:cs="Arial"/>
        </w:rPr>
      </w:pPr>
    </w:p>
    <w:tbl>
      <w:tblPr>
        <w:tblStyle w:val="70"/>
        <w:tblW w:w="900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126"/>
        <w:gridCol w:w="850"/>
        <w:gridCol w:w="1842"/>
        <w:gridCol w:w="3344"/>
      </w:tblGrid>
      <w:tr w14:paraId="57AA996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5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9207BC9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E39CD9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A92337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5CE1D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F4C92D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011BB93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45" w:type="dxa"/>
            <w:shd w:val="clear" w:color="auto" w:fill="DBE5F1" w:themeFill="accent1" w:themeFillTint="33"/>
          </w:tcPr>
          <w:p w14:paraId="46CACC18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D0494D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3CF4AC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2273CD1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F90CD2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14:paraId="43B3CC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</w:tcPr>
          <w:p w14:paraId="1F9D87F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974DFE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13BF4EF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2D4637D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9DA386E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14:paraId="30B4E37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5" w:type="dxa"/>
            <w:shd w:val="clear" w:color="auto" w:fill="DBE5F1" w:themeFill="accent1" w:themeFillTint="33"/>
          </w:tcPr>
          <w:p w14:paraId="63BFADEF">
            <w:pPr>
              <w:jc w:val="center"/>
              <w:rPr>
                <w:rFonts w:ascii="Calibri" w:hAnsi="Calibri" w:cs="Arial"/>
                <w:b/>
                <w:bCs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80A6A8">
            <w:pPr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1864609">
            <w:pPr>
              <w:jc w:val="center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7399A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37E0EC9D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8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39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4AE213CF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5E1EBEB2">
            <w:pPr>
              <w:rPr>
                <w:rFonts w:cs="Arial" w:asciiTheme="minorHAnsi" w:hAnsi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5C868BFA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RATxFAT – </w:t>
            </w:r>
            <w:r>
              <w:rPr>
                <w:rStyle w:val="11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14:paraId="5267C88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5" w:type="dxa"/>
          </w:tcPr>
          <w:p w14:paraId="268635E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05CF90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6EF076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1AFCF017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4934FC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14:paraId="71737F0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45" w:type="dxa"/>
            <w:shd w:val="clear" w:color="auto" w:fill="DBE5F1" w:themeFill="accent1" w:themeFillTint="33"/>
          </w:tcPr>
          <w:p w14:paraId="7284B1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788D03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6A8599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0381FBFB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2CAC84E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14:paraId="3537FD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5" w:type="dxa"/>
          </w:tcPr>
          <w:p w14:paraId="76DC81E9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0470B02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2234A7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4EEBD5AC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87114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14:paraId="5B09864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45" w:type="dxa"/>
            <w:shd w:val="clear" w:color="auto" w:fill="DBE5F1" w:themeFill="accent1" w:themeFillTint="33"/>
          </w:tcPr>
          <w:p w14:paraId="3FF9699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E558EF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359846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C391684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6521C18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14:paraId="5B24A59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" w:type="dxa"/>
          </w:tcPr>
          <w:p w14:paraId="1771E4E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076857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8F954A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20326B35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9479B7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14:paraId="315DD15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45" w:type="dxa"/>
            <w:shd w:val="clear" w:color="auto" w:fill="DBE5F1" w:themeFill="accent1" w:themeFillTint="33"/>
          </w:tcPr>
          <w:p w14:paraId="27F229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01D368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4BC1C756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409167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4BAFC678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735F2F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6BB5E1B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BA00A8F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05C1DFE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9B74D1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61312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4AEC597">
                            <w:pPr>
                              <w:pStyle w:val="63"/>
                              <w:spacing w:beforeAutospacing="0" w:afterAutospacing="0"/>
                              <w:rPr>
                                <w:rFonts w:cs="Arial" w:asciiTheme="minorHAnsi" w:hAnsiTheme="minorHAnsi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8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FDEDF7D">
                            <w:pPr>
                              <w:pStyle w:val="19"/>
                              <w:spacing w:beforeAutospacing="0" w:afterAutospacing="0"/>
                              <w:rPr>
                                <w:rFonts w:cs="Arial" w:asciiTheme="minorHAnsi" w:hAnsiTheme="minorHAns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11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643089A3">
                            <w:pPr>
                              <w:pStyle w:val="64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Forma 2" o:spid="_x0000_s1026" o:spt="2" style="position:absolute;left:0pt;margin-left:-0.05pt;margin-top:-329.35pt;height:195.45pt;width:141.95pt;mso-position-horizontal-relative:margin;mso-position-vertical-relative:margin;mso-wrap-distance-bottom:7.2pt;mso-wrap-distance-left:10.8pt;mso-wrap-distance-right:10.8pt;mso-wrap-distance-top:7.2pt;rotation:5898240f;z-index:251661312;v-text-anchor:middle;mso-width-relative:page;mso-height-relative:page;" fillcolor="#D7E4BD [1302]" filled="t" stroked="f" coordsize="21600,21600" arcsize="0.130324074074074" o:gfxdata="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vbSwDcAAAACwEAAA8AAAAAAAAAAQAgAAAAIgAAAGRycy9kb3ducmV2&#10;LnhtbFBLAQIUABQAAAAIAIdO4kBn10aW+AEAAAEEAAAOAAAAAAAAAAEAIAAAACsBAABkcnMvZTJv&#10;RG9jLnhtbFBLBQYAAAAABgAGAFkBAAC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4AEC597">
                      <w:pPr>
                        <w:pStyle w:val="63"/>
                        <w:spacing w:beforeAutospacing="0" w:afterAutospacing="0"/>
                        <w:rPr>
                          <w:rFonts w:cs="Arial" w:asciiTheme="minorHAnsi" w:hAnsiTheme="minorHAnsi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8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FDEDF7D">
                      <w:pPr>
                        <w:pStyle w:val="19"/>
                        <w:spacing w:beforeAutospacing="0" w:afterAutospacing="0"/>
                        <w:rPr>
                          <w:rFonts w:cs="Arial" w:asciiTheme="minorHAnsi" w:hAnsiTheme="minorHAnsi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11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643089A3">
                      <w:pPr>
                        <w:pStyle w:val="64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12 = número de meses no ano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0816A4E9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Submódulo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67C141DA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7C0845C6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469A740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2.1).</w:t>
      </w:r>
    </w:p>
    <w:p w14:paraId="444238D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B8C3E5E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0E416BF3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7ED70DE8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1B3D8C2C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410"/>
        <w:gridCol w:w="4966"/>
      </w:tblGrid>
      <w:tr w14:paraId="3EF5D97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3736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83091A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A5160A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VALOR (R$) </w:t>
            </w:r>
          </w:p>
        </w:tc>
      </w:tr>
      <w:tr w14:paraId="07E8AC7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62" w:type="dxa"/>
            <w:shd w:val="clear" w:color="auto" w:fill="DBE5F1" w:themeFill="accent1" w:themeFillTint="33"/>
          </w:tcPr>
          <w:p w14:paraId="78A441D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07E6A8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1CC9E1D0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14:paraId="4DDBF6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</w:tcPr>
          <w:p w14:paraId="042C80FC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3A5D08C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1E26B434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Há previsão de Vale diário no valor de R$23,50 (Cláusula 22ª da CCT)</w:t>
            </w:r>
          </w:p>
        </w:tc>
      </w:tr>
      <w:tr w14:paraId="4A4E61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0A92FEC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44C70C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Social Familiar</w:t>
            </w:r>
          </w:p>
          <w:p w14:paraId="1D94FE63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  <w:shd w:val="clear" w:color="auto" w:fill="DBE5F1" w:themeFill="accent1" w:themeFillTint="33"/>
          </w:tcPr>
          <w:p w14:paraId="77EFEC6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28ª da CCT =  R$20,15, vedado qualquer desconto do trabalhador</w:t>
            </w:r>
          </w:p>
        </w:tc>
      </w:tr>
      <w:tr w14:paraId="4FB0B66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72" w:type="dxa"/>
            <w:gridSpan w:val="2"/>
            <w:shd w:val="clear" w:color="auto" w:fill="DBE5F1" w:themeFill="accent1" w:themeFillTint="33"/>
          </w:tcPr>
          <w:p w14:paraId="237E6D6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38BCD3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9527FC2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7CFC165B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DF29BF0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0F554232">
      <w:pPr>
        <w:jc w:val="both"/>
        <w:rPr>
          <w:rFonts w:ascii="Calibri" w:hAnsi="Calibri" w:cs="Arial"/>
          <w:u w:val="single"/>
        </w:rPr>
      </w:pPr>
    </w:p>
    <w:p w14:paraId="54D9435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25C354C6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a.1. Para efeito da composição do Vale Transporte, foi utilizado como base o valor do Bilhete Único Intermunicipal, isto, pois, o Município do Rio e sua Região Metropolitana possui grande discrepância no que se refere à valores de passagens, à exemplo, caso seja cotado apenas o modal municipal para ônibus, restringiríamos a utilização de metrô, trem, barca ou VLT. Tal experiência tem prejudicado e muito a prestação de serviços atual, gerado atrasos e, por consequência, glosas</w:t>
      </w:r>
    </w:p>
    <w:p w14:paraId="59CA6F1E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a.2. Outrossim, cabe destacar também a restrição de empregabilidade no que se refere a região metropolitana, dotada de mão de obra capacitada mas que, por vezes, frustra-se a contratação por divergências no valor da passagem. Deste modo, visando abrir um leque maior de possibilidades no que se refere a mão de obra qualificada, vinculamos o valor diário de passagens ao modal intermunicipal.</w:t>
      </w:r>
    </w:p>
    <w:p w14:paraId="2DF85B62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a.3. Para efeito de estimativa de custo e isonomia entre as licitantes, fica estabelecido que as propostas ofereçam, no mínimo, o valor correspondente ao de 02 (duas) tarifas do Bilhete Único Intermunicipal para a passagem diária (R$8,55 por tarifa)</w:t>
      </w:r>
      <w:r>
        <w:rPr>
          <w:rFonts w:asciiTheme="minorHAnsi" w:hAnsiTheme="minorHAnsi"/>
          <w:iCs/>
          <w:sz w:val="22"/>
          <w:szCs w:val="22"/>
        </w:rPr>
        <w:t>:</w:t>
      </w:r>
    </w:p>
    <w:p w14:paraId="2BD69A1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24EBC1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1191D19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22213EA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FA9D931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20D7416D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76F6B85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este custo.</w:t>
      </w:r>
    </w:p>
    <w:p w14:paraId="7209CC9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E009A80">
      <w:pPr>
        <w:rPr>
          <w:rFonts w:ascii="Calibri" w:hAnsi="Calibri" w:cs="Arial"/>
          <w:sz w:val="18"/>
          <w:szCs w:val="18"/>
          <w:lang w:eastAsia="en-US"/>
        </w:rPr>
      </w:pPr>
      <w:r>
        <w:rPr>
          <w:rFonts w:ascii="Calibri" w:hAnsi="Calibri" w:cs="Arial"/>
          <w:b/>
          <w:sz w:val="22"/>
          <w:szCs w:val="22"/>
        </w:rPr>
        <w:t>C) Benefício Social Familiar</w:t>
      </w:r>
    </w:p>
    <w:p w14:paraId="25BC783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5507472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Cláusula 28ª da CCT =  R$20,15 vedado qualquer desconto do trabalhador</w:t>
      </w:r>
    </w:p>
    <w:p w14:paraId="7C85D9F9">
      <w:pPr>
        <w:jc w:val="both"/>
        <w:rPr>
          <w:rFonts w:ascii="Calibri" w:hAnsi="Calibri" w:cs="Arial"/>
          <w:sz w:val="22"/>
          <w:szCs w:val="22"/>
        </w:rPr>
      </w:pPr>
    </w:p>
    <w:p w14:paraId="48B4A4A8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551D8F2E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5"/>
        <w:gridCol w:w="3119"/>
        <w:gridCol w:w="1844"/>
      </w:tblGrid>
      <w:tr w14:paraId="2BC1540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A0AC2DB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9E24205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80B9A53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302C3A32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17A204E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50" w:type="dxa"/>
            <w:shd w:val="clear" w:color="auto" w:fill="DBE5F1" w:themeFill="accent1" w:themeFillTint="33"/>
          </w:tcPr>
          <w:p w14:paraId="32C23FEE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11B52B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0404A3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6D6BC165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9E7407E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14:paraId="265799C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0" w:type="dxa"/>
          </w:tcPr>
          <w:p w14:paraId="3DA2F7A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30044E9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3047A6D0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47D736A1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Súmula nº 305 do TST</w:t>
            </w:r>
          </w:p>
        </w:tc>
      </w:tr>
      <w:tr w14:paraId="4C536B6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0" w:type="dxa"/>
            <w:shd w:val="clear" w:color="auto" w:fill="DBE5F1" w:themeFill="accent1" w:themeFillTint="33"/>
          </w:tcPr>
          <w:p w14:paraId="09B23DB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5F706C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0CAC918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E91734A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Leis n.ºs 8.036/90 e</w:t>
            </w:r>
          </w:p>
          <w:p w14:paraId="6D00A1F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9.491/97</w:t>
            </w:r>
          </w:p>
        </w:tc>
      </w:tr>
      <w:tr w14:paraId="796F72E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74B6DD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63C17F69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1141C2BA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benefícios mensais e diários não dedutíveis, ex. beneficio social familiar) / dias do mês) / meses do ano] x 7 dias de redução da jornada.</w:t>
            </w:r>
          </w:p>
        </w:tc>
        <w:tc>
          <w:tcPr>
            <w:tcW w:w="1843" w:type="dxa"/>
          </w:tcPr>
          <w:p w14:paraId="22D81C69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7C69C85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7289BC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0" w:type="dxa"/>
            <w:shd w:val="clear" w:color="auto" w:fill="DBE5F1" w:themeFill="accent1" w:themeFillTint="33"/>
          </w:tcPr>
          <w:p w14:paraId="43971667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643403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D034CC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72A657F8">
            <w:pPr>
              <w:jc w:val="center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</w:tc>
      </w:tr>
      <w:tr w14:paraId="5E0852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0" w:type="dxa"/>
          </w:tcPr>
          <w:p w14:paraId="291DF50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D4E93B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A85C2D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  <w:p w14:paraId="088FEF7F">
            <w:pPr>
              <w:rPr>
                <w:rFonts w:cs="Arial" w:asciiTheme="minorHAnsi" w:hAnsiTheme="minorHAnsi"/>
                <w:sz w:val="18"/>
                <w:szCs w:val="18"/>
              </w:rPr>
            </w:pPr>
          </w:p>
          <w:p w14:paraId="14E3A29F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Remuneração x 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4% </w:t>
            </w:r>
            <w:r>
              <w:rPr>
                <w:rFonts w:cs="Arial" w:asciiTheme="minorHAnsi" w:hAnsiTheme="minorHAnsi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7BE26C2C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385CDFF4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141C805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50" w:type="dxa"/>
            <w:shd w:val="clear" w:color="auto" w:fill="DBE5F1" w:themeFill="accent1" w:themeFillTint="33"/>
          </w:tcPr>
          <w:p w14:paraId="005D876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1F201060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C20EED2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0676BC25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</w:tr>
    </w:tbl>
    <w:p w14:paraId="2474DD48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  <w:r>
        <w:rPr>
          <w:rFonts w:cs="Arial" w:asciiTheme="minorHAnsi" w:hAnsiTheme="minorHAnsi" w:eastAsiaTheme="minorHAnsi"/>
          <w:sz w:val="16"/>
          <w:szCs w:val="16"/>
          <w:lang w:eastAsia="en-US"/>
        </w:rPr>
        <w:t>OBSERVAÇÕES: Nota Técnica nº 652/2017 - MP</w:t>
      </w:r>
    </w:p>
    <w:p w14:paraId="3259CBCE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9EC5D9A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BCFA687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8344AC2">
      <w:pPr>
        <w:rPr>
          <w:rFonts w:ascii="Calibri" w:hAnsi="Calibri" w:cs="Arial"/>
          <w:sz w:val="22"/>
          <w:szCs w:val="22"/>
        </w:rPr>
      </w:pPr>
    </w:p>
    <w:p w14:paraId="7924B36A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003D987">
      <w:pPr>
        <w:rPr>
          <w:rFonts w:ascii="Calibri" w:hAnsi="Calibri" w:cs="Arial"/>
          <w:lang w:val="pt-PT"/>
        </w:rPr>
      </w:pPr>
    </w:p>
    <w:tbl>
      <w:tblPr>
        <w:tblStyle w:val="70"/>
        <w:tblW w:w="9351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719"/>
        <w:gridCol w:w="2601"/>
        <w:gridCol w:w="4518"/>
      </w:tblGrid>
      <w:tr w14:paraId="6D3631D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510" w:hRule="atLeast"/>
        </w:trPr>
        <w:tc>
          <w:tcPr>
            <w:tcW w:w="54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EBCD8C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DD5F24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3BBBA67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3EAAE86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5D4F44B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2" w:type="dxa"/>
            <w:shd w:val="clear" w:color="auto" w:fill="DBE5F1" w:themeFill="accent1" w:themeFillTint="33"/>
          </w:tcPr>
          <w:p w14:paraId="53237CF8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137E0AD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65729E4A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792F61F5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  <w:p w14:paraId="29CDF57B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</w:p>
        </w:tc>
      </w:tr>
      <w:tr w14:paraId="69BC0C7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450C73A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09BCBC1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28884E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AL= nDR(AL) x CDR / 12</w:t>
            </w:r>
          </w:p>
        </w:tc>
        <w:tc>
          <w:tcPr>
            <w:tcW w:w="3531" w:type="dxa"/>
          </w:tcPr>
          <w:p w14:paraId="102E677C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5F44B4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nDR(AL)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14:paraId="0106AF7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42" w:type="dxa"/>
            <w:shd w:val="clear" w:color="auto" w:fill="DBE5F1" w:themeFill="accent1" w:themeFillTint="33"/>
          </w:tcPr>
          <w:p w14:paraId="6E36545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354D9EA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7DCBACC0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LP= nDR(LP) x % LP x CDR/12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09AF444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7º, XIX, CF/88 e</w:t>
            </w:r>
          </w:p>
          <w:p w14:paraId="23DB1B75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10, § 1º, da CLT.</w:t>
            </w:r>
          </w:p>
          <w:p w14:paraId="27B90B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14:paraId="6A6304F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788507BE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286FCB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2F9A8F4A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AT= nDR(AT) x % AT x CDR/12</w:t>
            </w:r>
          </w:p>
        </w:tc>
        <w:tc>
          <w:tcPr>
            <w:tcW w:w="3531" w:type="dxa"/>
          </w:tcPr>
          <w:p w14:paraId="5777DF4D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2CBE6983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1FE2869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051BA40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356CCBF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  <w:shd w:val="clear" w:color="auto" w:fill="DBE5F1" w:themeFill="accent1" w:themeFillTint="33"/>
          </w:tcPr>
          <w:p w14:paraId="73C237C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7CE34C3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36EF1845">
            <w:pPr>
              <w:pStyle w:val="58"/>
              <w:ind w:left="-70"/>
              <w:jc w:val="both"/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  <w:t>AMT: FPAM + (BMDND x 3,95 x  % a.a AM) : 12 + IAM</w:t>
            </w:r>
          </w:p>
          <w:p w14:paraId="0D82DD85">
            <w:pPr>
              <w:jc w:val="center"/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078F19C">
            <w:pPr>
              <w:rPr>
                <w:rStyle w:val="11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11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6AD9D3A6"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2021, a taxa de fecundidade no estado do Rio de Janeiro é de 1,72% &lt;</w:t>
            </w:r>
            <w:r>
              <w:t>https://www.ibge.gov.br/apps/populacao/projecao/&gt;. Acesso em 23/05/2021)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41996963">
            <w:pPr>
              <w:rPr>
                <w:rFonts w:cs="Arial" w:asciiTheme="minorHAnsi" w:hAnsiTheme="minorHAnsi" w:eastAsiaTheme="minorHAnsi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12%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12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1,72%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0,21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14:paraId="524568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</w:tcPr>
          <w:p w14:paraId="29D983C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A0E98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4" w:type="dxa"/>
          </w:tcPr>
          <w:p w14:paraId="702B5BB2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4A69A75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-</w:t>
            </w:r>
          </w:p>
        </w:tc>
      </w:tr>
      <w:tr w14:paraId="6751598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2" w:type="dxa"/>
            <w:shd w:val="clear" w:color="auto" w:fill="DBE5F1" w:themeFill="accent1" w:themeFillTint="33"/>
          </w:tcPr>
          <w:p w14:paraId="4BD37E0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  <w:shd w:val="clear" w:color="auto" w:fill="DBE5F1" w:themeFill="accent1" w:themeFillTint="33"/>
          </w:tcPr>
          <w:p w14:paraId="0B95E94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1122CE0B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F47248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</w:p>
        </w:tc>
      </w:tr>
    </w:tbl>
    <w:p w14:paraId="36E3C3D7">
      <w:pPr>
        <w:ind w:left="426"/>
        <w:jc w:val="both"/>
        <w:rPr>
          <w:rStyle w:val="8"/>
          <w:rFonts w:cs="Arial" w:asciiTheme="minorHAnsi" w:hAnsiTheme="minorHAnsi"/>
          <w:color w:val="000000"/>
          <w:sz w:val="16"/>
          <w:szCs w:val="16"/>
          <w:shd w:val="clear" w:color="auto" w:fill="FFFFFF"/>
        </w:rPr>
      </w:pPr>
    </w:p>
    <w:p w14:paraId="5ADCF35C">
      <w:pPr>
        <w:ind w:left="426"/>
        <w:rPr>
          <w:rFonts w:cs="Arial" w:asciiTheme="minorHAnsi" w:hAnsiTheme="minorHAnsi"/>
          <w:color w:val="000000"/>
          <w:sz w:val="22"/>
          <w:szCs w:val="22"/>
          <w:highlight w:val="white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6970EB9B">
      <w:pPr>
        <w:ind w:left="42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C0B9BAF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>OBSERVAÇÕES:</w:t>
      </w:r>
    </w:p>
    <w:p w14:paraId="54606483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10FCCA90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CF3A90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3AA8BD5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Custo mensal do repositor (mód. 1 + mód. 2 + mod. 3 + maternidade + mód. 5 – (transp. – aliment. – equip.  – materiais)</w:t>
      </w:r>
    </w:p>
    <w:p w14:paraId="7674DB91">
      <w:pPr>
        <w:rPr>
          <w:sz w:val="22"/>
          <w:szCs w:val="22"/>
        </w:rPr>
      </w:pPr>
      <w:r>
        <w:rPr>
          <w:rFonts w:cs="Arial" w:asciiTheme="minorHAnsi" w:hAnsiTheme="minorHAnsi" w:eastAsiaTheme="minorHAnsi"/>
          <w:b/>
          <w:sz w:val="22"/>
          <w:szCs w:val="22"/>
          <w:lang w:eastAsia="en-US"/>
        </w:rPr>
        <w:t xml:space="preserve">                                               CDR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C183A8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       Dias do mês (30)</w:t>
      </w:r>
    </w:p>
    <w:p w14:paraId="4889C912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68F39FC3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6544EF1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094BA0B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4B2016E">
      <w:pPr>
        <w:pStyle w:val="58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3BED8CBD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 xml:space="preserve">CÁLCULO DO </w:t>
      </w:r>
      <w:r>
        <w:rPr>
          <w:rFonts w:cs="Arial" w:asciiTheme="minorHAnsi" w:hAnsiTheme="minorHAnsi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(*)</w:t>
      </w:r>
    </w:p>
    <w:p w14:paraId="233CF5D8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74B0285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  <w:r>
        <w:rPr>
          <w:rFonts w:cs="Arial" w:asciiTheme="minorHAnsi" w:hAnsiTheme="minorHAnsi" w:eastAsiaTheme="minorHAnsi"/>
          <w:sz w:val="22"/>
          <w:szCs w:val="22"/>
          <w:lang w:val="en-US" w:eastAsia="en-US"/>
        </w:rPr>
        <w:t>AMT: FPAM + (BMDND x 3,95 x  % a.a AM) : 12 + IAM</w:t>
      </w:r>
    </w:p>
    <w:p w14:paraId="2509BA9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</w:p>
    <w:p w14:paraId="0148639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FPAM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Ferias proporcionais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[(F + AF) x 3,95/12)]</w:t>
      </w:r>
    </w:p>
    <w:p w14:paraId="51224451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IAM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Incidência do submódulo 2.2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[(R + 13º) x %TE (alíquota encargos) x 3,95)] x %AM : 12</w:t>
      </w:r>
    </w:p>
    <w:p w14:paraId="2AA3BFC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3880AE72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3BB11D50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14BE4DFF">
                            <w:pPr>
                              <w:pStyle w:val="6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aixa de texto 6" o:spid="_x0000_s1026" o:spt="1" style="position:absolute;left:0pt;margin-left:83.35pt;margin-top:4.6pt;height:37.9pt;width:274pt;z-index:251661312;mso-width-relative:page;mso-height-relative:page;" fillcolor="#DDD9C3 [2894]" filled="t" stroked="t" coordsize="21600,21600" o:gfxdata="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39QB3WAAAACAEAAA8AAAAAAAAAAQAg&#10;AAAAIgAAAGRycy9kb3ducmV2LnhtbFBLAQIUABQAAAAIAIdO4kBHSTgU1wEAAN4DAAAOAAAAAAAA&#10;AAEAIAAAACUBAABkcnMvZTJvRG9jLnhtbFBLBQYAAAAABgAGAFkBAABuBQAAAAA=&#10;">
                <v:fill on="t" focussize="0,0"/>
                <v:stroke weight="0.510236220472441pt" color="#000000 [3204]" joinstyle="round"/>
                <v:imagedata o:title=""/>
                <o:lock v:ext="edit" aspectratio="f"/>
                <v:textbox>
                  <w:txbxContent>
                    <w:p w14:paraId="3880AE72">
                      <w:pPr>
                        <w:pStyle w:val="66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3BB11D50">
                      <w:pPr>
                        <w:pStyle w:val="66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14BE4DFF">
                      <w:pPr>
                        <w:pStyle w:val="6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70201B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5309FA4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40D2E28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754987D2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>
        <w:rPr>
          <w:rStyle w:val="8"/>
          <w:rFonts w:cs="Arial" w:asciiTheme="minorHAnsi" w:hAnsiTheme="minorHAnsi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20EC6C44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2902329D">
      <w:pPr>
        <w:jc w:val="both"/>
        <w:rPr>
          <w:rFonts w:ascii="Calibri" w:hAnsi="Calibri" w:cs="Arial"/>
        </w:rPr>
      </w:pPr>
    </w:p>
    <w:p w14:paraId="545C7691">
      <w:pPr>
        <w:jc w:val="both"/>
        <w:rPr>
          <w:rFonts w:ascii="Calibri" w:hAnsi="Calibri" w:cs="Arial"/>
          <w:b/>
          <w:u w:val="single"/>
        </w:rPr>
      </w:pPr>
    </w:p>
    <w:p w14:paraId="7A3D8817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59ADE62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1520B2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0383925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É considerado os valores praticados no mercado para uniforme, conforme Anexo III.</w:t>
      </w:r>
    </w:p>
    <w:p w14:paraId="0CB8189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Quantidade estimada por ano, sendo 1 (hum) conjunto na admissão e mais 1 (um) conjunto a cada 6 (seis) meses.</w:t>
      </w:r>
    </w:p>
    <w:p w14:paraId="674B2A9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A6D678D">
      <w:pPr>
        <w:spacing w:line="276" w:lineRule="auto"/>
        <w:jc w:val="both"/>
        <w:rPr>
          <w:rFonts w:ascii="Calibri" w:hAnsi="Calibri" w:cs="Arial"/>
        </w:rPr>
      </w:pPr>
    </w:p>
    <w:p w14:paraId="3143AB62">
      <w:pPr>
        <w:rPr>
          <w:rFonts w:cs="Arial" w:asciiTheme="minorHAnsi" w:hAnsiTheme="minorHAnsi"/>
          <w:b/>
          <w:lang w:val="pt-PT"/>
        </w:rPr>
      </w:pPr>
      <w:r>
        <w:rPr>
          <w:rFonts w:cs="Arial" w:asciiTheme="minorHAnsi" w:hAnsiTheme="minorHAnsi"/>
          <w:b/>
          <w:lang w:val="pt-PT"/>
        </w:rPr>
        <w:t>B) EQUIPAMENTOS</w:t>
      </w:r>
    </w:p>
    <w:p w14:paraId="494059F2">
      <w:pPr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de fornecimento de equipamentos.</w:t>
      </w:r>
    </w:p>
    <w:p w14:paraId="7A4A58DF">
      <w:pPr>
        <w:rPr>
          <w:rFonts w:cs="Arial" w:asciiTheme="minorHAnsi" w:hAnsiTheme="minorHAnsi"/>
          <w:b/>
          <w:lang w:val="pt-PT"/>
        </w:rPr>
      </w:pPr>
    </w:p>
    <w:p w14:paraId="2C4BEBB0">
      <w:pPr>
        <w:rPr>
          <w:rFonts w:cs="Arial" w:asciiTheme="minorHAnsi" w:hAnsiTheme="minorHAnsi"/>
          <w:b/>
        </w:rPr>
      </w:pPr>
    </w:p>
    <w:p w14:paraId="7CF4D73D">
      <w:pPr>
        <w:rPr>
          <w:rFonts w:cs="Arial" w:asciiTheme="minorHAnsi" w:hAnsiTheme="minorHAnsi"/>
          <w:b/>
          <w:lang w:val="pt-PT"/>
        </w:rPr>
      </w:pPr>
    </w:p>
    <w:p w14:paraId="38A59BF6">
      <w:pP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45D0C6D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5D0B869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0B28631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BD2E26A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0444C37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6353E4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E37514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37003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18111B60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20358E6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2484200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BCD011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02AF755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1CDD48E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41A4F2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FFE4E2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A092BA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61BDF58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7043144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6D7E0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7B896A3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14:paraId="4A51C8A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4F8266C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58AD0B5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19849B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03A9F6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E8B853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82460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65C64DF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46379D1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2A61F99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BB204E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773F2D4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5E922850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22FB0C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8215E4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2B96A0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A3E4C1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0AF8D7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41AFF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AC25D9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D8DFB92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501BB5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07822D53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28116FA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3FF5B489">
            <w:pPr>
              <w:jc w:val="both"/>
              <w:rPr>
                <w:rFonts w:cs="Arial" w:asciiTheme="minorHAnsi" w:hAnsiTheme="minorHAnsi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296A294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52033F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AE4A4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76655B3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7E0115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68BD39E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63B2A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11C999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14:paraId="48C9C51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0AAE85B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644D478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3BEC6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7682BA7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7F9B1D1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B88A84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EA6F7F1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7DB5DE1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1038EA0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72771DB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5EBC6D31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51725A0">
      <w:pPr>
        <w:rPr>
          <w:rFonts w:ascii="Calibri" w:hAnsi="Calibri" w:cs="Arial" w:eastAsiaTheme="minorHAnsi"/>
          <w:lang w:eastAsia="en-US"/>
        </w:rPr>
      </w:pPr>
    </w:p>
    <w:p w14:paraId="240B475D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5FBD8543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4AE4A50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CUSTOS INDIRETOS:</w:t>
      </w:r>
    </w:p>
    <w:p w14:paraId="2D6592EA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5) x % custos indiretos (média praticada pelas empresas do setor)</w:t>
      </w:r>
    </w:p>
    <w:p w14:paraId="2CC1E929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51353A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36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4,11%</w:t>
      </w:r>
    </w:p>
    <w:p w14:paraId="117CA043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51CD87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6%</w:t>
      </w:r>
    </w:p>
    <w:p w14:paraId="6EAA55C7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4,80%</w:t>
      </w:r>
    </w:p>
    <w:bookmarkEnd w:id="0"/>
    <w:p w14:paraId="22E8387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1CC2958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LUCRO:</w:t>
      </w:r>
    </w:p>
    <w:p w14:paraId="505ADA3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871D06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51562078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277FB629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43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2,00%</w:t>
      </w:r>
    </w:p>
    <w:p w14:paraId="697BF8C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RioMinas = 4,75%</w:t>
      </w:r>
    </w:p>
    <w:p w14:paraId="5403680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5%</w:t>
      </w:r>
    </w:p>
    <w:p w14:paraId="21BB5CF8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BEA49F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3,92%</w:t>
      </w:r>
    </w:p>
    <w:bookmarkEnd w:id="1"/>
    <w:p w14:paraId="1BE5C235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58583103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TRIBUTOS:</w:t>
      </w:r>
    </w:p>
    <w:p w14:paraId="4A5D1E0D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156AA0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i/>
          <w:sz w:val="22"/>
          <w:szCs w:val="22"/>
        </w:rPr>
        <w:t>Fator de divisão</w:t>
      </w:r>
      <w:r>
        <w:rPr>
          <w:rFonts w:cs="Arial" w:asciiTheme="minorHAnsi" w:hAnsiTheme="minorHAnsi"/>
          <w:sz w:val="22"/>
          <w:szCs w:val="22"/>
        </w:rPr>
        <w:t>: 1 – (Alíquota do PIS + Alíquota da COFINS + Alíquota do ISS) : 100</w:t>
      </w:r>
    </w:p>
    <w:p w14:paraId="24C55EBB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2CFE867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color w:val="FF0000"/>
          <w:sz w:val="22"/>
          <w:szCs w:val="22"/>
        </w:rPr>
        <w:t>Base de Cálculo: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(Módulo 1 + Módulo 2 + Módulo 3 + Módulo 4 + Módulo 5 + Módulo 6-A + Modulo 6-B) : Fator de Divisão</w:t>
      </w:r>
    </w:p>
    <w:p w14:paraId="3D13814C">
      <w:pPr>
        <w:spacing w:line="276" w:lineRule="auto"/>
        <w:jc w:val="both"/>
        <w:rPr>
          <w:rFonts w:asciiTheme="minorHAnsi" w:hAnsiTheme="minorHAnsi" w:eastAsiaTheme="minorHAnsi"/>
          <w:sz w:val="22"/>
          <w:szCs w:val="22"/>
          <w:highlight w:val="yellow"/>
          <w:lang w:eastAsia="en-US"/>
        </w:rPr>
      </w:pPr>
    </w:p>
    <w:p w14:paraId="30541E32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federais: Base de cálculo x alíquota (PIS e COFINS)</w:t>
      </w:r>
    </w:p>
    <w:p w14:paraId="261738FC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municipais: Base de cálculo x alíquota (ISS)</w:t>
      </w:r>
    </w:p>
    <w:p w14:paraId="63F1E6B3">
      <w:pPr>
        <w:jc w:val="center"/>
        <w:rPr>
          <w:rFonts w:ascii="Calibri" w:hAnsi="Calibri" w:cs="Arial" w:eastAsiaTheme="minorHAnsi"/>
          <w:b/>
          <w:sz w:val="22"/>
          <w:szCs w:val="22"/>
          <w:lang w:eastAsia="en-US"/>
        </w:rPr>
      </w:pPr>
    </w:p>
    <w:p w14:paraId="522C41FC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6EC3C0A">
      <w:pPr>
        <w:spacing w:line="276" w:lineRule="auto"/>
        <w:jc w:val="both"/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Tributação</w:t>
      </w:r>
    </w:p>
    <w:p w14:paraId="2FC7F6CB">
      <w:pPr>
        <w:spacing w:line="276" w:lineRule="auto"/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25539533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28F9BFF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A6050A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cs="Arial" w:asciiTheme="minorHAnsi" w:hAnsiTheme="minorHAnsi"/>
          <w:b/>
          <w:sz w:val="22"/>
          <w:szCs w:val="22"/>
        </w:rPr>
        <w:t>para a empresa que optar pelo regime tributário de LUCRO REAL ou PRESUMIDO</w:t>
      </w:r>
      <w:r>
        <w:rPr>
          <w:rFonts w:cs="Arial" w:asciiTheme="minorHAnsi" w:hAnsiTheme="minorHAnsi"/>
          <w:sz w:val="22"/>
          <w:szCs w:val="22"/>
        </w:rPr>
        <w:t xml:space="preserve">, </w:t>
      </w:r>
      <w:r>
        <w:rPr>
          <w:rFonts w:cs="Arial" w:asciiTheme="minorHAnsi" w:hAnsiTheme="minorHAnsi"/>
          <w:b/>
          <w:sz w:val="22"/>
          <w:szCs w:val="22"/>
        </w:rPr>
        <w:t>já que estão contidos no lucro bruto apresentado na proposta</w:t>
      </w:r>
      <w:r>
        <w:rPr>
          <w:rFonts w:cs="Arial" w:asciiTheme="minorHAnsi" w:hAnsiTheme="minorHAnsi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4C027699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</w:rPr>
      </w:pPr>
    </w:p>
    <w:p w14:paraId="158CAF51">
      <w:pPr>
        <w:shd w:val="clear" w:color="auto" w:fill="FFFFFF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cs="Arial" w:asciiTheme="minorHAnsi" w:hAnsiTheme="minorHAnsi"/>
          <w:b/>
          <w:bCs/>
          <w:sz w:val="22"/>
          <w:szCs w:val="22"/>
          <w:u w:val="single"/>
        </w:rPr>
        <w:t>tributárias.</w:t>
      </w:r>
      <w:r>
        <w:rPr>
          <w:rFonts w:cs="Arial" w:asciiTheme="minorHAnsi" w:hAnsiTheme="minorHAnsi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12E60D6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B45C43C">
      <w:pPr>
        <w:shd w:val="clear" w:color="auto" w:fill="FFFFFF"/>
        <w:spacing w:line="276" w:lineRule="auto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A LICITANTE deverá </w:t>
      </w:r>
      <w:r>
        <w:rPr>
          <w:rFonts w:ascii="Calibri" w:hAnsi="Calibri" w:eastAsia="Lucida Sans Unicode"/>
          <w:b/>
          <w:kern w:val="2"/>
          <w:sz w:val="22"/>
          <w:szCs w:val="22"/>
        </w:rPr>
        <w:t>comprovar, por meio de documentação hábil (DCTF, GFIP, EFD etc), a opção aos regimes acima elencados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a fim de que se possa </w:t>
      </w:r>
      <w:r>
        <w:rPr>
          <w:rFonts w:ascii="Calibri" w:hAnsi="Calibri" w:eastAsia="Lucida Sans Unicode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3E86317A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hAnsi="Calibri" w:eastAsia="Lucida Sans Unicode"/>
          <w:kern w:val="2"/>
          <w:sz w:val="22"/>
          <w:szCs w:val="22"/>
        </w:rPr>
      </w:pPr>
    </w:p>
    <w:p w14:paraId="3D24DC94">
      <w:pPr>
        <w:widowControl w:val="0"/>
        <w:tabs>
          <w:tab w:val="left" w:pos="1560"/>
        </w:tabs>
        <w:spacing w:line="276" w:lineRule="auto"/>
        <w:jc w:val="both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Calibri" w:hAnsi="Calibri" w:eastAsia="Lucida Sans Unicode"/>
          <w:kern w:val="2"/>
          <w:sz w:val="22"/>
          <w:szCs w:val="22"/>
        </w:rPr>
        <w:t xml:space="preserve">As </w:t>
      </w:r>
      <w:r>
        <w:rPr>
          <w:rFonts w:ascii="Calibri" w:hAnsi="Calibri" w:eastAsia="Lucida Sans Unicode"/>
          <w:b/>
          <w:kern w:val="2"/>
          <w:sz w:val="22"/>
          <w:szCs w:val="22"/>
        </w:rPr>
        <w:t>empresas tributadas pelo regime de incidência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 </w:t>
      </w:r>
      <w:r>
        <w:rPr>
          <w:rFonts w:ascii="Calibri" w:hAnsi="Calibri" w:eastAsia="Lucida Sans Unicode"/>
          <w:b/>
          <w:kern w:val="2"/>
          <w:sz w:val="22"/>
          <w:szCs w:val="22"/>
        </w:rPr>
        <w:t>PIS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 </w:t>
      </w:r>
      <w:r>
        <w:rPr>
          <w:rFonts w:ascii="Calibri" w:hAnsi="Calibri" w:eastAsia="Lucida Sans Unicode"/>
          <w:b/>
          <w:kern w:val="2"/>
          <w:sz w:val="22"/>
          <w:szCs w:val="22"/>
        </w:rPr>
        <w:t>COFINS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devem cotar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hAnsi="Calibri" w:eastAsia="Lucida Sans Unicode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cujos respectivos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4A2EE9A4">
      <w:pPr>
        <w:widowControl w:val="0"/>
        <w:spacing w:line="276" w:lineRule="auto"/>
        <w:ind w:left="708"/>
        <w:rPr>
          <w:rFonts w:ascii="Calibri" w:hAnsi="Calibri" w:eastAsia="Lucida Sans Unicode"/>
          <w:kern w:val="2"/>
          <w:sz w:val="22"/>
          <w:szCs w:val="22"/>
        </w:rPr>
      </w:pPr>
    </w:p>
    <w:p w14:paraId="04C6042F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hAnsi="Calibri" w:eastAsia="Lucida Sans Unicode"/>
          <w:kern w:val="2"/>
          <w:sz w:val="22"/>
          <w:szCs w:val="22"/>
        </w:rPr>
        <w:t xml:space="preserve">Caso a LICITANTE tenha </w:t>
      </w:r>
      <w:r>
        <w:rPr>
          <w:rFonts w:ascii="Calibri" w:hAnsi="Calibri" w:eastAsia="Lucida Sans Unicode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em apenas </w:t>
      </w:r>
      <w:r>
        <w:rPr>
          <w:rFonts w:ascii="Calibri" w:hAnsi="Calibri" w:eastAsia="Lucida Sans Unicode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(12 meses anteriores à data da proposta), poderá apresentar o cálculo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sectPr>
      <w:headerReference r:id="rId4" w:type="default"/>
      <w:footerReference r:id="rId5" w:type="default"/>
      <w:pgSz w:w="11906" w:h="16838"/>
      <w:pgMar w:top="1417" w:right="1274" w:bottom="1417" w:left="1418" w:header="708" w:footer="306" w:gutter="0"/>
      <w:pgBorders w:offsetFrom="page">
        <w:top w:val="single" w:color="000000" w:sz="18" w:space="24"/>
        <w:left w:val="single" w:color="000000" w:sz="18" w:space="24"/>
        <w:bottom w:val="single" w:color="000000" w:sz="18" w:space="24"/>
        <w:right w:val="single" w:color="000000" w:sz="18" w:space="24"/>
      </w:pgBorders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4E8B7">
    <w:pPr>
      <w:pStyle w:val="22"/>
    </w:pPr>
    <w:r>
      <w:t>____________________________________________________________________</w:t>
    </w:r>
  </w:p>
  <w:p w14:paraId="26207778">
    <w:pPr>
      <w:pStyle w:val="22"/>
      <w:jc w:val="center"/>
      <w:rPr>
        <w:i/>
      </w:rPr>
    </w:pPr>
    <w:r>
      <w:rPr>
        <w:sz w:val="12"/>
        <w:szCs w:val="12"/>
      </w:rPr>
      <w:t>Anexo X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3"/>
        <w:rFonts w:ascii="Verdana" w:hAnsi="Verdana" w:eastAsia="MS Gothic"/>
        <w:sz w:val="16"/>
        <w:szCs w:val="16"/>
      </w:rPr>
      <w:t xml:space="preserve">1/10 </w:t>
    </w:r>
  </w:p>
  <w:p w14:paraId="4693F8E8">
    <w:pPr>
      <w:pStyle w:val="22"/>
      <w:rPr>
        <w:sz w:val="12"/>
        <w:szCs w:val="12"/>
      </w:rPr>
    </w:pPr>
  </w:p>
  <w:p w14:paraId="35C0AC9B">
    <w:pPr>
      <w:pStyle w:val="2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63DA2296">
      <w:pPr>
        <w:pStyle w:val="25"/>
      </w:pPr>
      <w:r>
        <w:rPr>
          <w:rStyle w:val="49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6B957">
    <w:pPr>
      <w:pStyle w:val="20"/>
      <w:jc w:val="right"/>
      <w:rPr>
        <w:rFonts w:asciiTheme="minorHAnsi" w:hAnsiTheme="minorHAnsi"/>
        <w:sz w:val="16"/>
        <w:szCs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>Processo: 23069.177733/2024-28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4062C"/>
    <w:multiLevelType w:val="multilevel"/>
    <w:tmpl w:val="0554062C"/>
    <w:lvl w:ilvl="0" w:tentative="0">
      <w:start w:val="1"/>
      <w:numFmt w:val="decimal"/>
      <w:lvlText w:val="(%1)"/>
      <w:lvlJc w:val="left"/>
      <w:pPr>
        <w:ind w:left="786" w:hanging="360"/>
      </w:pPr>
    </w:lvl>
    <w:lvl w:ilvl="1" w:tentative="0">
      <w:start w:val="1"/>
      <w:numFmt w:val="lowerLetter"/>
      <w:lvlText w:val="%2."/>
      <w:lvlJc w:val="left"/>
      <w:pPr>
        <w:ind w:left="1506" w:hanging="360"/>
      </w:pPr>
    </w:lvl>
    <w:lvl w:ilvl="2" w:tentative="0">
      <w:start w:val="1"/>
      <w:numFmt w:val="lowerRoman"/>
      <w:lvlText w:val="%3."/>
      <w:lvlJc w:val="right"/>
      <w:pPr>
        <w:ind w:left="2226" w:hanging="180"/>
      </w:pPr>
    </w:lvl>
    <w:lvl w:ilvl="3" w:tentative="0">
      <w:start w:val="1"/>
      <w:numFmt w:val="decimal"/>
      <w:lvlText w:val="%4."/>
      <w:lvlJc w:val="left"/>
      <w:pPr>
        <w:ind w:left="2946" w:hanging="360"/>
      </w:pPr>
    </w:lvl>
    <w:lvl w:ilvl="4" w:tentative="0">
      <w:start w:val="1"/>
      <w:numFmt w:val="lowerLetter"/>
      <w:lvlText w:val="%5."/>
      <w:lvlJc w:val="left"/>
      <w:pPr>
        <w:ind w:left="3666" w:hanging="360"/>
      </w:pPr>
    </w:lvl>
    <w:lvl w:ilvl="5" w:tentative="0">
      <w:start w:val="1"/>
      <w:numFmt w:val="lowerRoman"/>
      <w:lvlText w:val="%6."/>
      <w:lvlJc w:val="right"/>
      <w:pPr>
        <w:ind w:left="4386" w:hanging="180"/>
      </w:pPr>
    </w:lvl>
    <w:lvl w:ilvl="6" w:tentative="0">
      <w:start w:val="1"/>
      <w:numFmt w:val="decimal"/>
      <w:lvlText w:val="%7."/>
      <w:lvlJc w:val="left"/>
      <w:pPr>
        <w:ind w:left="5106" w:hanging="360"/>
      </w:pPr>
    </w:lvl>
    <w:lvl w:ilvl="7" w:tentative="0">
      <w:start w:val="1"/>
      <w:numFmt w:val="lowerLetter"/>
      <w:lvlText w:val="%8."/>
      <w:lvlJc w:val="left"/>
      <w:pPr>
        <w:ind w:left="5826" w:hanging="360"/>
      </w:pPr>
    </w:lvl>
    <w:lvl w:ilvl="8" w:tentative="0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characterSpacingControl w:val="doNotCompress"/>
  <w:footnotePr>
    <w:footnote w:id="2"/>
    <w:footnote w:id="3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1D"/>
    <w:rsid w:val="00022464"/>
    <w:rsid w:val="00025F14"/>
    <w:rsid w:val="00062EE7"/>
    <w:rsid w:val="0007091C"/>
    <w:rsid w:val="00081D06"/>
    <w:rsid w:val="00083DB0"/>
    <w:rsid w:val="000904BD"/>
    <w:rsid w:val="00096953"/>
    <w:rsid w:val="00097471"/>
    <w:rsid w:val="000B2A18"/>
    <w:rsid w:val="000D4F19"/>
    <w:rsid w:val="000D7E4A"/>
    <w:rsid w:val="000E4506"/>
    <w:rsid w:val="000E60C1"/>
    <w:rsid w:val="00100793"/>
    <w:rsid w:val="00127394"/>
    <w:rsid w:val="0013021D"/>
    <w:rsid w:val="00131DDA"/>
    <w:rsid w:val="001338D9"/>
    <w:rsid w:val="00133CD1"/>
    <w:rsid w:val="0014616A"/>
    <w:rsid w:val="00150365"/>
    <w:rsid w:val="001518A3"/>
    <w:rsid w:val="00156A99"/>
    <w:rsid w:val="001776C1"/>
    <w:rsid w:val="0019718E"/>
    <w:rsid w:val="001B54ED"/>
    <w:rsid w:val="001D0DA4"/>
    <w:rsid w:val="001E1541"/>
    <w:rsid w:val="002100BD"/>
    <w:rsid w:val="00215289"/>
    <w:rsid w:val="0022215B"/>
    <w:rsid w:val="00222366"/>
    <w:rsid w:val="00233184"/>
    <w:rsid w:val="00240C8D"/>
    <w:rsid w:val="00241E06"/>
    <w:rsid w:val="00242E8C"/>
    <w:rsid w:val="00262EB7"/>
    <w:rsid w:val="00296321"/>
    <w:rsid w:val="002B5411"/>
    <w:rsid w:val="002E1E6B"/>
    <w:rsid w:val="002E31AA"/>
    <w:rsid w:val="002F73F4"/>
    <w:rsid w:val="0030151E"/>
    <w:rsid w:val="0030302C"/>
    <w:rsid w:val="003150FF"/>
    <w:rsid w:val="00327BF6"/>
    <w:rsid w:val="003339BA"/>
    <w:rsid w:val="0035251D"/>
    <w:rsid w:val="00363E9E"/>
    <w:rsid w:val="0036420B"/>
    <w:rsid w:val="00380B50"/>
    <w:rsid w:val="00382F6B"/>
    <w:rsid w:val="00383723"/>
    <w:rsid w:val="003858BC"/>
    <w:rsid w:val="003B2BEE"/>
    <w:rsid w:val="003D2A1B"/>
    <w:rsid w:val="003D6A22"/>
    <w:rsid w:val="003D7132"/>
    <w:rsid w:val="003E2244"/>
    <w:rsid w:val="003F496D"/>
    <w:rsid w:val="003F53BE"/>
    <w:rsid w:val="004020FD"/>
    <w:rsid w:val="00425FD6"/>
    <w:rsid w:val="0043494E"/>
    <w:rsid w:val="00442149"/>
    <w:rsid w:val="004442E8"/>
    <w:rsid w:val="00456CA1"/>
    <w:rsid w:val="00460EF0"/>
    <w:rsid w:val="004706D0"/>
    <w:rsid w:val="00481D1C"/>
    <w:rsid w:val="00491405"/>
    <w:rsid w:val="004933EB"/>
    <w:rsid w:val="004A4856"/>
    <w:rsid w:val="004B4712"/>
    <w:rsid w:val="004C5329"/>
    <w:rsid w:val="004D3DBC"/>
    <w:rsid w:val="004D4C2F"/>
    <w:rsid w:val="004D4FFC"/>
    <w:rsid w:val="004E1415"/>
    <w:rsid w:val="004E1728"/>
    <w:rsid w:val="004E5031"/>
    <w:rsid w:val="00515DDC"/>
    <w:rsid w:val="005209B9"/>
    <w:rsid w:val="00572950"/>
    <w:rsid w:val="005B13C3"/>
    <w:rsid w:val="005B72D0"/>
    <w:rsid w:val="005C4DE5"/>
    <w:rsid w:val="005E5BE8"/>
    <w:rsid w:val="0060694C"/>
    <w:rsid w:val="0061341E"/>
    <w:rsid w:val="006255B9"/>
    <w:rsid w:val="00627150"/>
    <w:rsid w:val="00643118"/>
    <w:rsid w:val="00664443"/>
    <w:rsid w:val="00674915"/>
    <w:rsid w:val="00675CD9"/>
    <w:rsid w:val="006927ED"/>
    <w:rsid w:val="00694321"/>
    <w:rsid w:val="00695D13"/>
    <w:rsid w:val="006962AF"/>
    <w:rsid w:val="006A1B35"/>
    <w:rsid w:val="006A24B4"/>
    <w:rsid w:val="006A5225"/>
    <w:rsid w:val="006B073D"/>
    <w:rsid w:val="006B1E82"/>
    <w:rsid w:val="006B3F03"/>
    <w:rsid w:val="006B75C2"/>
    <w:rsid w:val="006C0732"/>
    <w:rsid w:val="006E68A1"/>
    <w:rsid w:val="006F4C05"/>
    <w:rsid w:val="006F50E0"/>
    <w:rsid w:val="00710621"/>
    <w:rsid w:val="00714503"/>
    <w:rsid w:val="00720009"/>
    <w:rsid w:val="007217B8"/>
    <w:rsid w:val="00757BF8"/>
    <w:rsid w:val="00760403"/>
    <w:rsid w:val="0076112C"/>
    <w:rsid w:val="007643DE"/>
    <w:rsid w:val="00786D92"/>
    <w:rsid w:val="00791490"/>
    <w:rsid w:val="007B0AD0"/>
    <w:rsid w:val="007B1961"/>
    <w:rsid w:val="007B23CA"/>
    <w:rsid w:val="007C052A"/>
    <w:rsid w:val="007C0B40"/>
    <w:rsid w:val="007C31B8"/>
    <w:rsid w:val="007C5E16"/>
    <w:rsid w:val="007D5DDC"/>
    <w:rsid w:val="007D776F"/>
    <w:rsid w:val="007F4CE0"/>
    <w:rsid w:val="007F7BA5"/>
    <w:rsid w:val="0081045C"/>
    <w:rsid w:val="00834AAA"/>
    <w:rsid w:val="0084281D"/>
    <w:rsid w:val="00853327"/>
    <w:rsid w:val="00864661"/>
    <w:rsid w:val="00876481"/>
    <w:rsid w:val="00880459"/>
    <w:rsid w:val="008862D8"/>
    <w:rsid w:val="008A6FF3"/>
    <w:rsid w:val="008B36E0"/>
    <w:rsid w:val="008B6503"/>
    <w:rsid w:val="008B65B2"/>
    <w:rsid w:val="008C1B2B"/>
    <w:rsid w:val="008D647E"/>
    <w:rsid w:val="008F098C"/>
    <w:rsid w:val="008F669E"/>
    <w:rsid w:val="009143CE"/>
    <w:rsid w:val="00951E7B"/>
    <w:rsid w:val="009660B4"/>
    <w:rsid w:val="009B277A"/>
    <w:rsid w:val="00A11B58"/>
    <w:rsid w:val="00A34AB3"/>
    <w:rsid w:val="00A531F5"/>
    <w:rsid w:val="00A57223"/>
    <w:rsid w:val="00A5736E"/>
    <w:rsid w:val="00A657B5"/>
    <w:rsid w:val="00A777DD"/>
    <w:rsid w:val="00AA205C"/>
    <w:rsid w:val="00AA3D68"/>
    <w:rsid w:val="00AA68C0"/>
    <w:rsid w:val="00AC0F0D"/>
    <w:rsid w:val="00AD06CA"/>
    <w:rsid w:val="00AD242D"/>
    <w:rsid w:val="00B14366"/>
    <w:rsid w:val="00B602FA"/>
    <w:rsid w:val="00B73F23"/>
    <w:rsid w:val="00B807D1"/>
    <w:rsid w:val="00BC1110"/>
    <w:rsid w:val="00BC4EF0"/>
    <w:rsid w:val="00BD0E8C"/>
    <w:rsid w:val="00BE1D75"/>
    <w:rsid w:val="00BF05FF"/>
    <w:rsid w:val="00C03647"/>
    <w:rsid w:val="00C15229"/>
    <w:rsid w:val="00C57E60"/>
    <w:rsid w:val="00C609DB"/>
    <w:rsid w:val="00C60C1C"/>
    <w:rsid w:val="00C85F08"/>
    <w:rsid w:val="00C86FD7"/>
    <w:rsid w:val="00C90D31"/>
    <w:rsid w:val="00CB3ACB"/>
    <w:rsid w:val="00CB6253"/>
    <w:rsid w:val="00CC4061"/>
    <w:rsid w:val="00CD5693"/>
    <w:rsid w:val="00CE2046"/>
    <w:rsid w:val="00CE38FA"/>
    <w:rsid w:val="00CF30B1"/>
    <w:rsid w:val="00D010D1"/>
    <w:rsid w:val="00D2506D"/>
    <w:rsid w:val="00D66379"/>
    <w:rsid w:val="00D71182"/>
    <w:rsid w:val="00D91DD1"/>
    <w:rsid w:val="00DA53E7"/>
    <w:rsid w:val="00DB650F"/>
    <w:rsid w:val="00E1260A"/>
    <w:rsid w:val="00E16A83"/>
    <w:rsid w:val="00E354DA"/>
    <w:rsid w:val="00E40030"/>
    <w:rsid w:val="00E477A6"/>
    <w:rsid w:val="00E941AC"/>
    <w:rsid w:val="00E97BDA"/>
    <w:rsid w:val="00EB64F6"/>
    <w:rsid w:val="00EC705B"/>
    <w:rsid w:val="00ED04BC"/>
    <w:rsid w:val="00EF182A"/>
    <w:rsid w:val="00EF744D"/>
    <w:rsid w:val="00F02E97"/>
    <w:rsid w:val="00F136AD"/>
    <w:rsid w:val="00F14725"/>
    <w:rsid w:val="00F61A0A"/>
    <w:rsid w:val="00F6782F"/>
    <w:rsid w:val="00F7074E"/>
    <w:rsid w:val="00F77BB2"/>
    <w:rsid w:val="00F92087"/>
    <w:rsid w:val="00F94D2F"/>
    <w:rsid w:val="00F97FCD"/>
    <w:rsid w:val="27EB4A26"/>
    <w:rsid w:val="41341426"/>
    <w:rsid w:val="43603A4D"/>
    <w:rsid w:val="713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36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paragraph" w:styleId="4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76092" w:themeColor="accent1" w:themeShade="BF"/>
    </w:rPr>
  </w:style>
  <w:style w:type="paragraph" w:styleId="5">
    <w:name w:val="heading 7"/>
    <w:basedOn w:val="1"/>
    <w:next w:val="1"/>
    <w:link w:val="28"/>
    <w:qFormat/>
    <w:uiPriority w:val="0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6"/>
    <w:qFormat/>
    <w:uiPriority w:val="22"/>
    <w:rPr>
      <w:b/>
      <w:bCs/>
    </w:rPr>
  </w:style>
  <w:style w:type="character" w:styleId="9">
    <w:name w:val="annotation reference"/>
    <w:basedOn w:val="6"/>
    <w:semiHidden/>
    <w:unhideWhenUsed/>
    <w:qFormat/>
    <w:uiPriority w:val="99"/>
    <w:rPr>
      <w:sz w:val="16"/>
      <w:szCs w:val="16"/>
    </w:rPr>
  </w:style>
  <w:style w:type="character" w:styleId="10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Emphasis"/>
    <w:basedOn w:val="6"/>
    <w:qFormat/>
    <w:uiPriority w:val="20"/>
    <w:rPr>
      <w:i/>
      <w:iCs/>
    </w:rPr>
  </w:style>
  <w:style w:type="character" w:styleId="12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styleId="13">
    <w:name w:val="page number"/>
    <w:qFormat/>
    <w:uiPriority w:val="0"/>
  </w:style>
  <w:style w:type="paragraph" w:styleId="14">
    <w:name w:val="List"/>
    <w:basedOn w:val="15"/>
    <w:qFormat/>
    <w:uiPriority w:val="0"/>
    <w:rPr>
      <w:rFonts w:cs="Arial"/>
    </w:rPr>
  </w:style>
  <w:style w:type="paragraph" w:styleId="15">
    <w:name w:val="Body Text"/>
    <w:basedOn w:val="1"/>
    <w:qFormat/>
    <w:uiPriority w:val="0"/>
    <w:pPr>
      <w:spacing w:after="140" w:line="276" w:lineRule="auto"/>
    </w:pPr>
  </w:style>
  <w:style w:type="paragraph" w:styleId="16">
    <w:name w:val="annotation text"/>
    <w:basedOn w:val="1"/>
    <w:link w:val="40"/>
    <w:semiHidden/>
    <w:unhideWhenUsed/>
    <w:qFormat/>
    <w:uiPriority w:val="99"/>
  </w:style>
  <w:style w:type="paragraph" w:styleId="17">
    <w:name w:val="Body Text Indent 2"/>
    <w:basedOn w:val="1"/>
    <w:link w:val="30"/>
    <w:qFormat/>
    <w:uiPriority w:val="0"/>
    <w:pPr>
      <w:ind w:left="3686"/>
      <w:jc w:val="both"/>
    </w:pPr>
    <w:rPr>
      <w:rFonts w:ascii="Arial" w:hAnsi="Arial"/>
      <w:b/>
    </w:rPr>
  </w:style>
  <w:style w:type="paragraph" w:styleId="18">
    <w:name w:val="Title"/>
    <w:basedOn w:val="1"/>
    <w:next w:val="15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19">
    <w:name w:val="Normal (Web)"/>
    <w:basedOn w:val="1"/>
    <w:semiHidden/>
    <w:unhideWhenUsed/>
    <w:qFormat/>
    <w:uiPriority w:val="99"/>
    <w:pPr>
      <w:spacing w:beforeAutospacing="1" w:afterAutospacing="1"/>
    </w:pPr>
    <w:rPr>
      <w:sz w:val="24"/>
      <w:szCs w:val="24"/>
    </w:rPr>
  </w:style>
  <w:style w:type="paragraph" w:styleId="20">
    <w:name w:val="header"/>
    <w:basedOn w:val="1"/>
    <w:link w:val="32"/>
    <w:unhideWhenUsed/>
    <w:qFormat/>
    <w:uiPriority w:val="99"/>
    <w:pPr>
      <w:tabs>
        <w:tab w:val="center" w:pos="4252"/>
        <w:tab w:val="right" w:pos="8504"/>
      </w:tabs>
    </w:pPr>
  </w:style>
  <w:style w:type="paragraph" w:styleId="21">
    <w:name w:val="annotation subject"/>
    <w:basedOn w:val="16"/>
    <w:next w:val="16"/>
    <w:link w:val="41"/>
    <w:semiHidden/>
    <w:unhideWhenUsed/>
    <w:qFormat/>
    <w:uiPriority w:val="99"/>
    <w:rPr>
      <w:b/>
      <w:bCs/>
    </w:rPr>
  </w:style>
  <w:style w:type="paragraph" w:styleId="22">
    <w:name w:val="footer"/>
    <w:basedOn w:val="1"/>
    <w:link w:val="33"/>
    <w:unhideWhenUsed/>
    <w:qFormat/>
    <w:uiPriority w:val="99"/>
    <w:pPr>
      <w:tabs>
        <w:tab w:val="center" w:pos="4252"/>
        <w:tab w:val="right" w:pos="8504"/>
      </w:tabs>
    </w:pPr>
  </w:style>
  <w:style w:type="paragraph" w:styleId="23">
    <w:name w:val="caption"/>
    <w:basedOn w:val="1"/>
    <w:next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24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25">
    <w:name w:val="footnote text"/>
    <w:basedOn w:val="1"/>
    <w:link w:val="46"/>
    <w:semiHidden/>
    <w:unhideWhenUsed/>
    <w:qFormat/>
    <w:uiPriority w:val="99"/>
  </w:style>
  <w:style w:type="paragraph" w:styleId="26">
    <w:name w:val="Body Text Indent"/>
    <w:basedOn w:val="1"/>
    <w:link w:val="29"/>
    <w:qFormat/>
    <w:uiPriority w:val="0"/>
    <w:pPr>
      <w:ind w:left="426" w:hanging="426"/>
    </w:pPr>
  </w:style>
  <w:style w:type="table" w:styleId="27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Título 7 Char"/>
    <w:basedOn w:val="6"/>
    <w:link w:val="5"/>
    <w:qFormat/>
    <w:uiPriority w:val="0"/>
    <w:rPr>
      <w:rFonts w:ascii="Arial" w:hAnsi="Arial" w:eastAsia="Times New Roman" w:cs="Times New Roman"/>
      <w:b/>
      <w:sz w:val="28"/>
      <w:szCs w:val="20"/>
      <w:u w:val="single"/>
      <w:lang w:val="pt-PT"/>
    </w:rPr>
  </w:style>
  <w:style w:type="character" w:customStyle="1" w:styleId="29">
    <w:name w:val="Recuo de corpo de texto Char"/>
    <w:basedOn w:val="6"/>
    <w:link w:val="26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0">
    <w:name w:val="Recuo de corpo de texto 2 Char"/>
    <w:basedOn w:val="6"/>
    <w:link w:val="17"/>
    <w:qFormat/>
    <w:uiPriority w:val="0"/>
    <w:rPr>
      <w:rFonts w:ascii="Arial" w:hAnsi="Arial" w:eastAsia="Times New Roman" w:cs="Times New Roman"/>
      <w:b/>
      <w:sz w:val="20"/>
      <w:szCs w:val="20"/>
    </w:rPr>
  </w:style>
  <w:style w:type="character" w:customStyle="1" w:styleId="31">
    <w:name w:val="Texto de balão Char"/>
    <w:basedOn w:val="6"/>
    <w:link w:val="24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32">
    <w:name w:val="Cabeçalho Char"/>
    <w:basedOn w:val="6"/>
    <w:link w:val="20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3">
    <w:name w:val="Rodapé Char"/>
    <w:basedOn w:val="6"/>
    <w:link w:val="22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Título 1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t-BR"/>
    </w:rPr>
  </w:style>
  <w:style w:type="character" w:customStyle="1" w:styleId="35">
    <w:name w:val="Fonte parág. padrão6"/>
    <w:qFormat/>
    <w:uiPriority w:val="0"/>
  </w:style>
  <w:style w:type="character" w:customStyle="1" w:styleId="36">
    <w:name w:val="Título 2 Char"/>
    <w:basedOn w:val="6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6"/>
      <w:szCs w:val="26"/>
      <w:lang w:eastAsia="pt-BR"/>
    </w:rPr>
  </w:style>
  <w:style w:type="character" w:customStyle="1" w:styleId="37">
    <w:name w:val="Título 4 Char"/>
    <w:basedOn w:val="6"/>
    <w:link w:val="4"/>
    <w:semiHidden/>
    <w:qFormat/>
    <w:uiPriority w:val="9"/>
    <w:rPr>
      <w:rFonts w:asciiTheme="majorHAnsi" w:hAnsiTheme="majorHAnsi" w:eastAsiaTheme="majorEastAsia" w:cstheme="majorBidi"/>
      <w:i/>
      <w:iCs/>
      <w:color w:val="376092" w:themeColor="accent1" w:themeShade="BF"/>
      <w:sz w:val="20"/>
      <w:szCs w:val="20"/>
      <w:lang w:eastAsia="pt-BR"/>
    </w:rPr>
  </w:style>
  <w:style w:type="character" w:customStyle="1" w:styleId="38">
    <w:name w:val="Link da Internet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39">
    <w:name w:val="qtip-link"/>
    <w:basedOn w:val="6"/>
    <w:qFormat/>
    <w:uiPriority w:val="0"/>
  </w:style>
  <w:style w:type="character" w:customStyle="1" w:styleId="40">
    <w:name w:val="Texto de comentário Char"/>
    <w:basedOn w:val="6"/>
    <w:link w:val="16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1">
    <w:name w:val="Assunto do comentário Char"/>
    <w:basedOn w:val="40"/>
    <w:link w:val="21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42">
    <w:name w:val="m_7892110431564642023ttulo2char"/>
    <w:basedOn w:val="6"/>
    <w:qFormat/>
    <w:uiPriority w:val="0"/>
  </w:style>
  <w:style w:type="character" w:customStyle="1" w:styleId="43">
    <w:name w:val="WW8Num5z3"/>
    <w:qFormat/>
    <w:uiPriority w:val="0"/>
    <w:rPr>
      <w:rFonts w:ascii="Symbol" w:hAnsi="Symbol" w:cs="Symbol"/>
    </w:rPr>
  </w:style>
  <w:style w:type="character" w:customStyle="1" w:styleId="44">
    <w:name w:val="WW8Num5z4"/>
    <w:qFormat/>
    <w:uiPriority w:val="0"/>
    <w:rPr>
      <w:rFonts w:ascii="Courier New" w:hAnsi="Courier New" w:cs="Courier New"/>
    </w:rPr>
  </w:style>
  <w:style w:type="character" w:customStyle="1" w:styleId="45">
    <w:name w:val="WW8Num6z0"/>
    <w:qFormat/>
    <w:uiPriority w:val="0"/>
    <w:rPr>
      <w:rFonts w:ascii="Times New Roman" w:hAnsi="Times New Roman" w:cs="Times New Roman"/>
    </w:rPr>
  </w:style>
  <w:style w:type="character" w:customStyle="1" w:styleId="46">
    <w:name w:val="Texto de nota de rodapé Char"/>
    <w:basedOn w:val="6"/>
    <w:link w:val="25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7">
    <w:name w:val="Âncora da nota de rodapé"/>
    <w:qFormat/>
    <w:uiPriority w:val="0"/>
    <w:rPr>
      <w:vertAlign w:val="superscript"/>
    </w:rPr>
  </w:style>
  <w:style w:type="character" w:customStyle="1" w:styleId="48">
    <w:name w:val="Footnote Characters"/>
    <w:basedOn w:val="6"/>
    <w:semiHidden/>
    <w:unhideWhenUsed/>
    <w:qFormat/>
    <w:uiPriority w:val="99"/>
    <w:rPr>
      <w:vertAlign w:val="superscript"/>
    </w:rPr>
  </w:style>
  <w:style w:type="character" w:customStyle="1" w:styleId="49">
    <w:name w:val="Caracteres de nota de rodapé"/>
    <w:qFormat/>
    <w:uiPriority w:val="0"/>
  </w:style>
  <w:style w:type="character" w:customStyle="1" w:styleId="50">
    <w:name w:val="Âncora da nota de fim"/>
    <w:qFormat/>
    <w:uiPriority w:val="0"/>
    <w:rPr>
      <w:vertAlign w:val="superscript"/>
    </w:rPr>
  </w:style>
  <w:style w:type="character" w:customStyle="1" w:styleId="51">
    <w:name w:val="Caracteres de nota de fim"/>
    <w:qFormat/>
    <w:uiPriority w:val="0"/>
  </w:style>
  <w:style w:type="paragraph" w:customStyle="1" w:styleId="52">
    <w:name w:val="Índice"/>
    <w:basedOn w:val="1"/>
    <w:qFormat/>
    <w:uiPriority w:val="0"/>
    <w:pPr>
      <w:suppressLineNumbers/>
    </w:pPr>
    <w:rPr>
      <w:rFonts w:cs="Arial"/>
    </w:rPr>
  </w:style>
  <w:style w:type="paragraph" w:customStyle="1" w:styleId="53">
    <w:name w:val="ParaPrinc"/>
    <w:basedOn w:val="1"/>
    <w:qFormat/>
    <w:uiPriority w:val="0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54">
    <w:name w:val="Default"/>
    <w:qFormat/>
    <w:uiPriority w:val="0"/>
    <w:rPr>
      <w:rFonts w:ascii="Arial" w:hAnsi="Arial" w:eastAsia="Times New Roman" w:cs="Arial"/>
      <w:color w:val="000000"/>
      <w:sz w:val="24"/>
      <w:szCs w:val="24"/>
      <w:lang w:val="pt-BR" w:eastAsia="pt-BR" w:bidi="ar-SA"/>
    </w:rPr>
  </w:style>
  <w:style w:type="paragraph" w:customStyle="1" w:styleId="55">
    <w:name w:val="WW-Recuo de corpo de texto 2"/>
    <w:basedOn w:val="1"/>
    <w:qFormat/>
    <w:uiPriority w:val="0"/>
    <w:pPr>
      <w:suppressAutoHyphens/>
      <w:ind w:firstLine="708"/>
      <w:jc w:val="both"/>
    </w:pPr>
    <w:rPr>
      <w:b/>
    </w:rPr>
  </w:style>
  <w:style w:type="paragraph" w:customStyle="1" w:styleId="56">
    <w:name w:val="Contrato"/>
    <w:basedOn w:val="1"/>
    <w:qFormat/>
    <w:uiPriority w:val="0"/>
    <w:pPr>
      <w:spacing w:after="240"/>
      <w:jc w:val="both"/>
    </w:pPr>
    <w:rPr>
      <w:sz w:val="24"/>
    </w:rPr>
  </w:style>
  <w:style w:type="paragraph" w:customStyle="1" w:styleId="57">
    <w:name w:val="Cabeçalho e Rodapé"/>
    <w:basedOn w:val="1"/>
    <w:qFormat/>
    <w:uiPriority w:val="0"/>
  </w:style>
  <w:style w:type="paragraph" w:styleId="58">
    <w:name w:val="List Paragraph"/>
    <w:basedOn w:val="1"/>
    <w:qFormat/>
    <w:uiPriority w:val="34"/>
    <w:pPr>
      <w:ind w:left="720"/>
      <w:contextualSpacing/>
    </w:pPr>
  </w:style>
  <w:style w:type="paragraph" w:customStyle="1" w:styleId="59">
    <w:name w:val="Parágrafo da Lista1"/>
    <w:basedOn w:val="1"/>
    <w:qFormat/>
    <w:uiPriority w:val="0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60">
    <w:name w:val="_A010165"/>
    <w:qFormat/>
    <w:uiPriority w:val="0"/>
    <w:pPr>
      <w:tabs>
        <w:tab w:val="left" w:pos="937"/>
      </w:tabs>
      <w:suppressAutoHyphens/>
      <w:jc w:val="both"/>
    </w:pPr>
    <w:rPr>
      <w:rFonts w:ascii="Arial" w:hAnsi="Arial" w:eastAsia="Times New Roman" w:cs="Times New Roman"/>
      <w:color w:val="000000"/>
      <w:lang w:val="pt-BR" w:eastAsia="ar-SA" w:bidi="ar-SA"/>
    </w:rPr>
  </w:style>
  <w:style w:type="paragraph" w:customStyle="1" w:styleId="61">
    <w:name w:val="Table Paragraph"/>
    <w:basedOn w:val="1"/>
    <w:qFormat/>
    <w:uiPriority w:val="1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62">
    <w:name w:val="rtejustify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3">
    <w:name w:val="rtecenter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4">
    <w:name w:val="rteindent1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5">
    <w:name w:val="texto_justificado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6">
    <w:name w:val="Conteúdo do quadro"/>
    <w:basedOn w:val="1"/>
    <w:qFormat/>
    <w:uiPriority w:val="0"/>
  </w:style>
  <w:style w:type="table" w:customStyle="1" w:styleId="67">
    <w:name w:val="Tabela de Grade 4 - Ênfase 31"/>
    <w:basedOn w:val="7"/>
    <w:qFormat/>
    <w:uiPriority w:val="49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68">
    <w:name w:val="Tabela de Lista 3 - Ênfase 31"/>
    <w:basedOn w:val="7"/>
    <w:qFormat/>
    <w:uiPriority w:val="48"/>
    <w:tblPr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band1Horz">
      <w:tcPr>
        <w:tcBorders>
          <w:top w:val="single" w:color="9BBB59" w:themeColor="accent3" w:sz="4" w:space="0"/>
          <w:bottom w:val="single" w:color="9BBB59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9BBB59" w:themeColor="accent3" w:sz="4" w:space="0"/>
          <w:left w:val="nil"/>
        </w:tcBorders>
      </w:tcPr>
    </w:tblStylePr>
    <w:tblStylePr w:type="swCell">
      <w:tcPr>
        <w:tcBorders>
          <w:top w:val="double" w:color="9BBB59" w:themeColor="accent3" w:sz="4" w:space="0"/>
          <w:right w:val="nil"/>
        </w:tcBorders>
      </w:tcPr>
    </w:tblStylePr>
  </w:style>
  <w:style w:type="table" w:customStyle="1" w:styleId="69">
    <w:name w:val="Tabela de Grade 6 Colorida - Ênfase 31"/>
    <w:basedOn w:val="7"/>
    <w:qFormat/>
    <w:uiPriority w:val="51"/>
    <w:rPr>
      <w:color w:val="77933C" w:themeColor="accent3" w:themeShade="BF"/>
    </w:rPr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9BBB59" w:themeColor="accent3" w:sz="12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70">
    <w:name w:val="Tabela de Grade 4 - Ênfase 11"/>
    <w:basedOn w:val="7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1">
    <w:name w:val="Grid Table 4 Accent 1"/>
    <w:basedOn w:val="7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2">
    <w:name w:val="Grid Table 5 Dark Accent 1"/>
    <w:basedOn w:val="7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4D733A-D005-4F7B-8526-FBAE27407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2997</Words>
  <Characters>15016</Characters>
  <Lines>130</Lines>
  <Paragraphs>37</Paragraphs>
  <TotalTime>2</TotalTime>
  <ScaleCrop>false</ScaleCrop>
  <LinksUpToDate>false</LinksUpToDate>
  <CharactersWithSpaces>18002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2024-08-26T03:04:00Z</dcterms:created>
  <dc:creator>bteixeira</dc:creator>
  <cp:lastModifiedBy>jubor</cp:lastModifiedBy>
  <cp:lastPrinted>2024-05-25T04:32:00Z</cp:lastPrinted>
  <dcterms:modified xsi:type="dcterms:W3CDTF">2024-10-15T11:52:34Z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1046-12.2.0.18586</vt:lpwstr>
  </property>
  <property fmtid="{D5CDD505-2E9C-101B-9397-08002B2CF9AE}" pid="9" name="ICV">
    <vt:lpwstr>376C2A6928A4457993B1D59EB23BD7A4_12</vt:lpwstr>
  </property>
</Properties>
</file>