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auto"/>
          <w:sz w:val="22"/>
          <w:szCs w:val="22"/>
        </w:rPr>
      </w:pPr>
      <w:r>
        <w:rPr>
          <w:rFonts w:asciiTheme="minorHAnsi" w:hAnsiTheme="minorHAnsi" w:cstheme="minorHAnsi"/>
          <w:b/>
          <w:bCs/>
          <w:color w:val="auto"/>
          <w:sz w:val="22"/>
          <w:szCs w:val="22"/>
        </w:rPr>
        <w:t xml:space="preserve">ANEXO XII – PE. </w:t>
      </w:r>
      <w:r>
        <w:rPr>
          <w:rFonts w:hint="default" w:asciiTheme="minorHAnsi" w:hAnsiTheme="minorHAnsi" w:cstheme="minorHAnsi"/>
          <w:b/>
          <w:bCs/>
          <w:color w:val="auto"/>
          <w:sz w:val="22"/>
          <w:szCs w:val="22"/>
          <w:lang w:val="pt-BR"/>
        </w:rPr>
        <w:t>90.059</w:t>
      </w:r>
      <w:r>
        <w:rPr>
          <w:rFonts w:asciiTheme="minorHAnsi" w:hAnsiTheme="minorHAnsi" w:cstheme="minorHAnsi"/>
          <w:b/>
          <w:bCs/>
          <w:color w:val="auto"/>
          <w:sz w:val="22"/>
          <w:szCs w:val="22"/>
        </w:rPr>
        <w:t>/2024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23069.167799/2024-18)</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23069.167799/2024-18 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90.059</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cs="Arial"/>
        </w:rPr>
        <w:t>Contratação de empresa especializada, no ramo de engenharia, para prestação de serviços continuados de manutenção predial preventiva e corretiva, a serem executados com regime de dedicação exclusiva de mão de obra nos termos da tabela abaixo, com fornecimento de materiais de reposição e atendimento a demandas específicas para serviços não rotineiros na Universidade Federal Fluminense (UFF), conforme especificações, quantidades e exigências estabelecidas neste instrumento</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356" w:type="dxa"/>
        <w:tblInd w:w="-289"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1"/>
        <w:gridCol w:w="4033"/>
        <w:gridCol w:w="957"/>
        <w:gridCol w:w="1264"/>
        <w:gridCol w:w="1004"/>
        <w:gridCol w:w="1417"/>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1"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LOTE</w:t>
            </w:r>
          </w:p>
        </w:tc>
        <w:tc>
          <w:tcPr>
            <w:tcW w:w="428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OBJETO</w:t>
            </w:r>
          </w:p>
        </w:tc>
        <w:tc>
          <w:tcPr>
            <w:tcW w:w="70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QUANT.</w:t>
            </w:r>
          </w:p>
        </w:tc>
        <w:tc>
          <w:tcPr>
            <w:tcW w:w="12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UND. MEDIDA</w:t>
            </w:r>
          </w:p>
        </w:tc>
        <w:tc>
          <w:tcPr>
            <w:tcW w:w="100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MENSAL</w:t>
            </w:r>
          </w:p>
        </w:tc>
        <w:tc>
          <w:tcPr>
            <w:tcW w:w="141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CE11424">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TOTAL ANUAL</w:t>
            </w:r>
          </w:p>
        </w:tc>
      </w:tr>
      <w:tr w14:paraId="35C9EC3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1" w:type="dxa"/>
            <w:shd w:val="clear" w:color="auto" w:fill="DBE5F1" w:themeFill="accent1" w:themeFillTint="33"/>
          </w:tcPr>
          <w:p w14:paraId="60817F68">
            <w:pPr>
              <w:suppressAutoHyphens w:val="0"/>
              <w:jc w:val="center"/>
              <w:rPr>
                <w:rFonts w:asciiTheme="minorHAnsi" w:hAnsiTheme="minorHAnsi" w:eastAsiaTheme="minorEastAsia" w:cstheme="minorHAnsi"/>
                <w:b/>
                <w:bCs/>
                <w:color w:val="000000"/>
                <w:sz w:val="22"/>
                <w:szCs w:val="22"/>
              </w:rPr>
            </w:pPr>
            <w:r>
              <w:rPr>
                <w:rFonts w:asciiTheme="minorHAnsi" w:hAnsiTheme="minorHAnsi" w:eastAsiaTheme="minorEastAsia" w:cstheme="minorHAnsi"/>
                <w:b/>
                <w:bCs/>
                <w:color w:val="000000"/>
                <w:sz w:val="22"/>
                <w:szCs w:val="22"/>
              </w:rPr>
              <w:t>1</w:t>
            </w:r>
          </w:p>
        </w:tc>
        <w:tc>
          <w:tcPr>
            <w:tcW w:w="4281" w:type="dxa"/>
            <w:shd w:val="clear" w:color="auto" w:fill="DBE5F1" w:themeFill="accent1" w:themeFillTint="33"/>
          </w:tcPr>
          <w:p w14:paraId="6301A354">
            <w:pPr>
              <w:suppressAutoHyphens w:val="0"/>
              <w:rPr>
                <w:rFonts w:asciiTheme="minorHAnsi" w:hAnsiTheme="minorHAnsi" w:eastAsiaTheme="minorEastAsia" w:cstheme="minorHAnsi"/>
                <w:sz w:val="18"/>
                <w:szCs w:val="18"/>
              </w:rPr>
            </w:pPr>
            <w:r>
              <w:rPr>
                <w:rFonts w:asciiTheme="minorHAnsi" w:hAnsiTheme="minorHAnsi" w:eastAsiaTheme="minorEastAsia" w:cstheme="minorHAnsi"/>
                <w:sz w:val="18"/>
                <w:szCs w:val="18"/>
              </w:rPr>
              <w:t>Serviços continuados de manutenção predial preventiva e corretiva, com regime de dedicação exclusiva de mão de obra, com fornecimento de  materiais de reposição e atendimento a demandas específicas para serviços não rotineiros na Universidade Federal Fluminense </w:t>
            </w:r>
          </w:p>
        </w:tc>
        <w:tc>
          <w:tcPr>
            <w:tcW w:w="709" w:type="dxa"/>
            <w:shd w:val="clear" w:color="auto" w:fill="DBE5F1" w:themeFill="accent1" w:themeFillTint="33"/>
          </w:tcPr>
          <w:p w14:paraId="50E3B298">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12</w:t>
            </w:r>
          </w:p>
        </w:tc>
        <w:tc>
          <w:tcPr>
            <w:tcW w:w="1264" w:type="dxa"/>
            <w:shd w:val="clear" w:color="auto" w:fill="DBE5F1" w:themeFill="accent1" w:themeFillTint="33"/>
            <w:noWrap/>
          </w:tcPr>
          <w:p w14:paraId="4A474C55">
            <w:pPr>
              <w:suppressAutoHyphens w:val="0"/>
              <w:jc w:val="center"/>
              <w:rPr>
                <w:rFonts w:asciiTheme="minorHAnsi" w:hAnsiTheme="minorHAnsi" w:eastAsiaTheme="minorEastAsia" w:cstheme="minorHAnsi"/>
                <w:color w:val="000000"/>
                <w:sz w:val="22"/>
                <w:szCs w:val="22"/>
              </w:rPr>
            </w:pPr>
            <w:r>
              <w:rPr>
                <w:rFonts w:asciiTheme="minorHAnsi" w:hAnsiTheme="minorHAnsi" w:eastAsiaTheme="minorEastAsia" w:cstheme="minorHAnsi"/>
                <w:color w:val="000000"/>
                <w:sz w:val="22"/>
                <w:szCs w:val="22"/>
              </w:rPr>
              <w:t>MÊS</w:t>
            </w:r>
          </w:p>
        </w:tc>
        <w:tc>
          <w:tcPr>
            <w:tcW w:w="1004" w:type="dxa"/>
            <w:shd w:val="clear" w:color="auto" w:fill="DBE5F1" w:themeFill="accent1" w:themeFillTint="33"/>
            <w:noWrap/>
          </w:tcPr>
          <w:p w14:paraId="2C482DED">
            <w:pPr>
              <w:suppressAutoHyphens w:val="0"/>
              <w:jc w:val="center"/>
              <w:rPr>
                <w:rFonts w:asciiTheme="minorHAnsi" w:hAnsiTheme="minorHAnsi" w:eastAsiaTheme="minorEastAsia" w:cstheme="minorHAnsi"/>
                <w:color w:val="000000"/>
                <w:sz w:val="22"/>
                <w:szCs w:val="22"/>
              </w:rPr>
            </w:pPr>
          </w:p>
        </w:tc>
        <w:tc>
          <w:tcPr>
            <w:tcW w:w="1417" w:type="dxa"/>
            <w:shd w:val="clear" w:color="auto" w:fill="DBE5F1" w:themeFill="accent1" w:themeFillTint="33"/>
            <w:noWrap/>
          </w:tcPr>
          <w:p w14:paraId="681696CA">
            <w:pPr>
              <w:suppressAutoHyphens w:val="0"/>
              <w:jc w:val="center"/>
              <w:rPr>
                <w:rFonts w:asciiTheme="minorHAnsi" w:hAnsiTheme="minorHAnsi" w:eastAsiaTheme="minorEastAsia" w:cstheme="minorHAnsi"/>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p w14:paraId="7D89968F">
      <w:pPr>
        <w:pStyle w:val="99"/>
        <w:numPr>
          <w:ilvl w:val="0"/>
          <w:numId w:val="0"/>
        </w:numPr>
        <w:spacing w:after="288" w:afterLines="120" w:line="312" w:lineRule="auto"/>
        <w:ind w:hanging="6"/>
        <w:jc w:val="center"/>
        <w:rPr>
          <w:rFonts w:asciiTheme="minorHAnsi" w:hAnsiTheme="minorHAnsi" w:cstheme="minorHAnsi"/>
          <w:b/>
          <w:bCs/>
          <w:sz w:val="22"/>
          <w:szCs w:val="22"/>
        </w:rPr>
      </w:pPr>
      <w:r>
        <w:rPr>
          <w:rFonts w:asciiTheme="minorHAnsi" w:hAnsiTheme="minorHAnsi" w:cstheme="minorHAnsi"/>
          <w:b/>
          <w:bCs/>
          <w:color w:val="FF0000"/>
          <w:sz w:val="22"/>
          <w:szCs w:val="22"/>
          <w:u w:val="single"/>
        </w:rPr>
        <w:t>ITEM 1</w:t>
      </w:r>
    </w:p>
    <w:tbl>
      <w:tblPr>
        <w:tblStyle w:val="485"/>
        <w:tblW w:w="979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3139"/>
        <w:gridCol w:w="948"/>
        <w:gridCol w:w="1643"/>
        <w:gridCol w:w="1378"/>
        <w:gridCol w:w="1134"/>
        <w:gridCol w:w="867"/>
      </w:tblGrid>
      <w:tr w14:paraId="12B4CC6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9793" w:type="dxa"/>
            <w:gridSpan w:val="7"/>
            <w:tcBorders>
              <w:top w:val="single" w:color="4F81BD" w:themeColor="accent1" w:sz="4" w:space="0"/>
              <w:left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noWrap/>
          </w:tcPr>
          <w:p w14:paraId="039BFFE6">
            <w:pPr>
              <w:suppressAutoHyphens w:val="0"/>
              <w:jc w:val="center"/>
              <w:rPr>
                <w:rFonts w:cs="Arial" w:eastAsiaTheme="minorEastAsia"/>
                <w:b/>
                <w:bCs/>
                <w:color w:val="000000"/>
                <w:sz w:val="22"/>
                <w:szCs w:val="20"/>
              </w:rPr>
            </w:pPr>
            <w:r>
              <w:rPr>
                <w:rFonts w:cs="Arial" w:eastAsiaTheme="minorEastAsia"/>
                <w:b/>
                <w:bCs/>
                <w:color w:val="000000"/>
                <w:sz w:val="22"/>
                <w:szCs w:val="20"/>
              </w:rPr>
              <w:t>Custo total da contratação</w:t>
            </w:r>
            <w:r>
              <w:rPr>
                <w:rFonts w:cs="Arial" w:eastAsiaTheme="minorEastAsia"/>
                <w:b w:val="0"/>
                <w:bCs w:val="0"/>
                <w:color w:val="000000"/>
                <w:sz w:val="22"/>
                <w:szCs w:val="20"/>
              </w:rPr>
              <w:t xml:space="preserve"> MDO</w:t>
            </w:r>
          </w:p>
        </w:tc>
      </w:tr>
      <w:tr w14:paraId="406357E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shd w:val="clear" w:color="auto" w:fill="DBE5F1" w:themeFill="accent1" w:themeFillTint="33"/>
          </w:tcPr>
          <w:p w14:paraId="3D119D6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3139" w:type="dxa"/>
            <w:shd w:val="clear" w:color="auto" w:fill="DBE5F1" w:themeFill="accent1" w:themeFillTint="33"/>
          </w:tcPr>
          <w:p w14:paraId="67D11F8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shd w:val="clear" w:color="auto" w:fill="DBE5F1" w:themeFill="accent1" w:themeFillTint="33"/>
          </w:tcPr>
          <w:p w14:paraId="5CB49D4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643" w:type="dxa"/>
            <w:shd w:val="clear" w:color="auto" w:fill="DBE5F1" w:themeFill="accent1" w:themeFillTint="33"/>
          </w:tcPr>
          <w:p w14:paraId="1803391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378" w:type="dxa"/>
            <w:shd w:val="clear" w:color="auto" w:fill="DBE5F1" w:themeFill="accent1" w:themeFillTint="33"/>
          </w:tcPr>
          <w:p w14:paraId="4EB2D27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1134" w:type="dxa"/>
            <w:shd w:val="clear" w:color="auto" w:fill="DBE5F1" w:themeFill="accent1" w:themeFillTint="33"/>
          </w:tcPr>
          <w:p w14:paraId="3D4123A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865" w:type="dxa"/>
            <w:shd w:val="clear" w:color="auto" w:fill="DBE5F1" w:themeFill="accent1" w:themeFillTint="33"/>
          </w:tcPr>
          <w:p w14:paraId="0700AFC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r>
      <w:tr w14:paraId="635304B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3E301C2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3139" w:type="dxa"/>
            <w:noWrap/>
          </w:tcPr>
          <w:p w14:paraId="56B3BDFB">
            <w:pPr>
              <w:suppressAutoHyphens w:val="0"/>
              <w:rPr>
                <w:rFonts w:ascii="Calibri" w:hAnsi="Calibri" w:cs="Calibri" w:eastAsiaTheme="minorEastAsia"/>
                <w:sz w:val="22"/>
                <w:szCs w:val="22"/>
              </w:rPr>
            </w:pPr>
            <w:r>
              <w:rPr>
                <w:rFonts w:ascii="Calibri" w:hAnsi="Calibri" w:cs="Calibri" w:eastAsiaTheme="minorEastAsia"/>
                <w:sz w:val="22"/>
                <w:szCs w:val="22"/>
              </w:rPr>
              <w:t>Supervisor</w:t>
            </w:r>
          </w:p>
        </w:tc>
        <w:tc>
          <w:tcPr>
            <w:tcW w:w="948" w:type="dxa"/>
            <w:noWrap/>
          </w:tcPr>
          <w:p w14:paraId="488C358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1643" w:type="dxa"/>
            <w:noWrap/>
          </w:tcPr>
          <w:p w14:paraId="45EE52B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1378" w:type="dxa"/>
            <w:noWrap/>
          </w:tcPr>
          <w:p w14:paraId="62E8D634">
            <w:pPr>
              <w:suppressAutoHyphens w:val="0"/>
              <w:jc w:val="center"/>
              <w:rPr>
                <w:rFonts w:ascii="Calibri" w:hAnsi="Calibri" w:cs="Calibri" w:eastAsiaTheme="minorEastAsia"/>
                <w:color w:val="000000"/>
                <w:sz w:val="22"/>
                <w:szCs w:val="22"/>
              </w:rPr>
            </w:pPr>
          </w:p>
        </w:tc>
        <w:tc>
          <w:tcPr>
            <w:tcW w:w="1134" w:type="dxa"/>
            <w:noWrap/>
          </w:tcPr>
          <w:p w14:paraId="196E75EA">
            <w:pPr>
              <w:suppressAutoHyphens w:val="0"/>
              <w:jc w:val="center"/>
              <w:rPr>
                <w:rFonts w:ascii="Calibri" w:hAnsi="Calibri" w:cs="Calibri" w:eastAsiaTheme="minorEastAsia"/>
                <w:color w:val="000000"/>
                <w:sz w:val="22"/>
                <w:szCs w:val="22"/>
              </w:rPr>
            </w:pPr>
          </w:p>
        </w:tc>
        <w:tc>
          <w:tcPr>
            <w:tcW w:w="865" w:type="dxa"/>
            <w:noWrap/>
          </w:tcPr>
          <w:p w14:paraId="3DAE5080">
            <w:pPr>
              <w:suppressAutoHyphens w:val="0"/>
              <w:jc w:val="center"/>
              <w:rPr>
                <w:rFonts w:ascii="Calibri" w:hAnsi="Calibri" w:cs="Calibri" w:eastAsiaTheme="minorEastAsia"/>
                <w:color w:val="000000"/>
                <w:sz w:val="22"/>
                <w:szCs w:val="22"/>
              </w:rPr>
            </w:pPr>
          </w:p>
        </w:tc>
      </w:tr>
      <w:tr w14:paraId="04E4926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02E8752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3139" w:type="dxa"/>
            <w:shd w:val="clear" w:color="auto" w:fill="DBE5F1" w:themeFill="accent1" w:themeFillTint="33"/>
            <w:noWrap/>
          </w:tcPr>
          <w:p w14:paraId="2AE384D5">
            <w:pPr>
              <w:suppressAutoHyphens w:val="0"/>
              <w:rPr>
                <w:rFonts w:ascii="Calibri" w:hAnsi="Calibri" w:cs="Calibri" w:eastAsiaTheme="minorEastAsia"/>
                <w:sz w:val="22"/>
                <w:szCs w:val="22"/>
              </w:rPr>
            </w:pPr>
            <w:r>
              <w:rPr>
                <w:rFonts w:ascii="Calibri" w:hAnsi="Calibri" w:cs="Calibri" w:eastAsiaTheme="minorEastAsia"/>
                <w:sz w:val="22"/>
                <w:szCs w:val="22"/>
              </w:rPr>
              <w:t>Técnico em Eletrotécnica</w:t>
            </w:r>
          </w:p>
        </w:tc>
        <w:tc>
          <w:tcPr>
            <w:tcW w:w="948" w:type="dxa"/>
            <w:shd w:val="clear" w:color="auto" w:fill="DBE5F1" w:themeFill="accent1" w:themeFillTint="33"/>
            <w:noWrap/>
          </w:tcPr>
          <w:p w14:paraId="756B982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1643" w:type="dxa"/>
            <w:shd w:val="clear" w:color="auto" w:fill="DBE5F1" w:themeFill="accent1" w:themeFillTint="33"/>
            <w:noWrap/>
          </w:tcPr>
          <w:p w14:paraId="3BB9DB0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1378" w:type="dxa"/>
            <w:shd w:val="clear" w:color="auto" w:fill="DBE5F1" w:themeFill="accent1" w:themeFillTint="33"/>
            <w:noWrap/>
          </w:tcPr>
          <w:p w14:paraId="6415605B">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31E6CB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13D39F0">
            <w:pPr>
              <w:suppressAutoHyphens w:val="0"/>
              <w:jc w:val="center"/>
              <w:rPr>
                <w:rFonts w:ascii="Calibri" w:hAnsi="Calibri" w:cs="Calibri" w:eastAsiaTheme="minorEastAsia"/>
                <w:color w:val="000000"/>
                <w:sz w:val="22"/>
                <w:szCs w:val="22"/>
              </w:rPr>
            </w:pPr>
          </w:p>
        </w:tc>
      </w:tr>
      <w:tr w14:paraId="7828137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4FD0D6E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3139" w:type="dxa"/>
            <w:noWrap/>
          </w:tcPr>
          <w:p w14:paraId="19D03355">
            <w:pPr>
              <w:suppressAutoHyphens w:val="0"/>
              <w:rPr>
                <w:rFonts w:ascii="Calibri" w:hAnsi="Calibri" w:cs="Calibri" w:eastAsiaTheme="minorEastAsia"/>
                <w:sz w:val="22"/>
                <w:szCs w:val="22"/>
              </w:rPr>
            </w:pPr>
            <w:r>
              <w:rPr>
                <w:rFonts w:ascii="Calibri" w:hAnsi="Calibri" w:cs="Calibri" w:eastAsiaTheme="minorEastAsia"/>
                <w:sz w:val="22"/>
                <w:szCs w:val="22"/>
              </w:rPr>
              <w:t>Eletricista de Manutenção</w:t>
            </w:r>
          </w:p>
        </w:tc>
        <w:tc>
          <w:tcPr>
            <w:tcW w:w="948" w:type="dxa"/>
            <w:noWrap/>
          </w:tcPr>
          <w:p w14:paraId="634E033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643" w:type="dxa"/>
            <w:noWrap/>
          </w:tcPr>
          <w:p w14:paraId="42DD5B4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378" w:type="dxa"/>
            <w:noWrap/>
          </w:tcPr>
          <w:p w14:paraId="41044D0C">
            <w:pPr>
              <w:suppressAutoHyphens w:val="0"/>
              <w:jc w:val="center"/>
              <w:rPr>
                <w:rFonts w:ascii="Calibri" w:hAnsi="Calibri" w:cs="Calibri" w:eastAsiaTheme="minorEastAsia"/>
                <w:color w:val="000000"/>
                <w:sz w:val="22"/>
                <w:szCs w:val="22"/>
              </w:rPr>
            </w:pPr>
          </w:p>
        </w:tc>
        <w:tc>
          <w:tcPr>
            <w:tcW w:w="1134" w:type="dxa"/>
            <w:noWrap/>
          </w:tcPr>
          <w:p w14:paraId="5D0CA86A">
            <w:pPr>
              <w:suppressAutoHyphens w:val="0"/>
              <w:jc w:val="center"/>
              <w:rPr>
                <w:rFonts w:ascii="Calibri" w:hAnsi="Calibri" w:cs="Calibri" w:eastAsiaTheme="minorEastAsia"/>
                <w:color w:val="000000"/>
                <w:sz w:val="22"/>
                <w:szCs w:val="22"/>
              </w:rPr>
            </w:pPr>
          </w:p>
        </w:tc>
        <w:tc>
          <w:tcPr>
            <w:tcW w:w="865" w:type="dxa"/>
            <w:noWrap/>
          </w:tcPr>
          <w:p w14:paraId="49A5C94B">
            <w:pPr>
              <w:suppressAutoHyphens w:val="0"/>
              <w:jc w:val="center"/>
              <w:rPr>
                <w:rFonts w:ascii="Calibri" w:hAnsi="Calibri" w:cs="Calibri" w:eastAsiaTheme="minorEastAsia"/>
                <w:color w:val="000000"/>
                <w:sz w:val="22"/>
                <w:szCs w:val="22"/>
              </w:rPr>
            </w:pPr>
          </w:p>
        </w:tc>
      </w:tr>
      <w:tr w14:paraId="4DF683A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347FB88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3139" w:type="dxa"/>
            <w:shd w:val="clear" w:color="auto" w:fill="DBE5F1" w:themeFill="accent1" w:themeFillTint="33"/>
            <w:noWrap/>
          </w:tcPr>
          <w:p w14:paraId="22D746CC">
            <w:pPr>
              <w:suppressAutoHyphens w:val="0"/>
              <w:rPr>
                <w:rFonts w:ascii="Calibri" w:hAnsi="Calibri" w:cs="Calibri" w:eastAsiaTheme="minorEastAsia"/>
                <w:sz w:val="22"/>
                <w:szCs w:val="22"/>
              </w:rPr>
            </w:pPr>
            <w:r>
              <w:rPr>
                <w:rFonts w:ascii="Calibri" w:hAnsi="Calibri" w:cs="Calibri" w:eastAsiaTheme="minorEastAsia"/>
                <w:sz w:val="22"/>
                <w:szCs w:val="22"/>
              </w:rPr>
              <w:t>Meio Oficial de Elétrica</w:t>
            </w:r>
          </w:p>
        </w:tc>
        <w:tc>
          <w:tcPr>
            <w:tcW w:w="948" w:type="dxa"/>
            <w:shd w:val="clear" w:color="auto" w:fill="DBE5F1" w:themeFill="accent1" w:themeFillTint="33"/>
            <w:noWrap/>
          </w:tcPr>
          <w:p w14:paraId="37C3D09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9</w:t>
            </w:r>
          </w:p>
        </w:tc>
        <w:tc>
          <w:tcPr>
            <w:tcW w:w="1643" w:type="dxa"/>
            <w:shd w:val="clear" w:color="auto" w:fill="DBE5F1" w:themeFill="accent1" w:themeFillTint="33"/>
            <w:noWrap/>
          </w:tcPr>
          <w:p w14:paraId="6E25C11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9</w:t>
            </w:r>
          </w:p>
        </w:tc>
        <w:tc>
          <w:tcPr>
            <w:tcW w:w="1378" w:type="dxa"/>
            <w:shd w:val="clear" w:color="auto" w:fill="DBE5F1" w:themeFill="accent1" w:themeFillTint="33"/>
            <w:noWrap/>
          </w:tcPr>
          <w:p w14:paraId="396E5F56">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5A4C2C00">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3740D9F6">
            <w:pPr>
              <w:suppressAutoHyphens w:val="0"/>
              <w:jc w:val="center"/>
              <w:rPr>
                <w:rFonts w:ascii="Calibri" w:hAnsi="Calibri" w:cs="Calibri" w:eastAsiaTheme="minorEastAsia"/>
                <w:color w:val="000000"/>
                <w:sz w:val="22"/>
                <w:szCs w:val="22"/>
              </w:rPr>
            </w:pPr>
          </w:p>
        </w:tc>
      </w:tr>
      <w:tr w14:paraId="4C7454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0525EDA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3139" w:type="dxa"/>
            <w:noWrap/>
          </w:tcPr>
          <w:p w14:paraId="1B1B9BF4">
            <w:pPr>
              <w:suppressAutoHyphens w:val="0"/>
              <w:rPr>
                <w:rFonts w:ascii="Calibri" w:hAnsi="Calibri" w:cs="Calibri" w:eastAsiaTheme="minorEastAsia"/>
                <w:sz w:val="22"/>
                <w:szCs w:val="22"/>
              </w:rPr>
            </w:pPr>
            <w:r>
              <w:rPr>
                <w:rFonts w:ascii="Calibri" w:hAnsi="Calibri" w:cs="Calibri" w:eastAsiaTheme="minorEastAsia"/>
                <w:sz w:val="22"/>
                <w:szCs w:val="22"/>
              </w:rPr>
              <w:t>Eletricista de Manutenção (plantão) 12x36h</w:t>
            </w:r>
          </w:p>
        </w:tc>
        <w:tc>
          <w:tcPr>
            <w:tcW w:w="948" w:type="dxa"/>
            <w:noWrap/>
          </w:tcPr>
          <w:p w14:paraId="0D3AA98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noWrap/>
          </w:tcPr>
          <w:p w14:paraId="1E8630E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378" w:type="dxa"/>
            <w:noWrap/>
          </w:tcPr>
          <w:p w14:paraId="1D0EE2BD">
            <w:pPr>
              <w:suppressAutoHyphens w:val="0"/>
              <w:jc w:val="center"/>
              <w:rPr>
                <w:rFonts w:ascii="Calibri" w:hAnsi="Calibri" w:cs="Calibri" w:eastAsiaTheme="minorEastAsia"/>
                <w:color w:val="000000"/>
                <w:sz w:val="22"/>
                <w:szCs w:val="22"/>
              </w:rPr>
            </w:pPr>
          </w:p>
        </w:tc>
        <w:tc>
          <w:tcPr>
            <w:tcW w:w="1134" w:type="dxa"/>
            <w:noWrap/>
          </w:tcPr>
          <w:p w14:paraId="5F1D37D0">
            <w:pPr>
              <w:suppressAutoHyphens w:val="0"/>
              <w:jc w:val="center"/>
              <w:rPr>
                <w:rFonts w:ascii="Calibri" w:hAnsi="Calibri" w:cs="Calibri" w:eastAsiaTheme="minorEastAsia"/>
                <w:color w:val="000000"/>
                <w:sz w:val="22"/>
                <w:szCs w:val="22"/>
              </w:rPr>
            </w:pPr>
          </w:p>
        </w:tc>
        <w:tc>
          <w:tcPr>
            <w:tcW w:w="865" w:type="dxa"/>
            <w:noWrap/>
          </w:tcPr>
          <w:p w14:paraId="7EF30784">
            <w:pPr>
              <w:suppressAutoHyphens w:val="0"/>
              <w:jc w:val="center"/>
              <w:rPr>
                <w:rFonts w:ascii="Calibri" w:hAnsi="Calibri" w:cs="Calibri" w:eastAsiaTheme="minorEastAsia"/>
                <w:color w:val="000000"/>
                <w:sz w:val="22"/>
                <w:szCs w:val="22"/>
              </w:rPr>
            </w:pPr>
          </w:p>
        </w:tc>
      </w:tr>
      <w:tr w14:paraId="4D503D0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25E6346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3139" w:type="dxa"/>
            <w:shd w:val="clear" w:color="auto" w:fill="DBE5F1" w:themeFill="accent1" w:themeFillTint="33"/>
            <w:noWrap/>
          </w:tcPr>
          <w:p w14:paraId="0B7658C0">
            <w:pPr>
              <w:suppressAutoHyphens w:val="0"/>
              <w:rPr>
                <w:rFonts w:ascii="Calibri" w:hAnsi="Calibri" w:cs="Calibri" w:eastAsiaTheme="minorEastAsia"/>
                <w:sz w:val="22"/>
                <w:szCs w:val="22"/>
              </w:rPr>
            </w:pPr>
            <w:r>
              <w:rPr>
                <w:rFonts w:ascii="Calibri" w:hAnsi="Calibri" w:cs="Calibri" w:eastAsiaTheme="minorEastAsia"/>
                <w:sz w:val="22"/>
                <w:szCs w:val="22"/>
              </w:rPr>
              <w:t>Bombeiro Hidráulico</w:t>
            </w:r>
          </w:p>
        </w:tc>
        <w:tc>
          <w:tcPr>
            <w:tcW w:w="948" w:type="dxa"/>
            <w:shd w:val="clear" w:color="auto" w:fill="DBE5F1" w:themeFill="accent1" w:themeFillTint="33"/>
            <w:noWrap/>
          </w:tcPr>
          <w:p w14:paraId="563769B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643" w:type="dxa"/>
            <w:shd w:val="clear" w:color="auto" w:fill="DBE5F1" w:themeFill="accent1" w:themeFillTint="33"/>
            <w:noWrap/>
          </w:tcPr>
          <w:p w14:paraId="26E01CA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19</w:t>
            </w:r>
          </w:p>
        </w:tc>
        <w:tc>
          <w:tcPr>
            <w:tcW w:w="1378" w:type="dxa"/>
            <w:shd w:val="clear" w:color="auto" w:fill="DBE5F1" w:themeFill="accent1" w:themeFillTint="33"/>
            <w:noWrap/>
          </w:tcPr>
          <w:p w14:paraId="7EB8E858">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16B66D7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F91F426">
            <w:pPr>
              <w:suppressAutoHyphens w:val="0"/>
              <w:jc w:val="center"/>
              <w:rPr>
                <w:rFonts w:ascii="Calibri" w:hAnsi="Calibri" w:cs="Calibri" w:eastAsiaTheme="minorEastAsia"/>
                <w:color w:val="000000"/>
                <w:sz w:val="22"/>
                <w:szCs w:val="22"/>
              </w:rPr>
            </w:pPr>
          </w:p>
        </w:tc>
      </w:tr>
      <w:tr w14:paraId="601CFA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1A43279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3139" w:type="dxa"/>
            <w:noWrap/>
          </w:tcPr>
          <w:p w14:paraId="1D539099">
            <w:pPr>
              <w:suppressAutoHyphens w:val="0"/>
              <w:rPr>
                <w:rFonts w:ascii="Calibri" w:hAnsi="Calibri" w:cs="Calibri" w:eastAsiaTheme="minorEastAsia"/>
                <w:sz w:val="22"/>
                <w:szCs w:val="22"/>
              </w:rPr>
            </w:pPr>
            <w:r>
              <w:rPr>
                <w:rFonts w:ascii="Calibri" w:hAnsi="Calibri" w:cs="Calibri" w:eastAsiaTheme="minorEastAsia"/>
                <w:sz w:val="22"/>
                <w:szCs w:val="22"/>
              </w:rPr>
              <w:t>Bombeiro Hidráulico  (plantão) 12x36h</w:t>
            </w:r>
          </w:p>
        </w:tc>
        <w:tc>
          <w:tcPr>
            <w:tcW w:w="948" w:type="dxa"/>
            <w:noWrap/>
          </w:tcPr>
          <w:p w14:paraId="29DEF9E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noWrap/>
          </w:tcPr>
          <w:p w14:paraId="6A25CED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378" w:type="dxa"/>
            <w:noWrap/>
          </w:tcPr>
          <w:p w14:paraId="477DB3C0">
            <w:pPr>
              <w:suppressAutoHyphens w:val="0"/>
              <w:jc w:val="center"/>
              <w:rPr>
                <w:rFonts w:ascii="Calibri" w:hAnsi="Calibri" w:cs="Calibri" w:eastAsiaTheme="minorEastAsia"/>
                <w:color w:val="000000"/>
                <w:sz w:val="22"/>
                <w:szCs w:val="22"/>
              </w:rPr>
            </w:pPr>
          </w:p>
        </w:tc>
        <w:tc>
          <w:tcPr>
            <w:tcW w:w="1134" w:type="dxa"/>
            <w:noWrap/>
          </w:tcPr>
          <w:p w14:paraId="3C65A0D2">
            <w:pPr>
              <w:suppressAutoHyphens w:val="0"/>
              <w:jc w:val="center"/>
              <w:rPr>
                <w:rFonts w:ascii="Calibri" w:hAnsi="Calibri" w:cs="Calibri" w:eastAsiaTheme="minorEastAsia"/>
                <w:color w:val="000000"/>
                <w:sz w:val="22"/>
                <w:szCs w:val="22"/>
              </w:rPr>
            </w:pPr>
          </w:p>
        </w:tc>
        <w:tc>
          <w:tcPr>
            <w:tcW w:w="865" w:type="dxa"/>
            <w:noWrap/>
          </w:tcPr>
          <w:p w14:paraId="21D76A7D">
            <w:pPr>
              <w:suppressAutoHyphens w:val="0"/>
              <w:jc w:val="center"/>
              <w:rPr>
                <w:rFonts w:ascii="Calibri" w:hAnsi="Calibri" w:cs="Calibri" w:eastAsiaTheme="minorEastAsia"/>
                <w:color w:val="000000"/>
                <w:sz w:val="22"/>
                <w:szCs w:val="22"/>
              </w:rPr>
            </w:pPr>
          </w:p>
        </w:tc>
      </w:tr>
      <w:tr w14:paraId="2FAC2E4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52D054E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8</w:t>
            </w:r>
          </w:p>
        </w:tc>
        <w:tc>
          <w:tcPr>
            <w:tcW w:w="3139" w:type="dxa"/>
            <w:shd w:val="clear" w:color="auto" w:fill="DBE5F1" w:themeFill="accent1" w:themeFillTint="33"/>
            <w:noWrap/>
          </w:tcPr>
          <w:p w14:paraId="1D574991">
            <w:pPr>
              <w:suppressAutoHyphens w:val="0"/>
              <w:rPr>
                <w:rFonts w:ascii="Calibri" w:hAnsi="Calibri" w:cs="Calibri" w:eastAsiaTheme="minorEastAsia"/>
                <w:sz w:val="22"/>
                <w:szCs w:val="22"/>
              </w:rPr>
            </w:pPr>
            <w:r>
              <w:rPr>
                <w:rFonts w:ascii="Calibri" w:hAnsi="Calibri" w:cs="Calibri" w:eastAsiaTheme="minorEastAsia"/>
                <w:sz w:val="22"/>
                <w:szCs w:val="22"/>
              </w:rPr>
              <w:t>Carpinteiro</w:t>
            </w:r>
          </w:p>
        </w:tc>
        <w:tc>
          <w:tcPr>
            <w:tcW w:w="948" w:type="dxa"/>
            <w:shd w:val="clear" w:color="auto" w:fill="DBE5F1" w:themeFill="accent1" w:themeFillTint="33"/>
            <w:noWrap/>
          </w:tcPr>
          <w:p w14:paraId="38ADF30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643" w:type="dxa"/>
            <w:shd w:val="clear" w:color="auto" w:fill="DBE5F1" w:themeFill="accent1" w:themeFillTint="33"/>
            <w:noWrap/>
          </w:tcPr>
          <w:p w14:paraId="0450311A">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378" w:type="dxa"/>
            <w:shd w:val="clear" w:color="auto" w:fill="DBE5F1" w:themeFill="accent1" w:themeFillTint="33"/>
            <w:noWrap/>
          </w:tcPr>
          <w:p w14:paraId="13786DB7">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0E15D2F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764AD3CC">
            <w:pPr>
              <w:suppressAutoHyphens w:val="0"/>
              <w:jc w:val="center"/>
              <w:rPr>
                <w:rFonts w:ascii="Calibri" w:hAnsi="Calibri" w:cs="Calibri" w:eastAsiaTheme="minorEastAsia"/>
                <w:color w:val="000000"/>
                <w:sz w:val="22"/>
                <w:szCs w:val="22"/>
              </w:rPr>
            </w:pPr>
          </w:p>
        </w:tc>
      </w:tr>
      <w:tr w14:paraId="69FAE14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7B78F6B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9</w:t>
            </w:r>
          </w:p>
        </w:tc>
        <w:tc>
          <w:tcPr>
            <w:tcW w:w="3139" w:type="dxa"/>
            <w:noWrap/>
          </w:tcPr>
          <w:p w14:paraId="6A9ECEC2">
            <w:pPr>
              <w:suppressAutoHyphens w:val="0"/>
              <w:rPr>
                <w:rFonts w:ascii="Calibri" w:hAnsi="Calibri" w:cs="Calibri" w:eastAsiaTheme="minorEastAsia"/>
                <w:sz w:val="22"/>
                <w:szCs w:val="22"/>
              </w:rPr>
            </w:pPr>
            <w:r>
              <w:rPr>
                <w:rFonts w:ascii="Calibri" w:hAnsi="Calibri" w:cs="Calibri" w:eastAsiaTheme="minorEastAsia"/>
                <w:sz w:val="22"/>
                <w:szCs w:val="22"/>
              </w:rPr>
              <w:t>Pedreiro</w:t>
            </w:r>
          </w:p>
        </w:tc>
        <w:tc>
          <w:tcPr>
            <w:tcW w:w="948" w:type="dxa"/>
            <w:noWrap/>
          </w:tcPr>
          <w:p w14:paraId="696ECC8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16</w:t>
            </w:r>
          </w:p>
        </w:tc>
        <w:tc>
          <w:tcPr>
            <w:tcW w:w="1643" w:type="dxa"/>
            <w:noWrap/>
          </w:tcPr>
          <w:p w14:paraId="5AA85D8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16</w:t>
            </w:r>
          </w:p>
        </w:tc>
        <w:tc>
          <w:tcPr>
            <w:tcW w:w="1378" w:type="dxa"/>
            <w:noWrap/>
          </w:tcPr>
          <w:p w14:paraId="08182C9B">
            <w:pPr>
              <w:suppressAutoHyphens w:val="0"/>
              <w:jc w:val="center"/>
              <w:rPr>
                <w:rFonts w:ascii="Calibri" w:hAnsi="Calibri" w:cs="Calibri" w:eastAsiaTheme="minorEastAsia"/>
                <w:color w:val="000000"/>
                <w:sz w:val="22"/>
                <w:szCs w:val="22"/>
              </w:rPr>
            </w:pPr>
          </w:p>
        </w:tc>
        <w:tc>
          <w:tcPr>
            <w:tcW w:w="1134" w:type="dxa"/>
            <w:noWrap/>
          </w:tcPr>
          <w:p w14:paraId="2273EAC3">
            <w:pPr>
              <w:suppressAutoHyphens w:val="0"/>
              <w:jc w:val="center"/>
              <w:rPr>
                <w:rFonts w:ascii="Calibri" w:hAnsi="Calibri" w:cs="Calibri" w:eastAsiaTheme="minorEastAsia"/>
                <w:color w:val="000000"/>
                <w:sz w:val="22"/>
                <w:szCs w:val="22"/>
              </w:rPr>
            </w:pPr>
          </w:p>
        </w:tc>
        <w:tc>
          <w:tcPr>
            <w:tcW w:w="865" w:type="dxa"/>
            <w:noWrap/>
          </w:tcPr>
          <w:p w14:paraId="5401F402">
            <w:pPr>
              <w:suppressAutoHyphens w:val="0"/>
              <w:jc w:val="center"/>
              <w:rPr>
                <w:rFonts w:ascii="Calibri" w:hAnsi="Calibri" w:cs="Calibri" w:eastAsiaTheme="minorEastAsia"/>
                <w:color w:val="000000"/>
                <w:sz w:val="22"/>
                <w:szCs w:val="22"/>
              </w:rPr>
            </w:pPr>
          </w:p>
        </w:tc>
      </w:tr>
      <w:tr w14:paraId="07A41EC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58A0E72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10</w:t>
            </w:r>
          </w:p>
        </w:tc>
        <w:tc>
          <w:tcPr>
            <w:tcW w:w="3139" w:type="dxa"/>
            <w:shd w:val="clear" w:color="auto" w:fill="DBE5F1" w:themeFill="accent1" w:themeFillTint="33"/>
            <w:noWrap/>
          </w:tcPr>
          <w:p w14:paraId="2FD0FA98">
            <w:pPr>
              <w:suppressAutoHyphens w:val="0"/>
              <w:rPr>
                <w:rFonts w:ascii="Calibri" w:hAnsi="Calibri" w:cs="Calibri" w:eastAsiaTheme="minorEastAsia"/>
                <w:sz w:val="22"/>
                <w:szCs w:val="22"/>
              </w:rPr>
            </w:pPr>
            <w:r>
              <w:rPr>
                <w:rFonts w:ascii="Calibri" w:hAnsi="Calibri" w:cs="Calibri" w:eastAsiaTheme="minorEastAsia"/>
                <w:sz w:val="22"/>
                <w:szCs w:val="22"/>
              </w:rPr>
              <w:t>Gesseiro</w:t>
            </w:r>
          </w:p>
        </w:tc>
        <w:tc>
          <w:tcPr>
            <w:tcW w:w="948" w:type="dxa"/>
            <w:shd w:val="clear" w:color="auto" w:fill="DBE5F1" w:themeFill="accent1" w:themeFillTint="33"/>
            <w:noWrap/>
          </w:tcPr>
          <w:p w14:paraId="7F2A65DE">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shd w:val="clear" w:color="auto" w:fill="DBE5F1" w:themeFill="accent1" w:themeFillTint="33"/>
            <w:noWrap/>
          </w:tcPr>
          <w:p w14:paraId="1892EEE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378" w:type="dxa"/>
            <w:shd w:val="clear" w:color="auto" w:fill="DBE5F1" w:themeFill="accent1" w:themeFillTint="33"/>
            <w:noWrap/>
          </w:tcPr>
          <w:p w14:paraId="57E32A0B">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0D0CEF3">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25A009C9">
            <w:pPr>
              <w:suppressAutoHyphens w:val="0"/>
              <w:jc w:val="center"/>
              <w:rPr>
                <w:rFonts w:ascii="Calibri" w:hAnsi="Calibri" w:cs="Calibri" w:eastAsiaTheme="minorEastAsia"/>
                <w:color w:val="000000"/>
                <w:sz w:val="22"/>
                <w:szCs w:val="22"/>
              </w:rPr>
            </w:pPr>
          </w:p>
        </w:tc>
      </w:tr>
      <w:tr w14:paraId="65B12F9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3E3D084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11</w:t>
            </w:r>
          </w:p>
        </w:tc>
        <w:tc>
          <w:tcPr>
            <w:tcW w:w="3139" w:type="dxa"/>
            <w:noWrap/>
          </w:tcPr>
          <w:p w14:paraId="4672E1FC">
            <w:pPr>
              <w:suppressAutoHyphens w:val="0"/>
              <w:rPr>
                <w:rFonts w:ascii="Calibri" w:hAnsi="Calibri" w:cs="Calibri" w:eastAsiaTheme="minorEastAsia"/>
                <w:sz w:val="22"/>
                <w:szCs w:val="22"/>
              </w:rPr>
            </w:pPr>
            <w:r>
              <w:rPr>
                <w:rFonts w:ascii="Calibri" w:hAnsi="Calibri" w:cs="Calibri" w:eastAsiaTheme="minorEastAsia"/>
                <w:sz w:val="22"/>
                <w:szCs w:val="22"/>
              </w:rPr>
              <w:t>Serralheiro</w:t>
            </w:r>
          </w:p>
        </w:tc>
        <w:tc>
          <w:tcPr>
            <w:tcW w:w="948" w:type="dxa"/>
            <w:noWrap/>
          </w:tcPr>
          <w:p w14:paraId="40544CC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643" w:type="dxa"/>
            <w:noWrap/>
          </w:tcPr>
          <w:p w14:paraId="7D11312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378" w:type="dxa"/>
            <w:noWrap/>
          </w:tcPr>
          <w:p w14:paraId="17985382">
            <w:pPr>
              <w:suppressAutoHyphens w:val="0"/>
              <w:jc w:val="center"/>
              <w:rPr>
                <w:rFonts w:ascii="Calibri" w:hAnsi="Calibri" w:cs="Calibri" w:eastAsiaTheme="minorEastAsia"/>
                <w:color w:val="000000"/>
                <w:sz w:val="22"/>
                <w:szCs w:val="22"/>
              </w:rPr>
            </w:pPr>
          </w:p>
        </w:tc>
        <w:tc>
          <w:tcPr>
            <w:tcW w:w="1134" w:type="dxa"/>
            <w:noWrap/>
          </w:tcPr>
          <w:p w14:paraId="49C852B4">
            <w:pPr>
              <w:suppressAutoHyphens w:val="0"/>
              <w:jc w:val="center"/>
              <w:rPr>
                <w:rFonts w:ascii="Calibri" w:hAnsi="Calibri" w:cs="Calibri" w:eastAsiaTheme="minorEastAsia"/>
                <w:color w:val="000000"/>
                <w:sz w:val="22"/>
                <w:szCs w:val="22"/>
              </w:rPr>
            </w:pPr>
          </w:p>
        </w:tc>
        <w:tc>
          <w:tcPr>
            <w:tcW w:w="865" w:type="dxa"/>
            <w:noWrap/>
          </w:tcPr>
          <w:p w14:paraId="2519B13D">
            <w:pPr>
              <w:suppressAutoHyphens w:val="0"/>
              <w:jc w:val="center"/>
              <w:rPr>
                <w:rFonts w:ascii="Calibri" w:hAnsi="Calibri" w:cs="Calibri" w:eastAsiaTheme="minorEastAsia"/>
                <w:color w:val="000000"/>
                <w:sz w:val="22"/>
                <w:szCs w:val="22"/>
              </w:rPr>
            </w:pPr>
          </w:p>
        </w:tc>
      </w:tr>
      <w:tr w14:paraId="3B4EB59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597B000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w:t>
            </w:r>
          </w:p>
        </w:tc>
        <w:tc>
          <w:tcPr>
            <w:tcW w:w="3139" w:type="dxa"/>
            <w:shd w:val="clear" w:color="auto" w:fill="DBE5F1" w:themeFill="accent1" w:themeFillTint="33"/>
            <w:noWrap/>
          </w:tcPr>
          <w:p w14:paraId="5EBC0BE4">
            <w:pPr>
              <w:suppressAutoHyphens w:val="0"/>
              <w:rPr>
                <w:rFonts w:ascii="Calibri" w:hAnsi="Calibri" w:cs="Calibri" w:eastAsiaTheme="minorEastAsia"/>
                <w:sz w:val="22"/>
                <w:szCs w:val="22"/>
              </w:rPr>
            </w:pPr>
            <w:r>
              <w:rPr>
                <w:rFonts w:ascii="Calibri" w:hAnsi="Calibri" w:cs="Calibri" w:eastAsiaTheme="minorEastAsia"/>
                <w:sz w:val="22"/>
                <w:szCs w:val="22"/>
              </w:rPr>
              <w:t>Vidraceiro</w:t>
            </w:r>
          </w:p>
        </w:tc>
        <w:tc>
          <w:tcPr>
            <w:tcW w:w="948" w:type="dxa"/>
            <w:shd w:val="clear" w:color="auto" w:fill="DBE5F1" w:themeFill="accent1" w:themeFillTint="33"/>
            <w:noWrap/>
          </w:tcPr>
          <w:p w14:paraId="6F21086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shd w:val="clear" w:color="auto" w:fill="DBE5F1" w:themeFill="accent1" w:themeFillTint="33"/>
            <w:noWrap/>
          </w:tcPr>
          <w:p w14:paraId="614BA0A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378" w:type="dxa"/>
            <w:shd w:val="clear" w:color="auto" w:fill="DBE5F1" w:themeFill="accent1" w:themeFillTint="33"/>
            <w:noWrap/>
          </w:tcPr>
          <w:p w14:paraId="2D5EBC53">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66B8296">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57D8472">
            <w:pPr>
              <w:suppressAutoHyphens w:val="0"/>
              <w:jc w:val="center"/>
              <w:rPr>
                <w:rFonts w:ascii="Calibri" w:hAnsi="Calibri" w:cs="Calibri" w:eastAsiaTheme="minorEastAsia"/>
                <w:color w:val="000000"/>
                <w:sz w:val="22"/>
                <w:szCs w:val="22"/>
              </w:rPr>
            </w:pPr>
          </w:p>
        </w:tc>
      </w:tr>
      <w:tr w14:paraId="3600DD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559A750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13</w:t>
            </w:r>
          </w:p>
        </w:tc>
        <w:tc>
          <w:tcPr>
            <w:tcW w:w="3139" w:type="dxa"/>
            <w:noWrap/>
          </w:tcPr>
          <w:p w14:paraId="2189107F">
            <w:pPr>
              <w:suppressAutoHyphens w:val="0"/>
              <w:rPr>
                <w:rFonts w:ascii="Calibri" w:hAnsi="Calibri" w:cs="Calibri" w:eastAsiaTheme="minorEastAsia"/>
                <w:sz w:val="22"/>
                <w:szCs w:val="22"/>
              </w:rPr>
            </w:pPr>
            <w:r>
              <w:rPr>
                <w:rFonts w:ascii="Calibri" w:hAnsi="Calibri" w:cs="Calibri" w:eastAsiaTheme="minorEastAsia"/>
                <w:sz w:val="22"/>
                <w:szCs w:val="22"/>
              </w:rPr>
              <w:t>Soldador</w:t>
            </w:r>
          </w:p>
        </w:tc>
        <w:tc>
          <w:tcPr>
            <w:tcW w:w="948" w:type="dxa"/>
            <w:noWrap/>
          </w:tcPr>
          <w:p w14:paraId="224AA86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noWrap/>
          </w:tcPr>
          <w:p w14:paraId="252AA60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378" w:type="dxa"/>
            <w:noWrap/>
          </w:tcPr>
          <w:p w14:paraId="7030EA28">
            <w:pPr>
              <w:suppressAutoHyphens w:val="0"/>
              <w:jc w:val="center"/>
              <w:rPr>
                <w:rFonts w:ascii="Calibri" w:hAnsi="Calibri" w:cs="Calibri" w:eastAsiaTheme="minorEastAsia"/>
                <w:color w:val="000000"/>
                <w:sz w:val="22"/>
                <w:szCs w:val="22"/>
              </w:rPr>
            </w:pPr>
          </w:p>
        </w:tc>
        <w:tc>
          <w:tcPr>
            <w:tcW w:w="1134" w:type="dxa"/>
            <w:noWrap/>
          </w:tcPr>
          <w:p w14:paraId="1F93EB88">
            <w:pPr>
              <w:suppressAutoHyphens w:val="0"/>
              <w:jc w:val="center"/>
              <w:rPr>
                <w:rFonts w:ascii="Calibri" w:hAnsi="Calibri" w:cs="Calibri" w:eastAsiaTheme="minorEastAsia"/>
                <w:color w:val="000000"/>
                <w:sz w:val="22"/>
                <w:szCs w:val="22"/>
              </w:rPr>
            </w:pPr>
          </w:p>
        </w:tc>
        <w:tc>
          <w:tcPr>
            <w:tcW w:w="865" w:type="dxa"/>
            <w:noWrap/>
          </w:tcPr>
          <w:p w14:paraId="08BF8292">
            <w:pPr>
              <w:suppressAutoHyphens w:val="0"/>
              <w:jc w:val="center"/>
              <w:rPr>
                <w:rFonts w:ascii="Calibri" w:hAnsi="Calibri" w:cs="Calibri" w:eastAsiaTheme="minorEastAsia"/>
                <w:color w:val="000000"/>
                <w:sz w:val="22"/>
                <w:szCs w:val="22"/>
              </w:rPr>
            </w:pPr>
          </w:p>
        </w:tc>
      </w:tr>
      <w:tr w14:paraId="517F479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5A3B75E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14</w:t>
            </w:r>
          </w:p>
        </w:tc>
        <w:tc>
          <w:tcPr>
            <w:tcW w:w="3139" w:type="dxa"/>
            <w:shd w:val="clear" w:color="auto" w:fill="DBE5F1" w:themeFill="accent1" w:themeFillTint="33"/>
            <w:noWrap/>
          </w:tcPr>
          <w:p w14:paraId="362676C2">
            <w:pPr>
              <w:suppressAutoHyphens w:val="0"/>
              <w:rPr>
                <w:rFonts w:ascii="Calibri" w:hAnsi="Calibri" w:cs="Calibri" w:eastAsiaTheme="minorEastAsia"/>
                <w:sz w:val="22"/>
                <w:szCs w:val="22"/>
              </w:rPr>
            </w:pPr>
            <w:r>
              <w:rPr>
                <w:rFonts w:ascii="Calibri" w:hAnsi="Calibri" w:cs="Calibri" w:eastAsiaTheme="minorEastAsia"/>
                <w:sz w:val="22"/>
                <w:szCs w:val="22"/>
              </w:rPr>
              <w:t>Mecânico de Refrigeração</w:t>
            </w:r>
          </w:p>
        </w:tc>
        <w:tc>
          <w:tcPr>
            <w:tcW w:w="948" w:type="dxa"/>
            <w:shd w:val="clear" w:color="auto" w:fill="DBE5F1" w:themeFill="accent1" w:themeFillTint="33"/>
            <w:noWrap/>
          </w:tcPr>
          <w:p w14:paraId="7CA6BC8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1643" w:type="dxa"/>
            <w:shd w:val="clear" w:color="auto" w:fill="DBE5F1" w:themeFill="accent1" w:themeFillTint="33"/>
            <w:noWrap/>
          </w:tcPr>
          <w:p w14:paraId="239B6EE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1378" w:type="dxa"/>
            <w:shd w:val="clear" w:color="auto" w:fill="DBE5F1" w:themeFill="accent1" w:themeFillTint="33"/>
            <w:noWrap/>
          </w:tcPr>
          <w:p w14:paraId="1CFA17BE">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16D919D">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237819B7">
            <w:pPr>
              <w:suppressAutoHyphens w:val="0"/>
              <w:jc w:val="center"/>
              <w:rPr>
                <w:rFonts w:ascii="Calibri" w:hAnsi="Calibri" w:cs="Calibri" w:eastAsiaTheme="minorEastAsia"/>
                <w:color w:val="000000"/>
                <w:sz w:val="22"/>
                <w:szCs w:val="22"/>
              </w:rPr>
            </w:pPr>
          </w:p>
        </w:tc>
      </w:tr>
      <w:tr w14:paraId="4A424E3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1AEB2C7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15</w:t>
            </w:r>
          </w:p>
        </w:tc>
        <w:tc>
          <w:tcPr>
            <w:tcW w:w="3139" w:type="dxa"/>
            <w:noWrap/>
          </w:tcPr>
          <w:p w14:paraId="4B160103">
            <w:pPr>
              <w:suppressAutoHyphens w:val="0"/>
              <w:rPr>
                <w:rFonts w:ascii="Calibri" w:hAnsi="Calibri" w:cs="Calibri" w:eastAsiaTheme="minorEastAsia"/>
                <w:sz w:val="22"/>
                <w:szCs w:val="22"/>
              </w:rPr>
            </w:pPr>
            <w:r>
              <w:rPr>
                <w:rFonts w:ascii="Calibri" w:hAnsi="Calibri" w:cs="Calibri" w:eastAsiaTheme="minorEastAsia"/>
                <w:sz w:val="22"/>
                <w:szCs w:val="22"/>
              </w:rPr>
              <w:t>Pintor</w:t>
            </w:r>
          </w:p>
        </w:tc>
        <w:tc>
          <w:tcPr>
            <w:tcW w:w="948" w:type="dxa"/>
            <w:noWrap/>
          </w:tcPr>
          <w:p w14:paraId="2631AEE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1643" w:type="dxa"/>
            <w:noWrap/>
          </w:tcPr>
          <w:p w14:paraId="5B0E9899">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1378" w:type="dxa"/>
            <w:noWrap/>
          </w:tcPr>
          <w:p w14:paraId="5A00FB86">
            <w:pPr>
              <w:suppressAutoHyphens w:val="0"/>
              <w:jc w:val="center"/>
              <w:rPr>
                <w:rFonts w:ascii="Calibri" w:hAnsi="Calibri" w:cs="Calibri" w:eastAsiaTheme="minorEastAsia"/>
                <w:color w:val="000000"/>
                <w:sz w:val="22"/>
                <w:szCs w:val="22"/>
              </w:rPr>
            </w:pPr>
          </w:p>
        </w:tc>
        <w:tc>
          <w:tcPr>
            <w:tcW w:w="1134" w:type="dxa"/>
            <w:noWrap/>
          </w:tcPr>
          <w:p w14:paraId="72BE2AA1">
            <w:pPr>
              <w:suppressAutoHyphens w:val="0"/>
              <w:jc w:val="center"/>
              <w:rPr>
                <w:rFonts w:ascii="Calibri" w:hAnsi="Calibri" w:cs="Calibri" w:eastAsiaTheme="minorEastAsia"/>
                <w:color w:val="000000"/>
                <w:sz w:val="22"/>
                <w:szCs w:val="22"/>
              </w:rPr>
            </w:pPr>
          </w:p>
        </w:tc>
        <w:tc>
          <w:tcPr>
            <w:tcW w:w="865" w:type="dxa"/>
            <w:noWrap/>
          </w:tcPr>
          <w:p w14:paraId="0476525C">
            <w:pPr>
              <w:suppressAutoHyphens w:val="0"/>
              <w:jc w:val="center"/>
              <w:rPr>
                <w:rFonts w:ascii="Calibri" w:hAnsi="Calibri" w:cs="Calibri" w:eastAsiaTheme="minorEastAsia"/>
                <w:color w:val="000000"/>
                <w:sz w:val="22"/>
                <w:szCs w:val="22"/>
              </w:rPr>
            </w:pPr>
          </w:p>
        </w:tc>
      </w:tr>
      <w:tr w14:paraId="2977A62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6CC06A8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16</w:t>
            </w:r>
          </w:p>
        </w:tc>
        <w:tc>
          <w:tcPr>
            <w:tcW w:w="3139" w:type="dxa"/>
            <w:shd w:val="clear" w:color="auto" w:fill="DBE5F1" w:themeFill="accent1" w:themeFillTint="33"/>
            <w:noWrap/>
          </w:tcPr>
          <w:p w14:paraId="2CC48EBF">
            <w:pPr>
              <w:suppressAutoHyphens w:val="0"/>
              <w:rPr>
                <w:rFonts w:ascii="Calibri" w:hAnsi="Calibri" w:cs="Calibri" w:eastAsiaTheme="minorEastAsia"/>
                <w:sz w:val="22"/>
                <w:szCs w:val="22"/>
              </w:rPr>
            </w:pPr>
            <w:r>
              <w:rPr>
                <w:rFonts w:ascii="Calibri" w:hAnsi="Calibri" w:cs="Calibri" w:eastAsiaTheme="minorEastAsia"/>
                <w:sz w:val="22"/>
                <w:szCs w:val="22"/>
              </w:rPr>
              <w:t>Ajudantes (serventes)</w:t>
            </w:r>
          </w:p>
        </w:tc>
        <w:tc>
          <w:tcPr>
            <w:tcW w:w="948" w:type="dxa"/>
            <w:shd w:val="clear" w:color="auto" w:fill="DBE5F1" w:themeFill="accent1" w:themeFillTint="33"/>
            <w:noWrap/>
          </w:tcPr>
          <w:p w14:paraId="0BA5020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34</w:t>
            </w:r>
          </w:p>
        </w:tc>
        <w:tc>
          <w:tcPr>
            <w:tcW w:w="1643" w:type="dxa"/>
            <w:shd w:val="clear" w:color="auto" w:fill="DBE5F1" w:themeFill="accent1" w:themeFillTint="33"/>
            <w:noWrap/>
          </w:tcPr>
          <w:p w14:paraId="544C0C8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34</w:t>
            </w:r>
          </w:p>
        </w:tc>
        <w:tc>
          <w:tcPr>
            <w:tcW w:w="1378" w:type="dxa"/>
            <w:shd w:val="clear" w:color="auto" w:fill="DBE5F1" w:themeFill="accent1" w:themeFillTint="33"/>
            <w:noWrap/>
          </w:tcPr>
          <w:p w14:paraId="048886A9">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04A2B40D">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70E2021A">
            <w:pPr>
              <w:suppressAutoHyphens w:val="0"/>
              <w:jc w:val="center"/>
              <w:rPr>
                <w:rFonts w:ascii="Calibri" w:hAnsi="Calibri" w:cs="Calibri" w:eastAsiaTheme="minorEastAsia"/>
                <w:color w:val="000000"/>
                <w:sz w:val="22"/>
                <w:szCs w:val="22"/>
              </w:rPr>
            </w:pPr>
          </w:p>
        </w:tc>
      </w:tr>
      <w:tr w14:paraId="00C6D44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6E2E89D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17</w:t>
            </w:r>
          </w:p>
        </w:tc>
        <w:tc>
          <w:tcPr>
            <w:tcW w:w="3139" w:type="dxa"/>
            <w:noWrap/>
          </w:tcPr>
          <w:p w14:paraId="0A6C3071">
            <w:pPr>
              <w:suppressAutoHyphens w:val="0"/>
              <w:rPr>
                <w:rFonts w:ascii="Calibri" w:hAnsi="Calibri" w:cs="Calibri" w:eastAsiaTheme="minorEastAsia"/>
                <w:sz w:val="22"/>
                <w:szCs w:val="22"/>
              </w:rPr>
            </w:pPr>
            <w:r>
              <w:rPr>
                <w:rFonts w:ascii="Calibri" w:hAnsi="Calibri" w:cs="Calibri" w:eastAsiaTheme="minorEastAsia"/>
                <w:sz w:val="22"/>
                <w:szCs w:val="22"/>
              </w:rPr>
              <w:t>Motorista Cat. B</w:t>
            </w:r>
          </w:p>
        </w:tc>
        <w:tc>
          <w:tcPr>
            <w:tcW w:w="948" w:type="dxa"/>
            <w:noWrap/>
          </w:tcPr>
          <w:p w14:paraId="738B1F69">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643" w:type="dxa"/>
            <w:noWrap/>
          </w:tcPr>
          <w:p w14:paraId="3B410079">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378" w:type="dxa"/>
            <w:noWrap/>
          </w:tcPr>
          <w:p w14:paraId="47BBE937">
            <w:pPr>
              <w:suppressAutoHyphens w:val="0"/>
              <w:jc w:val="center"/>
              <w:rPr>
                <w:rFonts w:ascii="Calibri" w:hAnsi="Calibri" w:cs="Calibri" w:eastAsiaTheme="minorEastAsia"/>
                <w:color w:val="000000"/>
                <w:sz w:val="22"/>
                <w:szCs w:val="22"/>
              </w:rPr>
            </w:pPr>
          </w:p>
        </w:tc>
        <w:tc>
          <w:tcPr>
            <w:tcW w:w="1134" w:type="dxa"/>
            <w:noWrap/>
          </w:tcPr>
          <w:p w14:paraId="0EEEB2DB">
            <w:pPr>
              <w:suppressAutoHyphens w:val="0"/>
              <w:jc w:val="center"/>
              <w:rPr>
                <w:rFonts w:ascii="Calibri" w:hAnsi="Calibri" w:cs="Calibri" w:eastAsiaTheme="minorEastAsia"/>
                <w:color w:val="000000"/>
                <w:sz w:val="22"/>
                <w:szCs w:val="22"/>
              </w:rPr>
            </w:pPr>
          </w:p>
        </w:tc>
        <w:tc>
          <w:tcPr>
            <w:tcW w:w="865" w:type="dxa"/>
            <w:noWrap/>
          </w:tcPr>
          <w:p w14:paraId="76504729">
            <w:pPr>
              <w:suppressAutoHyphens w:val="0"/>
              <w:jc w:val="center"/>
              <w:rPr>
                <w:rFonts w:ascii="Calibri" w:hAnsi="Calibri" w:cs="Calibri" w:eastAsiaTheme="minorEastAsia"/>
                <w:color w:val="000000"/>
                <w:sz w:val="22"/>
                <w:szCs w:val="22"/>
              </w:rPr>
            </w:pPr>
          </w:p>
        </w:tc>
      </w:tr>
      <w:tr w14:paraId="3BEAD1D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66CB50B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18</w:t>
            </w:r>
          </w:p>
        </w:tc>
        <w:tc>
          <w:tcPr>
            <w:tcW w:w="3139" w:type="dxa"/>
            <w:shd w:val="clear" w:color="auto" w:fill="DBE5F1" w:themeFill="accent1" w:themeFillTint="33"/>
            <w:noWrap/>
          </w:tcPr>
          <w:p w14:paraId="20E51012">
            <w:pPr>
              <w:suppressAutoHyphens w:val="0"/>
              <w:rPr>
                <w:rFonts w:ascii="Calibri" w:hAnsi="Calibri" w:cs="Calibri" w:eastAsiaTheme="minorEastAsia"/>
                <w:sz w:val="22"/>
                <w:szCs w:val="22"/>
              </w:rPr>
            </w:pPr>
            <w:r>
              <w:rPr>
                <w:rFonts w:ascii="Calibri" w:hAnsi="Calibri" w:cs="Calibri" w:eastAsiaTheme="minorEastAsia"/>
                <w:sz w:val="22"/>
                <w:szCs w:val="22"/>
              </w:rPr>
              <w:t>Assistente técnico</w:t>
            </w:r>
          </w:p>
        </w:tc>
        <w:tc>
          <w:tcPr>
            <w:tcW w:w="948" w:type="dxa"/>
            <w:shd w:val="clear" w:color="auto" w:fill="DBE5F1" w:themeFill="accent1" w:themeFillTint="33"/>
            <w:noWrap/>
          </w:tcPr>
          <w:p w14:paraId="0EA6445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shd w:val="clear" w:color="auto" w:fill="DBE5F1" w:themeFill="accent1" w:themeFillTint="33"/>
            <w:noWrap/>
          </w:tcPr>
          <w:p w14:paraId="1B98106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378" w:type="dxa"/>
            <w:shd w:val="clear" w:color="auto" w:fill="DBE5F1" w:themeFill="accent1" w:themeFillTint="33"/>
            <w:noWrap/>
          </w:tcPr>
          <w:p w14:paraId="33BAEB22">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4DB4069">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A42B372">
            <w:pPr>
              <w:suppressAutoHyphens w:val="0"/>
              <w:jc w:val="center"/>
              <w:rPr>
                <w:rFonts w:ascii="Calibri" w:hAnsi="Calibri" w:cs="Calibri" w:eastAsiaTheme="minorEastAsia"/>
                <w:color w:val="000000"/>
                <w:sz w:val="22"/>
                <w:szCs w:val="22"/>
              </w:rPr>
            </w:pPr>
          </w:p>
        </w:tc>
      </w:tr>
      <w:tr w14:paraId="01A1BC1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noWrap/>
          </w:tcPr>
          <w:p w14:paraId="3A80EC2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19</w:t>
            </w:r>
          </w:p>
        </w:tc>
        <w:tc>
          <w:tcPr>
            <w:tcW w:w="3139" w:type="dxa"/>
            <w:noWrap/>
          </w:tcPr>
          <w:p w14:paraId="7EEFDC0B">
            <w:pPr>
              <w:suppressAutoHyphens w:val="0"/>
              <w:rPr>
                <w:rFonts w:ascii="Calibri" w:hAnsi="Calibri" w:cs="Calibri" w:eastAsiaTheme="minorEastAsia"/>
                <w:sz w:val="22"/>
                <w:szCs w:val="22"/>
              </w:rPr>
            </w:pPr>
            <w:r>
              <w:rPr>
                <w:rFonts w:ascii="Calibri" w:hAnsi="Calibri" w:cs="Calibri" w:eastAsiaTheme="minorEastAsia"/>
                <w:sz w:val="22"/>
                <w:szCs w:val="22"/>
              </w:rPr>
              <w:t>Oficial de Manutenção Predial</w:t>
            </w:r>
          </w:p>
        </w:tc>
        <w:tc>
          <w:tcPr>
            <w:tcW w:w="948" w:type="dxa"/>
            <w:noWrap/>
          </w:tcPr>
          <w:p w14:paraId="52D9905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643" w:type="dxa"/>
            <w:noWrap/>
          </w:tcPr>
          <w:p w14:paraId="7F82A39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1378" w:type="dxa"/>
            <w:noWrap/>
          </w:tcPr>
          <w:p w14:paraId="51CA6664">
            <w:pPr>
              <w:suppressAutoHyphens w:val="0"/>
              <w:jc w:val="center"/>
              <w:rPr>
                <w:rFonts w:ascii="Calibri" w:hAnsi="Calibri" w:cs="Calibri" w:eastAsiaTheme="minorEastAsia"/>
                <w:color w:val="000000"/>
                <w:sz w:val="22"/>
                <w:szCs w:val="22"/>
              </w:rPr>
            </w:pPr>
          </w:p>
        </w:tc>
        <w:tc>
          <w:tcPr>
            <w:tcW w:w="1134" w:type="dxa"/>
            <w:noWrap/>
          </w:tcPr>
          <w:p w14:paraId="5CC6ED75">
            <w:pPr>
              <w:suppressAutoHyphens w:val="0"/>
              <w:jc w:val="center"/>
              <w:rPr>
                <w:rFonts w:ascii="Calibri" w:hAnsi="Calibri" w:cs="Calibri" w:eastAsiaTheme="minorEastAsia"/>
                <w:color w:val="000000"/>
                <w:sz w:val="22"/>
                <w:szCs w:val="22"/>
              </w:rPr>
            </w:pPr>
          </w:p>
        </w:tc>
        <w:tc>
          <w:tcPr>
            <w:tcW w:w="865" w:type="dxa"/>
            <w:noWrap/>
          </w:tcPr>
          <w:p w14:paraId="56908741">
            <w:pPr>
              <w:suppressAutoHyphens w:val="0"/>
              <w:jc w:val="center"/>
              <w:rPr>
                <w:rFonts w:ascii="Calibri" w:hAnsi="Calibri" w:cs="Calibri" w:eastAsiaTheme="minorEastAsia"/>
                <w:color w:val="000000"/>
                <w:sz w:val="22"/>
                <w:szCs w:val="22"/>
              </w:rPr>
            </w:pPr>
          </w:p>
        </w:tc>
      </w:tr>
      <w:tr w14:paraId="4E3380C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84" w:type="dxa"/>
            <w:shd w:val="clear" w:color="auto" w:fill="DBE5F1" w:themeFill="accent1" w:themeFillTint="33"/>
            <w:noWrap/>
          </w:tcPr>
          <w:p w14:paraId="34B9219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20</w:t>
            </w:r>
          </w:p>
        </w:tc>
        <w:tc>
          <w:tcPr>
            <w:tcW w:w="3139" w:type="dxa"/>
            <w:shd w:val="clear" w:color="auto" w:fill="DBE5F1" w:themeFill="accent1" w:themeFillTint="33"/>
            <w:noWrap/>
          </w:tcPr>
          <w:p w14:paraId="3D4A348F">
            <w:pPr>
              <w:suppressAutoHyphens w:val="0"/>
              <w:rPr>
                <w:rFonts w:ascii="Calibri" w:hAnsi="Calibri" w:cs="Calibri" w:eastAsiaTheme="minorEastAsia"/>
                <w:sz w:val="22"/>
                <w:szCs w:val="22"/>
              </w:rPr>
            </w:pPr>
            <w:r>
              <w:rPr>
                <w:rFonts w:ascii="Calibri" w:hAnsi="Calibri" w:cs="Calibri" w:eastAsiaTheme="minorEastAsia"/>
                <w:sz w:val="22"/>
                <w:szCs w:val="22"/>
              </w:rPr>
              <w:t>Técnico de Segurança do Trabalho 20h</w:t>
            </w:r>
          </w:p>
        </w:tc>
        <w:tc>
          <w:tcPr>
            <w:tcW w:w="948" w:type="dxa"/>
            <w:shd w:val="clear" w:color="auto" w:fill="DBE5F1" w:themeFill="accent1" w:themeFillTint="33"/>
            <w:noWrap/>
          </w:tcPr>
          <w:p w14:paraId="62CF38B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643" w:type="dxa"/>
            <w:shd w:val="clear" w:color="auto" w:fill="DBE5F1" w:themeFill="accent1" w:themeFillTint="33"/>
            <w:noWrap/>
          </w:tcPr>
          <w:p w14:paraId="42BF8FB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378" w:type="dxa"/>
            <w:shd w:val="clear" w:color="auto" w:fill="DBE5F1" w:themeFill="accent1" w:themeFillTint="33"/>
            <w:noWrap/>
          </w:tcPr>
          <w:p w14:paraId="49F8FAAE">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6FB5BC93">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2A104BAA">
            <w:pPr>
              <w:suppressAutoHyphens w:val="0"/>
              <w:jc w:val="center"/>
              <w:rPr>
                <w:rFonts w:ascii="Calibri" w:hAnsi="Calibri" w:cs="Calibri" w:eastAsiaTheme="minorEastAsia"/>
                <w:color w:val="000000"/>
                <w:sz w:val="22"/>
                <w:szCs w:val="22"/>
              </w:rPr>
            </w:pPr>
          </w:p>
        </w:tc>
      </w:tr>
      <w:tr w14:paraId="3355A74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3823" w:type="dxa"/>
            <w:gridSpan w:val="2"/>
            <w:noWrap/>
          </w:tcPr>
          <w:p w14:paraId="28DFA809">
            <w:pPr>
              <w:suppressAutoHyphens w:val="0"/>
              <w:jc w:val="center"/>
              <w:rPr>
                <w:rFonts w:ascii="Calibri" w:hAnsi="Calibri" w:cs="Calibri" w:eastAsiaTheme="minorEastAsia"/>
                <w:b/>
                <w:bCs/>
                <w:sz w:val="22"/>
                <w:szCs w:val="22"/>
              </w:rPr>
            </w:pPr>
            <w:r>
              <w:rPr>
                <w:rFonts w:ascii="Calibri" w:hAnsi="Calibri" w:cs="Calibri" w:eastAsiaTheme="minorEastAsia"/>
                <w:b/>
                <w:bCs/>
                <w:sz w:val="22"/>
                <w:szCs w:val="22"/>
              </w:rPr>
              <w:t>TOTAL</w:t>
            </w:r>
          </w:p>
        </w:tc>
        <w:tc>
          <w:tcPr>
            <w:tcW w:w="948" w:type="dxa"/>
            <w:noWrap/>
          </w:tcPr>
          <w:p w14:paraId="273E2A07">
            <w:pPr>
              <w:suppressAutoHyphens w:val="0"/>
              <w:jc w:val="center"/>
              <w:rPr>
                <w:rFonts w:ascii="Calibri" w:hAnsi="Calibri" w:cs="Calibri" w:eastAsiaTheme="minorEastAsia"/>
                <w:b/>
                <w:bCs/>
                <w:sz w:val="22"/>
                <w:szCs w:val="22"/>
              </w:rPr>
            </w:pPr>
            <w:r>
              <w:rPr>
                <w:rFonts w:ascii="Calibri" w:hAnsi="Calibri" w:cs="Calibri" w:eastAsiaTheme="minorEastAsia"/>
                <w:b/>
                <w:bCs/>
                <w:sz w:val="22"/>
                <w:szCs w:val="22"/>
              </w:rPr>
              <w:t>140</w:t>
            </w:r>
          </w:p>
        </w:tc>
        <w:tc>
          <w:tcPr>
            <w:tcW w:w="1643" w:type="dxa"/>
            <w:noWrap/>
          </w:tcPr>
          <w:p w14:paraId="16DF1055">
            <w:pPr>
              <w:suppressAutoHyphens w:val="0"/>
              <w:jc w:val="center"/>
              <w:rPr>
                <w:rFonts w:ascii="Calibri" w:hAnsi="Calibri" w:cs="Calibri" w:eastAsiaTheme="minorEastAsia"/>
                <w:b/>
                <w:bCs/>
                <w:sz w:val="22"/>
                <w:szCs w:val="22"/>
              </w:rPr>
            </w:pPr>
            <w:r>
              <w:rPr>
                <w:rFonts w:ascii="Calibri" w:hAnsi="Calibri" w:cs="Calibri" w:eastAsiaTheme="minorEastAsia"/>
                <w:b/>
                <w:bCs/>
                <w:sz w:val="22"/>
                <w:szCs w:val="22"/>
              </w:rPr>
              <w:t>142</w:t>
            </w:r>
          </w:p>
        </w:tc>
        <w:tc>
          <w:tcPr>
            <w:tcW w:w="1378" w:type="dxa"/>
            <w:noWrap/>
          </w:tcPr>
          <w:p w14:paraId="068252CA">
            <w:pPr>
              <w:suppressAutoHyphens w:val="0"/>
              <w:jc w:val="center"/>
              <w:rPr>
                <w:rFonts w:ascii="Calibri" w:hAnsi="Calibri" w:cs="Calibri" w:eastAsiaTheme="minorEastAsia"/>
                <w:b/>
                <w:bCs/>
                <w:sz w:val="22"/>
                <w:szCs w:val="22"/>
              </w:rPr>
            </w:pPr>
          </w:p>
        </w:tc>
        <w:tc>
          <w:tcPr>
            <w:tcW w:w="1134" w:type="dxa"/>
            <w:noWrap/>
          </w:tcPr>
          <w:p w14:paraId="50AED4EA">
            <w:pPr>
              <w:suppressAutoHyphens w:val="0"/>
              <w:jc w:val="center"/>
              <w:rPr>
                <w:rFonts w:ascii="Calibri" w:hAnsi="Calibri" w:cs="Calibri" w:eastAsiaTheme="minorEastAsia"/>
                <w:b/>
                <w:bCs/>
                <w:sz w:val="22"/>
                <w:szCs w:val="22"/>
              </w:rPr>
            </w:pPr>
          </w:p>
        </w:tc>
        <w:tc>
          <w:tcPr>
            <w:tcW w:w="865" w:type="dxa"/>
            <w:noWrap/>
          </w:tcPr>
          <w:p w14:paraId="5E2B046D">
            <w:pPr>
              <w:suppressAutoHyphens w:val="0"/>
              <w:jc w:val="center"/>
              <w:rPr>
                <w:rFonts w:ascii="Calibri" w:hAnsi="Calibri" w:cs="Calibri" w:eastAsiaTheme="minorEastAsia"/>
                <w:b/>
                <w:bCs/>
                <w:sz w:val="22"/>
                <w:szCs w:val="22"/>
              </w:rPr>
            </w:pPr>
          </w:p>
        </w:tc>
      </w:tr>
    </w:tbl>
    <w:p w14:paraId="1F21B108">
      <w:pPr>
        <w:pStyle w:val="99"/>
        <w:numPr>
          <w:ilvl w:val="0"/>
          <w:numId w:val="0"/>
        </w:numPr>
        <w:spacing w:after="288" w:afterLines="120" w:line="312" w:lineRule="auto"/>
        <w:ind w:left="426" w:hanging="432"/>
        <w:rPr>
          <w:rFonts w:asciiTheme="minorHAnsi" w:hAnsiTheme="minorHAnsi" w:cstheme="minorHAnsi"/>
          <w:sz w:val="22"/>
          <w:szCs w:val="22"/>
        </w:rPr>
      </w:pPr>
    </w:p>
    <w:tbl>
      <w:tblPr>
        <w:tblStyle w:val="485"/>
        <w:tblW w:w="9634"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17"/>
        <w:gridCol w:w="2211"/>
        <w:gridCol w:w="948"/>
        <w:gridCol w:w="811"/>
        <w:gridCol w:w="927"/>
        <w:gridCol w:w="1028"/>
        <w:gridCol w:w="1020"/>
        <w:gridCol w:w="1327"/>
        <w:gridCol w:w="1019"/>
      </w:tblGrid>
      <w:tr w14:paraId="05E729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vMerge w:val="restart"/>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3D37D7E1">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Item</w:t>
            </w:r>
          </w:p>
        </w:tc>
        <w:tc>
          <w:tcPr>
            <w:tcW w:w="2331" w:type="dxa"/>
            <w:vMerge w:val="restart"/>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261AE3A">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Descrição</w:t>
            </w:r>
          </w:p>
        </w:tc>
        <w:tc>
          <w:tcPr>
            <w:tcW w:w="992" w:type="dxa"/>
            <w:vMerge w:val="restart"/>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865B898">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Unidade</w:t>
            </w:r>
          </w:p>
        </w:tc>
        <w:tc>
          <w:tcPr>
            <w:tcW w:w="847" w:type="dxa"/>
            <w:vMerge w:val="restart"/>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1676AAD">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Quant.</w:t>
            </w:r>
          </w:p>
        </w:tc>
        <w:tc>
          <w:tcPr>
            <w:tcW w:w="4509" w:type="dxa"/>
            <w:gridSpan w:val="4"/>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7741EF4">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Cálculo Mensal</w:t>
            </w:r>
          </w:p>
        </w:tc>
        <w:tc>
          <w:tcPr>
            <w:tcW w:w="31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4CD441A5">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Total Estimado (Custo x 12 meses)</w:t>
            </w:r>
          </w:p>
        </w:tc>
      </w:tr>
      <w:tr w14:paraId="3B43814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0" w:hRule="atLeast"/>
        </w:trPr>
        <w:tc>
          <w:tcPr>
            <w:tcW w:w="641" w:type="dxa"/>
            <w:vMerge w:val="continue"/>
            <w:shd w:val="clear" w:color="auto" w:fill="DBE5F1" w:themeFill="accent1" w:themeFillTint="33"/>
          </w:tcPr>
          <w:p w14:paraId="1041A61A">
            <w:pPr>
              <w:suppressAutoHyphens w:val="0"/>
              <w:rPr>
                <w:rFonts w:ascii="Calibri" w:hAnsi="Calibri" w:cs="Calibri" w:eastAsiaTheme="minorEastAsia"/>
                <w:b/>
                <w:bCs/>
                <w:color w:val="000000"/>
                <w:sz w:val="22"/>
                <w:szCs w:val="20"/>
              </w:rPr>
            </w:pPr>
          </w:p>
        </w:tc>
        <w:tc>
          <w:tcPr>
            <w:tcW w:w="2331" w:type="dxa"/>
            <w:vMerge w:val="continue"/>
            <w:shd w:val="clear" w:color="auto" w:fill="DBE5F1" w:themeFill="accent1" w:themeFillTint="33"/>
          </w:tcPr>
          <w:p w14:paraId="418DDDDB">
            <w:pPr>
              <w:suppressAutoHyphens w:val="0"/>
              <w:rPr>
                <w:rFonts w:ascii="Calibri" w:hAnsi="Calibri" w:cs="Calibri" w:eastAsiaTheme="minorEastAsia"/>
                <w:b/>
                <w:bCs/>
                <w:color w:val="000000"/>
                <w:sz w:val="22"/>
                <w:szCs w:val="20"/>
              </w:rPr>
            </w:pPr>
          </w:p>
        </w:tc>
        <w:tc>
          <w:tcPr>
            <w:tcW w:w="992" w:type="dxa"/>
            <w:vMerge w:val="continue"/>
            <w:shd w:val="clear" w:color="auto" w:fill="DBE5F1" w:themeFill="accent1" w:themeFillTint="33"/>
          </w:tcPr>
          <w:p w14:paraId="7A84ED0D">
            <w:pPr>
              <w:suppressAutoHyphens w:val="0"/>
              <w:rPr>
                <w:rFonts w:ascii="Calibri" w:hAnsi="Calibri" w:cs="Calibri" w:eastAsiaTheme="minorEastAsia"/>
                <w:b/>
                <w:bCs/>
                <w:color w:val="000000"/>
                <w:sz w:val="22"/>
                <w:szCs w:val="20"/>
              </w:rPr>
            </w:pPr>
          </w:p>
        </w:tc>
        <w:tc>
          <w:tcPr>
            <w:tcW w:w="847" w:type="dxa"/>
            <w:vMerge w:val="continue"/>
            <w:shd w:val="clear" w:color="auto" w:fill="DBE5F1" w:themeFill="accent1" w:themeFillTint="33"/>
          </w:tcPr>
          <w:p w14:paraId="58870B66">
            <w:pPr>
              <w:suppressAutoHyphens w:val="0"/>
              <w:rPr>
                <w:rFonts w:ascii="Calibri" w:hAnsi="Calibri" w:cs="Calibri" w:eastAsiaTheme="minorEastAsia"/>
                <w:b/>
                <w:bCs/>
                <w:color w:val="000000"/>
                <w:sz w:val="22"/>
                <w:szCs w:val="20"/>
              </w:rPr>
            </w:pPr>
          </w:p>
        </w:tc>
        <w:tc>
          <w:tcPr>
            <w:tcW w:w="970" w:type="dxa"/>
            <w:shd w:val="clear" w:color="auto" w:fill="DBE5F1" w:themeFill="accent1" w:themeFillTint="33"/>
          </w:tcPr>
          <w:p w14:paraId="4FCD35AD">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Custo Máximo Mensal</w:t>
            </w:r>
          </w:p>
        </w:tc>
        <w:tc>
          <w:tcPr>
            <w:tcW w:w="1077" w:type="dxa"/>
            <w:shd w:val="clear" w:color="auto" w:fill="DBE5F1" w:themeFill="accent1" w:themeFillTint="33"/>
          </w:tcPr>
          <w:p w14:paraId="0E90FDB9">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Desconto Ofertado</w:t>
            </w:r>
          </w:p>
        </w:tc>
        <w:tc>
          <w:tcPr>
            <w:tcW w:w="1068" w:type="dxa"/>
            <w:shd w:val="clear" w:color="auto" w:fill="DBE5F1" w:themeFill="accent1" w:themeFillTint="33"/>
          </w:tcPr>
          <w:p w14:paraId="6B626DCF">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BDI (Serviço ou Material)</w:t>
            </w:r>
          </w:p>
        </w:tc>
        <w:tc>
          <w:tcPr>
            <w:tcW w:w="1394" w:type="dxa"/>
            <w:shd w:val="clear" w:color="auto" w:fill="DBE5F1" w:themeFill="accent1" w:themeFillTint="33"/>
          </w:tcPr>
          <w:p w14:paraId="3A1B829B">
            <w:pPr>
              <w:suppressAutoHyphens w:val="0"/>
              <w:jc w:val="center"/>
              <w:rPr>
                <w:rFonts w:ascii="Calibri" w:hAnsi="Calibri" w:cs="Calibri" w:eastAsiaTheme="minorEastAsia"/>
                <w:b/>
                <w:bCs/>
                <w:color w:val="000000"/>
                <w:sz w:val="22"/>
                <w:szCs w:val="20"/>
              </w:rPr>
            </w:pPr>
            <w:r>
              <w:rPr>
                <w:rFonts w:ascii="Calibri" w:hAnsi="Calibri" w:cs="Calibri" w:eastAsiaTheme="minorEastAsia"/>
                <w:b/>
                <w:bCs/>
                <w:color w:val="000000"/>
                <w:sz w:val="22"/>
                <w:szCs w:val="20"/>
              </w:rPr>
              <w:t>Total Mensal</w:t>
            </w:r>
          </w:p>
        </w:tc>
        <w:tc>
          <w:tcPr>
            <w:tcW w:w="314" w:type="dxa"/>
            <w:shd w:val="clear" w:color="auto" w:fill="DBE5F1" w:themeFill="accent1" w:themeFillTint="33"/>
          </w:tcPr>
          <w:p w14:paraId="4C6E3712">
            <w:pPr>
              <w:suppressAutoHyphens w:val="0"/>
              <w:rPr>
                <w:rFonts w:ascii="Calibri" w:hAnsi="Calibri" w:cs="Calibri" w:eastAsiaTheme="minorEastAsia"/>
                <w:b/>
                <w:bCs/>
                <w:color w:val="000000"/>
                <w:sz w:val="22"/>
                <w:szCs w:val="20"/>
              </w:rPr>
            </w:pPr>
          </w:p>
        </w:tc>
      </w:tr>
      <w:tr w14:paraId="19A1D76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641" w:type="dxa"/>
            <w:noWrap/>
          </w:tcPr>
          <w:p w14:paraId="27C4906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331" w:type="dxa"/>
            <w:noWrap/>
          </w:tcPr>
          <w:p w14:paraId="3AE3F3E4">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Mão de obra permanente</w:t>
            </w:r>
          </w:p>
        </w:tc>
        <w:tc>
          <w:tcPr>
            <w:tcW w:w="992" w:type="dxa"/>
            <w:noWrap/>
          </w:tcPr>
          <w:p w14:paraId="5610481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847" w:type="dxa"/>
            <w:noWrap/>
          </w:tcPr>
          <w:p w14:paraId="49A9B70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12</w:t>
            </w:r>
          </w:p>
        </w:tc>
        <w:tc>
          <w:tcPr>
            <w:tcW w:w="970" w:type="dxa"/>
            <w:noWrap/>
          </w:tcPr>
          <w:p w14:paraId="0EDE5A63">
            <w:pPr>
              <w:suppressAutoHyphens w:val="0"/>
              <w:jc w:val="center"/>
              <w:rPr>
                <w:rFonts w:ascii="Calibri" w:hAnsi="Calibri" w:cs="Calibri" w:eastAsiaTheme="minorEastAsia"/>
                <w:color w:val="000000"/>
                <w:sz w:val="22"/>
                <w:szCs w:val="22"/>
              </w:rPr>
            </w:pPr>
          </w:p>
        </w:tc>
        <w:tc>
          <w:tcPr>
            <w:tcW w:w="1077" w:type="dxa"/>
            <w:noWrap/>
          </w:tcPr>
          <w:p w14:paraId="033E4436">
            <w:pPr>
              <w:suppressAutoHyphens w:val="0"/>
              <w:jc w:val="center"/>
              <w:rPr>
                <w:rFonts w:ascii="Calibri" w:hAnsi="Calibri" w:cs="Calibri" w:eastAsiaTheme="minorEastAsia"/>
                <w:color w:val="000000"/>
                <w:sz w:val="22"/>
                <w:szCs w:val="22"/>
              </w:rPr>
            </w:pPr>
          </w:p>
        </w:tc>
        <w:tc>
          <w:tcPr>
            <w:tcW w:w="1068" w:type="dxa"/>
            <w:noWrap/>
          </w:tcPr>
          <w:p w14:paraId="06CB8098">
            <w:pPr>
              <w:suppressAutoHyphens w:val="0"/>
              <w:jc w:val="center"/>
              <w:rPr>
                <w:rFonts w:ascii="Calibri" w:hAnsi="Calibri" w:cs="Calibri" w:eastAsiaTheme="minorEastAsia"/>
                <w:color w:val="000000"/>
                <w:sz w:val="22"/>
                <w:szCs w:val="22"/>
              </w:rPr>
            </w:pPr>
          </w:p>
        </w:tc>
        <w:tc>
          <w:tcPr>
            <w:tcW w:w="1394" w:type="dxa"/>
            <w:noWrap/>
          </w:tcPr>
          <w:p w14:paraId="48110ACE">
            <w:pPr>
              <w:suppressAutoHyphens w:val="0"/>
              <w:jc w:val="center"/>
              <w:rPr>
                <w:rFonts w:ascii="Calibri" w:hAnsi="Calibri" w:cs="Calibri" w:eastAsiaTheme="minorEastAsia"/>
                <w:color w:val="000000"/>
                <w:sz w:val="22"/>
                <w:szCs w:val="22"/>
              </w:rPr>
            </w:pPr>
          </w:p>
        </w:tc>
        <w:tc>
          <w:tcPr>
            <w:tcW w:w="314" w:type="dxa"/>
            <w:noWrap/>
          </w:tcPr>
          <w:p w14:paraId="50D86B86">
            <w:pPr>
              <w:suppressAutoHyphens w:val="0"/>
              <w:jc w:val="center"/>
              <w:rPr>
                <w:rFonts w:ascii="Calibri" w:hAnsi="Calibri" w:cs="Calibri" w:eastAsiaTheme="minorEastAsia"/>
                <w:color w:val="000000"/>
                <w:sz w:val="22"/>
                <w:szCs w:val="22"/>
              </w:rPr>
            </w:pPr>
          </w:p>
        </w:tc>
      </w:tr>
      <w:tr w14:paraId="18383E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400" w:hRule="atLeast"/>
        </w:trPr>
        <w:tc>
          <w:tcPr>
            <w:tcW w:w="641" w:type="dxa"/>
            <w:shd w:val="clear" w:color="auto" w:fill="DBE5F1" w:themeFill="accent1" w:themeFillTint="33"/>
            <w:noWrap/>
          </w:tcPr>
          <w:p w14:paraId="70D1A7E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2331" w:type="dxa"/>
            <w:shd w:val="clear" w:color="auto" w:fill="DBE5F1" w:themeFill="accent1" w:themeFillTint="33"/>
          </w:tcPr>
          <w:p w14:paraId="3623B4DE">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Custo de aluguel de equipamentos e/ou ferramentas para manutenção predial sem utilização recorrente (como guindauto com capacidade mínima de 6.200 kg, com operador - estimado 40 horas/mês, betoneira, andaimes, plataforma elevatória, martelo demolidor, megômetro, terrômetro, termovisor, entre outros)</w:t>
            </w:r>
          </w:p>
        </w:tc>
        <w:tc>
          <w:tcPr>
            <w:tcW w:w="992" w:type="dxa"/>
            <w:shd w:val="clear" w:color="auto" w:fill="DBE5F1" w:themeFill="accent1" w:themeFillTint="33"/>
            <w:noWrap/>
          </w:tcPr>
          <w:p w14:paraId="12DE820A">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Hora</w:t>
            </w:r>
          </w:p>
        </w:tc>
        <w:tc>
          <w:tcPr>
            <w:tcW w:w="847" w:type="dxa"/>
            <w:shd w:val="clear" w:color="auto" w:fill="DBE5F1" w:themeFill="accent1" w:themeFillTint="33"/>
            <w:noWrap/>
          </w:tcPr>
          <w:p w14:paraId="7D2F87D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480</w:t>
            </w:r>
          </w:p>
        </w:tc>
        <w:tc>
          <w:tcPr>
            <w:tcW w:w="970" w:type="dxa"/>
            <w:shd w:val="clear" w:color="auto" w:fill="DBE5F1" w:themeFill="accent1" w:themeFillTint="33"/>
            <w:noWrap/>
          </w:tcPr>
          <w:p w14:paraId="237BCEAD">
            <w:pPr>
              <w:suppressAutoHyphens w:val="0"/>
              <w:jc w:val="center"/>
              <w:rPr>
                <w:rFonts w:ascii="Calibri" w:hAnsi="Calibri" w:cs="Calibri" w:eastAsiaTheme="minorEastAsia"/>
                <w:color w:val="000000"/>
                <w:sz w:val="22"/>
                <w:szCs w:val="22"/>
              </w:rPr>
            </w:pPr>
          </w:p>
        </w:tc>
        <w:tc>
          <w:tcPr>
            <w:tcW w:w="1077" w:type="dxa"/>
            <w:shd w:val="clear" w:color="auto" w:fill="DBE5F1" w:themeFill="accent1" w:themeFillTint="33"/>
            <w:noWrap/>
          </w:tcPr>
          <w:p w14:paraId="5FB48EE6">
            <w:pPr>
              <w:suppressAutoHyphens w:val="0"/>
              <w:jc w:val="center"/>
              <w:rPr>
                <w:rFonts w:ascii="Calibri" w:hAnsi="Calibri" w:cs="Calibri" w:eastAsiaTheme="minorEastAsia"/>
                <w:color w:val="000000"/>
                <w:sz w:val="22"/>
                <w:szCs w:val="22"/>
              </w:rPr>
            </w:pPr>
          </w:p>
        </w:tc>
        <w:tc>
          <w:tcPr>
            <w:tcW w:w="1068" w:type="dxa"/>
            <w:shd w:val="clear" w:color="auto" w:fill="DBE5F1" w:themeFill="accent1" w:themeFillTint="33"/>
            <w:noWrap/>
          </w:tcPr>
          <w:p w14:paraId="2CDAF568">
            <w:pPr>
              <w:suppressAutoHyphens w:val="0"/>
              <w:jc w:val="center"/>
              <w:rPr>
                <w:rFonts w:ascii="Calibri" w:hAnsi="Calibri" w:cs="Calibri" w:eastAsiaTheme="minorEastAsia"/>
                <w:color w:val="000000"/>
                <w:sz w:val="22"/>
                <w:szCs w:val="22"/>
              </w:rPr>
            </w:pPr>
          </w:p>
        </w:tc>
        <w:tc>
          <w:tcPr>
            <w:tcW w:w="1394" w:type="dxa"/>
            <w:shd w:val="clear" w:color="auto" w:fill="DBE5F1" w:themeFill="accent1" w:themeFillTint="33"/>
          </w:tcPr>
          <w:p w14:paraId="6705672D">
            <w:pPr>
              <w:suppressAutoHyphens w:val="0"/>
              <w:jc w:val="center"/>
              <w:rPr>
                <w:rFonts w:ascii="Calibri" w:hAnsi="Calibri" w:cs="Calibri" w:eastAsiaTheme="minorEastAsia"/>
                <w:sz w:val="22"/>
                <w:szCs w:val="22"/>
              </w:rPr>
            </w:pPr>
          </w:p>
        </w:tc>
        <w:tc>
          <w:tcPr>
            <w:tcW w:w="314" w:type="dxa"/>
            <w:shd w:val="clear" w:color="auto" w:fill="DBE5F1" w:themeFill="accent1" w:themeFillTint="33"/>
            <w:noWrap/>
          </w:tcPr>
          <w:p w14:paraId="555425BA">
            <w:pPr>
              <w:suppressAutoHyphens w:val="0"/>
              <w:jc w:val="center"/>
              <w:rPr>
                <w:rFonts w:ascii="Calibri" w:hAnsi="Calibri" w:cs="Calibri" w:eastAsiaTheme="minorEastAsia"/>
                <w:sz w:val="22"/>
                <w:szCs w:val="22"/>
              </w:rPr>
            </w:pPr>
          </w:p>
        </w:tc>
      </w:tr>
      <w:tr w14:paraId="6307888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41" w:type="dxa"/>
            <w:noWrap/>
          </w:tcPr>
          <w:p w14:paraId="40C22D2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2331" w:type="dxa"/>
          </w:tcPr>
          <w:p w14:paraId="744B3903">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Serviços eventuais (7% da mão de obra)</w:t>
            </w:r>
          </w:p>
        </w:tc>
        <w:tc>
          <w:tcPr>
            <w:tcW w:w="992" w:type="dxa"/>
            <w:noWrap/>
          </w:tcPr>
          <w:p w14:paraId="04D70DF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847" w:type="dxa"/>
            <w:noWrap/>
          </w:tcPr>
          <w:p w14:paraId="4940A45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12</w:t>
            </w:r>
          </w:p>
        </w:tc>
        <w:tc>
          <w:tcPr>
            <w:tcW w:w="970" w:type="dxa"/>
            <w:noWrap/>
          </w:tcPr>
          <w:p w14:paraId="4FEC5F23">
            <w:pPr>
              <w:suppressAutoHyphens w:val="0"/>
              <w:jc w:val="center"/>
              <w:rPr>
                <w:rFonts w:ascii="Calibri" w:hAnsi="Calibri" w:cs="Calibri" w:eastAsiaTheme="minorEastAsia"/>
                <w:color w:val="000000"/>
                <w:sz w:val="22"/>
                <w:szCs w:val="22"/>
              </w:rPr>
            </w:pPr>
          </w:p>
        </w:tc>
        <w:tc>
          <w:tcPr>
            <w:tcW w:w="1077" w:type="dxa"/>
            <w:noWrap/>
          </w:tcPr>
          <w:p w14:paraId="3A0AA5E5">
            <w:pPr>
              <w:suppressAutoHyphens w:val="0"/>
              <w:jc w:val="center"/>
              <w:rPr>
                <w:rFonts w:ascii="Calibri" w:hAnsi="Calibri" w:cs="Calibri" w:eastAsiaTheme="minorEastAsia"/>
                <w:color w:val="000000"/>
                <w:sz w:val="22"/>
                <w:szCs w:val="22"/>
              </w:rPr>
            </w:pPr>
          </w:p>
        </w:tc>
        <w:tc>
          <w:tcPr>
            <w:tcW w:w="1068" w:type="dxa"/>
            <w:noWrap/>
          </w:tcPr>
          <w:p w14:paraId="458B1669">
            <w:pPr>
              <w:suppressAutoHyphens w:val="0"/>
              <w:jc w:val="center"/>
              <w:rPr>
                <w:rFonts w:ascii="Calibri" w:hAnsi="Calibri" w:cs="Calibri" w:eastAsiaTheme="minorEastAsia"/>
                <w:color w:val="000000"/>
                <w:sz w:val="22"/>
                <w:szCs w:val="22"/>
              </w:rPr>
            </w:pPr>
          </w:p>
        </w:tc>
        <w:tc>
          <w:tcPr>
            <w:tcW w:w="1394" w:type="dxa"/>
          </w:tcPr>
          <w:p w14:paraId="03E79A48">
            <w:pPr>
              <w:suppressAutoHyphens w:val="0"/>
              <w:jc w:val="center"/>
              <w:rPr>
                <w:rFonts w:ascii="Calibri" w:hAnsi="Calibri" w:cs="Calibri" w:eastAsiaTheme="minorEastAsia"/>
                <w:sz w:val="22"/>
                <w:szCs w:val="22"/>
              </w:rPr>
            </w:pPr>
          </w:p>
        </w:tc>
        <w:tc>
          <w:tcPr>
            <w:tcW w:w="314" w:type="dxa"/>
            <w:noWrap/>
          </w:tcPr>
          <w:p w14:paraId="6716715A">
            <w:pPr>
              <w:suppressAutoHyphens w:val="0"/>
              <w:jc w:val="center"/>
              <w:rPr>
                <w:rFonts w:ascii="Calibri" w:hAnsi="Calibri" w:cs="Calibri" w:eastAsiaTheme="minorEastAsia"/>
                <w:sz w:val="22"/>
                <w:szCs w:val="22"/>
              </w:rPr>
            </w:pPr>
          </w:p>
        </w:tc>
      </w:tr>
      <w:tr w14:paraId="2B93EA1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90" w:hRule="atLeast"/>
        </w:trPr>
        <w:tc>
          <w:tcPr>
            <w:tcW w:w="641" w:type="dxa"/>
            <w:shd w:val="clear" w:color="auto" w:fill="DBE5F1" w:themeFill="accent1" w:themeFillTint="33"/>
            <w:noWrap/>
          </w:tcPr>
          <w:p w14:paraId="330E508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2331" w:type="dxa"/>
            <w:shd w:val="clear" w:color="auto" w:fill="DBE5F1" w:themeFill="accent1" w:themeFillTint="33"/>
          </w:tcPr>
          <w:p w14:paraId="47352E6D">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Peças para manutenção (7% mão de obra)</w:t>
            </w:r>
          </w:p>
        </w:tc>
        <w:tc>
          <w:tcPr>
            <w:tcW w:w="992" w:type="dxa"/>
            <w:shd w:val="clear" w:color="auto" w:fill="DBE5F1" w:themeFill="accent1" w:themeFillTint="33"/>
            <w:noWrap/>
          </w:tcPr>
          <w:p w14:paraId="5E42F97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847" w:type="dxa"/>
            <w:shd w:val="clear" w:color="auto" w:fill="DBE5F1" w:themeFill="accent1" w:themeFillTint="33"/>
            <w:noWrap/>
          </w:tcPr>
          <w:p w14:paraId="4A6848D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12</w:t>
            </w:r>
          </w:p>
        </w:tc>
        <w:tc>
          <w:tcPr>
            <w:tcW w:w="970" w:type="dxa"/>
            <w:shd w:val="clear" w:color="auto" w:fill="DBE5F1" w:themeFill="accent1" w:themeFillTint="33"/>
            <w:noWrap/>
          </w:tcPr>
          <w:p w14:paraId="1DBED29F">
            <w:pPr>
              <w:suppressAutoHyphens w:val="0"/>
              <w:jc w:val="center"/>
              <w:rPr>
                <w:rFonts w:ascii="Calibri" w:hAnsi="Calibri" w:cs="Calibri" w:eastAsiaTheme="minorEastAsia"/>
                <w:color w:val="000000"/>
                <w:sz w:val="22"/>
                <w:szCs w:val="22"/>
              </w:rPr>
            </w:pPr>
          </w:p>
        </w:tc>
        <w:tc>
          <w:tcPr>
            <w:tcW w:w="1077" w:type="dxa"/>
            <w:shd w:val="clear" w:color="auto" w:fill="DBE5F1" w:themeFill="accent1" w:themeFillTint="33"/>
            <w:noWrap/>
          </w:tcPr>
          <w:p w14:paraId="3CA2DCED">
            <w:pPr>
              <w:suppressAutoHyphens w:val="0"/>
              <w:jc w:val="center"/>
              <w:rPr>
                <w:rFonts w:ascii="Calibri" w:hAnsi="Calibri" w:cs="Calibri" w:eastAsiaTheme="minorEastAsia"/>
                <w:color w:val="000000"/>
                <w:sz w:val="22"/>
                <w:szCs w:val="22"/>
              </w:rPr>
            </w:pPr>
          </w:p>
        </w:tc>
        <w:tc>
          <w:tcPr>
            <w:tcW w:w="1068" w:type="dxa"/>
            <w:shd w:val="clear" w:color="auto" w:fill="DBE5F1" w:themeFill="accent1" w:themeFillTint="33"/>
            <w:noWrap/>
          </w:tcPr>
          <w:p w14:paraId="4F024EA8">
            <w:pPr>
              <w:suppressAutoHyphens w:val="0"/>
              <w:jc w:val="center"/>
              <w:rPr>
                <w:rFonts w:ascii="Calibri" w:hAnsi="Calibri" w:cs="Calibri" w:eastAsiaTheme="minorEastAsia"/>
                <w:color w:val="000000"/>
                <w:sz w:val="22"/>
                <w:szCs w:val="22"/>
              </w:rPr>
            </w:pPr>
          </w:p>
        </w:tc>
        <w:tc>
          <w:tcPr>
            <w:tcW w:w="1394" w:type="dxa"/>
            <w:shd w:val="clear" w:color="auto" w:fill="DBE5F1" w:themeFill="accent1" w:themeFillTint="33"/>
          </w:tcPr>
          <w:p w14:paraId="269065B7">
            <w:pPr>
              <w:suppressAutoHyphens w:val="0"/>
              <w:jc w:val="center"/>
              <w:rPr>
                <w:rFonts w:ascii="Calibri" w:hAnsi="Calibri" w:cs="Calibri" w:eastAsiaTheme="minorEastAsia"/>
                <w:sz w:val="22"/>
                <w:szCs w:val="22"/>
              </w:rPr>
            </w:pPr>
          </w:p>
        </w:tc>
        <w:tc>
          <w:tcPr>
            <w:tcW w:w="314" w:type="dxa"/>
            <w:shd w:val="clear" w:color="auto" w:fill="DBE5F1" w:themeFill="accent1" w:themeFillTint="33"/>
            <w:noWrap/>
          </w:tcPr>
          <w:p w14:paraId="0C9AD96D">
            <w:pPr>
              <w:suppressAutoHyphens w:val="0"/>
              <w:jc w:val="center"/>
              <w:rPr>
                <w:rFonts w:ascii="Calibri" w:hAnsi="Calibri" w:cs="Calibri" w:eastAsiaTheme="minorEastAsia"/>
                <w:sz w:val="22"/>
                <w:szCs w:val="22"/>
              </w:rPr>
            </w:pPr>
          </w:p>
        </w:tc>
      </w:tr>
      <w:tr w14:paraId="6ACCDC3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926" w:type="dxa"/>
            <w:gridSpan w:val="7"/>
          </w:tcPr>
          <w:p w14:paraId="64873BE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 xml:space="preserve">TOTAL GRUPO 1 </w:t>
            </w:r>
            <w:r>
              <w:rPr>
                <w:rFonts w:ascii="Calibri" w:hAnsi="Calibri" w:cs="Calibri" w:eastAsiaTheme="minorEastAsia"/>
                <w:b/>
                <w:bCs/>
                <w:color w:val="FF0000"/>
                <w:sz w:val="22"/>
                <w:szCs w:val="22"/>
              </w:rPr>
              <w:t>(VALOR DO LANCE COMPRASNET)</w:t>
            </w:r>
          </w:p>
        </w:tc>
        <w:tc>
          <w:tcPr>
            <w:tcW w:w="1394" w:type="dxa"/>
          </w:tcPr>
          <w:p w14:paraId="33111F4D">
            <w:pPr>
              <w:suppressAutoHyphens w:val="0"/>
              <w:jc w:val="center"/>
              <w:rPr>
                <w:rFonts w:ascii="Calibri" w:hAnsi="Calibri" w:cs="Calibri" w:eastAsiaTheme="minorEastAsia"/>
                <w:b/>
                <w:bCs/>
                <w:sz w:val="22"/>
                <w:szCs w:val="22"/>
              </w:rPr>
            </w:pPr>
            <w:bookmarkStart w:id="9" w:name="_GoBack"/>
            <w:bookmarkEnd w:id="9"/>
          </w:p>
        </w:tc>
        <w:tc>
          <w:tcPr>
            <w:tcW w:w="314" w:type="dxa"/>
          </w:tcPr>
          <w:p w14:paraId="32EA8A6A">
            <w:pPr>
              <w:suppressAutoHyphens w:val="0"/>
              <w:jc w:val="center"/>
              <w:rPr>
                <w:rFonts w:ascii="Calibri" w:hAnsi="Calibri" w:cs="Calibri" w:eastAsiaTheme="minorEastAsia"/>
                <w:b/>
                <w:bCs/>
                <w:sz w:val="22"/>
                <w:szCs w:val="22"/>
              </w:rPr>
            </w:pPr>
          </w:p>
        </w:tc>
      </w:tr>
    </w:tbl>
    <w:p w14:paraId="2A85E626">
      <w:pPr>
        <w:pStyle w:val="99"/>
        <w:numPr>
          <w:ilvl w:val="0"/>
          <w:numId w:val="0"/>
        </w:numPr>
        <w:spacing w:after="288" w:afterLines="120" w:line="312" w:lineRule="auto"/>
        <w:ind w:left="426"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Será admitida a subcontratação do objeto contratual, conforme estabelecido no Termo de Referência.</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3A1C8DD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14:paraId="747AE84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interregno mínimo de 1 (</w:t>
      </w:r>
      <w:r>
        <w:rPr>
          <w:rFonts w:asciiTheme="minorHAnsi" w:hAnsiTheme="minorHAnsi" w:cstheme="minorHAnsi"/>
          <w:sz w:val="22"/>
          <w:szCs w:val="22"/>
        </w:rPr>
        <w:t>um</w:t>
      </w:r>
      <w:r>
        <w:rPr>
          <w:rFonts w:eastAsia="Times New Roman" w:asciiTheme="minorHAnsi" w:hAnsiTheme="minorHAnsi" w:cstheme="minorHAnsi"/>
          <w:sz w:val="22"/>
          <w:szCs w:val="22"/>
        </w:rPr>
        <w:t>) ano para a primeira repactuação será contado:</w:t>
      </w:r>
    </w:p>
    <w:p w14:paraId="2A2E6801">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Pr>
          <w:rFonts w:asciiTheme="minorHAnsi" w:hAnsiTheme="minorHAnsi" w:cstheme="minorHAnsi"/>
          <w:color w:val="000000"/>
          <w:sz w:val="22"/>
          <w:szCs w:val="22"/>
        </w:rPr>
        <w:t>ao qual a proposta estiver vinculada</w:t>
      </w:r>
      <w:r>
        <w:rPr>
          <w:rFonts w:asciiTheme="minorHAnsi" w:hAnsiTheme="minorHAnsi" w:cstheme="minorHAnsi"/>
          <w:sz w:val="22"/>
          <w:szCs w:val="22"/>
        </w:rPr>
        <w:t xml:space="preserve">, relativo a cada categoria profissional abrangida pelo contrato; </w:t>
      </w:r>
    </w:p>
    <w:p w14:paraId="5158B16C">
      <w:pPr>
        <w:numPr>
          <w:ilvl w:val="0"/>
          <w:numId w:val="12"/>
        </w:numPr>
        <w:suppressAutoHyphens w:val="0"/>
        <w:spacing w:before="120" w:after="120" w:line="276" w:lineRule="auto"/>
        <w:ind w:left="567" w:hanging="567"/>
        <w:contextualSpacing/>
        <w:jc w:val="both"/>
        <w:rPr>
          <w:rFonts w:asciiTheme="minorHAnsi" w:hAnsiTheme="minorHAnsi" w:cstheme="minorHAnsi"/>
          <w:sz w:val="22"/>
          <w:szCs w:val="22"/>
        </w:rPr>
      </w:pPr>
      <w:r>
        <w:rPr>
          <w:rFonts w:asciiTheme="minorHAnsi" w:hAnsiTheme="minorHAnsi" w:cstheme="minorHAnsi"/>
          <w:sz w:val="22"/>
          <w:szCs w:val="22"/>
        </w:rPr>
        <w:t>Para</w:t>
      </w:r>
      <w:r>
        <w:rPr>
          <w:rFonts w:asciiTheme="minorHAnsi" w:hAnsiTheme="minorHAnsi" w:cstheme="minorHAnsi"/>
          <w:color w:val="000000"/>
          <w:sz w:val="22"/>
          <w:szCs w:val="22"/>
        </w:rPr>
        <w:t> os custos decorrentes do mercado</w:t>
      </w:r>
      <w:r>
        <w:rPr>
          <w:rFonts w:asciiTheme="minorHAnsi" w:hAnsiTheme="minorHAnsi" w:cstheme="minorHAnsi"/>
          <w:sz w:val="22"/>
          <w:szCs w:val="22"/>
        </w:rPr>
        <w:t>: a partir da apresentação da proposta.</w:t>
      </w:r>
    </w:p>
    <w:p w14:paraId="529B6BE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Nas repactuações subsequentes à primeira, o interregno mínimo 1 (um) ano será contado a partir da data da última repactuação correspondente à mesma parcela objeto da nova solicitação.</w:t>
      </w:r>
    </w:p>
    <w:p w14:paraId="2F8662F1">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518E86F9">
      <w:pPr>
        <w:pStyle w:val="78"/>
        <w:numPr>
          <w:ilvl w:val="0"/>
          <w:numId w:val="13"/>
        </w:numPr>
        <w:suppressAutoHyphens w:val="0"/>
        <w:spacing w:before="120" w:after="120" w:line="276" w:lineRule="auto"/>
        <w:ind w:left="567" w:hanging="567"/>
        <w:jc w:val="both"/>
        <w:rPr>
          <w:rFonts w:asciiTheme="minorHAnsi" w:hAnsiTheme="minorHAnsi" w:cstheme="minorHAnsi"/>
          <w:vanish/>
          <w:sz w:val="22"/>
          <w:szCs w:val="22"/>
        </w:rPr>
      </w:pPr>
    </w:p>
    <w:p w14:paraId="63DCECF9">
      <w:pPr>
        <w:pStyle w:val="78"/>
        <w:numPr>
          <w:ilvl w:val="1"/>
          <w:numId w:val="13"/>
        </w:numPr>
        <w:suppressAutoHyphens w:val="0"/>
        <w:spacing w:before="120" w:after="120" w:line="276" w:lineRule="auto"/>
        <w:ind w:left="567" w:hanging="567"/>
        <w:jc w:val="both"/>
        <w:rPr>
          <w:rFonts w:asciiTheme="minorHAnsi" w:hAnsiTheme="minorHAnsi" w:cstheme="minorHAnsi"/>
          <w:vanish/>
          <w:sz w:val="22"/>
          <w:szCs w:val="22"/>
        </w:rPr>
      </w:pPr>
    </w:p>
    <w:p w14:paraId="2D7C0997">
      <w:pPr>
        <w:pStyle w:val="78"/>
        <w:numPr>
          <w:ilvl w:val="2"/>
          <w:numId w:val="4"/>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Entende-se como última repactuação a data em que iniciados seus efeitos financeiros, independentemente daquela em que apostilada.</w:t>
      </w:r>
    </w:p>
    <w:p w14:paraId="0A88A65F">
      <w:pPr>
        <w:pStyle w:val="99"/>
        <w:numPr>
          <w:ilvl w:val="1"/>
          <w:numId w:val="4"/>
        </w:numPr>
        <w:ind w:left="567" w:hanging="567"/>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A repactuação poderá ser dividida em tantas parcelas quantas forem necessárias, </w:t>
      </w:r>
      <w:r>
        <w:rPr>
          <w:rFonts w:eastAsia="Times New Roman" w:asciiTheme="minorHAnsi" w:hAnsiTheme="minorHAnsi" w:cstheme="minorHAnsi"/>
          <w:sz w:val="22"/>
          <w:szCs w:val="22"/>
        </w:rPr>
        <w:t>observado</w:t>
      </w:r>
      <w:r>
        <w:rPr>
          <w:rFonts w:eastAsia="Calibri" w:asciiTheme="minorHAnsi" w:hAnsiTheme="minorHAnsi" w:cstheme="minorHAnsi"/>
          <w:sz w:val="22"/>
          <w:szCs w:val="22"/>
          <w:lang w:eastAsia="en-US"/>
        </w:rPr>
        <w:t xml:space="preserve"> o princípio da anualidade do reajuste de preços da contratação, podendo ser </w:t>
      </w:r>
      <w:r>
        <w:rPr>
          <w:rFonts w:eastAsia="Times New Roman" w:asciiTheme="minorHAnsi" w:hAnsiTheme="minorHAnsi" w:cstheme="minorHAnsi"/>
          <w:sz w:val="22"/>
          <w:szCs w:val="22"/>
        </w:rPr>
        <w:t>realizada</w:t>
      </w:r>
      <w:r>
        <w:rPr>
          <w:rFonts w:eastAsia="Calibri" w:asciiTheme="minorHAnsi" w:hAnsiTheme="minorHAnsi" w:cstheme="minorHAnsi"/>
          <w:sz w:val="22"/>
          <w:szCs w:val="22"/>
          <w:lang w:eastAsia="en-US"/>
        </w:rPr>
        <w:t xml:space="preserve"> em momentos distintos para discutir a variação de custos que tenham sua anualidade </w:t>
      </w:r>
      <w:r>
        <w:rPr>
          <w:rFonts w:eastAsia="Times New Roman" w:asciiTheme="minorHAnsi" w:hAnsiTheme="minorHAnsi" w:cstheme="minorHAnsi"/>
          <w:sz w:val="22"/>
          <w:szCs w:val="22"/>
        </w:rPr>
        <w:t>resultante</w:t>
      </w:r>
      <w:r>
        <w:rPr>
          <w:rFonts w:eastAsia="Calibri" w:asciiTheme="minorHAnsi" w:hAnsiTheme="minorHAnsi" w:cstheme="minorHAnsi"/>
          <w:sz w:val="22"/>
          <w:szCs w:val="22"/>
          <w:lang w:eastAsia="en-US"/>
        </w:rPr>
        <w:t xml:space="preserve"> em datas diferenciadas, como os decorrentes de mão de obra e os decorrentes dos insumos necessários à execução dos serviços.</w:t>
      </w:r>
      <w:r>
        <w:rPr>
          <w:rFonts w:eastAsia="Times New Roman" w:asciiTheme="minorHAnsi" w:hAnsiTheme="minorHAnsi" w:cstheme="minorHAnsi"/>
          <w:sz w:val="22"/>
          <w:szCs w:val="22"/>
        </w:rPr>
        <w:t xml:space="preserve"> (</w:t>
      </w:r>
      <w:r>
        <w:fldChar w:fldCharType="begin"/>
      </w:r>
      <w:r>
        <w:instrText xml:space="preserve"> HYPERLINK "http://www.planalto.gov.br/ccivil_03/_ato2019-2022/2021/lei/L14133.htm" \l "art135§4" </w:instrText>
      </w:r>
      <w:r>
        <w:fldChar w:fldCharType="separate"/>
      </w:r>
      <w:r>
        <w:rPr>
          <w:rStyle w:val="18"/>
          <w:rFonts w:eastAsia="Times New Roman" w:asciiTheme="minorHAnsi" w:hAnsiTheme="minorHAnsi" w:cstheme="minorHAnsi"/>
          <w:sz w:val="22"/>
          <w:szCs w:val="22"/>
        </w:rPr>
        <w:t>art. 135, § 4º,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r>
        <w:rPr>
          <w:rFonts w:eastAsia="Calibri" w:asciiTheme="minorHAnsi" w:hAnsiTheme="minorHAnsi" w:cstheme="minorHAnsi"/>
          <w:sz w:val="22"/>
          <w:szCs w:val="22"/>
          <w:lang w:eastAsia="en-US"/>
        </w:rPr>
        <w:t xml:space="preserve">. </w:t>
      </w:r>
    </w:p>
    <w:p w14:paraId="37634D0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r>
        <w:fldChar w:fldCharType="begin"/>
      </w:r>
      <w:r>
        <w:instrText xml:space="preserve"> HYPERLINK "http://www.planalto.gov.br/ccivil_03/_ato2019-2022/2021/lei/L14133.htm" \l "art135§5" </w:instrText>
      </w:r>
      <w:r>
        <w:fldChar w:fldCharType="separate"/>
      </w:r>
      <w:r>
        <w:rPr>
          <w:rStyle w:val="18"/>
          <w:rFonts w:eastAsia="Times New Roman" w:asciiTheme="minorHAnsi" w:hAnsiTheme="minorHAnsi" w:cstheme="minorHAnsi"/>
          <w:sz w:val="22"/>
          <w:szCs w:val="22"/>
        </w:rPr>
        <w:t>art. 135, § 5º,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78FAA9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14:paraId="5D90258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r>
        <w:fldChar w:fldCharType="begin"/>
      </w:r>
      <w:r>
        <w:instrText xml:space="preserve"> HYPERLINK "http://www.planalto.gov.br/ccivil_03/_ato2019-2022/2021/lei/L14133.htm" \l "art135§1" </w:instrText>
      </w:r>
      <w:r>
        <w:fldChar w:fldCharType="separate"/>
      </w:r>
      <w:r>
        <w:rPr>
          <w:rStyle w:val="18"/>
          <w:rFonts w:eastAsia="Times New Roman" w:asciiTheme="minorHAnsi" w:hAnsiTheme="minorHAnsi" w:cstheme="minorHAnsi"/>
          <w:sz w:val="22"/>
          <w:szCs w:val="22"/>
        </w:rPr>
        <w:t>art. 135, §§ 1º e 2º, da Lei n.º 14.133/2021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70B98E28">
      <w:pPr>
        <w:pStyle w:val="99"/>
        <w:numPr>
          <w:ilvl w:val="1"/>
          <w:numId w:val="4"/>
        </w:numPr>
        <w:ind w:left="567" w:hanging="567"/>
        <w:rPr>
          <w:rFonts w:asciiTheme="minorHAnsi" w:hAnsiTheme="minorHAnsi" w:cstheme="minorHAnsi"/>
          <w:vanish/>
          <w:sz w:val="22"/>
          <w:szCs w:val="22"/>
        </w:rPr>
      </w:pPr>
      <w:r>
        <w:rPr>
          <w:rFonts w:eastAsia="Times New Roman" w:asciiTheme="minorHAnsi" w:hAnsiTheme="minorHAnsi" w:cstheme="minorHAnsi"/>
          <w:sz w:val="22"/>
          <w:szCs w:val="22"/>
        </w:rPr>
        <w:t xml:space="preserve">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 </w:t>
      </w:r>
    </w:p>
    <w:p w14:paraId="198F805B">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313BE539">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1D57E17">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56533602">
      <w:pPr>
        <w:pStyle w:val="78"/>
        <w:numPr>
          <w:ilvl w:val="1"/>
          <w:numId w:val="4"/>
        </w:numPr>
        <w:suppressAutoHyphens w:val="0"/>
        <w:spacing w:before="120" w:after="120" w:line="276" w:lineRule="auto"/>
        <w:ind w:left="567" w:hanging="567"/>
        <w:jc w:val="both"/>
        <w:rPr>
          <w:rFonts w:asciiTheme="minorHAnsi" w:hAnsiTheme="minorHAnsi" w:cstheme="minorHAnsi"/>
          <w:vanish/>
          <w:sz w:val="22"/>
          <w:szCs w:val="22"/>
        </w:rPr>
      </w:pPr>
    </w:p>
    <w:p w14:paraId="62E236A6">
      <w:pPr>
        <w:suppressAutoHyphens w:val="0"/>
        <w:spacing w:before="120" w:after="120" w:line="276" w:lineRule="auto"/>
        <w:jc w:val="both"/>
        <w:rPr>
          <w:rFonts w:asciiTheme="minorHAnsi" w:hAnsiTheme="minorHAnsi" w:cstheme="minorHAnsi"/>
          <w:sz w:val="22"/>
          <w:szCs w:val="22"/>
        </w:rPr>
      </w:pPr>
    </w:p>
    <w:p w14:paraId="514BDC04">
      <w:p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7.8.1. A repactuação para reajustamento do contrato em razão de novo Acordo, Convenção ou Dissídio Coletivo de Trabalho deve repassar integralmente o aumento de custos da mão de obra decorrente desses instrumentos.</w:t>
      </w:r>
    </w:p>
    <w:p w14:paraId="664477DE">
      <w:pPr>
        <w:pStyle w:val="99"/>
        <w:numPr>
          <w:ilvl w:val="1"/>
          <w:numId w:val="14"/>
        </w:numPr>
        <w:rPr>
          <w:rFonts w:eastAsia="Times New Roman" w:asciiTheme="minorHAnsi" w:hAnsiTheme="minorHAnsi" w:cstheme="minorHAnsi"/>
          <w:sz w:val="22"/>
          <w:szCs w:val="22"/>
        </w:rPr>
      </w:pPr>
      <w:r>
        <w:rPr>
          <w:rFonts w:eastAsia="Times New Roman" w:asciiTheme="minorHAnsi" w:hAnsiTheme="minorHAnsi" w:cstheme="minorHAnsi"/>
          <w:sz w:val="22"/>
          <w:szCs w:val="22"/>
        </w:rPr>
        <w:t>Quando a repactuação solicitada pelo contratado se referir aos custos decorrentes do mercado, o respectivo aumento será apurado mediante a aplicação do índice de reajustamento IPCA</w:t>
      </w:r>
      <w:r>
        <w:rPr>
          <w:rFonts w:eastAsia="Times New Roman" w:asciiTheme="minorHAnsi" w:hAnsiTheme="minorHAnsi" w:cstheme="minorHAnsi"/>
          <w:i/>
          <w:iCs/>
          <w:color w:val="FF0000"/>
          <w:sz w:val="22"/>
          <w:szCs w:val="22"/>
        </w:rPr>
        <w:t>,</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 xml:space="preserve">com base na seguinte fórmula: </w:t>
      </w:r>
    </w:p>
    <w:p w14:paraId="6BB7677F">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 (I – Iº) / Iº, onde:</w:t>
      </w:r>
    </w:p>
    <w:p w14:paraId="760A69E5">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R = Valor do reajustamento procurado;</w:t>
      </w:r>
    </w:p>
    <w:p w14:paraId="088D72A7">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V = Valor contratual correspondente à parcela dos </w:t>
      </w:r>
      <w:r>
        <w:rPr>
          <w:rFonts w:asciiTheme="minorHAnsi" w:hAnsiTheme="minorHAnsi" w:cstheme="minorHAnsi"/>
          <w:sz w:val="22"/>
          <w:szCs w:val="22"/>
        </w:rPr>
        <w:t>custos decorrentes do mercado</w:t>
      </w:r>
      <w:r>
        <w:rPr>
          <w:rFonts w:eastAsia="Calibri" w:asciiTheme="minorHAnsi" w:hAnsiTheme="minorHAnsi" w:cstheme="minorHAnsi"/>
          <w:sz w:val="22"/>
          <w:szCs w:val="22"/>
          <w:lang w:eastAsia="en-US"/>
        </w:rPr>
        <w:t xml:space="preserve"> a ser reajustada;</w:t>
      </w:r>
    </w:p>
    <w:p w14:paraId="357418E8">
      <w:pPr>
        <w:spacing w:before="120" w:after="120" w:line="276" w:lineRule="auto"/>
        <w:ind w:left="567" w:hanging="567"/>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shd w:val="clear" w:color="auto" w:fill="FFFFFF"/>
          <w:lang w:eastAsia="en-US"/>
        </w:rPr>
        <w:t>Iº = índice inicial - refere-se ao índice de custos ou de preços correspondente à data de apresentação da proposta;</w:t>
      </w:r>
    </w:p>
    <w:p w14:paraId="41EC4483">
      <w:pPr>
        <w:spacing w:before="120" w:after="120" w:line="276" w:lineRule="auto"/>
        <w:ind w:left="567" w:hanging="567"/>
        <w:jc w:val="both"/>
        <w:rPr>
          <w:rFonts w:eastAsia="Calibri" w:asciiTheme="minorHAnsi" w:hAnsiTheme="minorHAnsi" w:cstheme="minorHAnsi"/>
          <w:sz w:val="22"/>
          <w:szCs w:val="22"/>
          <w:shd w:val="clear" w:color="auto" w:fill="FFFFFF"/>
          <w:lang w:eastAsia="en-US"/>
        </w:rPr>
      </w:pPr>
      <w:r>
        <w:rPr>
          <w:rFonts w:eastAsia="Calibri" w:asciiTheme="minorHAnsi" w:hAnsiTheme="minorHAnsi" w:cstheme="minorHAnsi"/>
          <w:sz w:val="22"/>
          <w:szCs w:val="22"/>
          <w:shd w:val="clear" w:color="auto" w:fill="FFFFFF"/>
          <w:lang w:eastAsia="en-US"/>
        </w:rPr>
        <w:t>I = Índice relativo ao mês do reajustamento</w:t>
      </w:r>
    </w:p>
    <w:p w14:paraId="200D3354">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14:paraId="3576D9E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Nas aferições finais, o índice utilizado para a repactuação dos custos decorrentes do mercado será, obrigatoriamente, o definitivo. </w:t>
      </w:r>
    </w:p>
    <w:p w14:paraId="2B92828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14:paraId="2EA7634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14:paraId="669908B0">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14:paraId="17EF3CFA">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decorrente da variação dos custos contratuais de mão de obra vinculados aos acordos, às convenções ou aos dissídios coletivos de trabalho retroagirão, quando for o caso, à data do início dos efeitos financeiros do novo acordo, convenção ou sentença normativa que fundamenta a repactuação.</w:t>
      </w:r>
    </w:p>
    <w:p w14:paraId="50031205">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novos valores contratuais decorrentes das repactuações poderão se iniciar em data futura, desde que assim acordado entre as partes, sem prejuízo da contagem da anualidade para concessão das repactuações futuras.</w:t>
      </w:r>
    </w:p>
    <w:p w14:paraId="20D7236F">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Os efeitos financeiros da repactuação ficarão restritos exclusivamente aos itens que a motivaram, e apenas em relação à diferença porventura existente.</w:t>
      </w:r>
    </w:p>
    <w:p w14:paraId="78771617">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pedido de repactuação deverá ser formulado durante a vigência do contrato e antes de eventual prorrogação ou encerramento contratual, sob pena de preclusão.</w:t>
      </w:r>
    </w:p>
    <w:p w14:paraId="0B97561D">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Caso, na data da prorrogação contratual, ainda não tenha sido celebrado o novo acordo, convenção ou dissídio coletivo da categoria, ou ainda não tenha sido possível ao contratante ou ao contratado proceder aos cálculos devidos, deverá ser inserida cláusula no termo aditivo de prorrogação para resguardar o direito futuro à repactuação, a ser exercido tão logo se disponha dos valores reajustados, sob pena de preclusão.</w:t>
      </w:r>
    </w:p>
    <w:p w14:paraId="47CF3D6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configurará óbice para o deferimento da repactuação solicitada tempestivamente, hipótese em que será concedida por meio de termo indenizatório.</w:t>
      </w:r>
    </w:p>
    <w:p w14:paraId="74743C7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O contratante decidirá sobre o pedido de repactuação de preços em até </w:t>
      </w:r>
      <w:r>
        <w:rPr>
          <w:rFonts w:eastAsia="Times New Roman" w:asciiTheme="minorHAnsi" w:hAnsiTheme="minorHAnsi" w:cstheme="minorHAnsi"/>
          <w:iCs/>
          <w:sz w:val="22"/>
          <w:szCs w:val="22"/>
        </w:rPr>
        <w:t>30 (trinta dias),</w:t>
      </w:r>
      <w:r>
        <w:rPr>
          <w:rFonts w:eastAsia="Times New Roman" w:asciiTheme="minorHAnsi" w:hAnsiTheme="minorHAnsi" w:cstheme="minorHAnsi"/>
          <w:color w:val="FF0000"/>
          <w:sz w:val="22"/>
          <w:szCs w:val="22"/>
        </w:rPr>
        <w:t xml:space="preserve"> </w:t>
      </w:r>
      <w:r>
        <w:rPr>
          <w:rFonts w:eastAsia="Times New Roman" w:asciiTheme="minorHAnsi" w:hAnsiTheme="minorHAnsi" w:cstheme="minorHAnsi"/>
          <w:sz w:val="22"/>
          <w:szCs w:val="22"/>
        </w:rPr>
        <w:t>contado da data do fornecimento, pelo contratado, da documentação comprobatória da variação dos custos a serem repactuados. (</w:t>
      </w:r>
      <w:r>
        <w:fldChar w:fldCharType="begin"/>
      </w:r>
      <w:r>
        <w:instrText xml:space="preserve"> HYPERLINK "http://www.planalto.gov.br/ccivil_03/_ato2019-2022/2021/lei/L14133.htm" \l "art92§6" </w:instrText>
      </w:r>
      <w:r>
        <w:fldChar w:fldCharType="separate"/>
      </w:r>
      <w:r>
        <w:rPr>
          <w:rStyle w:val="18"/>
          <w:rFonts w:eastAsia="Times New Roman" w:asciiTheme="minorHAnsi" w:hAnsiTheme="minorHAnsi" w:cstheme="minorHAnsi"/>
          <w:sz w:val="22"/>
          <w:szCs w:val="22"/>
        </w:rPr>
        <w:t>art. 92,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c/c o </w:t>
      </w:r>
      <w:r>
        <w:fldChar w:fldCharType="begin"/>
      </w:r>
      <w:r>
        <w:instrText xml:space="preserve"> HYPERLINK "http://www.planalto.gov.br/ccivil_03/_ato2019-2022/2021/lei/L14133.htm" \l "art135§6" </w:instrText>
      </w:r>
      <w:r>
        <w:fldChar w:fldCharType="separate"/>
      </w:r>
      <w:r>
        <w:rPr>
          <w:rStyle w:val="18"/>
          <w:rFonts w:eastAsia="Times New Roman" w:asciiTheme="minorHAnsi" w:hAnsiTheme="minorHAnsi" w:cstheme="minorHAnsi"/>
          <w:sz w:val="22"/>
          <w:szCs w:val="22"/>
        </w:rPr>
        <w:t>art. 135, § 6º</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 xml:space="preserve">)  </w:t>
      </w:r>
    </w:p>
    <w:p w14:paraId="2A416299">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O prazo referido no subitem anterior ficará suspenso enquanto o contratado não cumprir os atos ou apresentar a documentação solicitada pelo contratante para a comprovação da variação dos custos.</w:t>
      </w:r>
    </w:p>
    <w:p w14:paraId="297063AC">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repactuação de preços será formalizada por apostilamento.</w:t>
      </w:r>
      <w:r>
        <w:rPr>
          <w:rFonts w:eastAsia="Times New Roman" w:asciiTheme="minorHAnsi" w:hAnsiTheme="minorHAnsi" w:cstheme="minorHAnsi"/>
          <w:color w:val="FF0000"/>
          <w:sz w:val="22"/>
          <w:szCs w:val="22"/>
        </w:rPr>
        <w:t xml:space="preserve"> </w:t>
      </w:r>
    </w:p>
    <w:p w14:paraId="57AC7A06">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As repactuações não interferem no direito das partes de solicitar, a qualquer momento, a manutenção do equilíbrio econômico dos contratos com base no disposto no </w:t>
      </w:r>
      <w:r>
        <w:fldChar w:fldCharType="begin"/>
      </w:r>
      <w:r>
        <w:instrText xml:space="preserve"> HYPERLINK "http://www.planalto.gov.br/ccivil_03/_ato2019-2022/2021/lei/L14133.htm" \l "art124" </w:instrText>
      </w:r>
      <w:r>
        <w:fldChar w:fldCharType="separate"/>
      </w:r>
      <w:r>
        <w:rPr>
          <w:rStyle w:val="18"/>
          <w:rFonts w:eastAsia="Times New Roman" w:asciiTheme="minorHAnsi" w:hAnsiTheme="minorHAnsi" w:cstheme="minorHAnsi"/>
          <w:sz w:val="22"/>
          <w:szCs w:val="22"/>
        </w:rPr>
        <w:t>art. 124, inciso II, alínea “d”, da Lei nº 14.133, de 2021</w:t>
      </w:r>
      <w:r>
        <w:rPr>
          <w:rStyle w:val="18"/>
          <w:rFonts w:eastAsia="Times New Roman" w:asciiTheme="minorHAnsi" w:hAnsiTheme="minorHAnsi" w:cstheme="minorHAnsi"/>
          <w:sz w:val="22"/>
          <w:szCs w:val="22"/>
        </w:rPr>
        <w:fldChar w:fldCharType="end"/>
      </w:r>
      <w:r>
        <w:rPr>
          <w:rFonts w:eastAsia="Times New Roman" w:asciiTheme="minorHAnsi" w:hAnsiTheme="minorHAnsi" w:cstheme="minorHAnsi"/>
          <w:sz w:val="22"/>
          <w:szCs w:val="22"/>
        </w:rPr>
        <w:t>.</w:t>
      </w:r>
    </w:p>
    <w:p w14:paraId="0ED22F65">
      <w:pPr>
        <w:pStyle w:val="99"/>
        <w:numPr>
          <w:ilvl w:val="1"/>
          <w:numId w:val="4"/>
        </w:numPr>
        <w:ind w:left="567" w:hanging="567"/>
        <w:rPr>
          <w:rFonts w:eastAsia="Calibri" w:asciiTheme="minorHAnsi" w:hAnsiTheme="minorHAnsi" w:cstheme="minorHAnsi"/>
          <w:bCs/>
          <w:i/>
          <w:sz w:val="22"/>
          <w:szCs w:val="22"/>
          <w:lang w:eastAsia="en-US"/>
        </w:rPr>
      </w:pPr>
      <w:r>
        <w:rPr>
          <w:rFonts w:eastAsia="Times New Roman" w:asciiTheme="minorHAnsi" w:hAnsiTheme="minorHAnsi" w:cstheme="minorHAnsi"/>
          <w:iCs/>
          <w:sz w:val="22"/>
          <w:szCs w:val="22"/>
        </w:rPr>
        <w:t>O contratado deverá complementar a garantia contratual anteriormente prestada, de modo que se mantenha a proporção inicial em relação ao valor contratado.</w:t>
      </w:r>
      <w:r>
        <w:rPr>
          <w:rFonts w:eastAsia="Times New Roman" w:asciiTheme="minorHAnsi" w:hAnsiTheme="minorHAnsi" w:cstheme="minorHAnsi"/>
          <w:iCs/>
          <w:strike/>
          <w:sz w:val="22"/>
          <w:szCs w:val="22"/>
        </w:rPr>
        <w:t xml:space="preserve"> </w:t>
      </w:r>
    </w:p>
    <w:p w14:paraId="3070E8C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1FB38F0B">
      <w:pPr>
        <w:pStyle w:val="99"/>
        <w:numPr>
          <w:ilvl w:val="1"/>
          <w:numId w:val="4"/>
        </w:numPr>
        <w:ind w:left="567" w:hanging="567"/>
        <w:rPr>
          <w:rFonts w:eastAsia="Times New Roman" w:asciiTheme="minorHAnsi" w:hAnsiTheme="minorHAnsi" w:cstheme="minorHAnsi"/>
          <w:sz w:val="22"/>
          <w:szCs w:val="22"/>
        </w:rPr>
      </w:pPr>
      <w:r>
        <w:rPr>
          <w:rFonts w:eastAsia="Times New Roman" w:asciiTheme="minorHAnsi" w:hAnsiTheme="minorHAnsi" w:cstheme="minorHAnsi"/>
          <w:sz w:val="22"/>
          <w:szCs w:val="22"/>
        </w:rPr>
        <w:t xml:space="preserve">A revisão dos custos relativos ao vale-transporte será formalizada por apostilamento. </w:t>
      </w:r>
    </w:p>
    <w:p w14:paraId="207ED06E">
      <w:pPr>
        <w:pStyle w:val="90"/>
        <w:rPr>
          <w:rFonts w:eastAsia="Times New Roman" w:asciiTheme="minorHAnsi" w:hAnsiTheme="minorHAnsi" w:cstheme="minorHAnsi"/>
          <w:sz w:val="22"/>
          <w:szCs w:val="22"/>
        </w:rPr>
      </w:pPr>
      <w:r>
        <w:t xml:space="preserve"> 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5"/>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2"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2"/>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3" w:name="_Hlk114499841"/>
      <w:bookmarkEnd w:id="3"/>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0266CEC3">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tabs>
          <w:tab w:val="clear" w:pos="360"/>
        </w:tabs>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20E14BB">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anual do contrato, limitada ao equivalente a 2 (dois) meses do custo da folha de pagamento dos empregados da contratada que venham a participar da execução dos serviços contratados. </w:t>
      </w:r>
    </w:p>
    <w:p w14:paraId="3CB1A1A6">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14:paraId="0593247E">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i w:val="0"/>
          <w:iCs w:val="0"/>
          <w:color w:val="auto"/>
          <w:sz w:val="22"/>
          <w:szCs w:val="22"/>
        </w:rPr>
        <w:t>inciso I do art. 137 da Lei n.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78EB9850">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Style w:val="510"/>
          <w:rFonts w:asciiTheme="minorHAnsi" w:hAnsiTheme="minorHAnsi" w:cstheme="minorHAnsi"/>
          <w:i w:val="0"/>
          <w:iCs w:val="0"/>
          <w:color w:val="auto"/>
          <w:sz w:val="22"/>
          <w:szCs w:val="22"/>
          <w:shd w:val="clear" w:color="auto" w:fill="FFFFFF"/>
        </w:rPr>
        <w:t xml:space="preserve"> </w:t>
      </w:r>
      <w:r>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14:paraId="013F2B27">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w:t>
      </w:r>
      <w:r>
        <w:rPr>
          <w:rFonts w:asciiTheme="minorHAnsi" w:hAnsiTheme="minorHAnsi" w:cstheme="minorHAnsi"/>
          <w:i w:val="0"/>
          <w:iCs w:val="0"/>
          <w:color w:val="auto"/>
          <w:sz w:val="22"/>
          <w:szCs w:val="22"/>
          <w:lang w:eastAsia="en-US"/>
        </w:rPr>
        <w:t xml:space="preserve">zada a modalidade </w:t>
      </w:r>
      <w:r>
        <w:rPr>
          <w:rFonts w:asciiTheme="minorHAnsi" w:hAnsiTheme="minorHAnsi" w:cstheme="minorHAnsi"/>
          <w:i w:val="0"/>
          <w:iCs w:val="0"/>
          <w:color w:val="auto"/>
          <w:sz w:val="22"/>
          <w:szCs w:val="22"/>
        </w:rPr>
        <w:t>de seguro-garantia, a apólice permanecerá em vigor mesmo que o contratado não pague o prêmio nas datas convencionadas.</w:t>
      </w:r>
    </w:p>
    <w:p w14:paraId="6F6734D5">
      <w:pPr>
        <w:pStyle w:val="498"/>
        <w:numPr>
          <w:ilvl w:val="1"/>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6562BC0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_Ref125984616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11.6</w:t>
      </w:r>
      <w:r>
        <w:rPr>
          <w:rFonts w:asciiTheme="minorHAnsi" w:hAnsiTheme="minorHAnsi" w:cstheme="minorHAnsi"/>
          <w:sz w:val="22"/>
          <w:szCs w:val="22"/>
        </w:rPr>
        <w:fldChar w:fldCharType="end"/>
      </w:r>
      <w:r>
        <w:rPr>
          <w:rFonts w:asciiTheme="minorHAnsi" w:hAnsiTheme="minorHAnsi" w:cstheme="minorHAnsi"/>
          <w:sz w:val="22"/>
          <w:szCs w:val="22"/>
        </w:rPr>
        <w:t xml:space="preserve"> deste contrato.</w:t>
      </w:r>
    </w:p>
    <w:p w14:paraId="17D42619">
      <w:pPr>
        <w:pStyle w:val="99"/>
        <w:numPr>
          <w:ilvl w:val="1"/>
          <w:numId w:val="16"/>
        </w:numPr>
        <w:spacing w:after="288" w:afterLines="120" w:line="312" w:lineRule="auto"/>
        <w:ind w:left="567" w:hanging="567"/>
        <w:rPr>
          <w:rFonts w:asciiTheme="minorHAnsi" w:hAnsiTheme="minorHAnsi" w:cstheme="minorHAnsi"/>
          <w:sz w:val="22"/>
          <w:szCs w:val="22"/>
        </w:rPr>
      </w:pPr>
      <w:bookmarkStart w:id="4" w:name="_Ref125984616"/>
      <w:bookmarkStart w:id="5" w:name="_Ref118297051"/>
      <w:r>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14:paraId="40C6407C">
      <w:pPr>
        <w:pStyle w:val="99"/>
        <w:numPr>
          <w:ilvl w:val="1"/>
          <w:numId w:val="16"/>
        </w:numPr>
        <w:spacing w:after="288" w:afterLines="120" w:line="312" w:lineRule="auto"/>
        <w:ind w:left="567" w:hanging="567"/>
        <w:rPr>
          <w:rFonts w:asciiTheme="minorHAnsi" w:hAnsiTheme="minorHAnsi" w:cstheme="minorHAnsi"/>
          <w:sz w:val="22"/>
          <w:szCs w:val="22"/>
        </w:rPr>
      </w:pPr>
      <w:bookmarkStart w:id="6" w:name="_Ref118297166"/>
      <w:r>
        <w:rPr>
          <w:rFonts w:asciiTheme="minorHAnsi" w:hAnsiTheme="minorHAnsi" w:cstheme="minorHAnsi"/>
          <w:sz w:val="22"/>
          <w:szCs w:val="22"/>
        </w:rPr>
        <w:t>A garantia assegurará, qualquer que seja a modalidade escolhida, o pagamento de:</w:t>
      </w:r>
      <w:bookmarkEnd w:id="6"/>
      <w:r>
        <w:rPr>
          <w:rFonts w:asciiTheme="minorHAnsi" w:hAnsiTheme="minorHAnsi" w:cstheme="minorHAnsi"/>
          <w:sz w:val="22"/>
          <w:szCs w:val="22"/>
        </w:rPr>
        <w:t xml:space="preserve"> </w:t>
      </w:r>
    </w:p>
    <w:p w14:paraId="10A49FC1">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16916643">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ao contratado; e  </w:t>
      </w:r>
    </w:p>
    <w:p w14:paraId="630CE630">
      <w:pPr>
        <w:pStyle w:val="500"/>
        <w:numPr>
          <w:ilvl w:val="2"/>
          <w:numId w:val="16"/>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bCs/>
          <w:i w:val="0"/>
          <w:iCs w:val="0"/>
          <w:color w:val="auto"/>
          <w:sz w:val="22"/>
          <w:szCs w:val="22"/>
        </w:rPr>
        <w:t xml:space="preserve">obrigações trabalhistas e previdenciárias </w:t>
      </w:r>
      <w:r>
        <w:rPr>
          <w:rFonts w:asciiTheme="minorHAnsi" w:hAnsiTheme="minorHAnsi" w:cstheme="minorHAnsi"/>
          <w:i w:val="0"/>
          <w:iCs w:val="0"/>
          <w:color w:val="auto"/>
          <w:sz w:val="22"/>
          <w:szCs w:val="22"/>
        </w:rPr>
        <w:t>de qualquer natureza e para com o FGTS, não adimplidas pelo contratado, quando couber.</w:t>
      </w:r>
    </w:p>
    <w:p w14:paraId="00E7B51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modalidade seguro-garantia somente será aceita se contemplar todos os eventos indicados no item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REF _Ref118297166 \r \h  \* MERGEFORMAT </w:instrText>
      </w:r>
      <w:r>
        <w:rPr>
          <w:rFonts w:asciiTheme="minorHAnsi" w:hAnsiTheme="minorHAnsi" w:cstheme="minorHAnsi"/>
          <w:sz w:val="22"/>
          <w:szCs w:val="22"/>
        </w:rPr>
        <w:fldChar w:fldCharType="separate"/>
      </w:r>
      <w:r>
        <w:rPr>
          <w:rFonts w:asciiTheme="minorHAnsi" w:hAnsiTheme="minorHAnsi" w:cstheme="minorHAnsi"/>
          <w:sz w:val="22"/>
          <w:szCs w:val="22"/>
        </w:rPr>
        <w:t>11.7</w:t>
      </w:r>
      <w:r>
        <w:rPr>
          <w:rFonts w:asciiTheme="minorHAnsi" w:hAnsiTheme="minorHAnsi" w:cstheme="minorHAnsi"/>
          <w:sz w:val="22"/>
          <w:szCs w:val="22"/>
        </w:rPr>
        <w:fldChar w:fldCharType="end"/>
      </w:r>
      <w:r>
        <w:rPr>
          <w:rFonts w:asciiTheme="minorHAnsi" w:hAnsiTheme="minorHAnsi" w:cstheme="minorHAnsi"/>
          <w:sz w:val="22"/>
          <w:szCs w:val="22"/>
        </w:rPr>
        <w:t xml:space="preserve">, observada a legislação que rege a matéria. </w:t>
      </w:r>
    </w:p>
    <w:p w14:paraId="541A7A7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em dinheiro deverá ser efetuada em favor do contratante, em conta específica na Caixa Econômica Federal, com correção monetária.</w:t>
      </w:r>
    </w:p>
    <w:p w14:paraId="16D9C60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B8FF8A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color w:val="auto"/>
          <w:sz w:val="22"/>
          <w:szCs w:val="22"/>
        </w:rPr>
        <w:t>artigo 827 do Código Civil.</w:t>
      </w:r>
      <w:r>
        <w:rPr>
          <w:rStyle w:val="18"/>
          <w:rFonts w:asciiTheme="minorHAnsi" w:hAnsiTheme="minorHAnsi" w:cstheme="minorHAnsi"/>
          <w:color w:val="auto"/>
          <w:sz w:val="22"/>
          <w:szCs w:val="22"/>
        </w:rPr>
        <w:fldChar w:fldCharType="end"/>
      </w:r>
    </w:p>
    <w:p w14:paraId="1D43ECC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14:paraId="51DF3F4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7C8C188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executará a garantia na forma prevista na legislação que rege a matéria.</w:t>
      </w:r>
    </w:p>
    <w:p w14:paraId="2594FB29">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color w:val="auto"/>
          <w:sz w:val="22"/>
          <w:szCs w:val="22"/>
        </w:rPr>
        <w:t>art. 137, § 4º, da Lei n.º 14.133, de 2021</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5F7415C1">
      <w:pPr>
        <w:pStyle w:val="101"/>
        <w:numPr>
          <w:ilvl w:val="2"/>
          <w:numId w:val="16"/>
        </w:numPr>
        <w:spacing w:after="288" w:afterLines="120" w:line="312"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color w:val="auto"/>
          <w:sz w:val="22"/>
          <w:szCs w:val="22"/>
        </w:rPr>
        <w:t>art. 20 da Circular Susep n° 662, de 11 de abril de 2022</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rPr>
        <w:t>.</w:t>
      </w:r>
    </w:p>
    <w:p w14:paraId="0373805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10FE47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14:paraId="59BCBF6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 </w:t>
      </w:r>
    </w:p>
    <w:p w14:paraId="3907131B">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14:paraId="5F74C57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1DC7DA6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14:paraId="171213B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autoriza o contratante a reter, a qualquer tempo, a garantia, na forma prevista no Edital e neste Contrato.</w:t>
      </w:r>
    </w:p>
    <w:p w14:paraId="1B423BAB">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F7D5A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7CCB5867">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200B5C3C">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6EDE242A">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5B1E4C3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345E44ED">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1F87105E">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1B8B9894">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5569229B">
      <w:pPr>
        <w:numPr>
          <w:ilvl w:val="2"/>
          <w:numId w:val="17"/>
        </w:numPr>
        <w:spacing w:before="120" w:after="288" w:afterLines="120"/>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3D61810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609FD8E2">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7" w:name="_Hlk114504069"/>
      <w:r>
        <w:rPr>
          <w:rStyle w:val="18"/>
          <w:rFonts w:eastAsia="Arial" w:asciiTheme="minorHAnsi" w:hAnsiTheme="minorHAnsi" w:cstheme="minorHAnsi"/>
          <w:sz w:val="22"/>
          <w:szCs w:val="22"/>
        </w:rPr>
        <w:t>Lei nº 14.133, de 2021</w:t>
      </w:r>
      <w:bookmarkEnd w:id="7"/>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505328">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77930570">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E4486B5">
      <w:pPr>
        <w:numPr>
          <w:ilvl w:val="2"/>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05F0B2B0">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5% (cinco por cento) por dia de atraso injustificado sobre o valor da parcela inadimplida, até o limite de 30 (trinta) dias;</w:t>
      </w:r>
    </w:p>
    <w:p w14:paraId="6EA09309">
      <w:pPr>
        <w:numPr>
          <w:ilvl w:val="7"/>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30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21359FA8">
      <w:pPr>
        <w:numPr>
          <w:ilvl w:val="3"/>
          <w:numId w:val="18"/>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de 20% (vinte por cento) sobre o valor total do contrato, no caso de inexecução total do objeto;</w:t>
      </w:r>
    </w:p>
    <w:p w14:paraId="213AAC5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2F2B4A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408B70C">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D62F511">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8605F5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color w:val="auto"/>
          <w:sz w:val="22"/>
          <w:szCs w:val="22"/>
        </w:rPr>
        <w:t>10 (dez)</w:t>
      </w:r>
      <w:r>
        <w:rPr>
          <w:rFonts w:asciiTheme="minorHAnsi" w:hAnsiTheme="minorHAnsi" w:cstheme="minorHAnsi"/>
          <w:i/>
          <w:iCs/>
          <w:color w:val="FF0000"/>
          <w:sz w:val="22"/>
          <w:szCs w:val="22"/>
        </w:rPr>
        <w:t xml:space="preserve"> </w:t>
      </w:r>
      <w:r>
        <w:rPr>
          <w:rFonts w:asciiTheme="minorHAnsi" w:hAnsiTheme="minorHAnsi" w:cstheme="minorHAnsi"/>
          <w:sz w:val="22"/>
          <w:szCs w:val="22"/>
        </w:rPr>
        <w:t>dias, a contar da data do recebimento da comunicação enviada pela autoridade competente.</w:t>
      </w:r>
      <w:bookmarkStart w:id="8" w:name="_Hlk78351618"/>
      <w:bookmarkEnd w:id="8"/>
    </w:p>
    <w:p w14:paraId="3437A351">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5581322A">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86E69FF">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1EE5355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5A3B9B40">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BBFC7E2">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4763F694">
      <w:pPr>
        <w:numPr>
          <w:ilvl w:val="0"/>
          <w:numId w:val="19"/>
        </w:numPr>
        <w:spacing w:before="120" w:after="288" w:afterLines="120" w:line="312" w:lineRule="auto"/>
        <w:ind w:left="567" w:hanging="567"/>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60F75E8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CF38924">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5E0E0D9">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F1EDC91">
      <w:pPr>
        <w:pStyle w:val="99"/>
        <w:numPr>
          <w:ilvl w:val="1"/>
          <w:numId w:val="16"/>
        </w:numPr>
        <w:spacing w:after="288" w:afterLines="120" w:line="312" w:lineRule="auto"/>
        <w:ind w:left="567" w:hanging="567"/>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6E008AB4">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5D6080A">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1EFF29C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pPr>
        <w:pStyle w:val="99"/>
        <w:numPr>
          <w:ilvl w:val="2"/>
          <w:numId w:val="2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5EC3D7AA">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1A356C20">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w:t>
      </w:r>
      <w:r>
        <w:rPr>
          <w:rFonts w:asciiTheme="minorHAnsi" w:hAnsiTheme="minorHAnsi" w:cstheme="minorHAnsi"/>
          <w:color w:val="000000" w:themeColor="text1"/>
          <w:sz w:val="22"/>
          <w:szCs w:val="22"/>
          <w14:textFill>
            <w14:solidFill>
              <w14:schemeClr w14:val="tx1"/>
            </w14:solidFill>
          </w14:textFill>
        </w:rPr>
        <w:t>alteração social ou a modificação da finalidade ou da estrutura da empresa</w:t>
      </w:r>
      <w:r>
        <w:rPr>
          <w:rFonts w:asciiTheme="minorHAnsi" w:hAnsiTheme="minorHAnsi" w:cstheme="minorHAnsi"/>
          <w:sz w:val="22"/>
          <w:szCs w:val="22"/>
        </w:rPr>
        <w:t xml:space="preserve"> não ensejará a extinção se não </w:t>
      </w:r>
      <w:r>
        <w:rPr>
          <w:rFonts w:asciiTheme="minorHAnsi" w:hAnsiTheme="minorHAnsi" w:cstheme="minorHAnsi"/>
          <w:color w:val="000000" w:themeColor="text1"/>
          <w:sz w:val="22"/>
          <w:szCs w:val="22"/>
          <w14:textFill>
            <w14:solidFill>
              <w14:schemeClr w14:val="tx1"/>
            </w14:solidFill>
          </w14:textFill>
        </w:rPr>
        <w:t>restringir sua capacidade de concluir o contrato.</w:t>
      </w:r>
    </w:p>
    <w:p w14:paraId="0E81D986">
      <w:pPr>
        <w:pStyle w:val="102"/>
        <w:numPr>
          <w:ilvl w:val="3"/>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2682B19D">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7EE495E5">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2257656F">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DDB14E4">
      <w:pPr>
        <w:pStyle w:val="101"/>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Indenizações e multas.</w:t>
      </w:r>
    </w:p>
    <w:p w14:paraId="28BD1FD5">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7B004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437B5F4E">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 3º, 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b</w:t>
      </w:r>
      <w:r>
        <w:rPr>
          <w:rStyle w:val="18"/>
          <w:rFonts w:asciiTheme="minorHAnsi" w:hAnsiTheme="minorHAnsi" w:cstheme="minorHAnsi"/>
          <w:sz w:val="22"/>
          <w:szCs w:val="22"/>
        </w:rPr>
        <w:fldChar w:fldCharType="end"/>
      </w:r>
      <w:r>
        <w:rPr>
          <w:rFonts w:asciiTheme="minorHAnsi" w:hAnsiTheme="minorHAnsi" w:cstheme="minorHAnsi"/>
          <w:sz w:val="22"/>
          <w:szCs w:val="22"/>
        </w:rPr>
        <w:t>, da Lei n.º 14.133/2021); e </w:t>
      </w:r>
    </w:p>
    <w:p w14:paraId="6F03FCC3">
      <w:pPr>
        <w:pStyle w:val="99"/>
        <w:numPr>
          <w:ilvl w:val="2"/>
          <w:numId w:val="2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os valores das Notas fiscais ou Faturas correspondentes em valor proporcional ao inadimplemento, até que a situação seja regularizada.</w:t>
      </w:r>
    </w:p>
    <w:p w14:paraId="0704C55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Na hipótese do subitem anterior, não havendo quitação das obrigações por parte do contratado no prazo de </w:t>
      </w:r>
      <w:r>
        <w:rPr>
          <w:rFonts w:asciiTheme="minorHAnsi" w:hAnsiTheme="minorHAnsi" w:cstheme="minorHAnsi"/>
          <w:iCs/>
          <w:color w:val="000000" w:themeColor="text1"/>
          <w:sz w:val="22"/>
          <w:szCs w:val="22"/>
          <w14:textFill>
            <w14:solidFill>
              <w14:schemeClr w14:val="tx1"/>
            </w14:solidFill>
          </w14:textFill>
        </w:rPr>
        <w:t>15 (quinze)</w:t>
      </w:r>
      <w:r>
        <w:rPr>
          <w:rFonts w:asciiTheme="minorHAnsi" w:hAnsiTheme="minorHAnsi" w:cstheme="minorHAnsi"/>
          <w:color w:val="000000" w:themeColor="text1"/>
          <w:sz w:val="22"/>
          <w:szCs w:val="22"/>
          <w14:textFill>
            <w14:solidFill>
              <w14:schemeClr w14:val="tx1"/>
            </w14:solidFill>
          </w14:textFill>
        </w:rPr>
        <w:t xml:space="preserve"> </w:t>
      </w:r>
      <w:r>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r>
        <w:fldChar w:fldCharType="begin"/>
      </w:r>
      <w:r>
        <w:instrText xml:space="preserve"> HYPERLINK "http://www.planalto.gov.br/ccivil_03/_ato2019-2022/2021/lei/L14133.htm" \l "art121§3" </w:instrText>
      </w:r>
      <w:r>
        <w:fldChar w:fldCharType="separate"/>
      </w:r>
      <w:r>
        <w:rPr>
          <w:rStyle w:val="18"/>
          <w:rFonts w:asciiTheme="minorHAnsi" w:hAnsiTheme="minorHAnsi" w:cstheme="minorHAnsi"/>
          <w:sz w:val="22"/>
          <w:szCs w:val="22"/>
        </w:rPr>
        <w:t>art. 121, §3º, inciso II,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D13883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contratante poderá ainda:</w:t>
      </w:r>
    </w:p>
    <w:p w14:paraId="515DE8F1">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nos casos de obrigação de pagamento de multa pelo contratado, reter a garantia prestada a ser executada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art. 139, III, “c”,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 conforme legislação que rege a matéria; e</w:t>
      </w:r>
    </w:p>
    <w:p w14:paraId="1ABE5785">
      <w:pPr>
        <w:pStyle w:val="99"/>
        <w:numPr>
          <w:ilvl w:val="2"/>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nos casos em que houver necessidade de ressarcimento de prejuízos causados à Administração, nos termos </w:t>
      </w:r>
      <w:r>
        <w:fldChar w:fldCharType="begin"/>
      </w:r>
      <w:r>
        <w:instrText xml:space="preserve"> HYPERLINK "http://www.planalto.gov.br/ccivil_03/_ato2019-2022/2021/lei/L14133.htm" \l "art139" </w:instrText>
      </w:r>
      <w:r>
        <w:fldChar w:fldCharType="separate"/>
      </w:r>
      <w:r>
        <w:rPr>
          <w:rStyle w:val="18"/>
          <w:rFonts w:asciiTheme="minorHAnsi" w:hAnsiTheme="minorHAnsi" w:cstheme="minorHAnsi"/>
          <w:sz w:val="22"/>
          <w:szCs w:val="22"/>
        </w:rPr>
        <w:t>do inciso IV do art. 139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reter os eventuais créditos existentes em favor do contratado decorrentes do contrato.</w:t>
      </w:r>
    </w:p>
    <w:p w14:paraId="1330475C">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r>
        <w:fldChar w:fldCharType="begin"/>
      </w:r>
      <w:r>
        <w:instrText xml:space="preserve"> HYPERLINK "http://www.planalto.gov.br/ccivil_03/_ato2019-2022/2021/lei/L14133.htm" \l "art14" </w:instrText>
      </w:r>
      <w:r>
        <w:fldChar w:fldCharType="separate"/>
      </w:r>
      <w:r>
        <w:rPr>
          <w:rStyle w:val="18"/>
          <w:rFonts w:asciiTheme="minorHAnsi" w:hAnsiTheme="minorHAnsi" w:cstheme="minorHAnsi"/>
          <w:sz w:val="22"/>
          <w:szCs w:val="22"/>
        </w:rPr>
        <w:t>art. 14, inciso IV,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2E572F">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12D379D9">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5F63027">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pPr>
        <w:pStyle w:val="99"/>
        <w:numPr>
          <w:ilvl w:val="1"/>
          <w:numId w:val="16"/>
        </w:numPr>
        <w:ind w:left="567" w:hanging="567"/>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r>
        <w:fldChar w:fldCharType="begin"/>
      </w:r>
      <w:r>
        <w:instrText xml:space="preserve"> HYPERLINK "http://www.planalto.gov.br/ccivil_03/_ato2019-2022/2021/lei/L14133.htm" \l "art132" </w:instrText>
      </w:r>
      <w:r>
        <w:fldChar w:fldCharType="separate"/>
      </w:r>
      <w:r>
        <w:rPr>
          <w:rStyle w:val="18"/>
          <w:rFonts w:asciiTheme="minorHAnsi" w:hAnsiTheme="minorHAnsi" w:cstheme="minorHAnsi"/>
          <w:sz w:val="22"/>
          <w:szCs w:val="22"/>
        </w:rPr>
        <w:t>art. 132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AF62ABF">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D2BDD9">
      <w:pPr>
        <w:pStyle w:val="492"/>
        <w:numPr>
          <w:ilvl w:val="0"/>
          <w:numId w:val="16"/>
        </w:numPr>
        <w:tabs>
          <w:tab w:val="left" w:pos="360"/>
        </w:tabs>
        <w:spacing w:before="120"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2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16"/>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492"/>
        <w:numPr>
          <w:ilvl w:val="0"/>
          <w:numId w:val="16"/>
        </w:numPr>
        <w:tabs>
          <w:tab w:val="left" w:pos="360"/>
        </w:tabs>
        <w:spacing w:before="120" w:after="288" w:afterLines="120" w:line="312" w:lineRule="auto"/>
        <w:ind w:left="567" w:hanging="567"/>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16"/>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9"/>
        <w:numPr>
          <w:ilvl w:val="0"/>
          <w:numId w:val="16"/>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numPr>
          <w:ilvl w:val="1"/>
          <w:numId w:val="23"/>
        </w:numPr>
        <w:spacing w:after="288" w:afterLines="120" w:line="312" w:lineRule="auto"/>
        <w:ind w:left="426"/>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6F1D20B">
    <w:pPr>
      <w:pStyle w:val="33"/>
      <w:tabs>
        <w:tab w:val="right" w:pos="9639"/>
        <w:tab w:val="clear" w:pos="8504"/>
      </w:tabs>
      <w:rPr>
        <w:color w:val="000000"/>
        <w:sz w:val="14"/>
        <w:szCs w:val="14"/>
      </w:rPr>
    </w:pPr>
    <w:r>
      <w:rPr>
        <w:color w:val="000000"/>
        <w:sz w:val="14"/>
        <w:szCs w:val="14"/>
      </w:rPr>
      <w:t xml:space="preserve">Câmara Nacional de Modelos de Licitações e Contratos da Consultoria-Geral da União Atualização: maio/2023 </w:t>
    </w:r>
  </w:p>
  <w:p w14:paraId="19BE2BD1">
    <w:pPr>
      <w:pStyle w:val="33"/>
      <w:tabs>
        <w:tab w:val="right" w:pos="9639"/>
        <w:tab w:val="clear" w:pos="8504"/>
      </w:tabs>
      <w:rPr>
        <w:color w:val="000000"/>
        <w:sz w:val="14"/>
        <w:szCs w:val="14"/>
      </w:rPr>
    </w:pPr>
    <w:r>
      <w:rPr>
        <w:color w:val="000000"/>
        <w:sz w:val="14"/>
        <w:szCs w:val="14"/>
      </w:rPr>
      <w:t xml:space="preserve">Termo de contrato modelo para Pregão Eletrônico - Serviços contínuos com regime de dedicação exclusiva de mão de obra - Lei nº 14.133, de 2021. </w:t>
    </w:r>
  </w:p>
  <w:p w14:paraId="4312F900">
    <w:pPr>
      <w:pStyle w:val="33"/>
      <w:tabs>
        <w:tab w:val="right" w:pos="9639"/>
        <w:tab w:val="clear" w:pos="8504"/>
      </w:tabs>
      <w:rPr>
        <w:i/>
      </w:rPr>
    </w:pPr>
    <w:r>
      <w:rPr>
        <w:color w:val="000000"/>
        <w:sz w:val="14"/>
        <w:szCs w:val="14"/>
      </w:rPr>
      <w:t>Aprovado pela Secretaria de Gestão e Inovação. Identidade visual pela Secretaria de Gestão e Inovação</w:t>
    </w:r>
    <w:r>
      <w:rPr>
        <w:sz w:val="12"/>
        <w:szCs w:val="12"/>
      </w:rPr>
      <w:tab/>
    </w:r>
    <w:r>
      <w:rPr>
        <w:sz w:val="12"/>
        <w:szCs w:val="12"/>
      </w:rPr>
      <w:tab/>
    </w:r>
    <w:r>
      <w:rPr>
        <w:rFonts w:cs="Arial"/>
        <w:sz w:val="14"/>
        <w:szCs w:val="14"/>
      </w:rPr>
      <w:t xml:space="preserve">   Pág. </w:t>
    </w:r>
    <w:r>
      <w:rPr>
        <w:rStyle w:val="19"/>
        <w:rFonts w:eastAsia="MS Gothic" w:cs="Arial"/>
        <w:sz w:val="14"/>
        <w:szCs w:val="14"/>
      </w:rPr>
      <w:fldChar w:fldCharType="begin"/>
    </w:r>
    <w:r>
      <w:rPr>
        <w:rStyle w:val="19"/>
        <w:rFonts w:eastAsia="MS Gothic" w:cs="Arial"/>
        <w:sz w:val="14"/>
        <w:szCs w:val="14"/>
      </w:rPr>
      <w:instrText xml:space="preserve"> PAGE </w:instrText>
    </w:r>
    <w:r>
      <w:rPr>
        <w:rStyle w:val="19"/>
        <w:rFonts w:eastAsia="MS Gothic" w:cs="Arial"/>
        <w:sz w:val="14"/>
        <w:szCs w:val="14"/>
      </w:rPr>
      <w:fldChar w:fldCharType="separate"/>
    </w:r>
    <w:r>
      <w:rPr>
        <w:rStyle w:val="19"/>
        <w:rFonts w:eastAsia="MS Gothic" w:cs="Arial"/>
        <w:sz w:val="14"/>
        <w:szCs w:val="14"/>
      </w:rPr>
      <w:t>14</w:t>
    </w:r>
    <w:r>
      <w:rPr>
        <w:rStyle w:val="19"/>
        <w:rFonts w:eastAsia="MS Gothic" w:cs="Arial"/>
        <w:sz w:val="14"/>
        <w:szCs w:val="14"/>
      </w:rPr>
      <w:fldChar w:fldCharType="end"/>
    </w:r>
    <w:r>
      <w:rPr>
        <w:rStyle w:val="19"/>
        <w:rFonts w:eastAsia="MS Gothic" w:cs="Arial"/>
        <w:sz w:val="14"/>
        <w:szCs w:val="14"/>
      </w:rPr>
      <w:t>/</w:t>
    </w:r>
    <w:r>
      <w:rPr>
        <w:rStyle w:val="19"/>
        <w:rFonts w:eastAsia="MS Gothic" w:cs="Arial"/>
        <w:sz w:val="14"/>
        <w:szCs w:val="14"/>
      </w:rPr>
      <w:fldChar w:fldCharType="begin"/>
    </w:r>
    <w:r>
      <w:rPr>
        <w:rStyle w:val="19"/>
        <w:rFonts w:eastAsia="MS Gothic" w:cs="Arial"/>
        <w:sz w:val="14"/>
        <w:szCs w:val="14"/>
      </w:rPr>
      <w:instrText xml:space="preserve"> NUMPAGES </w:instrText>
    </w:r>
    <w:r>
      <w:rPr>
        <w:rStyle w:val="19"/>
        <w:rFonts w:eastAsia="MS Gothic" w:cs="Arial"/>
        <w:sz w:val="14"/>
        <w:szCs w:val="14"/>
      </w:rPr>
      <w:fldChar w:fldCharType="separate"/>
    </w:r>
    <w:r>
      <w:rPr>
        <w:rStyle w:val="19"/>
        <w:rFonts w:eastAsia="MS Gothic" w:cs="Arial"/>
        <w:sz w:val="14"/>
        <w:szCs w:val="14"/>
      </w:rPr>
      <w:t>39</w:t>
    </w:r>
    <w:r>
      <w:rPr>
        <w:rStyle w:val="19"/>
        <w:rFonts w:eastAsia="MS Gothic" w:cs="Arial"/>
        <w:sz w:val="14"/>
        <w:szCs w:val="14"/>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24C43E61"/>
    <w:multiLevelType w:val="multilevel"/>
    <w:tmpl w:val="24C43E61"/>
    <w:lvl w:ilvl="0" w:tentative="0">
      <w:start w:val="11"/>
      <w:numFmt w:val="decimal"/>
      <w:lvlText w:val="%1"/>
      <w:lvlJc w:val="left"/>
      <w:pPr>
        <w:ind w:left="390" w:hanging="390"/>
      </w:pPr>
      <w:rPr>
        <w:rFonts w:hint="default"/>
        <w:i w:val="0"/>
        <w:iCs/>
        <w:color w:val="auto"/>
      </w:rPr>
    </w:lvl>
    <w:lvl w:ilvl="1" w:tentative="0">
      <w:start w:val="1"/>
      <w:numFmt w:val="decimal"/>
      <w:lvlText w:val="%1.%2"/>
      <w:lvlJc w:val="left"/>
      <w:pPr>
        <w:ind w:left="957" w:hanging="390"/>
      </w:pPr>
      <w:rPr>
        <w:rFonts w:hint="default"/>
        <w:i w:val="0"/>
        <w:color w:val="000000" w:themeColor="text1"/>
        <w14:textFill>
          <w14:solidFill>
            <w14:schemeClr w14:val="tx1"/>
          </w14:solidFill>
        </w14:textFill>
      </w:rPr>
    </w:lvl>
    <w:lvl w:ilvl="2" w:tentative="0">
      <w:start w:val="1"/>
      <w:numFmt w:val="decimal"/>
      <w:lvlText w:val="%1.%2.%3"/>
      <w:lvlJc w:val="left"/>
      <w:pPr>
        <w:ind w:left="1854" w:hanging="720"/>
      </w:pPr>
      <w:rPr>
        <w:rFonts w:hint="default"/>
        <w:i/>
        <w:color w:val="auto"/>
      </w:rPr>
    </w:lvl>
    <w:lvl w:ilvl="3" w:tentative="0">
      <w:start w:val="1"/>
      <w:numFmt w:val="decimal"/>
      <w:lvlText w:val="%1.%2.%3.%4"/>
      <w:lvlJc w:val="left"/>
      <w:pPr>
        <w:ind w:left="2421" w:hanging="720"/>
      </w:pPr>
      <w:rPr>
        <w:rFonts w:hint="default"/>
        <w:i/>
        <w:color w:val="auto"/>
      </w:rPr>
    </w:lvl>
    <w:lvl w:ilvl="4" w:tentative="0">
      <w:start w:val="1"/>
      <w:numFmt w:val="decimal"/>
      <w:lvlText w:val="%1.%2.%3.%4.%5"/>
      <w:lvlJc w:val="left"/>
      <w:pPr>
        <w:ind w:left="3348" w:hanging="1080"/>
      </w:pPr>
      <w:rPr>
        <w:rFonts w:hint="default"/>
        <w:i/>
        <w:color w:val="FF0000"/>
      </w:rPr>
    </w:lvl>
    <w:lvl w:ilvl="5" w:tentative="0">
      <w:start w:val="1"/>
      <w:numFmt w:val="decimal"/>
      <w:lvlText w:val="%1.%2.%3.%4.%5.%6"/>
      <w:lvlJc w:val="left"/>
      <w:pPr>
        <w:ind w:left="3915" w:hanging="1080"/>
      </w:pPr>
      <w:rPr>
        <w:rFonts w:hint="default"/>
        <w:i/>
        <w:color w:val="FF0000"/>
      </w:rPr>
    </w:lvl>
    <w:lvl w:ilvl="6" w:tentative="0">
      <w:start w:val="1"/>
      <w:numFmt w:val="decimal"/>
      <w:lvlText w:val="%1.%2.%3.%4.%5.%6.%7"/>
      <w:lvlJc w:val="left"/>
      <w:pPr>
        <w:ind w:left="4842" w:hanging="1440"/>
      </w:pPr>
      <w:rPr>
        <w:rFonts w:hint="default"/>
        <w:i/>
        <w:color w:val="FF0000"/>
      </w:rPr>
    </w:lvl>
    <w:lvl w:ilvl="7" w:tentative="0">
      <w:start w:val="1"/>
      <w:numFmt w:val="decimal"/>
      <w:lvlText w:val="%1.%2.%3.%4.%5.%6.%7.%8"/>
      <w:lvlJc w:val="left"/>
      <w:pPr>
        <w:ind w:left="5409" w:hanging="1440"/>
      </w:pPr>
      <w:rPr>
        <w:rFonts w:hint="default"/>
        <w:i/>
        <w:color w:val="FF0000"/>
      </w:rPr>
    </w:lvl>
    <w:lvl w:ilvl="8" w:tentative="0">
      <w:start w:val="1"/>
      <w:numFmt w:val="decimal"/>
      <w:lvlText w:val="%1.%2.%3.%4.%5.%6.%7.%8.%9"/>
      <w:lvlJc w:val="left"/>
      <w:pPr>
        <w:ind w:left="6336" w:hanging="1800"/>
      </w:pPr>
      <w:rPr>
        <w:rFonts w:hint="default"/>
        <w:i/>
        <w:color w:val="FF0000"/>
      </w:rPr>
    </w:lvl>
  </w:abstractNum>
  <w:abstractNum w:abstractNumId="6">
    <w:nsid w:val="25B95E92"/>
    <w:multiLevelType w:val="multilevel"/>
    <w:tmpl w:val="25B95E92"/>
    <w:lvl w:ilvl="0" w:tentative="0">
      <w:start w:val="1"/>
      <w:numFmt w:val="lowerLetter"/>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7">
    <w:nsid w:val="2928118C"/>
    <w:multiLevelType w:val="multilevel"/>
    <w:tmpl w:val="2928118C"/>
    <w:lvl w:ilvl="0" w:tentative="0">
      <w:start w:val="13"/>
      <w:numFmt w:val="decimal"/>
      <w:lvlText w:val="%1"/>
      <w:lvlJc w:val="left"/>
      <w:pPr>
        <w:ind w:left="560" w:hanging="560"/>
      </w:pPr>
      <w:rPr>
        <w:rFonts w:hint="default"/>
      </w:rPr>
    </w:lvl>
    <w:lvl w:ilvl="1" w:tentative="0">
      <w:start w:val="2"/>
      <w:numFmt w:val="decimal"/>
      <w:lvlText w:val="%1.%2"/>
      <w:lvlJc w:val="left"/>
      <w:pPr>
        <w:ind w:left="914" w:hanging="56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8">
    <w:nsid w:val="29542377"/>
    <w:multiLevelType w:val="multilevel"/>
    <w:tmpl w:val="29542377"/>
    <w:lvl w:ilvl="0" w:tentative="0">
      <w:start w:val="13"/>
      <w:numFmt w:val="decimal"/>
      <w:lvlText w:val="%1"/>
      <w:lvlJc w:val="left"/>
      <w:pPr>
        <w:ind w:left="670" w:hanging="670"/>
      </w:pPr>
      <w:rPr>
        <w:rFonts w:hint="default"/>
      </w:rPr>
    </w:lvl>
    <w:lvl w:ilvl="1" w:tentative="0">
      <w:start w:val="11"/>
      <w:numFmt w:val="decimal"/>
      <w:lvlText w:val="%1.%2"/>
      <w:lvlJc w:val="left"/>
      <w:pPr>
        <w:ind w:left="1024" w:hanging="670"/>
      </w:pPr>
      <w:rPr>
        <w:rFonts w:hint="default"/>
      </w:rPr>
    </w:lvl>
    <w:lvl w:ilvl="2" w:tentative="0">
      <w:start w:val="1"/>
      <w:numFmt w:val="decimal"/>
      <w:lvlText w:val="%1.%2.%3"/>
      <w:lvlJc w:val="left"/>
      <w:pPr>
        <w:ind w:left="1428" w:hanging="720"/>
      </w:pPr>
      <w:rPr>
        <w:rFonts w:hint="default"/>
      </w:rPr>
    </w:lvl>
    <w:lvl w:ilvl="3" w:tentative="0">
      <w:start w:val="1"/>
      <w:numFmt w:val="decimal"/>
      <w:lvlText w:val="%1.%2.%3.%4"/>
      <w:lvlJc w:val="left"/>
      <w:pPr>
        <w:ind w:left="1782" w:hanging="720"/>
      </w:pPr>
      <w:rPr>
        <w:rFonts w:hint="default"/>
      </w:rPr>
    </w:lvl>
    <w:lvl w:ilvl="4" w:tentative="0">
      <w:start w:val="1"/>
      <w:numFmt w:val="decimal"/>
      <w:lvlText w:val="%1.%2.%3.%4.%5"/>
      <w:lvlJc w:val="left"/>
      <w:pPr>
        <w:ind w:left="2496" w:hanging="1080"/>
      </w:pPr>
      <w:rPr>
        <w:rFonts w:hint="default"/>
      </w:rPr>
    </w:lvl>
    <w:lvl w:ilvl="5" w:tentative="0">
      <w:start w:val="1"/>
      <w:numFmt w:val="decimal"/>
      <w:lvlText w:val="%1.%2.%3.%4.%5.%6"/>
      <w:lvlJc w:val="left"/>
      <w:pPr>
        <w:ind w:left="2850" w:hanging="1080"/>
      </w:pPr>
      <w:rPr>
        <w:rFonts w:hint="default"/>
      </w:rPr>
    </w:lvl>
    <w:lvl w:ilvl="6" w:tentative="0">
      <w:start w:val="1"/>
      <w:numFmt w:val="decimal"/>
      <w:lvlText w:val="%1.%2.%3.%4.%5.%6.%7"/>
      <w:lvlJc w:val="left"/>
      <w:pPr>
        <w:ind w:left="3564" w:hanging="1440"/>
      </w:pPr>
      <w:rPr>
        <w:rFonts w:hint="default"/>
      </w:rPr>
    </w:lvl>
    <w:lvl w:ilvl="7" w:tentative="0">
      <w:start w:val="1"/>
      <w:numFmt w:val="decimal"/>
      <w:lvlText w:val="%1.%2.%3.%4.%5.%6.%7.%8"/>
      <w:lvlJc w:val="left"/>
      <w:pPr>
        <w:ind w:left="3918" w:hanging="1440"/>
      </w:pPr>
      <w:rPr>
        <w:rFonts w:hint="default"/>
      </w:rPr>
    </w:lvl>
    <w:lvl w:ilvl="8" w:tentative="0">
      <w:start w:val="1"/>
      <w:numFmt w:val="decimal"/>
      <w:lvlText w:val="%1.%2.%3.%4.%5.%6.%7.%8.%9"/>
      <w:lvlJc w:val="left"/>
      <w:pPr>
        <w:ind w:left="4632" w:hanging="1800"/>
      </w:pPr>
      <w:rPr>
        <w:rFonts w:hint="default"/>
      </w:rPr>
    </w:lvl>
  </w:abstractNum>
  <w:abstractNum w:abstractNumId="9">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0">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11">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12">
    <w:nsid w:val="50290C0B"/>
    <w:multiLevelType w:val="multilevel"/>
    <w:tmpl w:val="50290C0B"/>
    <w:lvl w:ilvl="0" w:tentative="0">
      <w:start w:val="7"/>
      <w:numFmt w:val="decimal"/>
      <w:lvlText w:val="%1"/>
      <w:lvlJc w:val="left"/>
      <w:pPr>
        <w:ind w:left="450" w:hanging="450"/>
      </w:pPr>
      <w:rPr>
        <w:rFonts w:hint="default"/>
      </w:rPr>
    </w:lvl>
    <w:lvl w:ilvl="1" w:tentative="0">
      <w:start w:val="3"/>
      <w:numFmt w:val="decimal"/>
      <w:lvlText w:val="%1.%2"/>
      <w:lvlJc w:val="left"/>
      <w:pPr>
        <w:ind w:left="1022" w:hanging="450"/>
      </w:pPr>
      <w:rPr>
        <w:rFonts w:hint="default"/>
      </w:rPr>
    </w:lvl>
    <w:lvl w:ilvl="2" w:tentative="0">
      <w:start w:val="1"/>
      <w:numFmt w:val="decimal"/>
      <w:lvlText w:val="%1.%2.%3"/>
      <w:lvlJc w:val="left"/>
      <w:pPr>
        <w:ind w:left="1864" w:hanging="720"/>
      </w:pPr>
      <w:rPr>
        <w:rFonts w:hint="default"/>
      </w:rPr>
    </w:lvl>
    <w:lvl w:ilvl="3" w:tentative="0">
      <w:start w:val="1"/>
      <w:numFmt w:val="decimal"/>
      <w:lvlText w:val="%1.%2.%3.%4"/>
      <w:lvlJc w:val="left"/>
      <w:pPr>
        <w:ind w:left="2436" w:hanging="720"/>
      </w:pPr>
      <w:rPr>
        <w:rFonts w:hint="default"/>
      </w:rPr>
    </w:lvl>
    <w:lvl w:ilvl="4" w:tentative="0">
      <w:start w:val="1"/>
      <w:numFmt w:val="decimal"/>
      <w:lvlText w:val="%1.%2.%3.%4.%5"/>
      <w:lvlJc w:val="left"/>
      <w:pPr>
        <w:ind w:left="3368" w:hanging="1080"/>
      </w:pPr>
      <w:rPr>
        <w:rFonts w:hint="default"/>
      </w:rPr>
    </w:lvl>
    <w:lvl w:ilvl="5" w:tentative="0">
      <w:start w:val="1"/>
      <w:numFmt w:val="decimal"/>
      <w:lvlText w:val="%1.%2.%3.%4.%5.%6"/>
      <w:lvlJc w:val="left"/>
      <w:pPr>
        <w:ind w:left="3940" w:hanging="1080"/>
      </w:pPr>
      <w:rPr>
        <w:rFonts w:hint="default"/>
      </w:rPr>
    </w:lvl>
    <w:lvl w:ilvl="6" w:tentative="0">
      <w:start w:val="1"/>
      <w:numFmt w:val="decimal"/>
      <w:lvlText w:val="%1.%2.%3.%4.%5.%6.%7"/>
      <w:lvlJc w:val="left"/>
      <w:pPr>
        <w:ind w:left="4872" w:hanging="1440"/>
      </w:pPr>
      <w:rPr>
        <w:rFonts w:hint="default"/>
      </w:rPr>
    </w:lvl>
    <w:lvl w:ilvl="7" w:tentative="0">
      <w:start w:val="1"/>
      <w:numFmt w:val="decimal"/>
      <w:lvlText w:val="%1.%2.%3.%4.%5.%6.%7.%8"/>
      <w:lvlJc w:val="left"/>
      <w:pPr>
        <w:ind w:left="5444" w:hanging="1440"/>
      </w:pPr>
      <w:rPr>
        <w:rFonts w:hint="default"/>
      </w:rPr>
    </w:lvl>
    <w:lvl w:ilvl="8" w:tentative="0">
      <w:start w:val="1"/>
      <w:numFmt w:val="decimal"/>
      <w:lvlText w:val="%1.%2.%3.%4.%5.%6.%7.%8.%9"/>
      <w:lvlJc w:val="left"/>
      <w:pPr>
        <w:ind w:left="6376" w:hanging="1800"/>
      </w:pPr>
      <w:rPr>
        <w:rFonts w:hint="default"/>
      </w:rPr>
    </w:lvl>
  </w:abstractNum>
  <w:abstractNum w:abstractNumId="13">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4">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6">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7">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8">
    <w:nsid w:val="620B0411"/>
    <w:multiLevelType w:val="multilevel"/>
    <w:tmpl w:val="620B0411"/>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19">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20">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1">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10"/>
  </w:num>
  <w:num w:numId="2">
    <w:abstractNumId w:val="15"/>
  </w:num>
  <w:num w:numId="3">
    <w:abstractNumId w:val="16"/>
  </w:num>
  <w:num w:numId="4">
    <w:abstractNumId w:val="17"/>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4"/>
  </w:num>
  <w:num w:numId="8">
    <w:abstractNumId w:val="3"/>
  </w:num>
  <w:num w:numId="9">
    <w:abstractNumId w:val="20"/>
  </w:num>
  <w:num w:numId="10">
    <w:abstractNumId w:val="11"/>
  </w:num>
  <w:num w:numId="11">
    <w:abstractNumId w:val="2"/>
  </w:num>
  <w:num w:numId="12">
    <w:abstractNumId w:val="6"/>
  </w:num>
  <w:num w:numId="13">
    <w:abstractNumId w:val="12"/>
  </w:num>
  <w:num w:numId="14">
    <w:abstractNumId w:val="17"/>
    <w:lvlOverride w:ilvl="0">
      <w:startOverride w:val="7"/>
    </w:lvlOverride>
    <w:lvlOverride w:ilvl="1">
      <w:startOverride w:val="9"/>
    </w:lvlOverride>
  </w:num>
  <w:num w:numId="15">
    <w:abstractNumId w:val="19"/>
  </w:num>
  <w:num w:numId="16">
    <w:abstractNumId w:val="5"/>
  </w:num>
  <w:num w:numId="17">
    <w:abstractNumId w:val="21"/>
  </w:num>
  <w:num w:numId="18">
    <w:abstractNumId w:val="13"/>
  </w:num>
  <w:num w:numId="19">
    <w:abstractNumId w:val="0"/>
  </w:num>
  <w:num w:numId="20">
    <w:abstractNumId w:val="7"/>
  </w:num>
  <w:num w:numId="21">
    <w:abstractNumId w:val="8"/>
  </w:num>
  <w:num w:numId="22">
    <w:abstractNumId w:val="1"/>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972C5"/>
    <w:rsid w:val="000A58EF"/>
    <w:rsid w:val="000A5C63"/>
    <w:rsid w:val="000A62C8"/>
    <w:rsid w:val="000B5CD5"/>
    <w:rsid w:val="000D0B49"/>
    <w:rsid w:val="000D13E3"/>
    <w:rsid w:val="000D1838"/>
    <w:rsid w:val="000D62E0"/>
    <w:rsid w:val="000E0BB9"/>
    <w:rsid w:val="000F0145"/>
    <w:rsid w:val="0010119F"/>
    <w:rsid w:val="00104571"/>
    <w:rsid w:val="00111CEE"/>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0767A"/>
    <w:rsid w:val="00210941"/>
    <w:rsid w:val="0021344B"/>
    <w:rsid w:val="002154ED"/>
    <w:rsid w:val="0022034C"/>
    <w:rsid w:val="00221956"/>
    <w:rsid w:val="00225216"/>
    <w:rsid w:val="00230969"/>
    <w:rsid w:val="00230E72"/>
    <w:rsid w:val="002318EE"/>
    <w:rsid w:val="00242E92"/>
    <w:rsid w:val="002444B6"/>
    <w:rsid w:val="00252014"/>
    <w:rsid w:val="00252EE9"/>
    <w:rsid w:val="0025380C"/>
    <w:rsid w:val="00254F46"/>
    <w:rsid w:val="00266078"/>
    <w:rsid w:val="00275798"/>
    <w:rsid w:val="002762FA"/>
    <w:rsid w:val="0027641D"/>
    <w:rsid w:val="00290A59"/>
    <w:rsid w:val="002A29F6"/>
    <w:rsid w:val="002A48AB"/>
    <w:rsid w:val="002A5A0B"/>
    <w:rsid w:val="002A62F2"/>
    <w:rsid w:val="002B7158"/>
    <w:rsid w:val="002B7D60"/>
    <w:rsid w:val="002D35D6"/>
    <w:rsid w:val="002D7E78"/>
    <w:rsid w:val="002E549D"/>
    <w:rsid w:val="002E7AB5"/>
    <w:rsid w:val="002F4D24"/>
    <w:rsid w:val="002F756A"/>
    <w:rsid w:val="0030305F"/>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64649"/>
    <w:rsid w:val="003804AE"/>
    <w:rsid w:val="00394D5F"/>
    <w:rsid w:val="003A2662"/>
    <w:rsid w:val="003A4456"/>
    <w:rsid w:val="003A5295"/>
    <w:rsid w:val="003B11E3"/>
    <w:rsid w:val="003B787E"/>
    <w:rsid w:val="003D1811"/>
    <w:rsid w:val="003D2CA2"/>
    <w:rsid w:val="003D4A95"/>
    <w:rsid w:val="003D5227"/>
    <w:rsid w:val="003E3EF1"/>
    <w:rsid w:val="003E4D83"/>
    <w:rsid w:val="003F1825"/>
    <w:rsid w:val="003F4DBD"/>
    <w:rsid w:val="003F500E"/>
    <w:rsid w:val="00403A10"/>
    <w:rsid w:val="004063C2"/>
    <w:rsid w:val="00414A38"/>
    <w:rsid w:val="00416633"/>
    <w:rsid w:val="004174E3"/>
    <w:rsid w:val="00422B45"/>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071F"/>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1DC0"/>
    <w:rsid w:val="0070435E"/>
    <w:rsid w:val="00711ECE"/>
    <w:rsid w:val="00712E04"/>
    <w:rsid w:val="00720609"/>
    <w:rsid w:val="0072557C"/>
    <w:rsid w:val="007259AD"/>
    <w:rsid w:val="00730A67"/>
    <w:rsid w:val="007312B8"/>
    <w:rsid w:val="0074359C"/>
    <w:rsid w:val="007464EA"/>
    <w:rsid w:val="00747EBB"/>
    <w:rsid w:val="00750831"/>
    <w:rsid w:val="007535D5"/>
    <w:rsid w:val="00754691"/>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540D8"/>
    <w:rsid w:val="008566DD"/>
    <w:rsid w:val="00892576"/>
    <w:rsid w:val="0089665C"/>
    <w:rsid w:val="008C23FF"/>
    <w:rsid w:val="008C54E4"/>
    <w:rsid w:val="008C63D1"/>
    <w:rsid w:val="008C6744"/>
    <w:rsid w:val="008E166E"/>
    <w:rsid w:val="008F3BD8"/>
    <w:rsid w:val="0090037C"/>
    <w:rsid w:val="00904434"/>
    <w:rsid w:val="00912689"/>
    <w:rsid w:val="009271C3"/>
    <w:rsid w:val="009350A3"/>
    <w:rsid w:val="00937A6A"/>
    <w:rsid w:val="00940753"/>
    <w:rsid w:val="00946A34"/>
    <w:rsid w:val="009502A0"/>
    <w:rsid w:val="00951247"/>
    <w:rsid w:val="00973203"/>
    <w:rsid w:val="00973C54"/>
    <w:rsid w:val="009937E6"/>
    <w:rsid w:val="009A4E8F"/>
    <w:rsid w:val="009A60CB"/>
    <w:rsid w:val="009C1A02"/>
    <w:rsid w:val="009C225A"/>
    <w:rsid w:val="009C5718"/>
    <w:rsid w:val="009E113C"/>
    <w:rsid w:val="009F2EB2"/>
    <w:rsid w:val="00A05241"/>
    <w:rsid w:val="00A1617D"/>
    <w:rsid w:val="00A21E8F"/>
    <w:rsid w:val="00A30A28"/>
    <w:rsid w:val="00A33729"/>
    <w:rsid w:val="00A45504"/>
    <w:rsid w:val="00A56487"/>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24034"/>
    <w:rsid w:val="00B24606"/>
    <w:rsid w:val="00B41CD4"/>
    <w:rsid w:val="00B525B8"/>
    <w:rsid w:val="00B52CAB"/>
    <w:rsid w:val="00B54C7E"/>
    <w:rsid w:val="00B558E1"/>
    <w:rsid w:val="00B66F19"/>
    <w:rsid w:val="00B67441"/>
    <w:rsid w:val="00B72EE9"/>
    <w:rsid w:val="00B82EC1"/>
    <w:rsid w:val="00B8510A"/>
    <w:rsid w:val="00B85C8F"/>
    <w:rsid w:val="00B87560"/>
    <w:rsid w:val="00B90BA6"/>
    <w:rsid w:val="00B9643D"/>
    <w:rsid w:val="00B97942"/>
    <w:rsid w:val="00BB0870"/>
    <w:rsid w:val="00BB1363"/>
    <w:rsid w:val="00BB2C3E"/>
    <w:rsid w:val="00BB598F"/>
    <w:rsid w:val="00BC4F69"/>
    <w:rsid w:val="00BE2F47"/>
    <w:rsid w:val="00BE53BB"/>
    <w:rsid w:val="00BE591B"/>
    <w:rsid w:val="00BE7F79"/>
    <w:rsid w:val="00BF0117"/>
    <w:rsid w:val="00BF319D"/>
    <w:rsid w:val="00BF4761"/>
    <w:rsid w:val="00C01D97"/>
    <w:rsid w:val="00C0241D"/>
    <w:rsid w:val="00C107EE"/>
    <w:rsid w:val="00C11C38"/>
    <w:rsid w:val="00C11E20"/>
    <w:rsid w:val="00C154AA"/>
    <w:rsid w:val="00C1654F"/>
    <w:rsid w:val="00C2046E"/>
    <w:rsid w:val="00C30204"/>
    <w:rsid w:val="00C433C3"/>
    <w:rsid w:val="00C44CC3"/>
    <w:rsid w:val="00C45096"/>
    <w:rsid w:val="00C50DCE"/>
    <w:rsid w:val="00C51DEE"/>
    <w:rsid w:val="00C5395D"/>
    <w:rsid w:val="00C63DD4"/>
    <w:rsid w:val="00C742F2"/>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01E6"/>
    <w:rsid w:val="00E31561"/>
    <w:rsid w:val="00E43629"/>
    <w:rsid w:val="00E44B0C"/>
    <w:rsid w:val="00E46BDE"/>
    <w:rsid w:val="00E52524"/>
    <w:rsid w:val="00E578A6"/>
    <w:rsid w:val="00E67DCF"/>
    <w:rsid w:val="00E726A9"/>
    <w:rsid w:val="00EA06C5"/>
    <w:rsid w:val="00EB2AB1"/>
    <w:rsid w:val="00EB556D"/>
    <w:rsid w:val="00EB6AF5"/>
    <w:rsid w:val="00EB7F69"/>
    <w:rsid w:val="00ED4EB4"/>
    <w:rsid w:val="00ED7983"/>
    <w:rsid w:val="00F12161"/>
    <w:rsid w:val="00F12A88"/>
    <w:rsid w:val="00F147BA"/>
    <w:rsid w:val="00F16FA0"/>
    <w:rsid w:val="00F233BA"/>
    <w:rsid w:val="00F2352C"/>
    <w:rsid w:val="00F35B8E"/>
    <w:rsid w:val="00F43482"/>
    <w:rsid w:val="00F4673F"/>
    <w:rsid w:val="00F51B33"/>
    <w:rsid w:val="00F559A1"/>
    <w:rsid w:val="00F63D0C"/>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41D2"/>
    <w:rsid w:val="00FF645D"/>
    <w:rsid w:val="00FF6C7B"/>
    <w:rsid w:val="647A6200"/>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nhideWhenUsed="0" w:uiPriority="0" w:semiHidden="0" w:name="Body Text Indent 2"/>
    <w:lsdException w:qFormat="1" w:uiPriority="0" w:semiHidden="0" w:name="Body Text Indent 3"/>
    <w:lsdException w:qFormat="1"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qFormat/>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qFormat/>
    <w:uiPriority w:val="0"/>
  </w:style>
  <w:style w:type="character" w:customStyle="1" w:styleId="111">
    <w:name w:val="WW8Num1z6"/>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uiPriority w:val="0"/>
  </w:style>
  <w:style w:type="character" w:customStyle="1" w:styleId="128">
    <w:name w:val="WW8Num5z2"/>
    <w:qFormat/>
    <w:uiPriority w:val="0"/>
  </w:style>
  <w:style w:type="character" w:customStyle="1" w:styleId="129">
    <w:name w:val="WW8Num5z3"/>
    <w:uiPriority w:val="0"/>
  </w:style>
  <w:style w:type="character" w:customStyle="1" w:styleId="130">
    <w:name w:val="WW8Num5z4"/>
    <w:qFormat/>
    <w:uiPriority w:val="0"/>
  </w:style>
  <w:style w:type="character" w:customStyle="1" w:styleId="131">
    <w:name w:val="WW8Num5z5"/>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qFormat/>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qFormat/>
    <w:uiPriority w:val="0"/>
  </w:style>
  <w:style w:type="character" w:customStyle="1" w:styleId="147">
    <w:name w:val="WW8Num13z5"/>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qFormat/>
    <w:uiPriority w:val="0"/>
  </w:style>
  <w:style w:type="character" w:customStyle="1" w:styleId="216">
    <w:name w:val="WW8Num22z3"/>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uiPriority w:val="0"/>
  </w:style>
  <w:style w:type="character" w:customStyle="1" w:styleId="257">
    <w:name w:val="WW8Num27z5"/>
    <w:qFormat/>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qFormat/>
    <w:uiPriority w:val="0"/>
  </w:style>
  <w:style w:type="character" w:customStyle="1" w:styleId="261">
    <w:name w:val="Fonte parág. padrão3"/>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qFormat/>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qFormat/>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qFormat/>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uiPriority w:val="0"/>
  </w:style>
  <w:style w:type="character" w:customStyle="1" w:styleId="311">
    <w:name w:val="WW8Num4z3"/>
    <w:qFormat/>
    <w:uiPriority w:val="0"/>
  </w:style>
  <w:style w:type="character" w:customStyle="1" w:styleId="312">
    <w:name w:val="WW8Num4z4"/>
    <w:uiPriority w:val="0"/>
  </w:style>
  <w:style w:type="character" w:customStyle="1" w:styleId="313">
    <w:name w:val="WW8Num4z5"/>
    <w:qFormat/>
    <w:uiPriority w:val="0"/>
    <w:rPr>
      <w:b/>
      <w:sz w:val="20"/>
      <w:szCs w:val="20"/>
    </w:rPr>
  </w:style>
  <w:style w:type="character" w:customStyle="1" w:styleId="314">
    <w:name w:val="WW8Num4z6"/>
    <w:uiPriority w:val="0"/>
  </w:style>
  <w:style w:type="character" w:customStyle="1" w:styleId="315">
    <w:name w:val="WW8Num4z7"/>
    <w:qFormat/>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qFormat/>
    <w:uiPriority w:val="0"/>
  </w:style>
  <w:style w:type="character" w:customStyle="1" w:styleId="319">
    <w:name w:val="WW8Num12z2"/>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uiPriority w:val="0"/>
  </w:style>
  <w:style w:type="character" w:customStyle="1" w:styleId="323">
    <w:name w:val="WW8Num12z6"/>
    <w:qFormat/>
    <w:uiPriority w:val="0"/>
  </w:style>
  <w:style w:type="character" w:customStyle="1" w:styleId="324">
    <w:name w:val="WW8Num12z7"/>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qFormat/>
    <w:uiPriority w:val="0"/>
  </w:style>
  <w:style w:type="character" w:customStyle="1" w:styleId="346">
    <w:name w:val="WW8Num29z6"/>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uiPriority w:val="0"/>
  </w:style>
  <w:style w:type="character" w:customStyle="1" w:styleId="355">
    <w:name w:val="WW8Num30z6"/>
    <w:qFormat/>
    <w:uiPriority w:val="0"/>
  </w:style>
  <w:style w:type="character" w:customStyle="1" w:styleId="356">
    <w:name w:val="WW8Num30z7"/>
    <w:uiPriority w:val="0"/>
  </w:style>
  <w:style w:type="character" w:customStyle="1" w:styleId="357">
    <w:name w:val="WW8Num30z8"/>
    <w:qFormat/>
    <w:uiPriority w:val="0"/>
  </w:style>
  <w:style w:type="character" w:customStyle="1" w:styleId="358">
    <w:name w:val="WW8Num31z0"/>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uiPriority w:val="0"/>
  </w:style>
  <w:style w:type="character" w:customStyle="1" w:styleId="363">
    <w:name w:val="WW8Num31z5"/>
    <w:qFormat/>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qFormat/>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uiPriority w:val="0"/>
  </w:style>
  <w:style w:type="character" w:customStyle="1" w:styleId="388">
    <w:name w:val="WW8Num34z3"/>
    <w:qFormat/>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27</Pages>
  <Words>10462</Words>
  <Characters>56497</Characters>
  <Lines>470</Lines>
  <Paragraphs>133</Paragraphs>
  <TotalTime>6</TotalTime>
  <ScaleCrop>false</ScaleCrop>
  <LinksUpToDate>false</LinksUpToDate>
  <CharactersWithSpaces>66826</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2024-11-03T01:23:00Z</dcterms:created>
  <dc:creator>Adriano</dc:creator>
  <cp:lastModifiedBy>jubor</cp:lastModifiedBy>
  <cp:lastPrinted>2024-11-03T01:23:00Z</cp:lastPrinted>
  <dcterms:modified xsi:type="dcterms:W3CDTF">2024-11-08T15:40:37Z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1046-12.2.0.18607</vt:lpwstr>
  </property>
  <property fmtid="{D5CDD505-2E9C-101B-9397-08002B2CF9AE}" pid="3" name="ICV">
    <vt:lpwstr>0CFC756564E3423690773D2F9670BC34_12</vt:lpwstr>
  </property>
</Properties>
</file>