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F028A">
      <w:pPr>
        <w:pStyle w:val="17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-427990</wp:posOffset>
            </wp:positionV>
            <wp:extent cx="640080" cy="619125"/>
            <wp:effectExtent l="0" t="0" r="7620" b="9525"/>
            <wp:wrapNone/>
            <wp:docPr id="1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</w:t>
      </w:r>
      <w:r>
        <w:br w:type="textWrapping"/>
      </w:r>
    </w:p>
    <w:p w14:paraId="278851EF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MINISTÉRIO DA EDUCAÇÃO</w:t>
      </w:r>
    </w:p>
    <w:p w14:paraId="33BC0C94">
      <w:pPr>
        <w:pStyle w:val="2"/>
        <w:spacing w:before="0"/>
        <w:jc w:val="center"/>
        <w:rPr>
          <w:rFonts w:asciiTheme="minorHAnsi" w:hAnsiTheme="minorHAnsi" w:cstheme="minorHAnsi"/>
          <w:b w:val="0"/>
          <w:color w:val="auto"/>
          <w:sz w:val="24"/>
          <w:szCs w:val="24"/>
        </w:rPr>
      </w:pPr>
      <w:r>
        <w:rPr>
          <w:rFonts w:asciiTheme="minorHAnsi" w:hAnsiTheme="minorHAnsi" w:cstheme="minorHAnsi"/>
          <w:color w:val="auto"/>
          <w:sz w:val="24"/>
          <w:szCs w:val="24"/>
        </w:rPr>
        <w:t>UNIVERSIDADE FEDERAL FLUMINENSE</w:t>
      </w:r>
    </w:p>
    <w:p w14:paraId="503B5092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PRO REITORIA DE ADMINISTRAÇÃO</w:t>
      </w:r>
    </w:p>
    <w:p w14:paraId="0E8EE3D5">
      <w:pPr>
        <w:pStyle w:val="54"/>
        <w:rPr>
          <w:rFonts w:asciiTheme="minorHAnsi" w:hAnsiTheme="minorHAnsi"/>
          <w:b/>
        </w:rPr>
      </w:pPr>
    </w:p>
    <w:p w14:paraId="1AC72059">
      <w:pPr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PREGÃO ELETRÔNICO Nº</w:t>
      </w:r>
      <w:r>
        <w:rPr>
          <w:rFonts w:asciiTheme="minorHAnsi" w:hAnsiTheme="minorHAnsi" w:cstheme="minorHAnsi"/>
          <w:b/>
          <w:color w:val="auto"/>
          <w:sz w:val="24"/>
          <w:szCs w:val="24"/>
        </w:rPr>
        <w:t xml:space="preserve"> </w:t>
      </w:r>
      <w:r>
        <w:rPr>
          <w:rFonts w:hint="default" w:asciiTheme="minorHAnsi" w:hAnsiTheme="minorHAnsi" w:cstheme="minorHAnsi"/>
          <w:b/>
          <w:color w:val="auto"/>
          <w:sz w:val="24"/>
          <w:szCs w:val="24"/>
          <w:lang w:val="pt-BR"/>
        </w:rPr>
        <w:t>90.053</w:t>
      </w:r>
      <w:r>
        <w:rPr>
          <w:rFonts w:asciiTheme="minorHAnsi" w:hAnsiTheme="minorHAnsi" w:cstheme="minorHAnsi"/>
          <w:b/>
          <w:color w:val="auto"/>
          <w:sz w:val="24"/>
          <w:szCs w:val="24"/>
        </w:rPr>
        <w:t>/2024</w:t>
      </w:r>
    </w:p>
    <w:p w14:paraId="6430B21F">
      <w:pPr>
        <w:pStyle w:val="54"/>
        <w:rPr>
          <w:rFonts w:asciiTheme="minorHAnsi" w:hAnsiTheme="minorHAnsi"/>
          <w:b/>
        </w:rPr>
      </w:pPr>
    </w:p>
    <w:p w14:paraId="3B2E4D84">
      <w:pPr>
        <w:pStyle w:val="5"/>
        <w:rPr>
          <w:rFonts w:cs="Arial" w:asciiTheme="minorHAnsi" w:hAnsiTheme="minorHAnsi"/>
          <w:sz w:val="24"/>
          <w:szCs w:val="24"/>
          <w:u w:val="none"/>
        </w:rPr>
      </w:pPr>
      <w:r>
        <w:rPr>
          <w:rFonts w:cs="Arial" w:asciiTheme="minorHAnsi" w:hAnsiTheme="minorHAnsi"/>
          <w:sz w:val="24"/>
          <w:szCs w:val="24"/>
          <w:u w:val="none"/>
        </w:rPr>
        <w:t xml:space="preserve">ANEXO  X DO EDITAL </w:t>
      </w:r>
    </w:p>
    <w:p w14:paraId="7A609D43">
      <w:pPr>
        <w:rPr>
          <w:lang w:val="pt-PT"/>
        </w:rPr>
      </w:pPr>
    </w:p>
    <w:p w14:paraId="677E0B26">
      <w:pPr>
        <w:rPr>
          <w:lang w:val="pt-PT"/>
        </w:rPr>
      </w:pPr>
    </w:p>
    <w:p w14:paraId="697E9BBA">
      <w:pPr>
        <w:pStyle w:val="5"/>
        <w:rPr>
          <w:rFonts w:cs="Arial" w:asciiTheme="minorHAnsi" w:hAnsiTheme="minorHAnsi"/>
          <w:sz w:val="16"/>
          <w:szCs w:val="16"/>
        </w:rPr>
      </w:pPr>
    </w:p>
    <w:p w14:paraId="39291021">
      <w:pPr>
        <w:pStyle w:val="5"/>
        <w:rPr>
          <w:rFonts w:cs="Arial" w:asciiTheme="minorHAnsi" w:hAnsiTheme="minorHAnsi"/>
          <w:sz w:val="20"/>
        </w:rPr>
      </w:pPr>
      <w:r>
        <w:rPr>
          <w:rFonts w:cs="Arial" w:asciiTheme="minorHAnsi" w:hAnsiTheme="minorHAnsi"/>
          <w:sz w:val="20"/>
        </w:rPr>
        <w:t>MEMÓRIA DE CÁLCULO DA PLANILHA DE CUSTO E FORMAÇÃO DE PREÇO</w:t>
      </w:r>
    </w:p>
    <w:p w14:paraId="775C887E">
      <w:pPr>
        <w:rPr>
          <w:rFonts w:cs="Arial" w:asciiTheme="minorHAnsi" w:hAnsiTheme="minorHAnsi"/>
          <w:sz w:val="16"/>
          <w:szCs w:val="16"/>
          <w:lang w:val="pt-PT"/>
        </w:rPr>
      </w:pPr>
    </w:p>
    <w:p w14:paraId="33ED470E">
      <w:pPr>
        <w:rPr>
          <w:rFonts w:cs="Arial" w:asciiTheme="minorHAnsi" w:hAnsiTheme="minorHAnsi"/>
          <w:b/>
          <w:sz w:val="16"/>
          <w:szCs w:val="16"/>
          <w:u w:val="single"/>
          <w:lang w:val="pt-PT"/>
        </w:rPr>
      </w:pPr>
    </w:p>
    <w:p w14:paraId="30CBB28A">
      <w:pPr>
        <w:pStyle w:val="60"/>
        <w:rPr>
          <w:rFonts w:ascii="Calibri" w:hAnsi="Calibri" w:cs="Arial"/>
          <w:b/>
          <w:i/>
          <w:sz w:val="22"/>
          <w:szCs w:val="22"/>
        </w:rPr>
      </w:pPr>
      <w:r>
        <w:rPr>
          <w:rFonts w:ascii="Calibri" w:hAnsi="Calibri" w:cs="Arial"/>
          <w:b/>
          <w:i/>
          <w:sz w:val="22"/>
          <w:szCs w:val="22"/>
        </w:rPr>
        <w:t>A empresa deverá declarar em qual REGIME DE TRIBUTAÇÃO se enquadra, e não poderá se beneficiar da condição de optante pelo Simples Nacional, salvo as exceções previstas no § 5º-C do art. 18 da Lei Complementar nº 123, de 14 de dezembro de 2006; pois se caso vencedora será obrigatória à exclusão desse regime, logo os custos atribuídos a esta prestação de serviço, com cessão de mão de obra deverão estar corretamente previstos.</w:t>
      </w:r>
    </w:p>
    <w:p w14:paraId="118D126E">
      <w:pPr>
        <w:pStyle w:val="54"/>
        <w:jc w:val="both"/>
        <w:rPr>
          <w:rFonts w:ascii="Calibri" w:hAnsi="Calibri"/>
          <w:bCs/>
          <w:color w:val="auto"/>
          <w:sz w:val="22"/>
          <w:szCs w:val="22"/>
        </w:rPr>
      </w:pPr>
    </w:p>
    <w:p w14:paraId="6C08C593">
      <w:pPr>
        <w:pStyle w:val="54"/>
        <w:jc w:val="both"/>
        <w:rPr>
          <w:rFonts w:ascii="Calibri" w:hAnsi="Calibri"/>
          <w:b/>
          <w:sz w:val="22"/>
          <w:szCs w:val="22"/>
          <w:u w:val="single"/>
        </w:rPr>
      </w:pPr>
    </w:p>
    <w:p w14:paraId="27907A69">
      <w:pPr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  <w:u w:val="single"/>
          <w:lang w:val="pt-PT"/>
        </w:rPr>
        <w:t>Módulo 1 – Composição da Remuneração</w:t>
      </w:r>
    </w:p>
    <w:p w14:paraId="6CB4D819">
      <w:pPr>
        <w:rPr>
          <w:rFonts w:ascii="Calibri" w:hAnsi="Calibri" w:cs="Arial"/>
          <w:sz w:val="22"/>
          <w:szCs w:val="22"/>
        </w:rPr>
      </w:pPr>
    </w:p>
    <w:p w14:paraId="70D31BA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 xml:space="preserve">A) Salário Base </w:t>
      </w:r>
    </w:p>
    <w:p w14:paraId="6DD80D0F">
      <w:pPr>
        <w:pStyle w:val="54"/>
        <w:jc w:val="both"/>
        <w:rPr>
          <w:rStyle w:val="35"/>
          <w:rFonts w:ascii="Calibri" w:hAnsi="Calibri"/>
          <w:sz w:val="22"/>
          <w:szCs w:val="22"/>
        </w:rPr>
      </w:pPr>
    </w:p>
    <w:p w14:paraId="26DD0FCE">
      <w:pPr>
        <w:pStyle w:val="54"/>
        <w:jc w:val="both"/>
        <w:rPr>
          <w:rFonts w:asciiTheme="minorHAnsi" w:hAnsiTheme="minorHAnsi" w:eastAsiaTheme="minorHAnsi" w:cstheme="minorHAnsi"/>
        </w:rPr>
      </w:pPr>
      <w:r>
        <w:rPr>
          <w:rStyle w:val="35"/>
          <w:rFonts w:ascii="Calibri" w:hAnsi="Calibri"/>
          <w:sz w:val="22"/>
          <w:szCs w:val="22"/>
        </w:rPr>
        <w:t xml:space="preserve">A </w:t>
      </w:r>
      <w:r>
        <w:rPr>
          <w:rStyle w:val="35"/>
          <w:rFonts w:asciiTheme="minorHAnsi" w:hAnsiTheme="minorHAnsi" w:cstheme="minorHAnsi"/>
          <w:sz w:val="22"/>
          <w:szCs w:val="22"/>
        </w:rPr>
        <w:t xml:space="preserve">empresa deverá indicar qual seu enquadramento sindical, sendo a elaboração de sua proposta de acordo com a convenção coletiva do sindicato relacionado à sua atividade preponderante (Arts. 570, 577 e 581, §2º da CLT, Art. 8º, II, CF e Acórdão TCU 1097/2019, Plenário). Os valores dos salários e benefícios dos profissionais previstos neste Edital foram considerados de acordo com o estabelecido </w:t>
      </w:r>
    </w:p>
    <w:p w14:paraId="1479F85B">
      <w:pPr>
        <w:pStyle w:val="54"/>
        <w:jc w:val="both"/>
        <w:rPr>
          <w:rStyle w:val="35"/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eastAsiaTheme="minorHAnsi" w:cstheme="minorHAnsi"/>
        </w:rPr>
        <w:t xml:space="preserve"> </w:t>
      </w:r>
      <w:r>
        <w:rPr>
          <w:rFonts w:asciiTheme="minorHAnsi" w:hAnsiTheme="minorHAnsi" w:eastAsiaTheme="minorHAnsi" w:cstheme="minorHAnsi"/>
          <w:sz w:val="20"/>
          <w:szCs w:val="20"/>
        </w:rPr>
        <w:t>SINDICATO DAS EMP ASSEIO E CONS EST DO RIO DE JANEIRO</w:t>
      </w:r>
      <w:r>
        <w:rPr>
          <w:rStyle w:val="35"/>
          <w:rFonts w:asciiTheme="minorHAnsi" w:hAnsiTheme="minorHAnsi" w:cstheme="minorHAnsi"/>
          <w:sz w:val="22"/>
          <w:szCs w:val="22"/>
        </w:rPr>
        <w:t xml:space="preserve">, por meio da Convenção Coletiva de Trabalho 2024/2025, registrada sob o nº </w:t>
      </w:r>
      <w:r>
        <w:rPr>
          <w:rStyle w:val="35"/>
          <w:rFonts w:asciiTheme="minorHAnsi" w:hAnsiTheme="minorHAnsi" w:cstheme="minorHAnsi"/>
          <w:b/>
          <w:sz w:val="22"/>
          <w:szCs w:val="22"/>
        </w:rPr>
        <w:t>RJ001171/2024</w:t>
      </w:r>
      <w:r>
        <w:rPr>
          <w:rStyle w:val="35"/>
          <w:rFonts w:asciiTheme="minorHAnsi" w:hAnsiTheme="minorHAnsi" w:cstheme="minorHAnsi"/>
          <w:b/>
          <w:bCs/>
          <w:sz w:val="22"/>
          <w:szCs w:val="22"/>
        </w:rPr>
        <w:t>.</w:t>
      </w:r>
    </w:p>
    <w:p w14:paraId="09AEC5C9">
      <w:pPr>
        <w:pStyle w:val="54"/>
        <w:jc w:val="both"/>
        <w:rPr>
          <w:rStyle w:val="35"/>
          <w:rFonts w:ascii="Calibri" w:hAnsi="Calibri"/>
          <w:sz w:val="22"/>
          <w:szCs w:val="22"/>
        </w:rPr>
      </w:pPr>
    </w:p>
    <w:p w14:paraId="4050F700">
      <w:pPr>
        <w:tabs>
          <w:tab w:val="left" w:pos="2552"/>
        </w:tabs>
        <w:spacing w:before="120" w:after="120" w:line="276" w:lineRule="auto"/>
        <w:ind w:right="-15"/>
        <w:jc w:val="both"/>
        <w:rPr>
          <w:rFonts w:cs="Arial"/>
          <w:i/>
          <w:color w:val="FF0000"/>
          <w:lang w:eastAsia="en-US"/>
        </w:rPr>
      </w:pPr>
      <w: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O(s) sindicato(s) indicado(s) nos subitens acima não são de utilização obrigatória pelos licitantes (Acórdão TCU nº 369/2012), mas sempre se exigirá o cumprimento dos </w:t>
      </w:r>
      <w:r>
        <w:rPr>
          <w:rFonts w:asciiTheme="minorHAnsi" w:hAnsiTheme="minorHAnsi" w:cstheme="minorHAnsi"/>
          <w:i/>
          <w:color w:val="FF0000"/>
          <w:sz w:val="22"/>
          <w:szCs w:val="22"/>
        </w:rPr>
        <w:t>acordos, dissídios ou</w:t>
      </w:r>
      <w:r>
        <w:rPr>
          <w:rFonts w:asciiTheme="minorHAnsi" w:hAnsiTheme="minorHAnsi" w:cstheme="minorHAnsi"/>
          <w:i/>
          <w:color w:val="FF0000"/>
          <w:sz w:val="22"/>
          <w:szCs w:val="22"/>
          <w:lang w:eastAsia="en-US"/>
        </w:rPr>
        <w:t xml:space="preserve"> convenções coletivas adotados por cada licitante/contratante.</w:t>
      </w:r>
      <w:r>
        <w:rPr>
          <w:rFonts w:cs="Arial"/>
          <w:i/>
          <w:color w:val="FF0000"/>
          <w:lang w:eastAsia="en-US"/>
        </w:rPr>
        <w:t xml:space="preserve"> </w:t>
      </w:r>
    </w:p>
    <w:p w14:paraId="04AE4B4F">
      <w:pPr>
        <w:pStyle w:val="54"/>
        <w:jc w:val="both"/>
        <w:rPr>
          <w:rStyle w:val="35"/>
          <w:rFonts w:ascii="Calibri" w:hAnsi="Calibri"/>
          <w:bCs/>
          <w:sz w:val="22"/>
          <w:szCs w:val="22"/>
          <w:highlight w:val="yellow"/>
        </w:rPr>
      </w:pPr>
      <w:r>
        <w:rPr>
          <w:rStyle w:val="35"/>
          <w:rFonts w:ascii="Calibri" w:hAnsi="Calibri"/>
          <w:sz w:val="22"/>
          <w:szCs w:val="22"/>
        </w:rPr>
        <w:t xml:space="preserve">Observação: Conforme Cláusula Terceira da CCT registrada sob o nº </w:t>
      </w:r>
      <w:r>
        <w:rPr>
          <w:rStyle w:val="35"/>
          <w:rFonts w:asciiTheme="minorHAnsi" w:hAnsiTheme="minorHAnsi" w:cstheme="minorHAnsi"/>
          <w:b/>
          <w:sz w:val="22"/>
          <w:szCs w:val="22"/>
        </w:rPr>
        <w:t>RJ001171/2024</w:t>
      </w:r>
      <w:r>
        <w:rPr>
          <w:rStyle w:val="35"/>
          <w:rFonts w:ascii="Calibri" w:hAnsi="Calibri"/>
          <w:b/>
          <w:sz w:val="22"/>
          <w:szCs w:val="22"/>
        </w:rPr>
        <w:t xml:space="preserve">, </w:t>
      </w:r>
      <w:r>
        <w:rPr>
          <w:rStyle w:val="35"/>
          <w:rFonts w:ascii="Calibri" w:hAnsi="Calibri"/>
          <w:bCs/>
          <w:sz w:val="22"/>
          <w:szCs w:val="22"/>
        </w:rPr>
        <w:t>o salário dos profissionais será:</w:t>
      </w:r>
    </w:p>
    <w:p w14:paraId="2D8BB7F1">
      <w:pPr>
        <w:pStyle w:val="54"/>
        <w:jc w:val="both"/>
        <w:rPr>
          <w:rFonts w:ascii="Calibri" w:hAnsi="Calibri"/>
          <w:b/>
          <w:u w:val="single"/>
        </w:rPr>
      </w:pPr>
    </w:p>
    <w:tbl>
      <w:tblPr>
        <w:tblStyle w:val="70"/>
        <w:tblW w:w="7015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3880"/>
        <w:gridCol w:w="1298"/>
        <w:gridCol w:w="1196"/>
      </w:tblGrid>
      <w:tr w14:paraId="023E0B4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41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0F58A7D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88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572B022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Descrição/Especificação</w:t>
            </w:r>
          </w:p>
        </w:tc>
        <w:tc>
          <w:tcPr>
            <w:tcW w:w="1298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7FE43F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Quantidade de Pessoal</w:t>
            </w:r>
          </w:p>
        </w:tc>
        <w:tc>
          <w:tcPr>
            <w:tcW w:w="1196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60835F75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CCT ASSEIO</w:t>
            </w:r>
          </w:p>
        </w:tc>
      </w:tr>
      <w:tr w14:paraId="649D9C8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</w:tcPr>
          <w:p w14:paraId="2143DAD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3880" w:type="dxa"/>
            <w:noWrap/>
          </w:tcPr>
          <w:p w14:paraId="432E61F7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Operador de roçadeira  / Moto Poda</w:t>
            </w:r>
          </w:p>
        </w:tc>
        <w:tc>
          <w:tcPr>
            <w:tcW w:w="1298" w:type="dxa"/>
          </w:tcPr>
          <w:p w14:paraId="657109A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196" w:type="dxa"/>
          </w:tcPr>
          <w:p w14:paraId="3C8B81F0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</w:t>
            </w:r>
            <w:r>
              <w:rPr>
                <w:rFonts w:ascii="Calibri" w:hAnsi="Calibri" w:cs="Calibri"/>
                <w:color w:val="000000"/>
              </w:rPr>
              <w:t>$1.709,65</w:t>
            </w:r>
          </w:p>
        </w:tc>
      </w:tr>
      <w:tr w14:paraId="6A420D1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</w:tcPr>
          <w:p w14:paraId="0D89B55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880" w:type="dxa"/>
            <w:noWrap/>
          </w:tcPr>
          <w:p w14:paraId="76FDB499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Auxiliar de Jardinagem</w:t>
            </w:r>
          </w:p>
        </w:tc>
        <w:tc>
          <w:tcPr>
            <w:tcW w:w="1298" w:type="dxa"/>
          </w:tcPr>
          <w:p w14:paraId="7E06390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96" w:type="dxa"/>
          </w:tcPr>
          <w:p w14:paraId="4FC7C871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</w:t>
            </w:r>
            <w:r>
              <w:rPr>
                <w:rFonts w:ascii="Calibri" w:hAnsi="Calibri" w:cs="Calibri"/>
                <w:color w:val="000000"/>
              </w:rPr>
              <w:t>$1.709,65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14:paraId="4A5E51A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</w:tcPr>
          <w:p w14:paraId="02FE308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3880" w:type="dxa"/>
            <w:noWrap/>
          </w:tcPr>
          <w:p w14:paraId="6C98BC2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Tratorista</w:t>
            </w:r>
          </w:p>
        </w:tc>
        <w:tc>
          <w:tcPr>
            <w:tcW w:w="1298" w:type="dxa"/>
          </w:tcPr>
          <w:p w14:paraId="3A78045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6" w:type="dxa"/>
          </w:tcPr>
          <w:p w14:paraId="294B16B5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</w:t>
            </w:r>
            <w:r>
              <w:rPr>
                <w:rFonts w:ascii="Calibri" w:hAnsi="Calibri" w:cs="Calibri"/>
                <w:color w:val="000000"/>
              </w:rPr>
              <w:t>$1.709,65</w:t>
            </w:r>
          </w:p>
        </w:tc>
      </w:tr>
      <w:tr w14:paraId="6524019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1" w:type="dxa"/>
          </w:tcPr>
          <w:p w14:paraId="23BB555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3880" w:type="dxa"/>
            <w:noWrap/>
          </w:tcPr>
          <w:p w14:paraId="64C4B44E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Operador de Moto-serra</w:t>
            </w:r>
          </w:p>
        </w:tc>
        <w:tc>
          <w:tcPr>
            <w:tcW w:w="1298" w:type="dxa"/>
          </w:tcPr>
          <w:p w14:paraId="6945F0CC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96" w:type="dxa"/>
          </w:tcPr>
          <w:p w14:paraId="3B33A17E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</w:t>
            </w:r>
            <w:r>
              <w:rPr>
                <w:rFonts w:ascii="Calibri" w:hAnsi="Calibri" w:cs="Calibri"/>
                <w:color w:val="000000"/>
              </w:rPr>
              <w:t>$1.709,65</w:t>
            </w:r>
          </w:p>
        </w:tc>
      </w:tr>
      <w:tr w14:paraId="1AA7C81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521" w:type="dxa"/>
            <w:gridSpan w:val="2"/>
          </w:tcPr>
          <w:p w14:paraId="5FCCBFB0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1298" w:type="dxa"/>
          </w:tcPr>
          <w:p w14:paraId="4CE2A23F">
            <w:pPr>
              <w:jc w:val="center"/>
              <w:rPr>
                <w:rFonts w:hint="default" w:ascii="Calibri" w:hAnsi="Calibri" w:cs="Calibri"/>
                <w:b/>
                <w:bCs/>
                <w:color w:val="000000"/>
                <w:sz w:val="22"/>
                <w:szCs w:val="22"/>
                <w:lang w:val="pt-BR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</w:t>
            </w:r>
            <w:r>
              <w:rPr>
                <w:rFonts w:hint="default" w:ascii="Calibri" w:hAnsi="Calibri" w:cs="Calibri"/>
                <w:b/>
                <w:bCs/>
                <w:color w:val="000000"/>
                <w:sz w:val="22"/>
                <w:szCs w:val="22"/>
                <w:lang w:val="pt-BR"/>
              </w:rPr>
              <w:t>7</w:t>
            </w:r>
            <w:bookmarkStart w:id="2" w:name="_GoBack"/>
            <w:bookmarkEnd w:id="2"/>
          </w:p>
        </w:tc>
        <w:tc>
          <w:tcPr>
            <w:tcW w:w="1196" w:type="dxa"/>
          </w:tcPr>
          <w:p w14:paraId="2D77268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14:paraId="609D1381">
      <w:pPr>
        <w:spacing w:line="276" w:lineRule="auto"/>
        <w:jc w:val="both"/>
        <w:rPr>
          <w:rFonts w:ascii="Calibri" w:hAnsi="Calibri" w:cs="Arial"/>
          <w:b/>
        </w:rPr>
      </w:pPr>
    </w:p>
    <w:p w14:paraId="09A35979">
      <w:pPr>
        <w:spacing w:line="276" w:lineRule="auto"/>
        <w:jc w:val="both"/>
        <w:rPr>
          <w:rFonts w:ascii="Calibri" w:hAnsi="Calibri" w:cs="Arial"/>
          <w:b/>
        </w:rPr>
      </w:pPr>
    </w:p>
    <w:p w14:paraId="050237B9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B e C) Adicional de Insalubridade/Periculosidade</w:t>
      </w:r>
    </w:p>
    <w:p w14:paraId="6CF38BD6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para periculosidade para os cargos de Operador de roçadeira, moto-poda, Moto-serra e Tratorista, conforme CCT.</w:t>
      </w:r>
    </w:p>
    <w:p w14:paraId="14A94591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3CDE842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D) Adicional Noturno</w:t>
      </w:r>
    </w:p>
    <w:p w14:paraId="76B61837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Não há previsão de Adicional Noturno, conforme Planilha de Formação de Custos (Anexo IV do Edital).</w:t>
      </w:r>
    </w:p>
    <w:p w14:paraId="42CBFA4E">
      <w:pPr>
        <w:spacing w:line="276" w:lineRule="auto"/>
        <w:jc w:val="both"/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</w:pP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 Módulo 1 refere-se ao </w:t>
      </w: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valor mensal devido ao empregado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 pela prestação do serviço no período de 12 meses.</w:t>
      </w:r>
    </w:p>
    <w:p w14:paraId="3E8E6D67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7907E673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E) Adicional de hora noturna reduzida</w:t>
      </w:r>
    </w:p>
    <w:p w14:paraId="3F20C868">
      <w:pPr>
        <w:autoSpaceDE w:val="0"/>
        <w:autoSpaceDN w:val="0"/>
        <w:adjustRightInd w:val="0"/>
        <w:rPr>
          <w:rFonts w:ascii="Calibri" w:hAnsi="Calibri" w:cs="Calibri" w:eastAsiaTheme="minorHAnsi"/>
          <w:color w:val="000000"/>
          <w:sz w:val="22"/>
          <w:szCs w:val="22"/>
          <w:lang w:eastAsia="en-US"/>
        </w:rPr>
      </w:pPr>
      <w:r>
        <w:rPr>
          <w:rFonts w:ascii="Calibri" w:hAnsi="Calibri" w:cs="Calibri" w:eastAsiaTheme="minorHAnsi"/>
          <w:color w:val="000000"/>
          <w:sz w:val="22"/>
          <w:szCs w:val="22"/>
          <w:lang w:eastAsia="en-US"/>
        </w:rPr>
        <w:t xml:space="preserve">Não há previsão de adicional noturno. </w:t>
      </w:r>
    </w:p>
    <w:p w14:paraId="293581F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04C88508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1-A) Intrajornada</w:t>
      </w:r>
    </w:p>
    <w:p w14:paraId="1BA42746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</w:t>
      </w:r>
    </w:p>
    <w:p w14:paraId="03837815">
      <w:pPr>
        <w:tabs>
          <w:tab w:val="left" w:pos="8130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245584EC">
      <w:pPr>
        <w:tabs>
          <w:tab w:val="left" w:pos="8130"/>
        </w:tabs>
        <w:ind w:left="720"/>
        <w:jc w:val="both"/>
        <w:rPr>
          <w:rFonts w:asciiTheme="minorHAnsi" w:hAnsiTheme="minorHAnsi" w:cstheme="minorHAnsi"/>
        </w:rPr>
      </w:pPr>
    </w:p>
    <w:p w14:paraId="7FD9135E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(40 horas semanais) – 2ª a 6ª Feira</w:t>
      </w:r>
    </w:p>
    <w:p w14:paraId="45C901D9">
      <w:pPr>
        <w:pStyle w:val="63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4B58AFAF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24589BDA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765FB469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Sendo assim, considerando 05 dias de trabalho (jornada de 44 horas), temos:</w:t>
      </w:r>
    </w:p>
    <w:p w14:paraId="50992584">
      <w:pPr>
        <w:rPr>
          <w:rFonts w:asciiTheme="minorHAnsi" w:hAnsiTheme="minorHAnsi"/>
          <w:iCs/>
          <w:sz w:val="22"/>
          <w:szCs w:val="22"/>
        </w:rPr>
      </w:pPr>
    </w:p>
    <w:p w14:paraId="1E411F15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10 x (5/7)    = 7,1429    </w:t>
      </w:r>
    </w:p>
    <w:p w14:paraId="43523235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435D0354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Somando-se aos feriados com data móvel (03):   7,1429 + 3= </w:t>
      </w:r>
      <w:r>
        <w:rPr>
          <w:rFonts w:asciiTheme="minorHAnsi" w:hAnsiTheme="minorHAnsi"/>
          <w:b/>
          <w:iCs/>
          <w:sz w:val="22"/>
          <w:szCs w:val="22"/>
        </w:rPr>
        <w:t>10,1429</w:t>
      </w:r>
      <w:r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625592D1">
      <w:pPr>
        <w:rPr>
          <w:rFonts w:asciiTheme="minorHAnsi" w:hAnsiTheme="minorHAnsi"/>
          <w:iCs/>
          <w:sz w:val="22"/>
          <w:szCs w:val="22"/>
        </w:rPr>
      </w:pPr>
    </w:p>
    <w:p w14:paraId="07EE4BF3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365:7 = 52,1429   (semanas no ano)</w:t>
      </w:r>
    </w:p>
    <w:p w14:paraId="5BE44B98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(c)</w:t>
      </w:r>
      <w:r>
        <w:rPr>
          <w:rFonts w:asciiTheme="minorHAnsi" w:hAnsiTheme="minorHAnsi"/>
          <w:iCs/>
          <w:sz w:val="22"/>
          <w:szCs w:val="22"/>
        </w:rPr>
        <w:t xml:space="preserve"> 52,1429 x 2 = 104,2858  (dias de final de semana no ano)</w:t>
      </w:r>
    </w:p>
    <w:p w14:paraId="6034E766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(d)</w:t>
      </w:r>
      <w:r>
        <w:rPr>
          <w:rFonts w:asciiTheme="minorHAnsi" w:hAnsiTheme="minorHAnsi"/>
          <w:iCs/>
          <w:sz w:val="22"/>
          <w:szCs w:val="22"/>
        </w:rPr>
        <w:t xml:space="preserve"> 104,2858 + 10,1429 = 114,4287 (dias não trabalhados no ano)</w:t>
      </w:r>
    </w:p>
    <w:p w14:paraId="689E2472">
      <w:pPr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(e)</w:t>
      </w:r>
      <w:r>
        <w:rPr>
          <w:rFonts w:asciiTheme="minorHAnsi" w:hAnsiTheme="minorHAnsi"/>
          <w:iCs/>
          <w:sz w:val="22"/>
          <w:szCs w:val="22"/>
        </w:rPr>
        <w:t xml:space="preserve"> 365 – 114,4287 = 250,5713 (dias de trabalho no ano)</w:t>
      </w:r>
    </w:p>
    <w:p w14:paraId="15E914F0">
      <w:pPr>
        <w:rPr>
          <w:rFonts w:asciiTheme="minorHAnsi" w:hAnsiTheme="minorHAnsi"/>
          <w:iCs/>
          <w:color w:val="FF0000"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(f)</w:t>
      </w:r>
      <w:r>
        <w:rPr>
          <w:rFonts w:asciiTheme="minorHAnsi" w:hAnsiTheme="minorHAnsi"/>
          <w:iCs/>
          <w:sz w:val="22"/>
          <w:szCs w:val="22"/>
        </w:rPr>
        <w:t xml:space="preserve"> 250,5713 : 12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20,88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276F49DF">
      <w:pPr>
        <w:rPr>
          <w:rFonts w:asciiTheme="minorHAnsi" w:hAnsiTheme="minorHAnsi"/>
          <w:iCs/>
          <w:color w:val="FF0000"/>
          <w:sz w:val="22"/>
          <w:szCs w:val="22"/>
        </w:rPr>
      </w:pPr>
    </w:p>
    <w:p w14:paraId="02DB9B98">
      <w:pPr>
        <w:jc w:val="both"/>
        <w:rPr>
          <w:rFonts w:asciiTheme="minorHAnsi" w:hAnsiTheme="minorHAnsi"/>
          <w:iCs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1436370</wp:posOffset>
                </wp:positionV>
                <wp:extent cx="222250" cy="0"/>
                <wp:effectExtent l="0" t="0" r="25400" b="19050"/>
                <wp:wrapNone/>
                <wp:docPr id="261752123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3" o:spid="_x0000_s1026" o:spt="20" style="position:absolute;left:0pt;margin-left:26.6pt;margin-top:113.1pt;height:0pt;width:17.5pt;z-index:251663360;mso-width-relative:page;mso-height-relative:page;" filled="f" stroked="t" coordsize="21600,21600" o:gfxdata="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CnZFg3VAAAACQEAAA8A&#10;AAAAAAAAAQAgAAAAIgAAAGRycy9kb3ducmV2LnhtbFBLAQIUABQAAAAIAIdO4kBiRv3M4QEAANgD&#10;AAAOAAAAAAAAAAEAIAAAACQBAABkcnMvZTJvRG9jLnhtbFBLBQYAAAAABgAGAFkBAAB3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Theme="minorHAnsi" w:hAnsiTheme="minorHAnsi"/>
          <w:b/>
          <w:iCs/>
          <w:sz w:val="22"/>
          <w:szCs w:val="22"/>
          <w:u w:val="single"/>
        </w:rPr>
        <w:t>Média Mensal de Dias Trabalhados (40 horas semanais) – 2ª feira à Sábado</w:t>
      </w:r>
      <w:r>
        <w:rPr>
          <w:rFonts w:asciiTheme="minorHAnsi" w:hAnsiTheme="minorHAnsi"/>
          <w:iCs/>
          <w:sz w:val="22"/>
          <w:szCs w:val="22"/>
          <w:u w:val="single"/>
        </w:rPr>
        <w:t>:</w:t>
      </w:r>
    </w:p>
    <w:p w14:paraId="3DECC8DF">
      <w:pPr>
        <w:pStyle w:val="63"/>
        <w:spacing w:beforeAutospacing="0" w:afterAutospacing="0"/>
        <w:jc w:val="center"/>
        <w:rPr>
          <w:rFonts w:asciiTheme="minorHAnsi" w:hAnsiTheme="minorHAnsi"/>
          <w:iCs/>
          <w:sz w:val="22"/>
          <w:szCs w:val="22"/>
          <w:u w:val="single"/>
        </w:rPr>
      </w:pPr>
    </w:p>
    <w:p w14:paraId="3FE2E4C3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Considerando 8 feriados nacionais, 01 feriado estadual (data magna), 04 feriados municipais (incluindo sexta-feira da paixão).</w:t>
      </w:r>
    </w:p>
    <w:p w14:paraId="7E6EDDD5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13 feriados por ano, sendo 10 com data fixa.</w:t>
      </w:r>
    </w:p>
    <w:p w14:paraId="7E414224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>Sendo assim, considerando 06 dias de trabalho por semana (jornada de 44 horas), temos:</w:t>
      </w:r>
    </w:p>
    <w:p w14:paraId="28935265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</w:p>
    <w:p w14:paraId="36CCB526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(a)</w:t>
      </w:r>
      <w:r>
        <w:rPr>
          <w:rFonts w:asciiTheme="minorHAnsi" w:hAnsiTheme="minorHAnsi"/>
          <w:iCs/>
          <w:sz w:val="22"/>
          <w:szCs w:val="22"/>
        </w:rPr>
        <w:t xml:space="preserve"> 10 x (6/7)  = 8,5714</w:t>
      </w:r>
    </w:p>
    <w:p w14:paraId="664E3F14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              </w:t>
      </w:r>
    </w:p>
    <w:p w14:paraId="62D6DF05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iCs/>
          <w:sz w:val="22"/>
          <w:szCs w:val="22"/>
        </w:rPr>
        <w:t xml:space="preserve">Somando-se aos feriados com data móvel (03):   8,5714 + 3= </w:t>
      </w:r>
      <w:r>
        <w:rPr>
          <w:rFonts w:asciiTheme="minorHAnsi" w:hAnsiTheme="minorHAnsi"/>
          <w:b/>
          <w:iCs/>
          <w:sz w:val="22"/>
          <w:szCs w:val="22"/>
        </w:rPr>
        <w:t>11,5714</w:t>
      </w:r>
      <w:r>
        <w:rPr>
          <w:rFonts w:asciiTheme="minorHAnsi" w:hAnsiTheme="minorHAnsi"/>
          <w:iCs/>
          <w:sz w:val="22"/>
          <w:szCs w:val="22"/>
        </w:rPr>
        <w:t xml:space="preserve"> (por ano)</w:t>
      </w:r>
    </w:p>
    <w:p w14:paraId="6836AD36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</w:p>
    <w:p w14:paraId="149FEE20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(b)</w:t>
      </w:r>
      <w:r>
        <w:rPr>
          <w:rFonts w:asciiTheme="minorHAnsi" w:hAnsiTheme="minorHAnsi"/>
          <w:iCs/>
          <w:sz w:val="22"/>
          <w:szCs w:val="22"/>
        </w:rPr>
        <w:t xml:space="preserve"> 365:7 = 52,1429   (semanas no ano)</w:t>
      </w:r>
    </w:p>
    <w:p w14:paraId="567EFE9E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(c)</w:t>
      </w:r>
      <w:r>
        <w:rPr>
          <w:rFonts w:asciiTheme="minorHAnsi" w:hAnsiTheme="minorHAnsi"/>
          <w:iCs/>
          <w:sz w:val="22"/>
          <w:szCs w:val="22"/>
        </w:rPr>
        <w:t xml:space="preserve"> 52,1429 x 1 = 52,1429  (dias de final de semana no ano)</w:t>
      </w:r>
    </w:p>
    <w:p w14:paraId="60FAC7B1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(d)</w:t>
      </w:r>
      <w:r>
        <w:rPr>
          <w:rFonts w:asciiTheme="minorHAnsi" w:hAnsiTheme="minorHAnsi"/>
          <w:iCs/>
          <w:sz w:val="22"/>
          <w:szCs w:val="22"/>
        </w:rPr>
        <w:t xml:space="preserve"> 52,1429 + 11,5714 = 63,7143 (dias não trabalhados no ano)</w:t>
      </w:r>
    </w:p>
    <w:p w14:paraId="0FCBB868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(e)</w:t>
      </w:r>
      <w:r>
        <w:rPr>
          <w:rFonts w:asciiTheme="minorHAnsi" w:hAnsiTheme="minorHAnsi"/>
          <w:iCs/>
          <w:sz w:val="22"/>
          <w:szCs w:val="22"/>
        </w:rPr>
        <w:t xml:space="preserve"> 365 – 63,7143 = 301,2857 (dias de trabalho no ano)</w:t>
      </w:r>
    </w:p>
    <w:p w14:paraId="156E1EDD">
      <w:pPr>
        <w:pStyle w:val="63"/>
        <w:spacing w:beforeAutospacing="0" w:afterAutospacing="0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/>
          <w:b/>
          <w:iCs/>
          <w:sz w:val="22"/>
          <w:szCs w:val="22"/>
        </w:rPr>
        <w:t>(f)</w:t>
      </w:r>
      <w:r>
        <w:rPr>
          <w:rFonts w:asciiTheme="minorHAnsi" w:hAnsiTheme="minorHAnsi"/>
          <w:iCs/>
          <w:sz w:val="22"/>
          <w:szCs w:val="22"/>
        </w:rPr>
        <w:t xml:space="preserve"> 301,2857 : 12 = 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25,11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(</w:t>
      </w:r>
      <w:r>
        <w:rPr>
          <w:rFonts w:asciiTheme="minorHAnsi" w:hAnsiTheme="minorHAnsi"/>
          <w:b/>
          <w:iCs/>
          <w:color w:val="FF0000"/>
          <w:sz w:val="22"/>
          <w:szCs w:val="22"/>
        </w:rPr>
        <w:t>MMDT</w:t>
      </w:r>
      <w:r>
        <w:rPr>
          <w:rFonts w:asciiTheme="minorHAnsi" w:hAnsiTheme="minorHAnsi"/>
          <w:iCs/>
          <w:color w:val="FF0000"/>
          <w:sz w:val="22"/>
          <w:szCs w:val="22"/>
        </w:rPr>
        <w:t xml:space="preserve"> – Média mensal de dias trabalhados)</w:t>
      </w:r>
    </w:p>
    <w:p w14:paraId="195A2A11">
      <w:pPr>
        <w:pStyle w:val="63"/>
        <w:spacing w:beforeAutospacing="0" w:afterAutospacing="0"/>
        <w:rPr>
          <w:rFonts w:asciiTheme="minorHAnsi" w:hAnsiTheme="minorHAnsi"/>
          <w:b/>
          <w:iCs/>
          <w:sz w:val="20"/>
          <w:szCs w:val="20"/>
          <w:u w:val="single"/>
        </w:rPr>
      </w:pPr>
    </w:p>
    <w:p w14:paraId="0482D690">
      <w:pPr>
        <w:pStyle w:val="63"/>
        <w:spacing w:beforeAutospacing="0" w:afterAutospacing="0"/>
        <w:rPr>
          <w:rFonts w:asciiTheme="minorHAnsi" w:hAnsiTheme="minorHAnsi"/>
          <w:b/>
          <w:iCs/>
          <w:sz w:val="20"/>
          <w:szCs w:val="20"/>
          <w:u w:val="single"/>
        </w:rPr>
      </w:pPr>
    </w:p>
    <w:p w14:paraId="4AC8C0AD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sz w:val="22"/>
          <w:szCs w:val="22"/>
        </w:rP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337820</wp:posOffset>
                </wp:positionH>
                <wp:positionV relativeFrom="paragraph">
                  <wp:posOffset>1437005</wp:posOffset>
                </wp:positionV>
                <wp:extent cx="222885" cy="635"/>
                <wp:effectExtent l="0" t="0" r="25400" b="19050"/>
                <wp:wrapNone/>
                <wp:docPr id="4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2120" cy="0"/>
                        </a:xfrm>
                        <a:prstGeom prst="line">
                          <a:avLst/>
                        </a:prstGeom>
                        <a:ln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9" o:spid="_x0000_s1026" o:spt="20" style="position:absolute;left:0pt;margin-left:26.6pt;margin-top:113.15pt;height:0.05pt;width:17.55pt;z-index:251660288;mso-width-relative:page;mso-height-relative:page;" filled="f" stroked="t" coordsize="21600,21600" o:gfxdata="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y+w8E1gAAAAkBAAAPAAAA&#10;AAAAAAEAIAAAACIAAABkcnMvZG93bnJldi54bWxQSwECFAAUAAAACACHTuJAWGrjwt4BAADaAwAA&#10;DgAAAAAAAAABACAAAAAlAQAAZHJzL2Uyb0RvYy54bWxQSwUGAAAAAAYABgBZAQAAdQUAAAAA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Calibri" w:hAnsi="Calibri" w:cs="Arial"/>
          <w:b/>
          <w:sz w:val="22"/>
          <w:szCs w:val="22"/>
          <w:u w:val="single"/>
        </w:rPr>
        <w:t>Modulo 2 – Encargos e Benefícios Anuais, Mensais e Diários</w:t>
      </w:r>
    </w:p>
    <w:p w14:paraId="12947CB9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658190CF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2.1 – 13º Salário, Férias e Adicional de Férias</w:t>
      </w:r>
    </w:p>
    <w:p w14:paraId="369D399B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0"/>
        <w:tblW w:w="891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2"/>
        <w:gridCol w:w="2218"/>
        <w:gridCol w:w="839"/>
        <w:gridCol w:w="2809"/>
        <w:gridCol w:w="1667"/>
        <w:gridCol w:w="222"/>
      </w:tblGrid>
      <w:tr w14:paraId="4CFE3D4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8B7B21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291" w:type="dxa"/>
            <w:gridSpan w:val="2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A37304F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1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245236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290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16B5AE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687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E8AB312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  <w:tc>
          <w:tcPr>
            <w:tcW w:w="15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6A049613">
            <w:pPr>
              <w:rPr>
                <w:b w:val="0"/>
                <w:bCs w:val="0"/>
                <w:color w:val="FFFFFF" w:themeColor="background1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 w14:paraId="635AED5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72" w:type="dxa"/>
            <w:shd w:val="clear" w:color="auto" w:fill="DBE5F1" w:themeFill="accent1" w:themeFillTint="33"/>
          </w:tcPr>
          <w:p w14:paraId="5080C519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291" w:type="dxa"/>
            <w:gridSpan w:val="2"/>
            <w:shd w:val="clear" w:color="auto" w:fill="DBE5F1" w:themeFill="accent1" w:themeFillTint="33"/>
          </w:tcPr>
          <w:p w14:paraId="77162BCB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13º Salário</w:t>
            </w:r>
          </w:p>
        </w:tc>
        <w:tc>
          <w:tcPr>
            <w:tcW w:w="851" w:type="dxa"/>
            <w:shd w:val="clear" w:color="auto" w:fill="DBE5F1" w:themeFill="accent1" w:themeFillTint="33"/>
          </w:tcPr>
          <w:p w14:paraId="289AF12D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8,33</w:t>
            </w:r>
          </w:p>
        </w:tc>
        <w:tc>
          <w:tcPr>
            <w:tcW w:w="2900" w:type="dxa"/>
            <w:shd w:val="clear" w:color="auto" w:fill="DBE5F1" w:themeFill="accent1" w:themeFillTint="33"/>
          </w:tcPr>
          <w:p w14:paraId="5B230A83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DTS = 1/12 x Remuneração</w:t>
            </w:r>
          </w:p>
        </w:tc>
        <w:tc>
          <w:tcPr>
            <w:tcW w:w="1687" w:type="dxa"/>
            <w:shd w:val="clear" w:color="auto" w:fill="DBE5F1" w:themeFill="accent1" w:themeFillTint="33"/>
          </w:tcPr>
          <w:p w14:paraId="6A572226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Art.7º, VIII, CF/88</w:t>
            </w:r>
          </w:p>
        </w:tc>
        <w:tc>
          <w:tcPr>
            <w:tcW w:w="15" w:type="dxa"/>
            <w:shd w:val="clear" w:color="auto" w:fill="DBE5F1" w:themeFill="accent1" w:themeFillTint="33"/>
          </w:tcPr>
          <w:p w14:paraId="2BC5EE7D"/>
        </w:tc>
      </w:tr>
      <w:tr w14:paraId="7B72555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72" w:type="dxa"/>
          </w:tcPr>
          <w:p w14:paraId="32507B86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291" w:type="dxa"/>
            <w:gridSpan w:val="2"/>
          </w:tcPr>
          <w:p w14:paraId="549F97C0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Férias e Adicional de Férias</w:t>
            </w:r>
          </w:p>
        </w:tc>
        <w:tc>
          <w:tcPr>
            <w:tcW w:w="851" w:type="dxa"/>
          </w:tcPr>
          <w:p w14:paraId="098D72F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12,10</w:t>
            </w:r>
          </w:p>
        </w:tc>
        <w:tc>
          <w:tcPr>
            <w:tcW w:w="2900" w:type="dxa"/>
          </w:tcPr>
          <w:p w14:paraId="127F91B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FAF = 1/11 x R + 1/3 x 1/11 x R</w:t>
            </w:r>
          </w:p>
        </w:tc>
        <w:tc>
          <w:tcPr>
            <w:tcW w:w="1687" w:type="dxa"/>
          </w:tcPr>
          <w:p w14:paraId="4306179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  <w:tc>
          <w:tcPr>
            <w:tcW w:w="15" w:type="dxa"/>
          </w:tcPr>
          <w:p w14:paraId="5BC3A3DE"/>
        </w:tc>
      </w:tr>
      <w:tr w14:paraId="3286C15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</w:tblPrEx>
        <w:trPr>
          <w:trHeight w:val="283" w:hRule="atLeast"/>
        </w:trPr>
        <w:tc>
          <w:tcPr>
            <w:tcW w:w="3464" w:type="dxa"/>
            <w:gridSpan w:val="3"/>
            <w:shd w:val="clear" w:color="auto" w:fill="DBE5F1" w:themeFill="accent1" w:themeFillTint="33"/>
          </w:tcPr>
          <w:p w14:paraId="6C40AE5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86D213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20,43</w:t>
            </w:r>
          </w:p>
        </w:tc>
        <w:tc>
          <w:tcPr>
            <w:tcW w:w="2901" w:type="dxa"/>
            <w:shd w:val="clear" w:color="auto" w:fill="DBE5F1" w:themeFill="accent1" w:themeFillTint="33"/>
          </w:tcPr>
          <w:p w14:paraId="5DA0EEB6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687" w:type="dxa"/>
            <w:shd w:val="clear" w:color="auto" w:fill="DBE5F1" w:themeFill="accent1" w:themeFillTint="33"/>
          </w:tcPr>
          <w:p w14:paraId="01F295E3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4" w:type="dxa"/>
            <w:shd w:val="clear" w:color="auto" w:fill="DBE5F1" w:themeFill="accent1" w:themeFillTint="33"/>
          </w:tcPr>
          <w:p w14:paraId="526CC9CE"/>
        </w:tc>
      </w:tr>
      <w:tr w14:paraId="4F26DC1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95" w:type="dxa"/>
            <w:gridSpan w:val="2"/>
          </w:tcPr>
          <w:p w14:paraId="76B4582F">
            <w:pPr>
              <w:ind w:right="-4"/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268" w:type="dxa"/>
          </w:tcPr>
          <w:p w14:paraId="7FA7EFA4">
            <w:pPr>
              <w:ind w:right="-4"/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Incidência do Submódulo 2.2 - Encargos previdenciários (GPS), FGTS e outras contribuições</w:t>
            </w:r>
          </w:p>
        </w:tc>
        <w:tc>
          <w:tcPr>
            <w:tcW w:w="851" w:type="dxa"/>
          </w:tcPr>
          <w:p w14:paraId="68A16E6C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7,82</w:t>
            </w:r>
            <w:r>
              <w:rPr>
                <w:rStyle w:val="47"/>
                <w:rFonts w:ascii="Calibri" w:hAnsi="Calibri" w:cs="Arial"/>
                <w:sz w:val="18"/>
                <w:szCs w:val="18"/>
              </w:rPr>
              <w:footnoteReference w:id="0"/>
            </w:r>
          </w:p>
        </w:tc>
        <w:tc>
          <w:tcPr>
            <w:tcW w:w="2900" w:type="dxa"/>
          </w:tcPr>
          <w:p w14:paraId="14160B37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=Total da remuneração x Percentual da tabela do Anexo XII</w:t>
            </w:r>
          </w:p>
        </w:tc>
        <w:tc>
          <w:tcPr>
            <w:tcW w:w="1702" w:type="dxa"/>
            <w:gridSpan w:val="2"/>
          </w:tcPr>
          <w:p w14:paraId="2CB8F8A0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% Conta Vinculada- Anexo XII da IN nº 05/2017</w:t>
            </w:r>
          </w:p>
        </w:tc>
      </w:tr>
    </w:tbl>
    <w:p w14:paraId="20D5CFD2">
      <w:pPr>
        <w:jc w:val="center"/>
        <w:rPr>
          <w:rFonts w:ascii="Calibri" w:hAnsi="Calibri" w:cs="Arial"/>
        </w:rPr>
      </w:pPr>
    </w:p>
    <w:p w14:paraId="45927BFD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Como a planilha de custos e formação de preços é calculada </w:t>
      </w:r>
      <w:r>
        <w:rPr>
          <w:rFonts w:asciiTheme="minorHAnsi" w:hAnsiTheme="minorHAnsi" w:cstheme="minorHAnsi"/>
          <w:color w:val="000000"/>
          <w:sz w:val="22"/>
          <w:szCs w:val="22"/>
          <w:u w:val="single"/>
          <w:shd w:val="clear" w:color="auto" w:fill="FFFFFF"/>
        </w:rPr>
        <w:t>mensalmente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, provisiona-se proporcionalmente 1/12 (um doze avos) dos valores referentes a gratificação natalina, férias e adicional de férias.</w:t>
      </w:r>
    </w:p>
    <w:p w14:paraId="1FAB6471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</w:p>
    <w:p w14:paraId="0D38FA20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 O adicional de férias contido no Submódulo 2.1 corresponde a 1/3 (um terço) da remuneração que, por sua vez, é divido por 12 (doze) conforme Nota 1 acima.</w:t>
      </w:r>
    </w:p>
    <w:p w14:paraId="5DE06481">
      <w:pPr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14:paraId="047CA2A0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Levando em consideração a vigência contratual prevista no art. 57 da Lei nº 8.666, de 23 de junho de 1993, a rubrica férias tem como objetivo principal suprir a necessidade do pagamento das férias remuneradas ao final do contrato de 12 meses. Esta rubrica, quando da prorrogação contratual,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torna-se custo não renovável.</w:t>
      </w:r>
    </w:p>
    <w:p w14:paraId="3C778DF8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518E45A0">
      <w:pPr>
        <w:jc w:val="both"/>
        <w:rPr>
          <w:rFonts w:ascii="Calibri" w:hAnsi="Calibri" w:cs="Arial"/>
          <w:u w:val="single"/>
          <w:lang w:val="pt-PT"/>
        </w:rPr>
      </w:pPr>
    </w:p>
    <w:p w14:paraId="5A11DF7E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2.2 - Encargos Previdenciários (GPS), Fundo de Garantia por Tempo de Serviço (FGTS) e outras contribuições. </w:t>
      </w:r>
    </w:p>
    <w:p w14:paraId="7AB7D2D7">
      <w:pPr>
        <w:rPr>
          <w:rFonts w:ascii="Calibri" w:hAnsi="Calibri" w:cs="Arial"/>
        </w:rPr>
      </w:pPr>
    </w:p>
    <w:tbl>
      <w:tblPr>
        <w:tblStyle w:val="70"/>
        <w:tblW w:w="9007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2126"/>
        <w:gridCol w:w="850"/>
        <w:gridCol w:w="1842"/>
        <w:gridCol w:w="3344"/>
      </w:tblGrid>
      <w:tr w14:paraId="57AA996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845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9207BC9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E39CD9F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DESCRIÇÃO</w:t>
            </w:r>
          </w:p>
        </w:tc>
        <w:tc>
          <w:tcPr>
            <w:tcW w:w="85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A92337D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1842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5CE1D7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CALCULO </w:t>
            </w:r>
          </w:p>
        </w:tc>
        <w:tc>
          <w:tcPr>
            <w:tcW w:w="3344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1F4C92D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011BB93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845" w:type="dxa"/>
            <w:shd w:val="clear" w:color="auto" w:fill="DBE5F1" w:themeFill="accent1" w:themeFillTint="33"/>
          </w:tcPr>
          <w:p w14:paraId="46CACC18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D0494D9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INSS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63CF4AC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20,0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2273CD1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4F90CD2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Art.22, Inciso I da Lei 8.212/91</w:t>
            </w:r>
          </w:p>
        </w:tc>
      </w:tr>
      <w:tr w14:paraId="43B3CC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45" w:type="dxa"/>
          </w:tcPr>
          <w:p w14:paraId="1F9D87F1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974DFE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SALÁRIO EDUCAÇÃO</w:t>
            </w:r>
          </w:p>
        </w:tc>
        <w:tc>
          <w:tcPr>
            <w:tcW w:w="850" w:type="dxa"/>
          </w:tcPr>
          <w:p w14:paraId="13BF4EF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2,50</w:t>
            </w:r>
          </w:p>
        </w:tc>
        <w:tc>
          <w:tcPr>
            <w:tcW w:w="1842" w:type="dxa"/>
          </w:tcPr>
          <w:p w14:paraId="2D4637DF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9DA386E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Inciso I, Decreto 87.043/82</w:t>
            </w:r>
          </w:p>
        </w:tc>
      </w:tr>
      <w:tr w14:paraId="30B4E37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5" w:type="dxa"/>
            <w:shd w:val="clear" w:color="auto" w:fill="DBE5F1" w:themeFill="accent1" w:themeFillTint="33"/>
          </w:tcPr>
          <w:p w14:paraId="63BFADEF">
            <w:pPr>
              <w:jc w:val="center"/>
              <w:rPr>
                <w:rFonts w:ascii="Calibri" w:hAnsi="Calibri" w:cs="Arial"/>
                <w:b/>
                <w:bCs w:val="0"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FF0000"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80A6A8">
            <w:pPr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Seguro de Acidente de Trabalho (SAT)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21864609">
            <w:pPr>
              <w:jc w:val="center"/>
              <w:rPr>
                <w:rFonts w:ascii="Calibri" w:hAnsi="Calibri" w:cs="Arial"/>
                <w:b/>
                <w:color w:val="FF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6,0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37399A4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 xml:space="preserve"> </w:t>
            </w:r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  <w:p w14:paraId="37E0EC9D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RAT: 1%, 2% ou </w:t>
            </w:r>
            <w:r>
              <w:rPr>
                <w:rStyle w:val="8"/>
                <w:rFonts w:asciiTheme="minorHAnsi" w:hAnsiTheme="minorHAnsi"/>
                <w:b w:val="0"/>
                <w:sz w:val="16"/>
                <w:szCs w:val="16"/>
                <w:shd w:val="clear" w:color="auto" w:fill="FFFFFF"/>
              </w:rPr>
              <w:t>3%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 x </w:t>
            </w:r>
            <w:r>
              <w:rPr>
                <w:rStyle w:val="39"/>
                <w:rFonts w:asciiTheme="minorHAnsi" w:hAnsiTheme="minorHAnsi"/>
                <w:sz w:val="16"/>
                <w:szCs w:val="16"/>
                <w:shd w:val="clear" w:color="auto" w:fill="FFFFFF"/>
              </w:rPr>
              <w:t>FAP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: 0,5 a 2% </w:t>
            </w:r>
          </w:p>
          <w:p w14:paraId="4AE213CF">
            <w:pPr>
              <w:rPr>
                <w:rFonts w:asciiTheme="minorHAnsi" w:hAnsiTheme="minorHAnsi"/>
                <w:sz w:val="16"/>
                <w:szCs w:val="16"/>
                <w:highlight w:val="white"/>
              </w:rPr>
            </w:pPr>
          </w:p>
          <w:p w14:paraId="5E1EBEB2">
            <w:pPr>
              <w:rPr>
                <w:rFonts w:cs="Arial" w:asciiTheme="minorHAnsi" w:hAnsi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  <w:shd w:val="clear" w:color="auto" w:fill="FFFFFF"/>
              </w:rPr>
              <w:t>CNAE 7820-5/00</w:t>
            </w:r>
            <w:r>
              <w:rPr>
                <w:rFonts w:asciiTheme="minorHAnsi" w:hAnsiTheme="minorHAnsi" w:cstheme="minorHAnsi"/>
                <w:sz w:val="18"/>
                <w:szCs w:val="18"/>
                <w:shd w:val="clear" w:color="auto" w:fill="FFFFFF"/>
              </w:rPr>
              <w:t xml:space="preserve">=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 xml:space="preserve">RAT </w:t>
            </w:r>
            <w:r>
              <w:rPr>
                <w:rFonts w:asciiTheme="minorHAnsi" w:hAnsiTheme="minorHAnsi"/>
                <w:b/>
                <w:sz w:val="16"/>
                <w:szCs w:val="16"/>
                <w:shd w:val="clear" w:color="auto" w:fill="FFFFFF"/>
              </w:rPr>
              <w:t>3% x</w:t>
            </w:r>
            <w:r>
              <w:rPr>
                <w:rFonts w:asciiTheme="minorHAnsi" w:hAnsiTheme="minorHAnsi"/>
                <w:b/>
                <w:color w:val="FF0000"/>
                <w:sz w:val="16"/>
                <w:szCs w:val="16"/>
                <w:shd w:val="clear" w:color="auto" w:fill="FFFFFF"/>
              </w:rPr>
              <w:t xml:space="preserve"> 2% FAP </w:t>
            </w:r>
            <w:r>
              <w:rPr>
                <w:rFonts w:asciiTheme="minorHAnsi" w:hAnsiTheme="minorHAnsi"/>
                <w:sz w:val="16"/>
                <w:szCs w:val="16"/>
                <w:shd w:val="clear" w:color="auto" w:fill="FFFFFF"/>
              </w:rPr>
              <w:t>(considerando a maior)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5C868BFA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RATxFAT – </w:t>
            </w:r>
            <w:r>
              <w:rPr>
                <w:rStyle w:val="11"/>
                <w:rFonts w:asciiTheme="minorHAnsi" w:hAnsiTheme="minorHAnsi"/>
                <w:sz w:val="18"/>
                <w:szCs w:val="18"/>
                <w:shd w:val="clear" w:color="auto" w:fill="FFFFFF"/>
              </w:rPr>
              <w:t>Fundamentação: art. 22, inciso II, alíneas ‘b’ e ‘c’, da Lei nº 8.212/91.</w:t>
            </w:r>
            <w:r>
              <w:rPr>
                <w:rFonts w:asciiTheme="minorHAnsi" w:hAnsiTheme="minorHAnsi"/>
                <w:sz w:val="18"/>
                <w:szCs w:val="18"/>
                <w:shd w:val="clear" w:color="auto" w:fill="FFFFFF"/>
              </w:rPr>
              <w:t> C</w:t>
            </w:r>
            <w:r>
              <w:rPr>
                <w:rFonts w:ascii="Calibri" w:hAnsi="Calibri" w:cs="Arial"/>
                <w:sz w:val="18"/>
                <w:szCs w:val="18"/>
              </w:rPr>
              <w:t>onforme GFIP do mês anterior à data da proposta – Para estimativa, considerado o maior valor possível.</w:t>
            </w:r>
          </w:p>
        </w:tc>
      </w:tr>
      <w:tr w14:paraId="5267C88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845" w:type="dxa"/>
          </w:tcPr>
          <w:p w14:paraId="268635E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D</w:t>
            </w:r>
          </w:p>
        </w:tc>
        <w:tc>
          <w:tcPr>
            <w:tcW w:w="2126" w:type="dxa"/>
          </w:tcPr>
          <w:p w14:paraId="05CF90B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SESC OU SESI</w:t>
            </w:r>
          </w:p>
        </w:tc>
        <w:tc>
          <w:tcPr>
            <w:tcW w:w="850" w:type="dxa"/>
          </w:tcPr>
          <w:p w14:paraId="06EF076F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1,50</w:t>
            </w:r>
          </w:p>
        </w:tc>
        <w:tc>
          <w:tcPr>
            <w:tcW w:w="1842" w:type="dxa"/>
          </w:tcPr>
          <w:p w14:paraId="1AFCF017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74934FC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Art.3º, da lei 8036/90</w:t>
            </w:r>
          </w:p>
        </w:tc>
      </w:tr>
      <w:tr w14:paraId="71737F0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845" w:type="dxa"/>
            <w:shd w:val="clear" w:color="auto" w:fill="DBE5F1" w:themeFill="accent1" w:themeFillTint="33"/>
          </w:tcPr>
          <w:p w14:paraId="7284B10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E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788D03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SENAI OU SENAC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06A85999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0381FBFB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2CAC84E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Decreto 2.318/86</w:t>
            </w:r>
          </w:p>
        </w:tc>
      </w:tr>
      <w:tr w14:paraId="3537FD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45" w:type="dxa"/>
          </w:tcPr>
          <w:p w14:paraId="76DC81E9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</w:t>
            </w:r>
          </w:p>
        </w:tc>
        <w:tc>
          <w:tcPr>
            <w:tcW w:w="2126" w:type="dxa"/>
          </w:tcPr>
          <w:p w14:paraId="0470B02C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SEBRAE</w:t>
            </w:r>
          </w:p>
        </w:tc>
        <w:tc>
          <w:tcPr>
            <w:tcW w:w="850" w:type="dxa"/>
          </w:tcPr>
          <w:p w14:paraId="72234A71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0,60</w:t>
            </w:r>
          </w:p>
        </w:tc>
        <w:tc>
          <w:tcPr>
            <w:tcW w:w="1842" w:type="dxa"/>
          </w:tcPr>
          <w:p w14:paraId="4EEBD5AC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87114C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Art.8º, Lei 8029/90 e Lei 8154/90</w:t>
            </w:r>
          </w:p>
        </w:tc>
      </w:tr>
      <w:tr w14:paraId="5B09864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845" w:type="dxa"/>
            <w:shd w:val="clear" w:color="auto" w:fill="DBE5F1" w:themeFill="accent1" w:themeFillTint="33"/>
          </w:tcPr>
          <w:p w14:paraId="3FF9699D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G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5E558EF0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INCRA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1359846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C391684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  <w:shd w:val="clear" w:color="auto" w:fill="DBE5F1" w:themeFill="accent1" w:themeFillTint="33"/>
          </w:tcPr>
          <w:p w14:paraId="6521C182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Lei 7787/89 e DL 1146/70</w:t>
            </w:r>
          </w:p>
        </w:tc>
      </w:tr>
      <w:tr w14:paraId="5B24A59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45" w:type="dxa"/>
          </w:tcPr>
          <w:p w14:paraId="1771E4EF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H</w:t>
            </w:r>
          </w:p>
        </w:tc>
        <w:tc>
          <w:tcPr>
            <w:tcW w:w="2126" w:type="dxa"/>
          </w:tcPr>
          <w:p w14:paraId="076857B4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FGTS</w:t>
            </w:r>
          </w:p>
        </w:tc>
        <w:tc>
          <w:tcPr>
            <w:tcW w:w="850" w:type="dxa"/>
          </w:tcPr>
          <w:p w14:paraId="48F954AE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8,00</w:t>
            </w:r>
          </w:p>
        </w:tc>
        <w:tc>
          <w:tcPr>
            <w:tcW w:w="1842" w:type="dxa"/>
          </w:tcPr>
          <w:p w14:paraId="20326B35">
            <w:r>
              <w:rPr>
                <w:rFonts w:ascii="Calibri" w:hAnsi="Calibri" w:cs="Arial"/>
                <w:sz w:val="16"/>
                <w:szCs w:val="16"/>
              </w:rPr>
              <w:t xml:space="preserve">Total da remuneração </w:t>
            </w:r>
            <w:r>
              <w:rPr>
                <w:rFonts w:ascii="Calibri" w:hAnsi="Calibri" w:cs="Arial"/>
                <w:sz w:val="18"/>
                <w:szCs w:val="18"/>
              </w:rPr>
              <w:t>x %</w:t>
            </w:r>
          </w:p>
        </w:tc>
        <w:tc>
          <w:tcPr>
            <w:tcW w:w="3344" w:type="dxa"/>
          </w:tcPr>
          <w:p w14:paraId="49479B7B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Art.15, da Lei 8036/90 e Art.7º III, CF</w:t>
            </w:r>
          </w:p>
        </w:tc>
      </w:tr>
      <w:tr w14:paraId="315DD15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845" w:type="dxa"/>
            <w:shd w:val="clear" w:color="auto" w:fill="DBE5F1" w:themeFill="accent1" w:themeFillTint="33"/>
          </w:tcPr>
          <w:p w14:paraId="27F2290A">
            <w:pPr>
              <w:jc w:val="center"/>
              <w:rPr>
                <w:rFonts w:ascii="Calibri" w:hAnsi="Calibri" w:cs="Arial"/>
                <w:b w:val="0"/>
                <w:bCs w:val="0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101D3688">
            <w:pPr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850" w:type="dxa"/>
            <w:shd w:val="clear" w:color="auto" w:fill="DBE5F1" w:themeFill="accent1" w:themeFillTint="33"/>
          </w:tcPr>
          <w:p w14:paraId="4BC1C756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color w:val="000000"/>
                <w:sz w:val="18"/>
                <w:szCs w:val="18"/>
              </w:rPr>
              <w:t>39,80</w:t>
            </w:r>
          </w:p>
        </w:tc>
        <w:tc>
          <w:tcPr>
            <w:tcW w:w="1842" w:type="dxa"/>
            <w:shd w:val="clear" w:color="auto" w:fill="DBE5F1" w:themeFill="accent1" w:themeFillTint="33"/>
          </w:tcPr>
          <w:p w14:paraId="64091677">
            <w:pPr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</w:p>
        </w:tc>
        <w:tc>
          <w:tcPr>
            <w:tcW w:w="3344" w:type="dxa"/>
            <w:shd w:val="clear" w:color="auto" w:fill="DBE5F1" w:themeFill="accent1" w:themeFillTint="33"/>
          </w:tcPr>
          <w:p w14:paraId="4BAFC678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7735F2F0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</w:rPr>
        <w:t>Nota 1:</w:t>
      </w:r>
      <w:r>
        <w:rPr>
          <w:rFonts w:asciiTheme="minorHAnsi" w:hAnsiTheme="minorHAnsi" w:cstheme="minorHAnsi"/>
          <w:color w:val="000000"/>
          <w:sz w:val="22"/>
          <w:szCs w:val="22"/>
        </w:rPr>
        <w:t> Os percentuais dos encargos previdenciários, do FGTS e demais contribuições são aqueles estabelecidos pela legislação vigente.</w:t>
      </w:r>
    </w:p>
    <w:p w14:paraId="6BB5E1B0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14:paraId="3BA00A8F">
      <w:pPr>
        <w:pStyle w:val="65"/>
        <w:shd w:val="clear" w:color="auto" w:fill="FFFFFF"/>
        <w:spacing w:beforeAutospacing="0" w:afterAutospacing="0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Style w:val="8"/>
          <w:rFonts w:asciiTheme="minorHAnsi" w:hAnsiTheme="minorHAnsi" w:cstheme="minorHAnsi"/>
          <w:color w:val="000000"/>
          <w:sz w:val="22"/>
          <w:szCs w:val="22"/>
        </w:rPr>
        <w:t>Nota 2:</w:t>
      </w:r>
      <w:r>
        <w:rPr>
          <w:rFonts w:asciiTheme="minorHAnsi" w:hAnsiTheme="minorHAnsi" w:cstheme="minorHAnsi"/>
          <w:color w:val="000000"/>
          <w:sz w:val="22"/>
          <w:szCs w:val="22"/>
        </w:rPr>
        <w:t> O SAT a depender do grau de risco do serviço irá variar entre 1%, para risco leve, de 2%, para risco médio, e de 3% de risco grave. No caso, consideraremos as alíquotas de 3%, relativa à Locação de mão de obra temporária (CNAE 7820-5-00).</w:t>
      </w:r>
    </w:p>
    <w:p w14:paraId="05C1DFE7">
      <w:pPr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14:paraId="79B74D1F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sz w:val="22"/>
          <w:szCs w:val="22"/>
        </w:rPr>
        <mc:AlternateContent>
          <mc:Choice Requires="wps">
            <w:drawing>
              <wp:anchor distT="91440" distB="91440" distL="137160" distR="137160" simplePos="0" relativeHeight="251661312" behindDoc="0" locked="0" layoutInCell="1" allowOverlap="1">
                <wp:simplePos x="0" y="0"/>
                <wp:positionH relativeFrom="margin">
                  <wp:posOffset>-635</wp:posOffset>
                </wp:positionH>
                <wp:positionV relativeFrom="margin">
                  <wp:posOffset>-4182745</wp:posOffset>
                </wp:positionV>
                <wp:extent cx="1802765" cy="2482215"/>
                <wp:effectExtent l="3175" t="0" r="0" b="0"/>
                <wp:wrapSquare wrapText="bothSides"/>
                <wp:docPr id="5" name="AutoForm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02160" cy="2481480"/>
                        </a:xfrm>
                        <a:prstGeom prst="roundRect">
                          <a:avLst>
                            <a:gd name="adj" fmla="val 13032"/>
                          </a:avLst>
                        </a:prstGeom>
                        <a:solidFill>
                          <a:schemeClr val="accent3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04AEC597">
                            <w:pPr>
                              <w:pStyle w:val="63"/>
                              <w:spacing w:beforeAutospacing="0" w:afterAutospacing="0"/>
                              <w:rPr>
                                <w:rFonts w:cs="Arial" w:asciiTheme="minorHAnsi" w:hAnsiTheme="minorHAnsi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Fórmula dias: [(365 / 7) x 5 – 9] /12 = </w:t>
                            </w:r>
                            <w:r>
                              <w:rPr>
                                <w:rStyle w:val="8"/>
                                <w:rFonts w:asciiTheme="minorHAnsi" w:hAnsiTheme="minorHAnsi"/>
                                <w:iCs/>
                                <w:sz w:val="20"/>
                                <w:szCs w:val="20"/>
                              </w:rPr>
                              <w:t>20,98</w:t>
                            </w:r>
                          </w:p>
                          <w:p w14:paraId="3FDEDF7D">
                            <w:pPr>
                              <w:pStyle w:val="19"/>
                              <w:spacing w:beforeAutospacing="0" w:afterAutospacing="0"/>
                              <w:rPr>
                                <w:rFonts w:cs="Arial" w:asciiTheme="minorHAnsi" w:hAnsiTheme="minorHAnsi"/>
                                <w:i/>
                                <w:iCs/>
                                <w:sz w:val="20"/>
                                <w:szCs w:val="20"/>
                                <w:u w:val="single"/>
                              </w:rPr>
                            </w:pPr>
                            <w:r>
                              <w:rPr>
                                <w:rStyle w:val="11"/>
                                <w:rFonts w:asciiTheme="minorHAnsi" w:hAnsiTheme="minorHAnsi"/>
                                <w:sz w:val="20"/>
                                <w:szCs w:val="20"/>
                                <w:u w:val="single"/>
                              </w:rPr>
                              <w:t>Onde:</w:t>
                            </w:r>
                          </w:p>
                          <w:p w14:paraId="643089A3">
                            <w:pPr>
                              <w:pStyle w:val="64"/>
                              <w:spacing w:beforeAutospacing="0" w:afterAutospacing="0"/>
                              <w:ind w:left="600"/>
                            </w:pP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365 = número de dias no ano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7 = número de dias na semana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5 = número de dias úteis (segunda a sexta)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9 = número de feriados nacionais em dias úteis (média)</w:t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br w:type="textWrapping"/>
                            </w:r>
                            <w:r>
                              <w:rPr>
                                <w:rFonts w:asciiTheme="minorHAnsi" w:hAnsiTheme="minorHAnsi"/>
                                <w:i/>
                                <w:iCs/>
                                <w:sz w:val="20"/>
                                <w:szCs w:val="20"/>
                              </w:rPr>
                              <w:t>12 = número de meses no ano</w:t>
                            </w:r>
                          </w:p>
                        </w:txbxContent>
                      </wps:txbx>
                      <wps:bodyPr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Forma 2" o:spid="_x0000_s1026" o:spt="2" style="position:absolute;left:0pt;margin-left:-0.05pt;margin-top:-329.35pt;height:195.45pt;width:141.95pt;mso-position-horizontal-relative:margin;mso-position-vertical-relative:margin;mso-wrap-distance-bottom:7.2pt;mso-wrap-distance-left:10.8pt;mso-wrap-distance-right:10.8pt;mso-wrap-distance-top:7.2pt;rotation:5898240f;z-index:251661312;v-text-anchor:middle;mso-width-relative:page;mso-height-relative:page;" fillcolor="#D7E4BD [1302]" filled="t" stroked="f" coordsize="21600,21600" arcsize="0.130324074074074" o:gfxdata="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NvbSwDcAAAACwEAAA8AAAAAAAAAAQAgAAAAIgAAAGRycy9kb3ducmV2&#10;LnhtbFBLAQIUABQAAAAIAIdO4kBn10aW+AEAAAEEAAAOAAAAAAAAAAEAIAAAACsBAABkcnMvZTJv&#10;RG9jLnhtbFBLBQYAAAAABgAGAFkBAACV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 w14:paraId="04AEC597">
                      <w:pPr>
                        <w:pStyle w:val="63"/>
                        <w:spacing w:beforeAutospacing="0" w:afterAutospacing="0"/>
                        <w:rPr>
                          <w:rFonts w:cs="Arial" w:asciiTheme="minorHAnsi" w:hAnsiTheme="minorHAnsi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Fórmula dias: [(365 / 7) x 5 – 9] /12 = </w:t>
                      </w:r>
                      <w:r>
                        <w:rPr>
                          <w:rStyle w:val="8"/>
                          <w:rFonts w:asciiTheme="minorHAnsi" w:hAnsiTheme="minorHAnsi"/>
                          <w:iCs/>
                          <w:sz w:val="20"/>
                          <w:szCs w:val="20"/>
                        </w:rPr>
                        <w:t>20,98</w:t>
                      </w:r>
                    </w:p>
                    <w:p w14:paraId="3FDEDF7D">
                      <w:pPr>
                        <w:pStyle w:val="19"/>
                        <w:spacing w:beforeAutospacing="0" w:afterAutospacing="0"/>
                        <w:rPr>
                          <w:rFonts w:cs="Arial" w:asciiTheme="minorHAnsi" w:hAnsiTheme="minorHAnsi"/>
                          <w:i/>
                          <w:iCs/>
                          <w:sz w:val="20"/>
                          <w:szCs w:val="20"/>
                          <w:u w:val="single"/>
                        </w:rPr>
                      </w:pPr>
                      <w:r>
                        <w:rPr>
                          <w:rStyle w:val="11"/>
                          <w:rFonts w:asciiTheme="minorHAnsi" w:hAnsiTheme="minorHAnsi"/>
                          <w:sz w:val="20"/>
                          <w:szCs w:val="20"/>
                          <w:u w:val="single"/>
                        </w:rPr>
                        <w:t>Onde:</w:t>
                      </w:r>
                    </w:p>
                    <w:p w14:paraId="643089A3">
                      <w:pPr>
                        <w:pStyle w:val="64"/>
                        <w:spacing w:beforeAutospacing="0" w:afterAutospacing="0"/>
                        <w:ind w:left="600"/>
                      </w:pP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365 = número de dias no ano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7 = número de dias na semana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5 = número de dias úteis (segunda a sexta)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9 = número de feriados nacionais em dias úteis (média)</w:t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br w:type="textWrapping"/>
                      </w:r>
                      <w:r>
                        <w:rPr>
                          <w:rFonts w:asciiTheme="minorHAnsi" w:hAnsiTheme="minorHAnsi"/>
                          <w:i/>
                          <w:iCs/>
                          <w:sz w:val="20"/>
                          <w:szCs w:val="20"/>
                        </w:rPr>
                        <w:t>12 = número de meses no ano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>
        <w:rPr>
          <w:rStyle w:val="8"/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Nota 3: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 Esses percentuais incidem sobre o Módulo 1, o Submódulo 2.1.  </w:t>
      </w:r>
    </w:p>
    <w:p w14:paraId="0816A4E9">
      <w:pPr>
        <w:jc w:val="both"/>
        <w:rPr>
          <w:rFonts w:asciiTheme="minorHAnsi" w:hAnsiTheme="minorHAnsi" w:cstheme="minorHAnsi"/>
          <w:color w:val="000000"/>
          <w:sz w:val="22"/>
          <w:szCs w:val="22"/>
          <w:highlight w:val="white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Obs.: Incidirá apenas na linha A do Submódulo 2.1 pois, na base de cálculo no primeiro ano, consideraremos que, inicialmente, não haverá prorrogação do contrato e segundo a tabela de incidência do </w:t>
      </w:r>
      <w:r>
        <w:rPr>
          <w:rFonts w:asciiTheme="minorHAnsi" w:hAnsiTheme="minorHAnsi" w:cstheme="minorHAnsi"/>
          <w:b/>
          <w:color w:val="000000"/>
          <w:sz w:val="22"/>
          <w:szCs w:val="22"/>
          <w:shd w:val="clear" w:color="auto" w:fill="FFFFFF"/>
        </w:rPr>
        <w:t>GPS e FGTS não incide sobre indenizações</w:t>
      </w: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>.</w:t>
      </w:r>
    </w:p>
    <w:p w14:paraId="67C141DA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No segundo ano, no caso de prorrogação, utilizar somente o 1/3 constitucional.</w:t>
      </w:r>
    </w:p>
    <w:p w14:paraId="7C0845C6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6469A740">
      <w:pPr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OBS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.: Para fins de cálculo do GPS, FGTS e outras contribuições (item 2.2 do quadro resumo do Módulo 2), deverá ser considerado o </w:t>
      </w:r>
      <w:r>
        <w:rPr>
          <w:rFonts w:asciiTheme="minorHAnsi" w:hAnsiTheme="minorHAnsi" w:cstheme="minorHAnsi"/>
          <w:b/>
          <w:sz w:val="22"/>
          <w:szCs w:val="22"/>
          <w:lang w:val="pt-PT"/>
        </w:rPr>
        <w:t>total do Submódulo 2.2</w:t>
      </w:r>
      <w:r>
        <w:rPr>
          <w:rFonts w:asciiTheme="minorHAnsi" w:hAnsiTheme="minorHAnsi" w:cstheme="minorHAnsi"/>
          <w:sz w:val="22"/>
          <w:szCs w:val="22"/>
          <w:lang w:val="pt-PT"/>
        </w:rPr>
        <w:t xml:space="preserve"> + Incidência do Submódulo 2.2  - Encargos previdenciários (GPS), FGTS e outras contribuições sobre o 13º (décimo terceiro) Salário, Férias e Adicional de Férias (letra C do Submódulo 2.1).</w:t>
      </w:r>
    </w:p>
    <w:p w14:paraId="444238DD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3B8C3E5E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  <w:r>
        <w:rPr>
          <w:rFonts w:asciiTheme="minorHAnsi" w:hAnsiTheme="minorHAnsi" w:cstheme="minorHAnsi"/>
          <w:sz w:val="22"/>
          <w:szCs w:val="22"/>
          <w:u w:val="single"/>
          <w:lang w:val="pt-PT"/>
        </w:rPr>
        <w:t>Submódulo 2.3 - Benefícios Mensais e Diários</w:t>
      </w:r>
    </w:p>
    <w:p w14:paraId="0E416BF3">
      <w:pPr>
        <w:jc w:val="both"/>
        <w:rPr>
          <w:rFonts w:asciiTheme="minorHAnsi" w:hAnsiTheme="minorHAnsi" w:cstheme="minorHAnsi"/>
          <w:sz w:val="22"/>
          <w:szCs w:val="22"/>
          <w:u w:val="single"/>
          <w:lang w:val="pt-PT"/>
        </w:rPr>
      </w:pPr>
    </w:p>
    <w:p w14:paraId="7ED70DE8">
      <w:pPr>
        <w:jc w:val="both"/>
        <w:rPr>
          <w:rFonts w:ascii="Calibri" w:hAnsi="Calibri" w:cs="Arial"/>
          <w:b/>
          <w:u w:val="single"/>
          <w:lang w:val="pt-PT"/>
        </w:rPr>
      </w:pPr>
      <w:r>
        <w:rPr>
          <w:rFonts w:ascii="Calibri" w:hAnsi="Calibri" w:cs="Arial"/>
          <w:b/>
          <w:u w:val="single"/>
          <w:lang w:val="pt-PT"/>
        </w:rPr>
        <w:t>Conforme CCT:</w:t>
      </w:r>
    </w:p>
    <w:p w14:paraId="1B3D8C2C">
      <w:pPr>
        <w:jc w:val="both"/>
        <w:rPr>
          <w:rFonts w:ascii="Calibri" w:hAnsi="Calibri" w:cs="Arial"/>
          <w:b/>
          <w:u w:val="single"/>
          <w:lang w:val="pt-PT"/>
        </w:rPr>
      </w:pPr>
    </w:p>
    <w:tbl>
      <w:tblPr>
        <w:tblStyle w:val="70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410"/>
        <w:gridCol w:w="4966"/>
      </w:tblGrid>
      <w:tr w14:paraId="3EF5D975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337367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2.3</w:t>
            </w:r>
          </w:p>
        </w:tc>
        <w:tc>
          <w:tcPr>
            <w:tcW w:w="2410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83091AD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BENEFÍCIOS MENSAIS E DIÁRIOS</w:t>
            </w:r>
          </w:p>
        </w:tc>
        <w:tc>
          <w:tcPr>
            <w:tcW w:w="4966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1A5160A8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VALOR (R$) </w:t>
            </w:r>
          </w:p>
        </w:tc>
      </w:tr>
      <w:tr w14:paraId="07E8AC7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62" w:type="dxa"/>
            <w:shd w:val="clear" w:color="auto" w:fill="DBE5F1" w:themeFill="accent1" w:themeFillTint="33"/>
          </w:tcPr>
          <w:p w14:paraId="78A441D4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507E6A89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Transporte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1CC9E1D0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valor do transporte x nº de passagens por dia x nº de dias trabalhados – (6% x valor salário base)</w:t>
            </w:r>
          </w:p>
        </w:tc>
      </w:tr>
      <w:tr w14:paraId="4DDBF6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</w:tcPr>
          <w:p w14:paraId="042C80FC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410" w:type="dxa"/>
          </w:tcPr>
          <w:p w14:paraId="3A5D08C8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Auxílio Refeição/Alimentação</w:t>
            </w:r>
          </w:p>
        </w:tc>
        <w:tc>
          <w:tcPr>
            <w:tcW w:w="4966" w:type="dxa"/>
          </w:tcPr>
          <w:p w14:paraId="1E26B434">
            <w:pPr>
              <w:spacing w:line="276" w:lineRule="auto"/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Há previsão de Vale diário no valor de R$23,50 (Cláusula 22ª da CCT)</w:t>
            </w:r>
          </w:p>
        </w:tc>
      </w:tr>
      <w:tr w14:paraId="4A4E61AC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62" w:type="dxa"/>
            <w:shd w:val="clear" w:color="auto" w:fill="DBE5F1" w:themeFill="accent1" w:themeFillTint="33"/>
          </w:tcPr>
          <w:p w14:paraId="0A92FEC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410" w:type="dxa"/>
            <w:shd w:val="clear" w:color="auto" w:fill="DBE5F1" w:themeFill="accent1" w:themeFillTint="33"/>
          </w:tcPr>
          <w:p w14:paraId="4444C70C">
            <w:pPr>
              <w:rPr>
                <w:rFonts w:ascii="Calibri" w:hAnsi="Calibri" w:cs="Arial"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  <w:lang w:eastAsia="en-US"/>
              </w:rPr>
              <w:t>Benefício Social Familiar</w:t>
            </w:r>
          </w:p>
          <w:p w14:paraId="1D94FE63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4966" w:type="dxa"/>
            <w:shd w:val="clear" w:color="auto" w:fill="DBE5F1" w:themeFill="accent1" w:themeFillTint="33"/>
          </w:tcPr>
          <w:p w14:paraId="77EFEC6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Cláusula 28ª da CCT =  R$20,15, vedado qualquer desconto do trabalhador</w:t>
            </w:r>
          </w:p>
        </w:tc>
      </w:tr>
      <w:tr w14:paraId="4FB0B66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2972" w:type="dxa"/>
            <w:gridSpan w:val="2"/>
            <w:shd w:val="clear" w:color="auto" w:fill="DBE5F1" w:themeFill="accent1" w:themeFillTint="33"/>
          </w:tcPr>
          <w:p w14:paraId="237E6D6D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4966" w:type="dxa"/>
            <w:shd w:val="clear" w:color="auto" w:fill="DBE5F1" w:themeFill="accent1" w:themeFillTint="33"/>
          </w:tcPr>
          <w:p w14:paraId="4438BCD3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9527FC2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7CFC165B">
      <w:pPr>
        <w:jc w:val="both"/>
        <w:rPr>
          <w:rFonts w:ascii="Calibri" w:hAnsi="Calibri" w:cs="Arial"/>
          <w:b/>
          <w:u w:val="single"/>
          <w:lang w:val="pt-PT"/>
        </w:rPr>
      </w:pPr>
    </w:p>
    <w:p w14:paraId="6DF29BF0">
      <w:pPr>
        <w:shd w:val="clear" w:color="auto" w:fill="FFFFFF"/>
        <w:textAlignment w:val="baseline"/>
        <w:rPr>
          <w:rFonts w:asciiTheme="minorHAnsi" w:hAnsiTheme="minorHAnsi" w:cstheme="minorHAnsi"/>
          <w:color w:val="000000"/>
          <w:lang w:eastAsia="en-US"/>
        </w:rPr>
      </w:pPr>
      <w:r>
        <w:rPr>
          <w:rFonts w:asciiTheme="minorHAnsi" w:hAnsiTheme="minorHAnsi" w:cstheme="minorHAnsi"/>
          <w:b/>
          <w:bCs/>
          <w:color w:val="000000"/>
          <w:lang w:eastAsia="en-US"/>
        </w:rPr>
        <w:t>Nota 1: </w:t>
      </w:r>
      <w:r>
        <w:rPr>
          <w:rFonts w:asciiTheme="minorHAnsi" w:hAnsiTheme="minorHAnsi" w:cstheme="minorHAnsi"/>
          <w:color w:val="000000"/>
          <w:lang w:eastAsia="en-US"/>
        </w:rPr>
        <w:t>Observar a previsão dos benefícios contidos em Acordos, Convenções e Dissídios Coletivos de Trabalho e atentar-se ao disposto no art. 6º da IN 5/2017.</w:t>
      </w:r>
    </w:p>
    <w:p w14:paraId="0F554232">
      <w:pPr>
        <w:jc w:val="both"/>
        <w:rPr>
          <w:rFonts w:ascii="Calibri" w:hAnsi="Calibri" w:cs="Arial"/>
          <w:u w:val="single"/>
        </w:rPr>
      </w:pPr>
    </w:p>
    <w:p w14:paraId="54D94351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Transporte</w:t>
      </w:r>
    </w:p>
    <w:p w14:paraId="25C354C6">
      <w:pPr>
        <w:pStyle w:val="65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lang w:val="pt-PT"/>
        </w:rPr>
        <w:t>a.1. Para efeito da composição do Vale Transporte, foi utilizado como base o valor do Bilhete Único Intermunicipal, isto, pois, o Município do Rio e sua Região Metropolitana possui grande discrepância no que se refere à valores de passagens, à exemplo, caso seja cotado apenas o modal municipal para ônibus, restringiríamos a utilização de metrô, trem, barca ou VLT. Tal experiência tem prejudicado e muito a prestação de serviços atual, gerado atrasos e, por consequência, glosas</w:t>
      </w:r>
    </w:p>
    <w:p w14:paraId="59CA6F1E">
      <w:pPr>
        <w:pStyle w:val="65"/>
        <w:spacing w:before="120" w:beforeAutospacing="0" w:after="120" w:afterAutospacing="0"/>
        <w:ind w:left="120" w:right="120"/>
        <w:jc w:val="both"/>
        <w:rPr>
          <w:rFonts w:asciiTheme="minorHAnsi" w:hAnsiTheme="minorHAnsi" w:cstheme="minorHAnsi"/>
          <w:sz w:val="22"/>
          <w:szCs w:val="22"/>
          <w:lang w:val="pt-PT"/>
        </w:rPr>
      </w:pPr>
      <w:r>
        <w:rPr>
          <w:rFonts w:asciiTheme="minorHAnsi" w:hAnsiTheme="minorHAnsi" w:cstheme="minorHAnsi"/>
          <w:sz w:val="22"/>
          <w:szCs w:val="22"/>
          <w:lang w:val="pt-PT"/>
        </w:rPr>
        <w:t>a.2. Outrossim, cabe destacar também a restrição de empregabilidade no que se refere a região metropolitana, dotada de mão de obra capacitada mas que, por vezes, frustra-se a contratação por divergências no valor da passagem. Deste modo, visando abrir um leque maior de possibilidades no que se refere a mão de obra qualificada, vinculamos o valor diário de passagens ao modal intermunicipal.</w:t>
      </w:r>
    </w:p>
    <w:p w14:paraId="2DF85B62">
      <w:pPr>
        <w:pStyle w:val="65"/>
        <w:spacing w:before="120" w:beforeAutospacing="0" w:after="120" w:afterAutospacing="0"/>
        <w:ind w:left="120" w:right="120"/>
        <w:jc w:val="both"/>
        <w:rPr>
          <w:rFonts w:asciiTheme="minorHAnsi" w:hAnsiTheme="minorHAnsi"/>
          <w:i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lang w:val="pt-PT"/>
        </w:rPr>
        <w:t>a.3. Para efeito de estimativa de custo e isonomia entre as licitantes, fica estabelecido que as propostas ofereçam, no mínimo, o valor correspondente ao de 02 (duas) tarifas do Bilhete Único Intermunicipal para a passagem diária (R$8,55 por tarifa)</w:t>
      </w:r>
      <w:r>
        <w:rPr>
          <w:rFonts w:asciiTheme="minorHAnsi" w:hAnsiTheme="minorHAnsi"/>
          <w:iCs/>
          <w:sz w:val="22"/>
          <w:szCs w:val="22"/>
        </w:rPr>
        <w:t>:</w:t>
      </w:r>
    </w:p>
    <w:p w14:paraId="2BD69A17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24EBC12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5 dias na semana</w:t>
      </w:r>
    </w:p>
    <w:p w14:paraId="1191D19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R$ 8,55 x 2 x </w:t>
      </w:r>
      <w:r>
        <w:rPr>
          <w:rFonts w:asciiTheme="minorHAnsi" w:hAnsiTheme="minorHAnsi"/>
          <w:b/>
          <w:iCs/>
          <w:sz w:val="22"/>
          <w:szCs w:val="22"/>
        </w:rPr>
        <w:t>20,88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22213EA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070DE4FC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44h = </w:t>
      </w:r>
      <w:r>
        <w:rPr>
          <w:rFonts w:ascii="Calibri" w:hAnsi="Calibri" w:cs="Arial"/>
          <w:b/>
          <w:sz w:val="22"/>
          <w:szCs w:val="22"/>
        </w:rPr>
        <w:t xml:space="preserve">valor do transporte x nº de passagens por dia x nº de dias trabalhados – (6% x valor salário base) – </w:t>
      </w:r>
      <w:r>
        <w:rPr>
          <w:rFonts w:ascii="Calibri" w:hAnsi="Calibri" w:cs="Arial"/>
          <w:b/>
          <w:color w:val="FF0000"/>
          <w:sz w:val="22"/>
          <w:szCs w:val="22"/>
        </w:rPr>
        <w:t>6 dias na semana</w:t>
      </w:r>
    </w:p>
    <w:p w14:paraId="3B16531E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R$ 8,55 x 2 x </w:t>
      </w:r>
      <w:r>
        <w:rPr>
          <w:rFonts w:asciiTheme="minorHAnsi" w:hAnsiTheme="minorHAnsi"/>
          <w:b/>
          <w:iCs/>
          <w:sz w:val="22"/>
          <w:szCs w:val="22"/>
        </w:rPr>
        <w:t>25,11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73D17AEA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Fórmula 12x36h = </w:t>
      </w:r>
      <w:r>
        <w:rPr>
          <w:rFonts w:ascii="Calibri" w:hAnsi="Calibri" w:cs="Arial"/>
          <w:b/>
          <w:sz w:val="22"/>
          <w:szCs w:val="22"/>
        </w:rPr>
        <w:t>valor do transporte x nº de passagens por dia x nº de dias trabalhados – (6% x valor salário base)</w:t>
      </w:r>
    </w:p>
    <w:p w14:paraId="4665598C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                                              R$ 8,55 x 2 x </w:t>
      </w:r>
      <w:r>
        <w:rPr>
          <w:rFonts w:asciiTheme="minorHAnsi" w:hAnsiTheme="minorHAnsi"/>
          <w:b/>
          <w:iCs/>
          <w:sz w:val="22"/>
          <w:szCs w:val="22"/>
        </w:rPr>
        <w:t>15,21</w:t>
      </w:r>
      <w:r>
        <w:rPr>
          <w:rFonts w:asciiTheme="minorHAnsi" w:hAnsiTheme="minorHAnsi"/>
          <w:iCs/>
          <w:sz w:val="22"/>
          <w:szCs w:val="22"/>
        </w:rPr>
        <w:t xml:space="preserve"> </w:t>
      </w:r>
      <w:r>
        <w:rPr>
          <w:rFonts w:ascii="Calibri" w:hAnsi="Calibri" w:cs="Arial"/>
          <w:sz w:val="22"/>
          <w:szCs w:val="22"/>
        </w:rPr>
        <w:t>– (6% x valor salário base)</w:t>
      </w:r>
    </w:p>
    <w:p w14:paraId="32734C0B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FA9D931">
      <w:pPr>
        <w:spacing w:line="276" w:lineRule="auto"/>
        <w:jc w:val="both"/>
        <w:rPr>
          <w:rFonts w:ascii="Calibri" w:hAnsi="Calibri" w:cs="Arial"/>
        </w:rPr>
      </w:pPr>
      <w:r>
        <w:rPr>
          <w:rFonts w:ascii="Calibri" w:hAnsi="Calibri" w:cs="Arial"/>
          <w:color w:val="FF0000"/>
        </w:rPr>
        <w:t xml:space="preserve">                                       </w:t>
      </w:r>
    </w:p>
    <w:p w14:paraId="20D7416D">
      <w:pPr>
        <w:spacing w:line="276" w:lineRule="auto"/>
        <w:jc w:val="both"/>
        <w:rPr>
          <w:rFonts w:ascii="Calibri" w:hAnsi="Calibri" w:cs="Arial"/>
          <w:b/>
          <w:sz w:val="22"/>
          <w:szCs w:val="22"/>
          <w:u w:val="single"/>
          <w:lang w:val="pt-PT"/>
        </w:rPr>
      </w:pPr>
      <w:r>
        <w:rPr>
          <w:rFonts w:ascii="Calibri" w:hAnsi="Calibri" w:cs="Arial"/>
          <w:b/>
          <w:sz w:val="22"/>
          <w:szCs w:val="22"/>
        </w:rPr>
        <w:t xml:space="preserve">B) Auxílio-alimentação - </w:t>
      </w:r>
      <w:r>
        <w:rPr>
          <w:rFonts w:ascii="Calibri" w:hAnsi="Calibri" w:cs="Arial"/>
          <w:b/>
          <w:sz w:val="22"/>
          <w:szCs w:val="22"/>
          <w:u w:val="single"/>
          <w:lang w:val="pt-PT"/>
        </w:rPr>
        <w:t xml:space="preserve">Todos os Postos </w:t>
      </w:r>
    </w:p>
    <w:p w14:paraId="76F6B850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Há previsão para este custo.</w:t>
      </w:r>
    </w:p>
    <w:p w14:paraId="7209CC92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3E009A80">
      <w:pPr>
        <w:rPr>
          <w:rFonts w:ascii="Calibri" w:hAnsi="Calibri" w:cs="Arial"/>
          <w:sz w:val="18"/>
          <w:szCs w:val="18"/>
          <w:lang w:eastAsia="en-US"/>
        </w:rPr>
      </w:pPr>
      <w:r>
        <w:rPr>
          <w:rFonts w:ascii="Calibri" w:hAnsi="Calibri" w:cs="Arial"/>
          <w:b/>
          <w:sz w:val="22"/>
          <w:szCs w:val="22"/>
        </w:rPr>
        <w:t>C) Benefício Social Familiar</w:t>
      </w:r>
    </w:p>
    <w:p w14:paraId="25BC783F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</w:p>
    <w:p w14:paraId="55507472">
      <w:pPr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Cláusula 28ª da CCT =  R$20,15 vedado qualquer desconto do trabalhador</w:t>
      </w:r>
    </w:p>
    <w:p w14:paraId="7C85D9F9">
      <w:pPr>
        <w:jc w:val="both"/>
        <w:rPr>
          <w:rFonts w:ascii="Calibri" w:hAnsi="Calibri" w:cs="Arial"/>
          <w:sz w:val="22"/>
          <w:szCs w:val="22"/>
        </w:rPr>
      </w:pPr>
    </w:p>
    <w:p w14:paraId="48B4A4A8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3 – Provisão para Rescisão</w:t>
      </w:r>
    </w:p>
    <w:p w14:paraId="551D8F2E">
      <w:pPr>
        <w:jc w:val="both"/>
        <w:rPr>
          <w:rFonts w:ascii="Calibri" w:hAnsi="Calibri" w:cs="Arial"/>
          <w:u w:val="single"/>
          <w:lang w:val="pt-PT"/>
        </w:rPr>
      </w:pPr>
    </w:p>
    <w:tbl>
      <w:tblPr>
        <w:tblStyle w:val="70"/>
        <w:tblW w:w="7938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5"/>
        <w:gridCol w:w="3119"/>
        <w:gridCol w:w="1844"/>
      </w:tblGrid>
      <w:tr w14:paraId="2BC1540D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6A0AC2DB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2125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9E24205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PROVISÃO PARA RESCISÃO</w:t>
            </w:r>
          </w:p>
        </w:tc>
        <w:tc>
          <w:tcPr>
            <w:tcW w:w="3119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380B9A53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1843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302C3A32">
            <w:pPr>
              <w:jc w:val="center"/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17A204E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850" w:type="dxa"/>
            <w:shd w:val="clear" w:color="auto" w:fill="DBE5F1" w:themeFill="accent1" w:themeFillTint="33"/>
          </w:tcPr>
          <w:p w14:paraId="32C23FEE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611B52B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indenizado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70404A3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+ 13º + Férias + 1/3 constitucional) / meses do ano] x indicador de rotatividade de dispensa sem justa causa =</w:t>
            </w:r>
            <w:r>
              <w:rPr>
                <w:rFonts w:cs="Arial" w:asciiTheme="minorHAnsi" w:hAnsiTheme="minorHAnsi"/>
                <w:b/>
                <w:color w:val="FF0000"/>
                <w:sz w:val="18"/>
                <w:szCs w:val="18"/>
              </w:rPr>
              <w:t xml:space="preserve"> 5%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6D6BC165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59E7407E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</w:t>
            </w:r>
          </w:p>
        </w:tc>
      </w:tr>
      <w:tr w14:paraId="265799C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50" w:type="dxa"/>
          </w:tcPr>
          <w:p w14:paraId="3DA2F7A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5" w:type="dxa"/>
          </w:tcPr>
          <w:p w14:paraId="30044E96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Incidência do FGTS sobre o Aviso prévio indenizado.</w:t>
            </w:r>
          </w:p>
        </w:tc>
        <w:tc>
          <w:tcPr>
            <w:tcW w:w="3119" w:type="dxa"/>
          </w:tcPr>
          <w:p w14:paraId="3047A6D0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[(Remuneração + 13º) / 12)] x 5% x 8%</w:t>
            </w:r>
          </w:p>
        </w:tc>
        <w:tc>
          <w:tcPr>
            <w:tcW w:w="1843" w:type="dxa"/>
          </w:tcPr>
          <w:p w14:paraId="47D736A1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Súmula nº 305 do TST</w:t>
            </w:r>
          </w:p>
        </w:tc>
      </w:tr>
      <w:tr w14:paraId="4C536B6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50" w:type="dxa"/>
            <w:shd w:val="clear" w:color="auto" w:fill="DBE5F1" w:themeFill="accent1" w:themeFillTint="33"/>
          </w:tcPr>
          <w:p w14:paraId="09B23DB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5F706C1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do FGTS e Contribuição Social sobre Aviso Prévio Indenizado - 5%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40CAC918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Zerado. 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3E91734A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Leis n.ºs 8.036/90 e</w:t>
            </w:r>
          </w:p>
          <w:p w14:paraId="6D00A1F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  <w:t>9.491/97</w:t>
            </w:r>
          </w:p>
        </w:tc>
      </w:tr>
      <w:tr w14:paraId="796F72E1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374B6DD6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2125" w:type="dxa"/>
          </w:tcPr>
          <w:p w14:paraId="63C17F69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Aviso Prévio Trabalhado</w:t>
            </w:r>
          </w:p>
        </w:tc>
        <w:tc>
          <w:tcPr>
            <w:tcW w:w="3119" w:type="dxa"/>
          </w:tcPr>
          <w:p w14:paraId="1141C2BA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+ benefícios mensais e diários não dedutíveis, ex. beneficio social familiar) / dias do mês) / meses do ano] x 7 dias de redução da jornada.</w:t>
            </w:r>
          </w:p>
        </w:tc>
        <w:tc>
          <w:tcPr>
            <w:tcW w:w="1843" w:type="dxa"/>
          </w:tcPr>
          <w:p w14:paraId="22D81C69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57C69C85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7289BCD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0" w:type="dxa"/>
            <w:shd w:val="clear" w:color="auto" w:fill="DBE5F1" w:themeFill="accent1" w:themeFillTint="33"/>
          </w:tcPr>
          <w:p w14:paraId="43971667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2125" w:type="dxa"/>
            <w:shd w:val="clear" w:color="auto" w:fill="DBE5F1" w:themeFill="accent1" w:themeFillTint="33"/>
          </w:tcPr>
          <w:p w14:paraId="1643403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Incidência dos encargos do Submódulo 2.2 sobre Aviso Prévio Trabalhado.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D034CC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[(Remuneração / dias do mês) / meses do ano] x 7 dias de redução da jornada x 8%</w:t>
            </w:r>
          </w:p>
        </w:tc>
        <w:tc>
          <w:tcPr>
            <w:tcW w:w="1843" w:type="dxa"/>
            <w:shd w:val="clear" w:color="auto" w:fill="DBE5F1" w:themeFill="accent1" w:themeFillTint="33"/>
          </w:tcPr>
          <w:p w14:paraId="72A657F8">
            <w:pPr>
              <w:jc w:val="center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</w:tc>
      </w:tr>
      <w:tr w14:paraId="5E0852C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50" w:type="dxa"/>
          </w:tcPr>
          <w:p w14:paraId="291DF50C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</w:rPr>
            </w:pPr>
            <w:r>
              <w:rPr>
                <w:rFonts w:cs="Arial" w:asciiTheme="minorHAnsi" w:hAnsiTheme="minorHAnsi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2125" w:type="dxa"/>
          </w:tcPr>
          <w:p w14:paraId="7D4E93B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Multa FGTS e Contribuição Social sobre o Aviso Prévio Trabalhado – 100%</w:t>
            </w:r>
          </w:p>
        </w:tc>
        <w:tc>
          <w:tcPr>
            <w:tcW w:w="3119" w:type="dxa"/>
          </w:tcPr>
          <w:p w14:paraId="4A85C2D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Consideramos a tabela de percentual da Conta Vinculada, Anexo XII, devido a ser proposto percentual único para a multa. Independente da quantidade de API e APT e da rotatividade do contrato, a multa, por ser linear, será calculada considerando 100% dos empregados.</w:t>
            </w:r>
          </w:p>
          <w:p w14:paraId="088FEF7F">
            <w:pPr>
              <w:rPr>
                <w:rFonts w:cs="Arial" w:asciiTheme="minorHAnsi" w:hAnsiTheme="minorHAnsi"/>
                <w:sz w:val="18"/>
                <w:szCs w:val="18"/>
              </w:rPr>
            </w:pPr>
          </w:p>
          <w:p w14:paraId="14E3A29F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Remuneração x </w:t>
            </w:r>
            <w:r>
              <w:rPr>
                <w:rFonts w:cs="Arial" w:asciiTheme="minorHAnsi" w:hAnsiTheme="minorHAnsi"/>
                <w:b/>
                <w:color w:val="FF0000"/>
                <w:sz w:val="18"/>
                <w:szCs w:val="18"/>
              </w:rPr>
              <w:t xml:space="preserve">4% </w:t>
            </w:r>
            <w:r>
              <w:rPr>
                <w:rFonts w:cs="Arial" w:asciiTheme="minorHAnsi" w:hAnsiTheme="minorHAnsi"/>
                <w:b/>
                <w:sz w:val="18"/>
                <w:szCs w:val="18"/>
              </w:rPr>
              <w:t>(Anexo XII, IN 05/2017)</w:t>
            </w:r>
          </w:p>
        </w:tc>
        <w:tc>
          <w:tcPr>
            <w:tcW w:w="1843" w:type="dxa"/>
          </w:tcPr>
          <w:p w14:paraId="7BE26C2C">
            <w:pP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Art. 7º, XXI, CF/88,</w:t>
            </w:r>
          </w:p>
          <w:p w14:paraId="385CDFF4">
            <w:pPr>
              <w:rPr>
                <w:rFonts w:cs="Arial" w:asciiTheme="minorHAnsi" w:hAnsiTheme="minorHAnsi"/>
                <w:sz w:val="18"/>
                <w:szCs w:val="18"/>
                <w:lang w:val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>477, 487 e 491 CLT.</w:t>
            </w:r>
          </w:p>
        </w:tc>
      </w:tr>
      <w:tr w14:paraId="141C805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50" w:type="dxa"/>
            <w:shd w:val="clear" w:color="auto" w:fill="DBE5F1" w:themeFill="accent1" w:themeFillTint="33"/>
          </w:tcPr>
          <w:p w14:paraId="005D8766">
            <w:pPr>
              <w:jc w:val="center"/>
              <w:rPr>
                <w:rFonts w:cs="Arial" w:asciiTheme="minorHAnsi" w:hAnsiTheme="minorHAnsi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2125" w:type="dxa"/>
            <w:shd w:val="clear" w:color="auto" w:fill="DBE5F1" w:themeFill="accent1" w:themeFillTint="33"/>
          </w:tcPr>
          <w:p w14:paraId="1F201060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Total</w:t>
            </w:r>
          </w:p>
        </w:tc>
        <w:tc>
          <w:tcPr>
            <w:tcW w:w="3119" w:type="dxa"/>
            <w:shd w:val="clear" w:color="auto" w:fill="DBE5F1" w:themeFill="accent1" w:themeFillTint="33"/>
          </w:tcPr>
          <w:p w14:paraId="2C20EED2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  <w:tc>
          <w:tcPr>
            <w:tcW w:w="1843" w:type="dxa"/>
            <w:shd w:val="clear" w:color="auto" w:fill="DBE5F1" w:themeFill="accent1" w:themeFillTint="33"/>
          </w:tcPr>
          <w:p w14:paraId="0676BC25">
            <w:pPr>
              <w:rPr>
                <w:rFonts w:cs="Arial" w:asciiTheme="minorHAnsi" w:hAnsiTheme="minorHAnsi" w:eastAsiaTheme="minorHAnsi"/>
                <w:sz w:val="18"/>
                <w:szCs w:val="18"/>
                <w:lang w:eastAsia="en-US"/>
              </w:rPr>
            </w:pPr>
          </w:p>
        </w:tc>
      </w:tr>
    </w:tbl>
    <w:p w14:paraId="2474DD48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  <w:r>
        <w:rPr>
          <w:rFonts w:cs="Arial" w:asciiTheme="minorHAnsi" w:hAnsiTheme="minorHAnsi" w:eastAsiaTheme="minorHAnsi"/>
          <w:sz w:val="16"/>
          <w:szCs w:val="16"/>
          <w:lang w:eastAsia="en-US"/>
        </w:rPr>
        <w:t>OBSERVAÇÕES: Nota Técnica nº 652/2017 - MP</w:t>
      </w:r>
    </w:p>
    <w:p w14:paraId="3259CBCE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39EC5D9A">
      <w:pPr>
        <w:ind w:left="426"/>
        <w:jc w:val="both"/>
        <w:rPr>
          <w:rFonts w:cs="Arial" w:asciiTheme="minorHAnsi" w:hAnsiTheme="minorHAnsi" w:eastAsiaTheme="minorHAnsi"/>
          <w:sz w:val="16"/>
          <w:szCs w:val="16"/>
          <w:lang w:eastAsia="en-US"/>
        </w:rPr>
      </w:pPr>
    </w:p>
    <w:p w14:paraId="3BCFA687">
      <w:pPr>
        <w:jc w:val="both"/>
        <w:rPr>
          <w:rFonts w:ascii="Calibri" w:hAnsi="Calibri" w:cs="Arial"/>
          <w:b/>
          <w:color w:val="FF0000"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 xml:space="preserve">Módulo 4 – Custo de Reposição de Profissional Ausente </w:t>
      </w:r>
    </w:p>
    <w:p w14:paraId="28344AC2">
      <w:pPr>
        <w:rPr>
          <w:rFonts w:ascii="Calibri" w:hAnsi="Calibri" w:cs="Arial"/>
          <w:sz w:val="22"/>
          <w:szCs w:val="22"/>
        </w:rPr>
      </w:pPr>
    </w:p>
    <w:p w14:paraId="7924B36A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>Submódulo 4.1 – Ausências Legais</w:t>
      </w:r>
    </w:p>
    <w:p w14:paraId="1003D987">
      <w:pPr>
        <w:rPr>
          <w:rFonts w:ascii="Calibri" w:hAnsi="Calibri" w:cs="Arial"/>
          <w:lang w:val="pt-PT"/>
        </w:rPr>
      </w:pPr>
    </w:p>
    <w:tbl>
      <w:tblPr>
        <w:tblStyle w:val="70"/>
        <w:tblW w:w="9351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3"/>
        <w:gridCol w:w="1719"/>
        <w:gridCol w:w="2601"/>
        <w:gridCol w:w="4518"/>
      </w:tblGrid>
      <w:tr w14:paraId="6D3631D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42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7EBCD8CB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4.1</w:t>
            </w:r>
          </w:p>
        </w:tc>
        <w:tc>
          <w:tcPr>
            <w:tcW w:w="196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DD5F243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Ausências Legais</w:t>
            </w:r>
          </w:p>
        </w:tc>
        <w:tc>
          <w:tcPr>
            <w:tcW w:w="3314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03BBBA67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  <w:tc>
          <w:tcPr>
            <w:tcW w:w="3531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53EAAE86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FUNDAMENTO</w:t>
            </w:r>
          </w:p>
        </w:tc>
      </w:tr>
      <w:tr w14:paraId="5D4F44BA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542" w:type="dxa"/>
            <w:shd w:val="clear" w:color="auto" w:fill="DBE5F1" w:themeFill="accent1" w:themeFillTint="33"/>
          </w:tcPr>
          <w:p w14:paraId="53237CF8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137E0AD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Férias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65729E4A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Esse custo será zerado no primeiro ano.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792F61F5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-</w:t>
            </w:r>
          </w:p>
          <w:p w14:paraId="29CDF57B">
            <w:pPr>
              <w:jc w:val="both"/>
              <w:rPr>
                <w:rFonts w:cs="Arial" w:asciiTheme="minorHAnsi" w:hAnsiTheme="minorHAnsi"/>
                <w:sz w:val="18"/>
                <w:szCs w:val="18"/>
              </w:rPr>
            </w:pPr>
          </w:p>
        </w:tc>
      </w:tr>
      <w:tr w14:paraId="69BC0C7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42" w:type="dxa"/>
          </w:tcPr>
          <w:p w14:paraId="450C73A1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1964" w:type="dxa"/>
          </w:tcPr>
          <w:p w14:paraId="09BCBC16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Ausências Legais</w:t>
            </w:r>
          </w:p>
        </w:tc>
        <w:tc>
          <w:tcPr>
            <w:tcW w:w="3314" w:type="dxa"/>
          </w:tcPr>
          <w:p w14:paraId="28884E3E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AL= nDR(AL) x CDR / 12</w:t>
            </w:r>
          </w:p>
        </w:tc>
        <w:tc>
          <w:tcPr>
            <w:tcW w:w="3531" w:type="dxa"/>
          </w:tcPr>
          <w:p w14:paraId="102E677C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473 da CLT / Acórdão TCU 1.753/2008:  Calculado segundo estimativa do MPOG (manual de preenchimento, pg 54).</w:t>
            </w:r>
          </w:p>
          <w:p w14:paraId="5F44B40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nDR(AL)</w:t>
            </w:r>
            <w:r>
              <w:rPr>
                <w:rFonts w:ascii="Calibri" w:hAnsi="Calibri" w:cs="Arial"/>
                <w:sz w:val="18"/>
                <w:szCs w:val="18"/>
              </w:rPr>
              <w:t xml:space="preserve"> - nº médio anual de dias de ausências legais por ano =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2,96</w:t>
            </w:r>
          </w:p>
        </w:tc>
      </w:tr>
      <w:tr w14:paraId="0106AF7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42" w:type="dxa"/>
            <w:shd w:val="clear" w:color="auto" w:fill="DBE5F1" w:themeFill="accent1" w:themeFillTint="33"/>
          </w:tcPr>
          <w:p w14:paraId="6E365451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354D9EA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Licença-Paternidade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7DCBACC0">
            <w:pPr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LP= nDR(LP) x % LP x CDR/12</w:t>
            </w:r>
          </w:p>
        </w:tc>
        <w:tc>
          <w:tcPr>
            <w:tcW w:w="3531" w:type="dxa"/>
            <w:shd w:val="clear" w:color="auto" w:fill="DBE5F1" w:themeFill="accent1" w:themeFillTint="33"/>
          </w:tcPr>
          <w:p w14:paraId="09AF4447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Art. 7º, XIX, CF/88 e</w:t>
            </w:r>
          </w:p>
          <w:p w14:paraId="23DB1B75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10, § 1º, da CLT.</w:t>
            </w:r>
          </w:p>
          <w:p w14:paraId="27B90BCE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27):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1,5%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trabalhadores tem filhos. 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5 dias (nº de dias corridos de licença).</w:t>
            </w:r>
          </w:p>
        </w:tc>
      </w:tr>
      <w:tr w14:paraId="6A6304F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42" w:type="dxa"/>
          </w:tcPr>
          <w:p w14:paraId="788507BE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1964" w:type="dxa"/>
          </w:tcPr>
          <w:p w14:paraId="2286FCBC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Ausência por acidente de trabalho</w:t>
            </w:r>
          </w:p>
        </w:tc>
        <w:tc>
          <w:tcPr>
            <w:tcW w:w="3314" w:type="dxa"/>
          </w:tcPr>
          <w:p w14:paraId="2F9A8F4A">
            <w:pPr>
              <w:jc w:val="center"/>
              <w:rPr>
                <w:rFonts w:ascii="Calibri" w:hAnsi="Calibri" w:cs="Arial"/>
                <w:sz w:val="18"/>
                <w:szCs w:val="18"/>
                <w:lang w:val="en-US"/>
              </w:rPr>
            </w:pPr>
            <w:r>
              <w:rPr>
                <w:rFonts w:ascii="Calibri" w:hAnsi="Calibri" w:cs="Arial"/>
                <w:sz w:val="18"/>
                <w:szCs w:val="18"/>
                <w:lang w:val="en-US"/>
              </w:rPr>
              <w:t>AT= nDR(AT) x % AT x CDR/12</w:t>
            </w:r>
          </w:p>
        </w:tc>
        <w:tc>
          <w:tcPr>
            <w:tcW w:w="3531" w:type="dxa"/>
          </w:tcPr>
          <w:p w14:paraId="5777DF4D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Arts. 19 a 23 c/c § 2º, Art. 43 da Lei 8.213/91.</w:t>
            </w:r>
          </w:p>
          <w:p w14:paraId="2CBE6983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Manual de Preenchimento de Planilhas do MPOG 2011 (pg 28):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0,78%</w:t>
            </w:r>
            <w:r>
              <w:rPr>
                <w:rFonts w:ascii="Calibri" w:hAnsi="Calibri" w:cs="Arial"/>
                <w:sz w:val="18"/>
                <w:szCs w:val="18"/>
              </w:rPr>
              <w:t xml:space="preserve"> dos empregados se acidentam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1FE28695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Sendo </w:t>
            </w:r>
            <w:r>
              <w:rPr>
                <w:rFonts w:ascii="Calibri" w:hAnsi="Calibri" w:cs="Arial"/>
                <w:b/>
                <w:sz w:val="18"/>
                <w:szCs w:val="18"/>
              </w:rPr>
              <w:t>15 dias (nº de dias corridos de licença pagos pelo empregador).</w:t>
            </w:r>
          </w:p>
          <w:p w14:paraId="5051BA40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356CCBF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42" w:type="dxa"/>
            <w:shd w:val="clear" w:color="auto" w:fill="DBE5F1" w:themeFill="accent1" w:themeFillTint="33"/>
          </w:tcPr>
          <w:p w14:paraId="73C237CB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1964" w:type="dxa"/>
            <w:shd w:val="clear" w:color="auto" w:fill="DBE5F1" w:themeFill="accent1" w:themeFillTint="33"/>
          </w:tcPr>
          <w:p w14:paraId="7CE34C32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  <w:shd w:val="clear" w:color="auto" w:fill="FFFFFF"/>
              </w:rPr>
              <w:t>Substituto na cobertura de Afastamento Maternidade</w:t>
            </w:r>
            <w:r>
              <w:rPr>
                <w:rFonts w:cs="Arial" w:asciiTheme="minorHAnsi" w:hAnsiTheme="minorHAnsi"/>
                <w:sz w:val="18"/>
                <w:szCs w:val="18"/>
              </w:rPr>
              <w:t xml:space="preserve"> 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36EF1845">
            <w:pPr>
              <w:pStyle w:val="58"/>
              <w:ind w:left="-70"/>
              <w:jc w:val="both"/>
              <w:rPr>
                <w:rFonts w:cs="Arial" w:asciiTheme="minorHAnsi" w:hAnsiTheme="minorHAnsi" w:eastAsiaTheme="minorHAnsi"/>
                <w:sz w:val="16"/>
                <w:szCs w:val="16"/>
                <w:lang w:val="en-US" w:eastAsia="en-US"/>
              </w:rPr>
            </w:pPr>
            <w:r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  <w:t xml:space="preserve">(*) </w:t>
            </w:r>
            <w:r>
              <w:rPr>
                <w:rFonts w:cs="Arial" w:asciiTheme="minorHAnsi" w:hAnsiTheme="minorHAnsi" w:eastAsiaTheme="minorHAnsi"/>
                <w:sz w:val="16"/>
                <w:szCs w:val="16"/>
                <w:lang w:val="en-US" w:eastAsia="en-US"/>
              </w:rPr>
              <w:t>AMT: FPAM + (BMDND x 3,95 x  % a.a AM) : 12 + IAM</w:t>
            </w:r>
          </w:p>
          <w:p w14:paraId="0D82DD85">
            <w:pPr>
              <w:jc w:val="center"/>
              <w:rPr>
                <w:rFonts w:cs="Arial" w:asciiTheme="minorHAnsi" w:hAnsiTheme="minorHAnsi" w:eastAsiaTheme="minorHAnsi"/>
                <w:sz w:val="18"/>
                <w:szCs w:val="18"/>
                <w:lang w:val="en-US" w:eastAsia="en-US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078F19C">
            <w:pPr>
              <w:rPr>
                <w:rStyle w:val="11"/>
                <w:rFonts w:asciiTheme="minorHAnsi" w:hAnsiTheme="minorHAnsi"/>
                <w:i w:val="0"/>
                <w:sz w:val="18"/>
                <w:szCs w:val="18"/>
                <w:highlight w:val="white"/>
              </w:rPr>
            </w:pPr>
            <w:r>
              <w:rPr>
                <w:rStyle w:val="11"/>
                <w:rFonts w:asciiTheme="minorHAnsi" w:hAnsiTheme="minorHAnsi"/>
                <w:i w:val="0"/>
                <w:sz w:val="18"/>
                <w:szCs w:val="18"/>
                <w:shd w:val="clear" w:color="auto" w:fill="FFFFFF"/>
              </w:rPr>
              <w:t>Art. 6º e 201 da CF, art. 392 da CLT.</w:t>
            </w:r>
          </w:p>
          <w:p w14:paraId="6AD9D3A6">
            <w:r>
              <w:rPr>
                <w:rFonts w:ascii="Calibri" w:hAnsi="Calibri" w:cs="Arial"/>
                <w:b/>
                <w:sz w:val="18"/>
                <w:szCs w:val="18"/>
              </w:rPr>
              <w:t>Considerando os dados do IBGE 2021, a taxa de fecundidade no estado do Rio de Janeiro é de 1,72% &lt;</w:t>
            </w:r>
            <w:r>
              <w:t>https://www.ibge.gov.br/apps/populacao/projecao/&gt;. Acesso em 23/05/2021)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; </w:t>
            </w:r>
          </w:p>
          <w:p w14:paraId="41996963">
            <w:pPr>
              <w:rPr>
                <w:rFonts w:cs="Arial" w:asciiTheme="minorHAnsi" w:hAnsiTheme="minorHAnsi" w:eastAsiaTheme="minorHAnsi"/>
                <w:i/>
                <w:sz w:val="18"/>
                <w:szCs w:val="18"/>
                <w:lang w:eastAsia="en-US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Considerando dados de contratos anteriores com tipo de serviço assemelhado,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temos que aproximadamente 12% de mulheres do número </w:t>
            </w:r>
            <w:r>
              <w:rPr>
                <w:rFonts w:ascii="Calibri" w:hAnsi="Calibri" w:cs="Arial"/>
                <w:sz w:val="18"/>
                <w:szCs w:val="18"/>
              </w:rPr>
              <w:t xml:space="preserve">total de trabalhadores. Sendo assim, a percentagem de afastamento maternidade é 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>de 12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 x 1,72%</w:t>
            </w:r>
            <w:r>
              <w:rPr>
                <w:rFonts w:ascii="Calibri" w:hAnsi="Calibri" w:cs="Arial"/>
                <w:color w:val="FF0000"/>
                <w:sz w:val="18"/>
                <w:szCs w:val="18"/>
              </w:rPr>
              <w:t xml:space="preserve"> = 0,21</w:t>
            </w:r>
            <w:r>
              <w:rPr>
                <w:rFonts w:ascii="Calibri" w:hAnsi="Calibri" w:cs="Arial"/>
                <w:b/>
                <w:color w:val="FF0000"/>
                <w:sz w:val="18"/>
                <w:szCs w:val="18"/>
              </w:rPr>
              <w:t>%</w:t>
            </w:r>
          </w:p>
        </w:tc>
      </w:tr>
      <w:tr w14:paraId="524568D4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42" w:type="dxa"/>
          </w:tcPr>
          <w:p w14:paraId="29D983C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F</w:t>
            </w:r>
          </w:p>
        </w:tc>
        <w:tc>
          <w:tcPr>
            <w:tcW w:w="1964" w:type="dxa"/>
          </w:tcPr>
          <w:p w14:paraId="18A0E98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color w:val="000000"/>
                <w:sz w:val="18"/>
                <w:szCs w:val="18"/>
                <w:shd w:val="clear" w:color="auto" w:fill="FFFFFF"/>
              </w:rPr>
              <w:t>Substituto na cobertura de Outras ausências (especificar)</w:t>
            </w:r>
          </w:p>
        </w:tc>
        <w:tc>
          <w:tcPr>
            <w:tcW w:w="3314" w:type="dxa"/>
          </w:tcPr>
          <w:p w14:paraId="702B5BB2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</w:tcPr>
          <w:p w14:paraId="4A69A75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  <w:t>-</w:t>
            </w:r>
          </w:p>
        </w:tc>
      </w:tr>
      <w:tr w14:paraId="67515982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2" w:type="dxa"/>
            <w:shd w:val="clear" w:color="auto" w:fill="DBE5F1" w:themeFill="accent1" w:themeFillTint="33"/>
          </w:tcPr>
          <w:p w14:paraId="4BD37E02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  <w:lang w:val="en-US"/>
              </w:rPr>
            </w:pPr>
          </w:p>
        </w:tc>
        <w:tc>
          <w:tcPr>
            <w:tcW w:w="1964" w:type="dxa"/>
            <w:shd w:val="clear" w:color="auto" w:fill="DBE5F1" w:themeFill="accent1" w:themeFillTint="33"/>
          </w:tcPr>
          <w:p w14:paraId="0B95E946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3314" w:type="dxa"/>
            <w:shd w:val="clear" w:color="auto" w:fill="DBE5F1" w:themeFill="accent1" w:themeFillTint="33"/>
          </w:tcPr>
          <w:p w14:paraId="1122CE0B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3531" w:type="dxa"/>
            <w:shd w:val="clear" w:color="auto" w:fill="DBE5F1" w:themeFill="accent1" w:themeFillTint="33"/>
          </w:tcPr>
          <w:p w14:paraId="7F472487">
            <w:pPr>
              <w:rPr>
                <w:rFonts w:ascii="Calibri" w:hAnsi="Calibri" w:cs="Arial" w:eastAsiaTheme="minorHAnsi"/>
                <w:sz w:val="18"/>
                <w:szCs w:val="18"/>
                <w:lang w:eastAsia="en-US"/>
              </w:rPr>
            </w:pPr>
          </w:p>
        </w:tc>
      </w:tr>
    </w:tbl>
    <w:p w14:paraId="36E3C3D7">
      <w:pPr>
        <w:ind w:left="426"/>
        <w:jc w:val="both"/>
        <w:rPr>
          <w:rStyle w:val="8"/>
          <w:rFonts w:cs="Arial" w:asciiTheme="minorHAnsi" w:hAnsiTheme="minorHAnsi"/>
          <w:color w:val="000000"/>
          <w:sz w:val="16"/>
          <w:szCs w:val="16"/>
          <w:shd w:val="clear" w:color="auto" w:fill="FFFFFF"/>
        </w:rPr>
      </w:pPr>
    </w:p>
    <w:p w14:paraId="5ADCF35C">
      <w:pPr>
        <w:ind w:left="426"/>
        <w:rPr>
          <w:rFonts w:cs="Arial" w:asciiTheme="minorHAnsi" w:hAnsiTheme="minorHAnsi"/>
          <w:color w:val="000000"/>
          <w:sz w:val="22"/>
          <w:szCs w:val="22"/>
          <w:highlight w:val="white"/>
        </w:rPr>
      </w:pPr>
      <w:r>
        <w:rPr>
          <w:rStyle w:val="8"/>
          <w:rFonts w:cs="Arial" w:asciiTheme="minorHAnsi" w:hAnsiTheme="minorHAnsi"/>
          <w:color w:val="000000"/>
          <w:sz w:val="22"/>
          <w:szCs w:val="22"/>
          <w:shd w:val="clear" w:color="auto" w:fill="FFFFFF"/>
        </w:rPr>
        <w:t>Nota 1: </w:t>
      </w:r>
      <w:r>
        <w:rPr>
          <w:rFonts w:cs="Arial" w:asciiTheme="minorHAnsi" w:hAnsiTheme="minorHAnsi"/>
          <w:color w:val="000000"/>
          <w:sz w:val="22"/>
          <w:szCs w:val="22"/>
          <w:shd w:val="clear" w:color="auto" w:fill="FFFFFF"/>
        </w:rPr>
        <w:t>Os itens que contemplam o módulo 4 se referem ao custo dos dias trabalhados pelo repositor/substituto, quando o empregado alocado na prestação de serviço estiver ausente, conforme as previsões estabelecidas na legislação.</w:t>
      </w:r>
    </w:p>
    <w:p w14:paraId="6970EB9B">
      <w:pPr>
        <w:ind w:left="42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C0B9BAF">
      <w:pPr>
        <w:ind w:left="42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  <w:r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  <w:t>OBSERVAÇÕES:</w:t>
      </w:r>
    </w:p>
    <w:p w14:paraId="54606483">
      <w:pPr>
        <w:ind w:left="42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10FCCA90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Para o cálculo do custo de reposição do profissional ausente deve-se em primeiro lugar determinar o custo diário daquele que vai fazer a reposição – CDR, que é obtido:</w:t>
      </w:r>
    </w:p>
    <w:p w14:paraId="4CF3A90A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3AA8BD59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                          Custo mensal do repositor (mód. 1 + mód. 2 + mod. 3 + maternidade + mód. 5 – (transp. – aliment. – equip.  – materiais)</w:t>
      </w:r>
    </w:p>
    <w:p w14:paraId="7674DB91">
      <w:pPr>
        <w:rPr>
          <w:sz w:val="22"/>
          <w:szCs w:val="22"/>
        </w:rPr>
      </w:pPr>
      <w:r>
        <w:rPr>
          <w:rFonts w:cs="Arial" w:asciiTheme="minorHAnsi" w:hAnsiTheme="minorHAnsi" w:eastAsiaTheme="minorHAnsi"/>
          <w:b/>
          <w:sz w:val="22"/>
          <w:szCs w:val="22"/>
          <w:lang w:eastAsia="en-US"/>
        </w:rPr>
        <w:t xml:space="preserve">                                               CDR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=                                                 _____________________________________________</w:t>
      </w:r>
    </w:p>
    <w:p w14:paraId="7C183A8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 xml:space="preserve">                                  Dias do mês (30)</w:t>
      </w:r>
    </w:p>
    <w:p w14:paraId="4889C912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68F39FC3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No cálculo do custo diário de reposição de empregados ausentes, deve-se excluir os custos referentes às verbas que já foram consideradas na composição da planilha e que não deverão ser incluídas no custo do profissional vinculado ao contrato, tais como materiais, equipamentos, vale transporte, auxílio refeição, etc.</w:t>
      </w:r>
    </w:p>
    <w:p w14:paraId="6544EF1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094BA0B">
      <w:pPr>
        <w:pStyle w:val="58"/>
        <w:numPr>
          <w:ilvl w:val="0"/>
          <w:numId w:val="1"/>
        </w:numPr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Deve-se considerar que o afastamento maternidade (4.1 – E) também é componente do custo do repositor. Embora a planilha se refira à própria licença maternidade, esta é paga pela Previdência Social e não pelo empregador, contudo, existem encargos correspondentes ao período do afastamento não cobertos pela previdência, tais como: férias proporcionais, encargos previdenciários, FGTS, e outros.</w:t>
      </w:r>
    </w:p>
    <w:p w14:paraId="04B2016E">
      <w:pPr>
        <w:pStyle w:val="58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3BED8CBD">
      <w:pPr>
        <w:pStyle w:val="58"/>
        <w:ind w:left="78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  <w:r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  <w:t xml:space="preserve">CÁLCULO DO </w:t>
      </w:r>
      <w:r>
        <w:rPr>
          <w:rFonts w:cs="Arial" w:asciiTheme="minorHAnsi" w:hAnsiTheme="minorHAnsi"/>
          <w:b/>
          <w:color w:val="FF0000"/>
          <w:sz w:val="22"/>
          <w:szCs w:val="22"/>
          <w:shd w:val="clear" w:color="auto" w:fill="FFFFFF"/>
        </w:rPr>
        <w:t>SUBSTITUTO NA COBERTURA DE AFASTAMENTO MATERNIDADE</w:t>
      </w:r>
      <w:r>
        <w:rPr>
          <w:rFonts w:cs="Arial" w:asciiTheme="minorHAnsi" w:hAnsiTheme="minorHAnsi"/>
          <w:color w:val="FF0000"/>
          <w:sz w:val="22"/>
          <w:szCs w:val="22"/>
        </w:rPr>
        <w:t xml:space="preserve"> </w:t>
      </w:r>
      <w:r>
        <w:rPr>
          <w:rFonts w:cs="Arial" w:asciiTheme="minorHAnsi" w:hAnsiTheme="minorHAnsi"/>
          <w:sz w:val="22"/>
          <w:szCs w:val="22"/>
        </w:rPr>
        <w:t>(*)</w:t>
      </w:r>
    </w:p>
    <w:p w14:paraId="233CF5D8">
      <w:pPr>
        <w:pStyle w:val="58"/>
        <w:ind w:left="786"/>
        <w:rPr>
          <w:rFonts w:cs="Arial" w:asciiTheme="minorHAnsi" w:hAnsiTheme="minorHAnsi" w:eastAsiaTheme="minorHAnsi"/>
          <w:b/>
          <w:sz w:val="22"/>
          <w:szCs w:val="22"/>
          <w:u w:val="single"/>
          <w:lang w:eastAsia="en-US"/>
        </w:rPr>
      </w:pPr>
    </w:p>
    <w:p w14:paraId="74B0285F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val="en-US" w:eastAsia="en-US"/>
        </w:rPr>
      </w:pPr>
      <w:r>
        <w:rPr>
          <w:rFonts w:cs="Arial" w:asciiTheme="minorHAnsi" w:hAnsiTheme="minorHAnsi" w:eastAsiaTheme="minorHAnsi"/>
          <w:sz w:val="22"/>
          <w:szCs w:val="22"/>
          <w:lang w:val="en-US" w:eastAsia="en-US"/>
        </w:rPr>
        <w:t>AMT: FPAM + (BMDND x 3,95 x  % a.a AM) : 12 + IAM</w:t>
      </w:r>
    </w:p>
    <w:p w14:paraId="2509BA9A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val="en-US" w:eastAsia="en-US"/>
        </w:rPr>
      </w:pPr>
    </w:p>
    <w:p w14:paraId="0148639E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FPAM (</w:t>
      </w:r>
      <w:r>
        <w:rPr>
          <w:rFonts w:cs="Arial" w:asciiTheme="minorHAnsi" w:hAnsiTheme="minorHAnsi" w:eastAsiaTheme="minorHAnsi"/>
          <w:i/>
          <w:sz w:val="22"/>
          <w:szCs w:val="22"/>
          <w:lang w:eastAsia="en-US"/>
        </w:rPr>
        <w:t>Ferias proporcionais sobre o afastamento maternidade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>) = [(F + AF) x 3,95/12)]</w:t>
      </w:r>
    </w:p>
    <w:p w14:paraId="51224451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IAM (</w:t>
      </w:r>
      <w:r>
        <w:rPr>
          <w:rFonts w:cs="Arial" w:asciiTheme="minorHAnsi" w:hAnsiTheme="minorHAnsi" w:eastAsiaTheme="minorHAnsi"/>
          <w:i/>
          <w:sz w:val="22"/>
          <w:szCs w:val="22"/>
          <w:lang w:eastAsia="en-US"/>
        </w:rPr>
        <w:t>Incidência do submódulo 2.2 sobre o afastamento maternidade</w:t>
      </w:r>
      <w:r>
        <w:rPr>
          <w:rFonts w:cs="Arial" w:asciiTheme="minorHAnsi" w:hAnsiTheme="minorHAnsi" w:eastAsiaTheme="minorHAnsi"/>
          <w:sz w:val="22"/>
          <w:szCs w:val="22"/>
          <w:lang w:eastAsia="en-US"/>
        </w:rPr>
        <w:t>) = [(R + 13º) x %TE (alíquota encargos) x 3,95)] x %AM : 12</w:t>
      </w:r>
    </w:p>
    <w:p w14:paraId="2AA3BFCE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ascii="Calibri" w:hAnsi="Calibri" w:cs="Arial" w:eastAsiaTheme="minorHAnsi"/>
          <w:sz w:val="22"/>
          <w:szCs w:val="22"/>
        </w:rP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1058545</wp:posOffset>
                </wp:positionH>
                <wp:positionV relativeFrom="paragraph">
                  <wp:posOffset>58420</wp:posOffset>
                </wp:positionV>
                <wp:extent cx="3479800" cy="481330"/>
                <wp:effectExtent l="0" t="0" r="26035" b="14605"/>
                <wp:wrapNone/>
                <wp:docPr id="7" name="Caixa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79040" cy="4806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14:paraId="3880AE72">
                            <w:pPr>
                              <w:pStyle w:val="66"/>
                              <w:jc w:val="center"/>
                              <w:rPr>
                                <w:rFonts w:asciiTheme="minorHAnsi" w:hAnsiTheme="minorHAnsi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0000"/>
                                <w:sz w:val="16"/>
                                <w:szCs w:val="16"/>
                              </w:rPr>
                              <w:t>Dias de licença a maternidade:</w:t>
                            </w:r>
                          </w:p>
                          <w:p w14:paraId="3BB11D50">
                            <w:pPr>
                              <w:pStyle w:val="66"/>
                              <w:jc w:val="center"/>
                              <w:rPr>
                                <w:rFonts w:asciiTheme="minorHAnsi" w:hAnsiTheme="minorHAnsi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365 / 12 = 30,4167 média de dias por mês</w:t>
                            </w:r>
                          </w:p>
                          <w:p w14:paraId="14BE4DFF">
                            <w:pPr>
                              <w:pStyle w:val="66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color w:val="000000"/>
                                <w:sz w:val="16"/>
                                <w:szCs w:val="16"/>
                              </w:rPr>
                              <w:t>120 / 30,4167 = 3,95 meses de licença maternidade</w:t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Caixa de texto 6" o:spid="_x0000_s1026" o:spt="1" style="position:absolute;left:0pt;margin-left:83.35pt;margin-top:4.6pt;height:37.9pt;width:274pt;z-index:251661312;mso-width-relative:page;mso-height-relative:page;" fillcolor="#DDD9C3 [2894]" filled="t" stroked="t" coordsize="21600,21600" o:gfxdata="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C39QB3WAAAACAEAAA8AAAAAAAAAAQAg&#10;AAAAIgAAAGRycy9kb3ducmV2LnhtbFBLAQIUABQAAAAIAIdO4kBHSTgU1wEAAN4DAAAOAAAAAAAA&#10;AAEAIAAAACUBAABkcnMvZTJvRG9jLnhtbFBLBQYAAAAABgAGAFkBAABuBQAAAAA=&#10;">
                <v:fill on="t" focussize="0,0"/>
                <v:stroke weight="0.510236220472441pt" color="#000000 [3204]" joinstyle="round"/>
                <v:imagedata o:title=""/>
                <o:lock v:ext="edit" aspectratio="f"/>
                <v:textbox>
                  <w:txbxContent>
                    <w:p w14:paraId="3880AE72">
                      <w:pPr>
                        <w:pStyle w:val="66"/>
                        <w:jc w:val="center"/>
                        <w:rPr>
                          <w:rFonts w:asciiTheme="minorHAnsi" w:hAnsiTheme="minorHAnsi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0000"/>
                          <w:sz w:val="16"/>
                          <w:szCs w:val="16"/>
                        </w:rPr>
                        <w:t>Dias de licença a maternidade:</w:t>
                      </w:r>
                    </w:p>
                    <w:p w14:paraId="3BB11D50">
                      <w:pPr>
                        <w:pStyle w:val="66"/>
                        <w:jc w:val="center"/>
                        <w:rPr>
                          <w:rFonts w:asciiTheme="minorHAnsi" w:hAnsiTheme="minorHAnsi"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365 / 12 = 30,4167 média de dias por mês</w:t>
                      </w:r>
                    </w:p>
                    <w:p w14:paraId="14BE4DFF">
                      <w:pPr>
                        <w:pStyle w:val="66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Theme="minorHAnsi" w:hAnsiTheme="minorHAnsi"/>
                          <w:color w:val="000000"/>
                          <w:sz w:val="16"/>
                          <w:szCs w:val="16"/>
                        </w:rPr>
                        <w:t>120 / 30,4167 = 3,95 meses de licença maternidade</w:t>
                      </w:r>
                    </w:p>
                  </w:txbxContent>
                </v:textbox>
              </v:rect>
            </w:pict>
          </mc:Fallback>
        </mc:AlternateContent>
      </w:r>
    </w:p>
    <w:p w14:paraId="670201BF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5309FA44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40D2E289">
      <w:pPr>
        <w:pStyle w:val="58"/>
        <w:ind w:left="786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754987D2">
      <w:pPr>
        <w:jc w:val="both"/>
        <w:rPr>
          <w:rFonts w:ascii="Calibri" w:hAnsi="Calibri" w:cs="Arial"/>
          <w:sz w:val="22"/>
          <w:szCs w:val="22"/>
          <w:u w:val="single"/>
          <w:lang w:val="pt-PT"/>
        </w:rPr>
      </w:pPr>
      <w:r>
        <w:rPr>
          <w:rFonts w:ascii="Calibri" w:hAnsi="Calibri" w:cs="Arial"/>
          <w:sz w:val="22"/>
          <w:szCs w:val="22"/>
          <w:u w:val="single"/>
          <w:lang w:val="pt-PT"/>
        </w:rPr>
        <w:t xml:space="preserve">Submódulo 4.2 – </w:t>
      </w:r>
      <w:r>
        <w:rPr>
          <w:rStyle w:val="8"/>
          <w:rFonts w:cs="Arial" w:asciiTheme="minorHAnsi" w:hAnsiTheme="minorHAnsi"/>
          <w:b w:val="0"/>
          <w:color w:val="000000"/>
          <w:sz w:val="22"/>
          <w:szCs w:val="22"/>
          <w:u w:val="single"/>
          <w:shd w:val="clear" w:color="auto" w:fill="FFFFFF"/>
        </w:rPr>
        <w:t>Substituto na Intrajornada</w:t>
      </w:r>
    </w:p>
    <w:p w14:paraId="20EC6C44">
      <w:pPr>
        <w:tabs>
          <w:tab w:val="left" w:pos="8130"/>
        </w:tabs>
        <w:jc w:val="both"/>
        <w:rPr>
          <w:rFonts w:asciiTheme="minorHAnsi" w:hAnsiTheme="minorHAnsi" w:cstheme="minorHAnsi"/>
          <w:color w:val="FF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Não haverá previsão de indenização pelo intervalor de intrajornada.</w:t>
      </w:r>
    </w:p>
    <w:p w14:paraId="2902329D">
      <w:pPr>
        <w:jc w:val="both"/>
        <w:rPr>
          <w:rFonts w:ascii="Calibri" w:hAnsi="Calibri" w:cs="Arial"/>
        </w:rPr>
      </w:pPr>
    </w:p>
    <w:p w14:paraId="545C7691">
      <w:pPr>
        <w:jc w:val="both"/>
        <w:rPr>
          <w:rFonts w:ascii="Calibri" w:hAnsi="Calibri" w:cs="Arial"/>
          <w:b/>
          <w:u w:val="single"/>
        </w:rPr>
      </w:pPr>
    </w:p>
    <w:p w14:paraId="7A3D8817">
      <w:pPr>
        <w:jc w:val="both"/>
        <w:rPr>
          <w:rFonts w:ascii="Calibri" w:hAnsi="Calibri" w:cs="Arial"/>
          <w:b/>
          <w:sz w:val="22"/>
          <w:szCs w:val="22"/>
          <w:u w:val="single"/>
        </w:rPr>
      </w:pPr>
      <w:r>
        <w:rPr>
          <w:rFonts w:ascii="Calibri" w:hAnsi="Calibri" w:cs="Arial"/>
          <w:b/>
          <w:sz w:val="22"/>
          <w:szCs w:val="22"/>
          <w:u w:val="single"/>
        </w:rPr>
        <w:t>Módulo 5 – Insumos Diversos</w:t>
      </w:r>
    </w:p>
    <w:p w14:paraId="259ADE62">
      <w:pPr>
        <w:jc w:val="both"/>
        <w:rPr>
          <w:rFonts w:ascii="Calibri" w:hAnsi="Calibri" w:cs="Arial"/>
          <w:b/>
          <w:sz w:val="22"/>
          <w:szCs w:val="22"/>
          <w:u w:val="single"/>
        </w:rPr>
      </w:pPr>
    </w:p>
    <w:p w14:paraId="41520B2D">
      <w:pPr>
        <w:spacing w:line="276" w:lineRule="auto"/>
        <w:jc w:val="both"/>
        <w:rPr>
          <w:rFonts w:ascii="Calibri" w:hAnsi="Calibri" w:cs="Arial"/>
          <w:b/>
          <w:sz w:val="22"/>
          <w:szCs w:val="22"/>
        </w:rPr>
      </w:pPr>
      <w:r>
        <w:rPr>
          <w:rFonts w:ascii="Calibri" w:hAnsi="Calibri" w:cs="Arial"/>
          <w:b/>
          <w:sz w:val="22"/>
          <w:szCs w:val="22"/>
        </w:rPr>
        <w:t>A) Uniformes</w:t>
      </w:r>
    </w:p>
    <w:p w14:paraId="03839252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É considerado os valores praticados no mercado para uniforme e EPIS, conforme Anexo III-B1.</w:t>
      </w:r>
    </w:p>
    <w:p w14:paraId="0CB81891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Quantidade estimada por ano, sendo 1 (hum) conjunto na admissão e mais 1 (um) conjunto a cada 6 (seis) meses.</w:t>
      </w:r>
    </w:p>
    <w:p w14:paraId="674B2A9F">
      <w:pPr>
        <w:spacing w:line="276" w:lineRule="auto"/>
        <w:jc w:val="both"/>
        <w:rPr>
          <w:rFonts w:ascii="Calibri" w:hAnsi="Calibri" w:cs="Arial"/>
          <w:sz w:val="22"/>
          <w:szCs w:val="22"/>
        </w:rPr>
      </w:pPr>
    </w:p>
    <w:p w14:paraId="5A6D678D">
      <w:pPr>
        <w:spacing w:line="276" w:lineRule="auto"/>
        <w:jc w:val="both"/>
        <w:rPr>
          <w:rFonts w:ascii="Calibri" w:hAnsi="Calibri" w:cs="Arial"/>
        </w:rPr>
      </w:pPr>
    </w:p>
    <w:p w14:paraId="3143AB62">
      <w:pPr>
        <w:rPr>
          <w:rFonts w:cs="Arial" w:asciiTheme="minorHAnsi" w:hAnsiTheme="minorHAnsi"/>
          <w:b/>
          <w:lang w:val="pt-PT"/>
        </w:rPr>
      </w:pPr>
      <w:r>
        <w:rPr>
          <w:rFonts w:cs="Arial" w:asciiTheme="minorHAnsi" w:hAnsiTheme="minorHAnsi"/>
          <w:b/>
          <w:lang w:val="pt-PT"/>
        </w:rPr>
        <w:t>B) EQUIPAMENTOS</w:t>
      </w:r>
    </w:p>
    <w:p w14:paraId="494059F2">
      <w:pPr>
        <w:rPr>
          <w:rFonts w:cs="Arial" w:asciiTheme="minorHAnsi" w:hAnsiTheme="minorHAnsi"/>
          <w:bCs/>
          <w:lang w:val="pt-PT"/>
        </w:rPr>
      </w:pPr>
      <w:r>
        <w:rPr>
          <w:rFonts w:cs="Arial" w:asciiTheme="minorHAnsi" w:hAnsiTheme="minorHAnsi"/>
          <w:bCs/>
          <w:lang w:val="pt-PT"/>
        </w:rPr>
        <w:t>Conforme Anexo III-B2.</w:t>
      </w:r>
    </w:p>
    <w:p w14:paraId="7A4A58DF">
      <w:pPr>
        <w:rPr>
          <w:rFonts w:cs="Arial" w:asciiTheme="minorHAnsi" w:hAnsiTheme="minorHAnsi"/>
          <w:b/>
          <w:lang w:val="pt-PT"/>
        </w:rPr>
      </w:pPr>
    </w:p>
    <w:p w14:paraId="2C4BEBB0">
      <w:pPr>
        <w:rPr>
          <w:rFonts w:cs="Arial" w:asciiTheme="minorHAnsi" w:hAnsiTheme="minorHAnsi"/>
          <w:b/>
        </w:rPr>
      </w:pPr>
    </w:p>
    <w:p w14:paraId="7CF4D73D">
      <w:pPr>
        <w:rPr>
          <w:rFonts w:cs="Arial" w:asciiTheme="minorHAnsi" w:hAnsiTheme="minorHAnsi"/>
          <w:b/>
          <w:lang w:val="pt-PT"/>
        </w:rPr>
      </w:pPr>
    </w:p>
    <w:p w14:paraId="38A59BF6">
      <w:pP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Módulo 6 – Custos Indiretos, Lucro e Tributos</w:t>
      </w:r>
    </w:p>
    <w:p w14:paraId="445D0C6D">
      <w:pPr>
        <w:rPr>
          <w:rFonts w:ascii="Calibri" w:hAnsi="Calibri" w:cs="Arial" w:eastAsiaTheme="minorHAnsi"/>
          <w:b/>
          <w:u w:val="single"/>
          <w:lang w:eastAsia="en-US"/>
        </w:rPr>
      </w:pPr>
    </w:p>
    <w:tbl>
      <w:tblPr>
        <w:tblStyle w:val="70"/>
        <w:tblW w:w="5523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2547"/>
      </w:tblGrid>
      <w:tr w14:paraId="5D0B869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40B28631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1BD2E26A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REAL</w:t>
            </w:r>
          </w:p>
        </w:tc>
        <w:tc>
          <w:tcPr>
            <w:tcW w:w="2547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0444C378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14:paraId="6353E4F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50" w:type="dxa"/>
            <w:shd w:val="clear" w:color="auto" w:fill="DBE5F1" w:themeFill="accent1" w:themeFillTint="33"/>
          </w:tcPr>
          <w:p w14:paraId="1E37514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4B37003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18111B60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4,80%</w:t>
            </w:r>
          </w:p>
        </w:tc>
      </w:tr>
      <w:tr w14:paraId="20358E68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24842004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7BCD0115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02AF7559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3,92%</w:t>
            </w:r>
          </w:p>
        </w:tc>
      </w:tr>
      <w:tr w14:paraId="1CDD48E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0" w:type="dxa"/>
            <w:shd w:val="clear" w:color="auto" w:fill="DBE5F1" w:themeFill="accent1" w:themeFillTint="33"/>
          </w:tcPr>
          <w:p w14:paraId="41A4F2A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FFE4E2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A092BAD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61BDF58F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70431445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586D7E0C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7B896A3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1,65% e COFINS = 7,65%)</w:t>
            </w:r>
          </w:p>
        </w:tc>
      </w:tr>
      <w:tr w14:paraId="4A51C8A7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  <w:shd w:val="clear" w:color="auto" w:fill="DBE5F1" w:themeFill="accent1" w:themeFillTint="33"/>
          </w:tcPr>
          <w:p w14:paraId="4F8266C2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58AD0B53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19849B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14:paraId="03A9F67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3E8B8536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0982460E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65C64DF7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14:paraId="46379D16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shd w:val="clear" w:color="auto" w:fill="DBE5F1" w:themeFill="accent1" w:themeFillTint="33"/>
          </w:tcPr>
          <w:p w14:paraId="2A61F99F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0BB204E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4773F2D4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5E922850">
      <w:pPr>
        <w:rPr>
          <w:rFonts w:ascii="Calibri" w:hAnsi="Calibri" w:cs="Arial" w:eastAsiaTheme="minorHAnsi"/>
          <w:b/>
          <w:u w:val="single"/>
          <w:lang w:eastAsia="en-US"/>
        </w:rPr>
      </w:pPr>
    </w:p>
    <w:tbl>
      <w:tblPr>
        <w:tblStyle w:val="70"/>
        <w:tblW w:w="5523" w:type="dxa"/>
        <w:tblInd w:w="0" w:type="dxa"/>
        <w:tblBorders>
          <w:top w:val="single" w:color="95B3D7" w:themeColor="accent1" w:themeTint="99" w:sz="4" w:space="0"/>
          <w:left w:val="single" w:color="95B3D7" w:themeColor="accent1" w:themeTint="99" w:sz="4" w:space="0"/>
          <w:bottom w:val="single" w:color="95B3D7" w:themeColor="accent1" w:themeTint="99" w:sz="4" w:space="0"/>
          <w:right w:val="single" w:color="95B3D7" w:themeColor="accent1" w:themeTint="99" w:sz="4" w:space="0"/>
          <w:insideH w:val="single" w:color="95B3D7" w:themeColor="accent1" w:themeTint="99" w:sz="4" w:space="0"/>
          <w:insideV w:val="single" w:color="95B3D7" w:themeColor="accent1" w:themeTint="99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126"/>
        <w:gridCol w:w="2547"/>
      </w:tblGrid>
      <w:tr w14:paraId="22FB0C7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50" w:type="dxa"/>
            <w:tcBorders>
              <w:top w:val="single" w:color="4F81BD" w:themeColor="accent1" w:sz="4" w:space="0"/>
              <w:left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8215E4E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2126" w:type="dxa"/>
            <w:tcBorders>
              <w:top w:val="single" w:color="4F81BD" w:themeColor="accent1" w:sz="4" w:space="0"/>
              <w:bottom w:val="single" w:color="4F81BD" w:themeColor="accent1" w:sz="4" w:space="0"/>
              <w:right w:val="nil"/>
              <w:insideH w:val="single" w:sz="4" w:space="0"/>
              <w:insideV w:val="nil"/>
            </w:tcBorders>
            <w:shd w:val="clear" w:color="auto" w:fill="4F81BD" w:themeFill="accent1"/>
          </w:tcPr>
          <w:p w14:paraId="232B96A0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CUSTOS INDIRETOS, TRIBUTOS E LUCRO PRESUMIDO</w:t>
            </w:r>
          </w:p>
        </w:tc>
        <w:tc>
          <w:tcPr>
            <w:tcW w:w="2547" w:type="dxa"/>
            <w:tcBorders>
              <w:top w:val="single" w:color="4F81BD" w:themeColor="accent1" w:sz="4" w:space="0"/>
              <w:bottom w:val="single" w:color="4F81BD" w:themeColor="accent1" w:sz="4" w:space="0"/>
              <w:right w:val="single" w:color="4F81BD" w:themeColor="accent1" w:sz="4" w:space="0"/>
              <w:insideH w:val="single" w:sz="4" w:space="0"/>
              <w:insideV w:val="nil"/>
            </w:tcBorders>
            <w:shd w:val="clear" w:color="auto" w:fill="4F81BD" w:themeFill="accent1"/>
          </w:tcPr>
          <w:p w14:paraId="5A3E4C1E">
            <w:pPr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 xml:space="preserve">MEMÓRIA DE CÁLCULO </w:t>
            </w:r>
          </w:p>
        </w:tc>
      </w:tr>
      <w:tr w14:paraId="0AF8D7F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50" w:type="dxa"/>
            <w:shd w:val="clear" w:color="auto" w:fill="DBE5F1" w:themeFill="accent1" w:themeFillTint="33"/>
          </w:tcPr>
          <w:p w14:paraId="141AFF57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AC25D9B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Custos Indiretos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3D8DFB92">
            <w:pPr>
              <w:jc w:val="both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4,80%</w:t>
            </w:r>
          </w:p>
        </w:tc>
      </w:tr>
      <w:tr w14:paraId="501BB533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07822D53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2126" w:type="dxa"/>
          </w:tcPr>
          <w:p w14:paraId="28116FAB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Lucro</w:t>
            </w:r>
          </w:p>
        </w:tc>
        <w:tc>
          <w:tcPr>
            <w:tcW w:w="2547" w:type="dxa"/>
          </w:tcPr>
          <w:p w14:paraId="3FF5B489">
            <w:pPr>
              <w:jc w:val="both"/>
              <w:rPr>
                <w:rFonts w:cs="Arial" w:asciiTheme="minorHAnsi" w:hAnsiTheme="minorHAnsi"/>
                <w:b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Conforme valor pesquisado, será considerado a alíquota </w:t>
            </w:r>
            <w:r>
              <w:rPr>
                <w:rFonts w:cs="Arial" w:asciiTheme="minorHAnsi" w:hAnsiTheme="minorHAnsi"/>
                <w:b/>
              </w:rPr>
              <w:t>3,92%</w:t>
            </w:r>
          </w:p>
        </w:tc>
      </w:tr>
      <w:tr w14:paraId="296A2940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850" w:type="dxa"/>
            <w:shd w:val="clear" w:color="auto" w:fill="DBE5F1" w:themeFill="accent1" w:themeFillTint="33"/>
          </w:tcPr>
          <w:p w14:paraId="52033FA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sz w:val="18"/>
                <w:szCs w:val="18"/>
              </w:rPr>
              <w:t>C</w:t>
            </w:r>
          </w:p>
        </w:tc>
        <w:tc>
          <w:tcPr>
            <w:tcW w:w="2126" w:type="dxa"/>
            <w:shd w:val="clear" w:color="auto" w:fill="DBE5F1" w:themeFill="accent1" w:themeFillTint="33"/>
          </w:tcPr>
          <w:p w14:paraId="61AE4A4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Tributos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76655B3D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  <w:tr w14:paraId="7E0115C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</w:tcPr>
          <w:p w14:paraId="68BD39EA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3E63B2A7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 xml:space="preserve">C.1. Tributos federais </w:t>
            </w:r>
          </w:p>
        </w:tc>
        <w:tc>
          <w:tcPr>
            <w:tcW w:w="2547" w:type="dxa"/>
          </w:tcPr>
          <w:p w14:paraId="11C9990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(PIS = 0,65% e COFINS = 3,00%)</w:t>
            </w:r>
          </w:p>
        </w:tc>
      </w:tr>
      <w:tr w14:paraId="48C9C519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50" w:type="dxa"/>
            <w:shd w:val="clear" w:color="auto" w:fill="DBE5F1" w:themeFill="accent1" w:themeFillTint="33"/>
          </w:tcPr>
          <w:p w14:paraId="0AAE85BD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644D478D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C.2. Tributos estaduais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03BEC64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(ESPECIFICAR)</w:t>
            </w:r>
          </w:p>
        </w:tc>
      </w:tr>
      <w:tr w14:paraId="7682BA7B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850" w:type="dxa"/>
          </w:tcPr>
          <w:p w14:paraId="7F9B1D1B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</w:tcPr>
          <w:p w14:paraId="7CB88A84">
            <w:pPr>
              <w:rPr>
                <w:rFonts w:cs="Arial" w:asciiTheme="minorHAnsi" w:hAnsiTheme="minorHAnsi"/>
                <w:sz w:val="18"/>
                <w:szCs w:val="18"/>
              </w:rPr>
            </w:pPr>
            <w:r>
              <w:rPr>
                <w:rFonts w:cs="Arial" w:asciiTheme="minorHAnsi" w:hAnsiTheme="minorHAnsi"/>
                <w:sz w:val="18"/>
                <w:szCs w:val="18"/>
              </w:rPr>
              <w:t>C.3 Tributos municipais</w:t>
            </w:r>
          </w:p>
        </w:tc>
        <w:tc>
          <w:tcPr>
            <w:tcW w:w="2547" w:type="dxa"/>
          </w:tcPr>
          <w:p w14:paraId="4EA6F7F1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(ISS = 5,00%)</w:t>
            </w:r>
          </w:p>
        </w:tc>
      </w:tr>
      <w:tr w14:paraId="7DB5DE1E">
        <w:tblPrEx>
          <w:tblBorders>
            <w:top w:val="single" w:color="95B3D7" w:themeColor="accent1" w:themeTint="99" w:sz="4" w:space="0"/>
            <w:left w:val="single" w:color="95B3D7" w:themeColor="accent1" w:themeTint="99" w:sz="4" w:space="0"/>
            <w:bottom w:val="single" w:color="95B3D7" w:themeColor="accent1" w:themeTint="99" w:sz="4" w:space="0"/>
            <w:right w:val="single" w:color="95B3D7" w:themeColor="accent1" w:themeTint="99" w:sz="4" w:space="0"/>
            <w:insideH w:val="single" w:color="95B3D7" w:themeColor="accent1" w:themeTint="99" w:sz="4" w:space="0"/>
            <w:insideV w:val="single" w:color="95B3D7" w:themeColor="accent1" w:themeTint="99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50" w:type="dxa"/>
            <w:shd w:val="clear" w:color="auto" w:fill="DBE5F1" w:themeFill="accent1" w:themeFillTint="33"/>
          </w:tcPr>
          <w:p w14:paraId="1038EA09">
            <w:pPr>
              <w:jc w:val="center"/>
              <w:rPr>
                <w:rFonts w:ascii="Calibri" w:hAnsi="Calibri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DBE5F1" w:themeFill="accent1" w:themeFillTint="33"/>
          </w:tcPr>
          <w:p w14:paraId="72771DBA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Total</w:t>
            </w:r>
          </w:p>
        </w:tc>
        <w:tc>
          <w:tcPr>
            <w:tcW w:w="2547" w:type="dxa"/>
            <w:shd w:val="clear" w:color="auto" w:fill="DBE5F1" w:themeFill="accent1" w:themeFillTint="33"/>
          </w:tcPr>
          <w:p w14:paraId="5EBC6D31">
            <w:pPr>
              <w:rPr>
                <w:rFonts w:ascii="Calibri" w:hAnsi="Calibri" w:cs="Arial"/>
                <w:sz w:val="18"/>
                <w:szCs w:val="18"/>
              </w:rPr>
            </w:pPr>
          </w:p>
        </w:tc>
      </w:tr>
    </w:tbl>
    <w:p w14:paraId="451725A0">
      <w:pPr>
        <w:rPr>
          <w:rFonts w:ascii="Calibri" w:hAnsi="Calibri" w:cs="Arial" w:eastAsiaTheme="minorHAnsi"/>
          <w:lang w:eastAsia="en-US"/>
        </w:rPr>
      </w:pPr>
    </w:p>
    <w:p w14:paraId="240B475D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  <w:r>
        <w:rPr>
          <w:rFonts w:ascii="Calibri" w:hAnsi="Calibri" w:cs="Arial" w:eastAsiaTheme="minorHAnsi"/>
          <w:sz w:val="22"/>
          <w:szCs w:val="22"/>
          <w:lang w:eastAsia="en-US"/>
        </w:rPr>
        <w:t>Para fins de estimativa, os percentuais médios de lucro e custos indiretos foram baseados nos valores praticados nas planilhas de custos por empresas do mesmo ramo de atuação.</w:t>
      </w:r>
    </w:p>
    <w:p w14:paraId="5FBD8543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04AE4A50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CUSTOS INDIRETOS:</w:t>
      </w:r>
    </w:p>
    <w:p w14:paraId="2D6592EA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5) x % custos indiretos (média praticada pelas empresas do setor)</w:t>
      </w:r>
    </w:p>
    <w:p w14:paraId="2CC1E929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51353A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0" w:name="_Hlk34141936"/>
      <w:r>
        <w:rPr>
          <w:rFonts w:asciiTheme="minorHAnsi" w:hAnsiTheme="minorHAnsi" w:cstheme="minorHAnsi"/>
          <w:sz w:val="22"/>
          <w:szCs w:val="22"/>
        </w:rPr>
        <w:t>Proposta 1 (Pregão Eletrônico 11/2020 – UASG 150182) – Ctesa = 4,11%</w:t>
      </w:r>
    </w:p>
    <w:p w14:paraId="117CA043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2 (Pregão Eletrônico 12/2020 – UASG 150182) – Rio Minas = 4,31%</w:t>
      </w:r>
    </w:p>
    <w:p w14:paraId="751CD87E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3 (Pregão Eletrônico 88/2021 – UASG 150182) – Persona = 6%</w:t>
      </w:r>
    </w:p>
    <w:p w14:paraId="6EAA55C7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Média = 4,80%</w:t>
      </w:r>
    </w:p>
    <w:bookmarkEnd w:id="0"/>
    <w:p w14:paraId="22E8387F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1CC2958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LUCRO:</w:t>
      </w:r>
    </w:p>
    <w:p w14:paraId="505ADA3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871D06F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>Cálculo: (Módulo 1 + Módulo 2 + Módulo 3 + Módulo 4 + Módulo 5 + Módulo 6-A) x % lucro (média praticada pelas empresas do setor)</w:t>
      </w:r>
    </w:p>
    <w:p w14:paraId="51562078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277FB629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bookmarkStart w:id="1" w:name="_Hlk34141943"/>
      <w:r>
        <w:rPr>
          <w:rFonts w:asciiTheme="minorHAnsi" w:hAnsiTheme="minorHAnsi" w:cstheme="minorHAnsi"/>
          <w:sz w:val="22"/>
          <w:szCs w:val="22"/>
        </w:rPr>
        <w:t>Proposta 1 (Pregão Eletrônico 11/2020 – UASG 150182) – Ctesa = 2,00%</w:t>
      </w:r>
    </w:p>
    <w:p w14:paraId="697BF8C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2 (Pregão Eletrônico 12/2020 – UASG 150182) – RioMinas = 4,75%</w:t>
      </w:r>
    </w:p>
    <w:p w14:paraId="5403680B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Proposta 3 (Pregão Eletrônico 88/2021 – UASG 150182) – Persona = 5%</w:t>
      </w:r>
    </w:p>
    <w:p w14:paraId="21BB5CF8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2BEA49F2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Média = 3,92%</w:t>
      </w:r>
    </w:p>
    <w:bookmarkEnd w:id="1"/>
    <w:p w14:paraId="1BE5C235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58583103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  <w:u w:val="single"/>
        </w:rPr>
      </w:pPr>
      <w:r>
        <w:rPr>
          <w:rFonts w:cs="Arial" w:asciiTheme="minorHAnsi" w:hAnsiTheme="minorHAnsi"/>
          <w:b/>
          <w:sz w:val="22"/>
          <w:szCs w:val="22"/>
          <w:u w:val="single"/>
        </w:rPr>
        <w:t>CÁLCULO TRIBUTOS:</w:t>
      </w:r>
    </w:p>
    <w:p w14:paraId="4A5D1E0D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7156AA0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i/>
          <w:sz w:val="22"/>
          <w:szCs w:val="22"/>
        </w:rPr>
        <w:t>Fator de divisão</w:t>
      </w:r>
      <w:r>
        <w:rPr>
          <w:rFonts w:cs="Arial" w:asciiTheme="minorHAnsi" w:hAnsiTheme="minorHAnsi"/>
          <w:sz w:val="22"/>
          <w:szCs w:val="22"/>
        </w:rPr>
        <w:t>: 1 – (Alíquota do PIS + Alíquota da COFINS + Alíquota do ISS) : 100</w:t>
      </w:r>
    </w:p>
    <w:p w14:paraId="24C55EBB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42CFE867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b/>
          <w:color w:val="FF0000"/>
          <w:sz w:val="22"/>
          <w:szCs w:val="22"/>
        </w:rPr>
        <w:t>Base de Cálculo:</w:t>
      </w:r>
      <w:r>
        <w:rPr>
          <w:rFonts w:cs="Arial" w:asciiTheme="minorHAnsi" w:hAnsiTheme="minorHAnsi"/>
          <w:color w:val="FF0000"/>
          <w:sz w:val="22"/>
          <w:szCs w:val="22"/>
        </w:rPr>
        <w:t xml:space="preserve"> </w:t>
      </w:r>
      <w:r>
        <w:rPr>
          <w:rFonts w:cs="Arial" w:asciiTheme="minorHAnsi" w:hAnsiTheme="minorHAnsi"/>
          <w:sz w:val="22"/>
          <w:szCs w:val="22"/>
        </w:rPr>
        <w:t>(Módulo 1 + Módulo 2 + Módulo 3 + Módulo 4 + Módulo 5 + Módulo 6-A + Modulo 6-B) : Fator de Divisão</w:t>
      </w:r>
    </w:p>
    <w:p w14:paraId="3D13814C">
      <w:pPr>
        <w:spacing w:line="276" w:lineRule="auto"/>
        <w:jc w:val="both"/>
        <w:rPr>
          <w:rFonts w:asciiTheme="minorHAnsi" w:hAnsiTheme="minorHAnsi" w:eastAsiaTheme="minorHAnsi"/>
          <w:sz w:val="22"/>
          <w:szCs w:val="22"/>
          <w:highlight w:val="yellow"/>
          <w:lang w:eastAsia="en-US"/>
        </w:rPr>
      </w:pPr>
    </w:p>
    <w:p w14:paraId="30541E32">
      <w:pPr>
        <w:jc w:val="center"/>
        <w:rPr>
          <w:rFonts w:cs="Arial" w:asciiTheme="minorHAnsi" w:hAnsiTheme="minorHAnsi"/>
          <w:b/>
          <w:sz w:val="22"/>
          <w:szCs w:val="22"/>
        </w:rPr>
      </w:pPr>
      <w:r>
        <w:rPr>
          <w:rFonts w:cs="Arial" w:asciiTheme="minorHAnsi" w:hAnsiTheme="minorHAnsi"/>
          <w:b/>
          <w:sz w:val="22"/>
          <w:szCs w:val="22"/>
        </w:rPr>
        <w:t>Cálculo tributos federais: Base de cálculo x alíquota (PIS e COFINS)</w:t>
      </w:r>
    </w:p>
    <w:p w14:paraId="261738FC">
      <w:pPr>
        <w:jc w:val="center"/>
        <w:rPr>
          <w:rFonts w:cs="Arial" w:asciiTheme="minorHAnsi" w:hAnsiTheme="minorHAnsi"/>
          <w:b/>
          <w:sz w:val="22"/>
          <w:szCs w:val="22"/>
        </w:rPr>
      </w:pPr>
      <w:r>
        <w:rPr>
          <w:rFonts w:cs="Arial" w:asciiTheme="minorHAnsi" w:hAnsiTheme="minorHAnsi"/>
          <w:b/>
          <w:sz w:val="22"/>
          <w:szCs w:val="22"/>
        </w:rPr>
        <w:t>Cálculo tributos municipais: Base de cálculo x alíquota (ISS)</w:t>
      </w:r>
    </w:p>
    <w:p w14:paraId="63F1E6B3">
      <w:pPr>
        <w:jc w:val="center"/>
        <w:rPr>
          <w:rFonts w:ascii="Calibri" w:hAnsi="Calibri" w:cs="Arial" w:eastAsiaTheme="minorHAnsi"/>
          <w:b/>
          <w:sz w:val="22"/>
          <w:szCs w:val="22"/>
          <w:lang w:eastAsia="en-US"/>
        </w:rPr>
      </w:pPr>
    </w:p>
    <w:p w14:paraId="522C41FC">
      <w:pPr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06EC3C0A">
      <w:pPr>
        <w:spacing w:line="276" w:lineRule="auto"/>
        <w:jc w:val="both"/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</w:pPr>
      <w:r>
        <w:rPr>
          <w:rFonts w:ascii="Calibri" w:hAnsi="Calibri" w:cs="Arial" w:eastAsiaTheme="minorHAnsi"/>
          <w:b/>
          <w:sz w:val="22"/>
          <w:szCs w:val="22"/>
          <w:u w:val="single"/>
          <w:lang w:eastAsia="en-US"/>
        </w:rPr>
        <w:t>Tributação</w:t>
      </w:r>
    </w:p>
    <w:p w14:paraId="2FC7F6CB">
      <w:pPr>
        <w:spacing w:line="276" w:lineRule="auto"/>
        <w:jc w:val="both"/>
        <w:rPr>
          <w:rFonts w:ascii="Calibri" w:hAnsi="Calibri" w:cs="Arial" w:eastAsiaTheme="minorHAnsi"/>
          <w:sz w:val="22"/>
          <w:szCs w:val="22"/>
          <w:lang w:eastAsia="en-US"/>
        </w:rPr>
      </w:pPr>
    </w:p>
    <w:p w14:paraId="25539533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  <w:r>
        <w:rPr>
          <w:rFonts w:cs="Arial" w:asciiTheme="minorHAnsi" w:hAnsiTheme="minorHAnsi" w:eastAsiaTheme="minorHAnsi"/>
          <w:sz w:val="22"/>
          <w:szCs w:val="22"/>
          <w:lang w:eastAsia="en-US"/>
        </w:rPr>
        <w:t>Os tributos (ISS, COFINS e PIS) foram definidos utilizando o regime de tributação de Lucro REAL e PRESUMIDO, e a licitante deve elaborar sua proposta e, por conseguinte, sua planilha com base no regime de tributação ao qual estará submetido durante a execução do contrato.</w:t>
      </w:r>
    </w:p>
    <w:p w14:paraId="128F9BFF">
      <w:pPr>
        <w:spacing w:line="276" w:lineRule="auto"/>
        <w:jc w:val="both"/>
        <w:rPr>
          <w:rFonts w:cs="Arial" w:asciiTheme="minorHAnsi" w:hAnsiTheme="minorHAnsi" w:eastAsiaTheme="minorHAnsi"/>
          <w:sz w:val="22"/>
          <w:szCs w:val="22"/>
          <w:lang w:eastAsia="en-US"/>
        </w:rPr>
      </w:pPr>
    </w:p>
    <w:p w14:paraId="2A6050A4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sz w:val="22"/>
          <w:szCs w:val="22"/>
        </w:rPr>
        <w:t xml:space="preserve">O ISSQN está sendo cotado conforme a legislação do município de Niterói onde serão prestados os serviços. Os tributos IRPJ e CSLL deixaram de constar na planilha </w:t>
      </w:r>
      <w:r>
        <w:rPr>
          <w:rFonts w:cs="Arial" w:asciiTheme="minorHAnsi" w:hAnsiTheme="minorHAnsi"/>
          <w:b/>
          <w:sz w:val="22"/>
          <w:szCs w:val="22"/>
        </w:rPr>
        <w:t>para a empresa que optar pelo regime tributário de LUCRO REAL ou PRESUMIDO</w:t>
      </w:r>
      <w:r>
        <w:rPr>
          <w:rFonts w:cs="Arial" w:asciiTheme="minorHAnsi" w:hAnsiTheme="minorHAnsi"/>
          <w:sz w:val="22"/>
          <w:szCs w:val="22"/>
        </w:rPr>
        <w:t xml:space="preserve">, </w:t>
      </w:r>
      <w:r>
        <w:rPr>
          <w:rFonts w:cs="Arial" w:asciiTheme="minorHAnsi" w:hAnsiTheme="minorHAnsi"/>
          <w:b/>
          <w:sz w:val="22"/>
          <w:szCs w:val="22"/>
        </w:rPr>
        <w:t>já que estão contidos no lucro bruto apresentado na proposta</w:t>
      </w:r>
      <w:r>
        <w:rPr>
          <w:rFonts w:cs="Arial" w:asciiTheme="minorHAnsi" w:hAnsiTheme="minorHAnsi"/>
          <w:sz w:val="22"/>
          <w:szCs w:val="22"/>
        </w:rPr>
        <w:t xml:space="preserve"> e em virtude da determinação contida na Súmula do TCU nº 254, Acórdão TCU nº 1591/2008 – Plenário, Acórdão TCU nº 264/2012 – Plenário e Informativo  de Jurisprudência TCU nº 279.</w:t>
      </w:r>
    </w:p>
    <w:p w14:paraId="4C027699">
      <w:pPr>
        <w:spacing w:line="276" w:lineRule="auto"/>
        <w:jc w:val="both"/>
        <w:rPr>
          <w:rFonts w:cs="Arial" w:asciiTheme="minorHAnsi" w:hAnsiTheme="minorHAnsi"/>
          <w:b/>
          <w:sz w:val="22"/>
          <w:szCs w:val="22"/>
        </w:rPr>
      </w:pPr>
    </w:p>
    <w:p w14:paraId="158CAF51">
      <w:pPr>
        <w:shd w:val="clear" w:color="auto" w:fill="FFFFFF"/>
        <w:jc w:val="both"/>
        <w:rPr>
          <w:rFonts w:cs="Arial" w:asciiTheme="minorHAnsi" w:hAnsiTheme="minorHAnsi"/>
          <w:sz w:val="22"/>
          <w:szCs w:val="22"/>
        </w:rPr>
      </w:pPr>
      <w:r>
        <w:rPr>
          <w:rFonts w:cs="Arial" w:asciiTheme="minorHAnsi" w:hAnsiTheme="minorHAnsi"/>
          <w:b/>
          <w:bCs/>
          <w:sz w:val="22"/>
          <w:szCs w:val="22"/>
        </w:rPr>
        <w:t>O preço ofertado pelos licitantes deve ser comprovadamente suficiente para cumprir suas obrigações legais, sociais e </w:t>
      </w:r>
      <w:r>
        <w:rPr>
          <w:rFonts w:cs="Arial" w:asciiTheme="minorHAnsi" w:hAnsiTheme="minorHAnsi"/>
          <w:b/>
          <w:bCs/>
          <w:sz w:val="22"/>
          <w:szCs w:val="22"/>
          <w:u w:val="single"/>
        </w:rPr>
        <w:t>tributárias.</w:t>
      </w:r>
      <w:r>
        <w:rPr>
          <w:rFonts w:cs="Arial" w:asciiTheme="minorHAnsi" w:hAnsiTheme="minorHAnsi"/>
          <w:b/>
          <w:bCs/>
          <w:sz w:val="22"/>
          <w:szCs w:val="22"/>
        </w:rPr>
        <w:t> O estado não pode contratar quem apresentar PCFP que demonstre que a contratação ensejará operar em prejuízo. Este é o conceito de inexequibilidade previsto no subitem 9.2 do Anexo VII-A da IN 05/2017 da SEGES/MP.</w:t>
      </w:r>
    </w:p>
    <w:p w14:paraId="512E60D6">
      <w:pPr>
        <w:spacing w:line="276" w:lineRule="auto"/>
        <w:jc w:val="both"/>
        <w:rPr>
          <w:rFonts w:cs="Arial" w:asciiTheme="minorHAnsi" w:hAnsiTheme="minorHAnsi"/>
          <w:sz w:val="22"/>
          <w:szCs w:val="22"/>
        </w:rPr>
      </w:pPr>
    </w:p>
    <w:p w14:paraId="7B45C43C">
      <w:pPr>
        <w:shd w:val="clear" w:color="auto" w:fill="FFFFFF"/>
        <w:spacing w:line="276" w:lineRule="auto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 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A LICITANTE deverá </w:t>
      </w:r>
      <w:r>
        <w:rPr>
          <w:rFonts w:ascii="Calibri" w:hAnsi="Calibri" w:eastAsia="Lucida Sans Unicode"/>
          <w:b/>
          <w:kern w:val="2"/>
          <w:sz w:val="22"/>
          <w:szCs w:val="22"/>
        </w:rPr>
        <w:t>comprovar, por meio de documentação hábil (DCTF, GFIP, EFD etc), a opção aos regimes acima elencados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a fim de que se possa </w:t>
      </w:r>
      <w:r>
        <w:rPr>
          <w:rFonts w:ascii="Calibri" w:hAnsi="Calibri" w:eastAsia="Lucida Sans Unicode"/>
          <w:b/>
          <w:kern w:val="2"/>
          <w:sz w:val="22"/>
          <w:szCs w:val="22"/>
        </w:rPr>
        <w:t>certificar que as alíquotas do PIS e da COFINS e da Contribuição Social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consignadas na planilha conferem com sua opção tributária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3E86317A">
      <w:pPr>
        <w:widowControl w:val="0"/>
        <w:tabs>
          <w:tab w:val="left" w:pos="1560"/>
        </w:tabs>
        <w:spacing w:line="276" w:lineRule="auto"/>
        <w:ind w:left="1224"/>
        <w:jc w:val="both"/>
        <w:rPr>
          <w:rFonts w:ascii="Calibri" w:hAnsi="Calibri" w:eastAsia="Lucida Sans Unicode"/>
          <w:kern w:val="2"/>
          <w:sz w:val="22"/>
          <w:szCs w:val="22"/>
        </w:rPr>
      </w:pPr>
    </w:p>
    <w:p w14:paraId="3D24DC94">
      <w:pPr>
        <w:widowControl w:val="0"/>
        <w:tabs>
          <w:tab w:val="left" w:pos="1560"/>
        </w:tabs>
        <w:spacing w:line="276" w:lineRule="auto"/>
        <w:jc w:val="both"/>
        <w:rPr>
          <w:rFonts w:ascii="Calibri" w:hAnsi="Calibri" w:eastAsia="Lucida Sans Unicode"/>
          <w:kern w:val="2"/>
          <w:sz w:val="22"/>
          <w:szCs w:val="22"/>
        </w:rPr>
      </w:pPr>
      <w:r>
        <w:rPr>
          <w:rFonts w:ascii="Calibri" w:hAnsi="Calibri" w:eastAsia="Lucida Sans Unicode"/>
          <w:kern w:val="2"/>
          <w:sz w:val="22"/>
          <w:szCs w:val="22"/>
        </w:rPr>
        <w:t xml:space="preserve">As </w:t>
      </w:r>
      <w:r>
        <w:rPr>
          <w:rFonts w:ascii="Calibri" w:hAnsi="Calibri" w:eastAsia="Lucida Sans Unicode"/>
          <w:b/>
          <w:kern w:val="2"/>
          <w:sz w:val="22"/>
          <w:szCs w:val="22"/>
        </w:rPr>
        <w:t>empresas tributadas pelo regime de incidência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 </w:t>
      </w:r>
      <w:r>
        <w:rPr>
          <w:rFonts w:ascii="Calibri" w:hAnsi="Calibri" w:eastAsia="Lucida Sans Unicode"/>
          <w:b/>
          <w:kern w:val="2"/>
          <w:sz w:val="22"/>
          <w:szCs w:val="22"/>
        </w:rPr>
        <w:t>PIS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 </w:t>
      </w:r>
      <w:r>
        <w:rPr>
          <w:rFonts w:ascii="Calibri" w:hAnsi="Calibri" w:eastAsia="Lucida Sans Unicode"/>
          <w:b/>
          <w:kern w:val="2"/>
          <w:sz w:val="22"/>
          <w:szCs w:val="22"/>
        </w:rPr>
        <w:t>COFINS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devem cotar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os percentuais que representem a média das alíquotas efetivamente recolhidas nos 12 (doze) meses anteriores à apresentação da proposta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tendo em vista que as Leis 10.637/2002 e 10.833/2003, apurada com base nos dados da </w:t>
      </w:r>
      <w:r>
        <w:rPr>
          <w:rFonts w:ascii="Calibri" w:hAnsi="Calibri" w:eastAsia="Lucida Sans Unicode"/>
          <w:b/>
          <w:kern w:val="2"/>
          <w:sz w:val="22"/>
          <w:szCs w:val="22"/>
        </w:rPr>
        <w:t>Escrituração Fiscal Digital da Contribuição para o PIS/PASEP e para a COFINS (EFD-Contribuições)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, cujos respectivos </w:t>
      </w:r>
      <w:r>
        <w:rPr>
          <w:rFonts w:ascii="Calibri" w:hAnsi="Calibri" w:eastAsia="Lucida Sans Unicode"/>
          <w:b/>
          <w:kern w:val="2"/>
          <w:sz w:val="22"/>
          <w:szCs w:val="22"/>
          <w:u w:val="single"/>
        </w:rPr>
        <w:t>registros deverão ser remetidos juntamente com a proposta e as planilhas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p w14:paraId="4A2EE9A4">
      <w:pPr>
        <w:widowControl w:val="0"/>
        <w:spacing w:line="276" w:lineRule="auto"/>
        <w:ind w:left="708"/>
        <w:rPr>
          <w:rFonts w:ascii="Calibri" w:hAnsi="Calibri" w:eastAsia="Lucida Sans Unicode"/>
          <w:kern w:val="2"/>
          <w:sz w:val="22"/>
          <w:szCs w:val="22"/>
        </w:rPr>
      </w:pPr>
    </w:p>
    <w:p w14:paraId="04C6042F">
      <w:pPr>
        <w:widowControl w:val="0"/>
        <w:tabs>
          <w:tab w:val="left" w:pos="1560"/>
        </w:tabs>
        <w:spacing w:line="276" w:lineRule="auto"/>
        <w:jc w:val="both"/>
      </w:pPr>
      <w:r>
        <w:rPr>
          <w:rFonts w:ascii="Calibri" w:hAnsi="Calibri" w:eastAsia="Lucida Sans Unicode"/>
          <w:kern w:val="2"/>
          <w:sz w:val="22"/>
          <w:szCs w:val="22"/>
        </w:rPr>
        <w:t xml:space="preserve">Caso a LICITANTE tenha </w:t>
      </w:r>
      <w:r>
        <w:rPr>
          <w:rFonts w:ascii="Calibri" w:hAnsi="Calibri" w:eastAsia="Lucida Sans Unicode"/>
          <w:b/>
          <w:kern w:val="2"/>
          <w:sz w:val="22"/>
          <w:szCs w:val="22"/>
        </w:rPr>
        <w:t>recolhido tributos pelo regime de incidência não-cumulativa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em apenas </w:t>
      </w:r>
      <w:r>
        <w:rPr>
          <w:rFonts w:ascii="Calibri" w:hAnsi="Calibri" w:eastAsia="Lucida Sans Unicode"/>
          <w:b/>
          <w:kern w:val="2"/>
          <w:sz w:val="22"/>
          <w:szCs w:val="22"/>
        </w:rPr>
        <w:t>alguns meses do período que deve ser considerado para o cálculo do percentual médio efetivo</w:t>
      </w:r>
      <w:r>
        <w:rPr>
          <w:rFonts w:ascii="Calibri" w:hAnsi="Calibri" w:eastAsia="Lucida Sans Unicode"/>
          <w:kern w:val="2"/>
          <w:sz w:val="22"/>
          <w:szCs w:val="22"/>
        </w:rPr>
        <w:t xml:space="preserve"> (12 meses anteriores à data da proposta), poderá apresentar o cálculo </w:t>
      </w:r>
      <w:r>
        <w:rPr>
          <w:rFonts w:ascii="Calibri" w:hAnsi="Calibri" w:eastAsia="Lucida Sans Unicode"/>
          <w:b/>
          <w:kern w:val="2"/>
          <w:sz w:val="22"/>
          <w:szCs w:val="22"/>
        </w:rPr>
        <w:t>considerando apenas os meses em que houve recolhimento</w:t>
      </w:r>
      <w:r>
        <w:rPr>
          <w:rFonts w:ascii="Calibri" w:hAnsi="Calibri" w:eastAsia="Lucida Sans Unicode"/>
          <w:kern w:val="2"/>
          <w:sz w:val="22"/>
          <w:szCs w:val="22"/>
        </w:rPr>
        <w:t>.</w:t>
      </w:r>
    </w:p>
    <w:sectPr>
      <w:headerReference r:id="rId4" w:type="default"/>
      <w:footerReference r:id="rId5" w:type="default"/>
      <w:pgSz w:w="11906" w:h="16838"/>
      <w:pgMar w:top="1417" w:right="1274" w:bottom="1417" w:left="1418" w:header="708" w:footer="306" w:gutter="0"/>
      <w:pgBorders w:offsetFrom="page">
        <w:top w:val="single" w:color="000000" w:sz="18" w:space="24"/>
        <w:left w:val="single" w:color="000000" w:sz="18" w:space="24"/>
        <w:bottom w:val="single" w:color="000000" w:sz="18" w:space="24"/>
        <w:right w:val="single" w:color="000000" w:sz="18" w:space="24"/>
      </w:pgBorders>
      <w:cols w:space="720" w:num="1"/>
      <w:formProt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C4E8B7">
    <w:pPr>
      <w:pStyle w:val="22"/>
    </w:pPr>
    <w:r>
      <w:t>____________________________________________________________________</w:t>
    </w:r>
  </w:p>
  <w:p w14:paraId="26207778">
    <w:pPr>
      <w:pStyle w:val="22"/>
      <w:jc w:val="center"/>
      <w:rPr>
        <w:i/>
      </w:rPr>
    </w:pPr>
    <w:r>
      <w:rPr>
        <w:sz w:val="12"/>
        <w:szCs w:val="12"/>
      </w:rPr>
      <w:t>Anexo X Memória de Cálculo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3"/>
        <w:rFonts w:ascii="Verdana" w:hAnsi="Verdana" w:eastAsia="MS Gothic"/>
        <w:sz w:val="16"/>
        <w:szCs w:val="16"/>
      </w:rPr>
      <w:t xml:space="preserve">1/10 </w:t>
    </w:r>
  </w:p>
  <w:p w14:paraId="4693F8E8">
    <w:pPr>
      <w:pStyle w:val="22"/>
      <w:rPr>
        <w:sz w:val="12"/>
        <w:szCs w:val="12"/>
      </w:rPr>
    </w:pPr>
  </w:p>
  <w:p w14:paraId="35C0AC9B">
    <w:pPr>
      <w:pStyle w:val="2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2">
    <w:p>
      <w:r>
        <w:separator/>
      </w:r>
    </w:p>
  </w:footnote>
  <w:footnote w:type="continuationSeparator" w:id="3">
    <w:p>
      <w:r>
        <w:continuationSeparator/>
      </w:r>
    </w:p>
  </w:footnote>
  <w:footnote w:id="0">
    <w:p w14:paraId="63DA2296">
      <w:pPr>
        <w:pStyle w:val="25"/>
      </w:pPr>
      <w:r>
        <w:rPr>
          <w:rStyle w:val="49"/>
        </w:rPr>
        <w:footnoteRef/>
      </w:r>
      <w:r>
        <w:t xml:space="preserve"> Considerando a alíquota de 3% para o RAT.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C6B957">
    <w:pPr>
      <w:pStyle w:val="20"/>
      <w:jc w:val="right"/>
      <w:rPr>
        <w:rFonts w:asciiTheme="minorHAnsi" w:hAnsiTheme="minorHAnsi"/>
        <w:sz w:val="16"/>
        <w:szCs w:val="16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column">
            <wp:posOffset>-305435</wp:posOffset>
          </wp:positionH>
          <wp:positionV relativeFrom="paragraph">
            <wp:posOffset>-57150</wp:posOffset>
          </wp:positionV>
          <wp:extent cx="838200" cy="333375"/>
          <wp:effectExtent l="0" t="0" r="0" b="0"/>
          <wp:wrapNone/>
          <wp:docPr id="12" name="Imagem 2" descr="BRASAO UFF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m 2" descr="BRASAO UFF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8200" cy="333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Theme="minorHAnsi" w:hAnsiTheme="minorHAnsi"/>
        <w:sz w:val="16"/>
        <w:szCs w:val="16"/>
      </w:rPr>
      <w:t>Processo: 23069.161254/2024-90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54062C"/>
    <w:multiLevelType w:val="multilevel"/>
    <w:tmpl w:val="0554062C"/>
    <w:lvl w:ilvl="0" w:tentative="0">
      <w:start w:val="1"/>
      <w:numFmt w:val="decimal"/>
      <w:lvlText w:val="(%1)"/>
      <w:lvlJc w:val="left"/>
      <w:pPr>
        <w:ind w:left="786" w:hanging="360"/>
      </w:pPr>
    </w:lvl>
    <w:lvl w:ilvl="1" w:tentative="0">
      <w:start w:val="1"/>
      <w:numFmt w:val="lowerLetter"/>
      <w:lvlText w:val="%2."/>
      <w:lvlJc w:val="left"/>
      <w:pPr>
        <w:ind w:left="1506" w:hanging="360"/>
      </w:pPr>
    </w:lvl>
    <w:lvl w:ilvl="2" w:tentative="0">
      <w:start w:val="1"/>
      <w:numFmt w:val="lowerRoman"/>
      <w:lvlText w:val="%3."/>
      <w:lvlJc w:val="right"/>
      <w:pPr>
        <w:ind w:left="2226" w:hanging="180"/>
      </w:pPr>
    </w:lvl>
    <w:lvl w:ilvl="3" w:tentative="0">
      <w:start w:val="1"/>
      <w:numFmt w:val="decimal"/>
      <w:lvlText w:val="%4."/>
      <w:lvlJc w:val="left"/>
      <w:pPr>
        <w:ind w:left="2946" w:hanging="360"/>
      </w:pPr>
    </w:lvl>
    <w:lvl w:ilvl="4" w:tentative="0">
      <w:start w:val="1"/>
      <w:numFmt w:val="lowerLetter"/>
      <w:lvlText w:val="%5."/>
      <w:lvlJc w:val="left"/>
      <w:pPr>
        <w:ind w:left="3666" w:hanging="360"/>
      </w:pPr>
    </w:lvl>
    <w:lvl w:ilvl="5" w:tentative="0">
      <w:start w:val="1"/>
      <w:numFmt w:val="lowerRoman"/>
      <w:lvlText w:val="%6."/>
      <w:lvlJc w:val="right"/>
      <w:pPr>
        <w:ind w:left="4386" w:hanging="180"/>
      </w:pPr>
    </w:lvl>
    <w:lvl w:ilvl="6" w:tentative="0">
      <w:start w:val="1"/>
      <w:numFmt w:val="decimal"/>
      <w:lvlText w:val="%7."/>
      <w:lvlJc w:val="left"/>
      <w:pPr>
        <w:ind w:left="5106" w:hanging="360"/>
      </w:pPr>
    </w:lvl>
    <w:lvl w:ilvl="7" w:tentative="0">
      <w:start w:val="1"/>
      <w:numFmt w:val="lowerLetter"/>
      <w:lvlText w:val="%8."/>
      <w:lvlJc w:val="left"/>
      <w:pPr>
        <w:ind w:left="5826" w:hanging="360"/>
      </w:pPr>
    </w:lvl>
    <w:lvl w:ilvl="8" w:tentative="0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2"/>
    <w:footnote w:id="3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1D"/>
    <w:rsid w:val="00022464"/>
    <w:rsid w:val="00025F14"/>
    <w:rsid w:val="00062EE7"/>
    <w:rsid w:val="0007091C"/>
    <w:rsid w:val="00081D06"/>
    <w:rsid w:val="00083DB0"/>
    <w:rsid w:val="000904BD"/>
    <w:rsid w:val="00096953"/>
    <w:rsid w:val="00097471"/>
    <w:rsid w:val="000B2A18"/>
    <w:rsid w:val="000D4F19"/>
    <w:rsid w:val="000D7E4A"/>
    <w:rsid w:val="000E4506"/>
    <w:rsid w:val="000E60C1"/>
    <w:rsid w:val="00100793"/>
    <w:rsid w:val="00127394"/>
    <w:rsid w:val="0013021D"/>
    <w:rsid w:val="00131DDA"/>
    <w:rsid w:val="001338D9"/>
    <w:rsid w:val="00133CD1"/>
    <w:rsid w:val="0014616A"/>
    <w:rsid w:val="00150365"/>
    <w:rsid w:val="001518A3"/>
    <w:rsid w:val="00156A99"/>
    <w:rsid w:val="001776C1"/>
    <w:rsid w:val="0019718E"/>
    <w:rsid w:val="001B54ED"/>
    <w:rsid w:val="001D0DA4"/>
    <w:rsid w:val="001E1541"/>
    <w:rsid w:val="002100BD"/>
    <w:rsid w:val="00215289"/>
    <w:rsid w:val="0022215B"/>
    <w:rsid w:val="00222366"/>
    <w:rsid w:val="00233184"/>
    <w:rsid w:val="00240C8D"/>
    <w:rsid w:val="00241E06"/>
    <w:rsid w:val="00242E8C"/>
    <w:rsid w:val="00262EB7"/>
    <w:rsid w:val="00296321"/>
    <w:rsid w:val="002B5411"/>
    <w:rsid w:val="002E1E6B"/>
    <w:rsid w:val="002E31AA"/>
    <w:rsid w:val="002F73F4"/>
    <w:rsid w:val="0030151E"/>
    <w:rsid w:val="0030302C"/>
    <w:rsid w:val="003150FF"/>
    <w:rsid w:val="00327BF6"/>
    <w:rsid w:val="003339BA"/>
    <w:rsid w:val="0035251D"/>
    <w:rsid w:val="00363E9E"/>
    <w:rsid w:val="0036420B"/>
    <w:rsid w:val="00380B50"/>
    <w:rsid w:val="00382F6B"/>
    <w:rsid w:val="00383723"/>
    <w:rsid w:val="003858BC"/>
    <w:rsid w:val="003B2BEE"/>
    <w:rsid w:val="003D2A1B"/>
    <w:rsid w:val="003D6A22"/>
    <w:rsid w:val="003D7132"/>
    <w:rsid w:val="003E2244"/>
    <w:rsid w:val="003F496D"/>
    <w:rsid w:val="003F53BE"/>
    <w:rsid w:val="004020FD"/>
    <w:rsid w:val="00425FD6"/>
    <w:rsid w:val="0043494E"/>
    <w:rsid w:val="00442149"/>
    <w:rsid w:val="004442E8"/>
    <w:rsid w:val="00456CA1"/>
    <w:rsid w:val="00460EF0"/>
    <w:rsid w:val="004706D0"/>
    <w:rsid w:val="00481D1C"/>
    <w:rsid w:val="00491405"/>
    <w:rsid w:val="004933EB"/>
    <w:rsid w:val="004A4856"/>
    <w:rsid w:val="004B4712"/>
    <w:rsid w:val="004C5329"/>
    <w:rsid w:val="004D3DBC"/>
    <w:rsid w:val="004D4C2F"/>
    <w:rsid w:val="004D4FFC"/>
    <w:rsid w:val="004E1415"/>
    <w:rsid w:val="004E1728"/>
    <w:rsid w:val="004E5031"/>
    <w:rsid w:val="00515DDC"/>
    <w:rsid w:val="005209B9"/>
    <w:rsid w:val="00572950"/>
    <w:rsid w:val="005B13C3"/>
    <w:rsid w:val="005B72D0"/>
    <w:rsid w:val="005C4DE5"/>
    <w:rsid w:val="005E5BE8"/>
    <w:rsid w:val="0060694C"/>
    <w:rsid w:val="0061341E"/>
    <w:rsid w:val="006255B9"/>
    <w:rsid w:val="00627150"/>
    <w:rsid w:val="00643118"/>
    <w:rsid w:val="00664443"/>
    <w:rsid w:val="00674915"/>
    <w:rsid w:val="00675CD9"/>
    <w:rsid w:val="006927ED"/>
    <w:rsid w:val="00694321"/>
    <w:rsid w:val="00695D13"/>
    <w:rsid w:val="006962AF"/>
    <w:rsid w:val="006A1B35"/>
    <w:rsid w:val="006A24B4"/>
    <w:rsid w:val="006A5225"/>
    <w:rsid w:val="006B073D"/>
    <w:rsid w:val="006B1E82"/>
    <w:rsid w:val="006B3F03"/>
    <w:rsid w:val="006B75C2"/>
    <w:rsid w:val="006C0732"/>
    <w:rsid w:val="006E68A1"/>
    <w:rsid w:val="006F4C05"/>
    <w:rsid w:val="006F50E0"/>
    <w:rsid w:val="00710621"/>
    <w:rsid w:val="00714503"/>
    <w:rsid w:val="00720009"/>
    <w:rsid w:val="007217B8"/>
    <w:rsid w:val="00757BF8"/>
    <w:rsid w:val="00760403"/>
    <w:rsid w:val="0076112C"/>
    <w:rsid w:val="007643DE"/>
    <w:rsid w:val="00786D92"/>
    <w:rsid w:val="00791490"/>
    <w:rsid w:val="007B0AD0"/>
    <w:rsid w:val="007B1961"/>
    <w:rsid w:val="007B23CA"/>
    <w:rsid w:val="007C052A"/>
    <w:rsid w:val="007C0B40"/>
    <w:rsid w:val="007C31B8"/>
    <w:rsid w:val="007C5E16"/>
    <w:rsid w:val="007D5DDC"/>
    <w:rsid w:val="007D776F"/>
    <w:rsid w:val="007F4CE0"/>
    <w:rsid w:val="007F7BA5"/>
    <w:rsid w:val="0081045C"/>
    <w:rsid w:val="00834AAA"/>
    <w:rsid w:val="0084281D"/>
    <w:rsid w:val="00853327"/>
    <w:rsid w:val="00864661"/>
    <w:rsid w:val="00876481"/>
    <w:rsid w:val="00880459"/>
    <w:rsid w:val="008862D8"/>
    <w:rsid w:val="008A6FF3"/>
    <w:rsid w:val="008B36E0"/>
    <w:rsid w:val="008B6503"/>
    <w:rsid w:val="008B65B2"/>
    <w:rsid w:val="008C1B2B"/>
    <w:rsid w:val="008D647E"/>
    <w:rsid w:val="008F098C"/>
    <w:rsid w:val="009143CE"/>
    <w:rsid w:val="00951E7B"/>
    <w:rsid w:val="009660B4"/>
    <w:rsid w:val="009B277A"/>
    <w:rsid w:val="00A11B58"/>
    <w:rsid w:val="00A34AB3"/>
    <w:rsid w:val="00A531F5"/>
    <w:rsid w:val="00A57223"/>
    <w:rsid w:val="00A5736E"/>
    <w:rsid w:val="00A657B5"/>
    <w:rsid w:val="00A777DD"/>
    <w:rsid w:val="00AA205C"/>
    <w:rsid w:val="00AA3D68"/>
    <w:rsid w:val="00AA68C0"/>
    <w:rsid w:val="00AC0F0D"/>
    <w:rsid w:val="00AD06CA"/>
    <w:rsid w:val="00AD242D"/>
    <w:rsid w:val="00B14366"/>
    <w:rsid w:val="00B602FA"/>
    <w:rsid w:val="00B73F23"/>
    <w:rsid w:val="00B807D1"/>
    <w:rsid w:val="00BC1110"/>
    <w:rsid w:val="00BC4EF0"/>
    <w:rsid w:val="00BD0E8C"/>
    <w:rsid w:val="00BE1D75"/>
    <w:rsid w:val="00BF05FF"/>
    <w:rsid w:val="00C03647"/>
    <w:rsid w:val="00C57E60"/>
    <w:rsid w:val="00C609DB"/>
    <w:rsid w:val="00C60C1C"/>
    <w:rsid w:val="00C85F08"/>
    <w:rsid w:val="00C86FD7"/>
    <w:rsid w:val="00C90D31"/>
    <w:rsid w:val="00CB3ACB"/>
    <w:rsid w:val="00CB6253"/>
    <w:rsid w:val="00CC4061"/>
    <w:rsid w:val="00CD5693"/>
    <w:rsid w:val="00CE2046"/>
    <w:rsid w:val="00CE38FA"/>
    <w:rsid w:val="00CF30B1"/>
    <w:rsid w:val="00D010D1"/>
    <w:rsid w:val="00D2506D"/>
    <w:rsid w:val="00D66379"/>
    <w:rsid w:val="00D71182"/>
    <w:rsid w:val="00D91DD1"/>
    <w:rsid w:val="00DA53E7"/>
    <w:rsid w:val="00DB650F"/>
    <w:rsid w:val="00E1260A"/>
    <w:rsid w:val="00E16A83"/>
    <w:rsid w:val="00E354DA"/>
    <w:rsid w:val="00E40030"/>
    <w:rsid w:val="00E477A6"/>
    <w:rsid w:val="00E941AC"/>
    <w:rsid w:val="00E97BDA"/>
    <w:rsid w:val="00EB64F6"/>
    <w:rsid w:val="00EC705B"/>
    <w:rsid w:val="00ED04BC"/>
    <w:rsid w:val="00EF182A"/>
    <w:rsid w:val="00F02E97"/>
    <w:rsid w:val="00F136AD"/>
    <w:rsid w:val="00F14725"/>
    <w:rsid w:val="00F61A0A"/>
    <w:rsid w:val="00F6782F"/>
    <w:rsid w:val="00F7074E"/>
    <w:rsid w:val="00F77BB2"/>
    <w:rsid w:val="00F92087"/>
    <w:rsid w:val="00F94D2F"/>
    <w:rsid w:val="00F97FCD"/>
    <w:rsid w:val="12B7391C"/>
    <w:rsid w:val="43603A4D"/>
    <w:rsid w:val="71301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nhideWhenUsed="0" w:uiPriority="0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pt-BR" w:eastAsia="pt-BR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36"/>
    <w:semiHidden/>
    <w:unhideWhenUsed/>
    <w:qFormat/>
    <w:uiPriority w:val="9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376092" w:themeColor="accent1" w:themeShade="BF"/>
      <w:sz w:val="26"/>
      <w:szCs w:val="26"/>
    </w:rPr>
  </w:style>
  <w:style w:type="paragraph" w:styleId="4">
    <w:name w:val="heading 4"/>
    <w:basedOn w:val="1"/>
    <w:next w:val="1"/>
    <w:link w:val="37"/>
    <w:semiHidden/>
    <w:unhideWhenUsed/>
    <w:qFormat/>
    <w:uiPriority w:val="9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376092" w:themeColor="accent1" w:themeShade="BF"/>
    </w:rPr>
  </w:style>
  <w:style w:type="paragraph" w:styleId="5">
    <w:name w:val="heading 7"/>
    <w:basedOn w:val="1"/>
    <w:next w:val="1"/>
    <w:link w:val="28"/>
    <w:qFormat/>
    <w:uiPriority w:val="0"/>
    <w:pPr>
      <w:keepNext/>
      <w:jc w:val="center"/>
      <w:outlineLvl w:val="6"/>
    </w:pPr>
    <w:rPr>
      <w:rFonts w:ascii="Arial" w:hAnsi="Arial"/>
      <w:b/>
      <w:sz w:val="28"/>
      <w:u w:val="single"/>
      <w:lang w:val="pt-PT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6"/>
    <w:qFormat/>
    <w:uiPriority w:val="22"/>
    <w:rPr>
      <w:b/>
      <w:bCs/>
    </w:rPr>
  </w:style>
  <w:style w:type="character" w:styleId="9">
    <w:name w:val="annotation reference"/>
    <w:basedOn w:val="6"/>
    <w:semiHidden/>
    <w:unhideWhenUsed/>
    <w:qFormat/>
    <w:uiPriority w:val="99"/>
    <w:rPr>
      <w:sz w:val="16"/>
      <w:szCs w:val="16"/>
    </w:rPr>
  </w:style>
  <w:style w:type="character" w:styleId="10">
    <w:name w:val="FollowedHyperlink"/>
    <w:basedOn w:val="6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Emphasis"/>
    <w:basedOn w:val="6"/>
    <w:qFormat/>
    <w:uiPriority w:val="20"/>
    <w:rPr>
      <w:i/>
      <w:iCs/>
    </w:rPr>
  </w:style>
  <w:style w:type="character" w:styleId="12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styleId="13">
    <w:name w:val="page number"/>
    <w:uiPriority w:val="0"/>
  </w:style>
  <w:style w:type="paragraph" w:styleId="14">
    <w:name w:val="List"/>
    <w:basedOn w:val="15"/>
    <w:uiPriority w:val="0"/>
    <w:rPr>
      <w:rFonts w:cs="Arial"/>
    </w:rPr>
  </w:style>
  <w:style w:type="paragraph" w:styleId="15">
    <w:name w:val="Body Text"/>
    <w:basedOn w:val="1"/>
    <w:uiPriority w:val="0"/>
    <w:pPr>
      <w:spacing w:after="140" w:line="276" w:lineRule="auto"/>
    </w:pPr>
  </w:style>
  <w:style w:type="paragraph" w:styleId="16">
    <w:name w:val="annotation text"/>
    <w:basedOn w:val="1"/>
    <w:link w:val="40"/>
    <w:semiHidden/>
    <w:unhideWhenUsed/>
    <w:qFormat/>
    <w:uiPriority w:val="99"/>
  </w:style>
  <w:style w:type="paragraph" w:styleId="17">
    <w:name w:val="Body Text Indent 2"/>
    <w:basedOn w:val="1"/>
    <w:link w:val="30"/>
    <w:qFormat/>
    <w:uiPriority w:val="0"/>
    <w:pPr>
      <w:ind w:left="3686"/>
      <w:jc w:val="both"/>
    </w:pPr>
    <w:rPr>
      <w:rFonts w:ascii="Arial" w:hAnsi="Arial"/>
      <w:b/>
    </w:rPr>
  </w:style>
  <w:style w:type="paragraph" w:styleId="18">
    <w:name w:val="Title"/>
    <w:basedOn w:val="1"/>
    <w:next w:val="15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19">
    <w:name w:val="Normal (Web)"/>
    <w:basedOn w:val="1"/>
    <w:semiHidden/>
    <w:unhideWhenUsed/>
    <w:qFormat/>
    <w:uiPriority w:val="99"/>
    <w:pPr>
      <w:spacing w:beforeAutospacing="1" w:afterAutospacing="1"/>
    </w:pPr>
    <w:rPr>
      <w:sz w:val="24"/>
      <w:szCs w:val="24"/>
    </w:rPr>
  </w:style>
  <w:style w:type="paragraph" w:styleId="20">
    <w:name w:val="header"/>
    <w:basedOn w:val="1"/>
    <w:link w:val="32"/>
    <w:unhideWhenUsed/>
    <w:uiPriority w:val="99"/>
    <w:pPr>
      <w:tabs>
        <w:tab w:val="center" w:pos="4252"/>
        <w:tab w:val="right" w:pos="8504"/>
      </w:tabs>
    </w:pPr>
  </w:style>
  <w:style w:type="paragraph" w:styleId="21">
    <w:name w:val="annotation subject"/>
    <w:basedOn w:val="16"/>
    <w:next w:val="16"/>
    <w:link w:val="41"/>
    <w:semiHidden/>
    <w:unhideWhenUsed/>
    <w:qFormat/>
    <w:uiPriority w:val="99"/>
    <w:rPr>
      <w:b/>
      <w:bCs/>
    </w:rPr>
  </w:style>
  <w:style w:type="paragraph" w:styleId="22">
    <w:name w:val="footer"/>
    <w:basedOn w:val="1"/>
    <w:link w:val="33"/>
    <w:unhideWhenUsed/>
    <w:qFormat/>
    <w:uiPriority w:val="99"/>
    <w:pPr>
      <w:tabs>
        <w:tab w:val="center" w:pos="4252"/>
        <w:tab w:val="right" w:pos="8504"/>
      </w:tabs>
    </w:pPr>
  </w:style>
  <w:style w:type="paragraph" w:styleId="23">
    <w:name w:val="caption"/>
    <w:basedOn w:val="1"/>
    <w:next w:val="1"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24">
    <w:name w:val="Balloon Text"/>
    <w:basedOn w:val="1"/>
    <w:link w:val="3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25">
    <w:name w:val="footnote text"/>
    <w:basedOn w:val="1"/>
    <w:link w:val="46"/>
    <w:semiHidden/>
    <w:unhideWhenUsed/>
    <w:qFormat/>
    <w:uiPriority w:val="99"/>
  </w:style>
  <w:style w:type="paragraph" w:styleId="26">
    <w:name w:val="Body Text Indent"/>
    <w:basedOn w:val="1"/>
    <w:link w:val="29"/>
    <w:uiPriority w:val="0"/>
    <w:pPr>
      <w:ind w:left="426" w:hanging="426"/>
    </w:pPr>
  </w:style>
  <w:style w:type="table" w:styleId="27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8">
    <w:name w:val="Título 7 Char"/>
    <w:basedOn w:val="6"/>
    <w:link w:val="5"/>
    <w:qFormat/>
    <w:uiPriority w:val="0"/>
    <w:rPr>
      <w:rFonts w:ascii="Arial" w:hAnsi="Arial" w:eastAsia="Times New Roman" w:cs="Times New Roman"/>
      <w:b/>
      <w:sz w:val="28"/>
      <w:szCs w:val="20"/>
      <w:u w:val="single"/>
      <w:lang w:val="pt-PT"/>
    </w:rPr>
  </w:style>
  <w:style w:type="character" w:customStyle="1" w:styleId="29">
    <w:name w:val="Recuo de corpo de texto Char"/>
    <w:basedOn w:val="6"/>
    <w:link w:val="26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0">
    <w:name w:val="Recuo de corpo de texto 2 Char"/>
    <w:basedOn w:val="6"/>
    <w:link w:val="17"/>
    <w:qFormat/>
    <w:uiPriority w:val="0"/>
    <w:rPr>
      <w:rFonts w:ascii="Arial" w:hAnsi="Arial" w:eastAsia="Times New Roman" w:cs="Times New Roman"/>
      <w:b/>
      <w:sz w:val="20"/>
      <w:szCs w:val="20"/>
    </w:rPr>
  </w:style>
  <w:style w:type="character" w:customStyle="1" w:styleId="31">
    <w:name w:val="Texto de balão Char"/>
    <w:basedOn w:val="6"/>
    <w:link w:val="24"/>
    <w:semiHidden/>
    <w:qFormat/>
    <w:uiPriority w:val="99"/>
    <w:rPr>
      <w:rFonts w:ascii="Tahoma" w:hAnsi="Tahoma" w:eastAsia="Times New Roman" w:cs="Tahoma"/>
      <w:sz w:val="16"/>
      <w:szCs w:val="16"/>
      <w:lang w:eastAsia="pt-BR"/>
    </w:rPr>
  </w:style>
  <w:style w:type="character" w:customStyle="1" w:styleId="32">
    <w:name w:val="Cabeçalho Char"/>
    <w:basedOn w:val="6"/>
    <w:link w:val="20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3">
    <w:name w:val="Rodapé Char"/>
    <w:basedOn w:val="6"/>
    <w:link w:val="22"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34">
    <w:name w:val="Título 1 Char"/>
    <w:basedOn w:val="6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  <w:lang w:eastAsia="pt-BR"/>
    </w:rPr>
  </w:style>
  <w:style w:type="character" w:customStyle="1" w:styleId="35">
    <w:name w:val="Fonte parág. padrão6"/>
    <w:qFormat/>
    <w:uiPriority w:val="0"/>
  </w:style>
  <w:style w:type="character" w:customStyle="1" w:styleId="36">
    <w:name w:val="Título 2 Char"/>
    <w:basedOn w:val="6"/>
    <w:link w:val="3"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26"/>
      <w:szCs w:val="26"/>
      <w:lang w:eastAsia="pt-BR"/>
    </w:rPr>
  </w:style>
  <w:style w:type="character" w:customStyle="1" w:styleId="37">
    <w:name w:val="Título 4 Char"/>
    <w:basedOn w:val="6"/>
    <w:link w:val="4"/>
    <w:semiHidden/>
    <w:qFormat/>
    <w:uiPriority w:val="9"/>
    <w:rPr>
      <w:rFonts w:asciiTheme="majorHAnsi" w:hAnsiTheme="majorHAnsi" w:eastAsiaTheme="majorEastAsia" w:cstheme="majorBidi"/>
      <w:i/>
      <w:iCs/>
      <w:color w:val="376092" w:themeColor="accent1" w:themeShade="BF"/>
      <w:sz w:val="20"/>
      <w:szCs w:val="20"/>
      <w:lang w:eastAsia="pt-BR"/>
    </w:rPr>
  </w:style>
  <w:style w:type="character" w:customStyle="1" w:styleId="38">
    <w:name w:val="Link da Internet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39">
    <w:name w:val="qtip-link"/>
    <w:basedOn w:val="6"/>
    <w:qFormat/>
    <w:uiPriority w:val="0"/>
  </w:style>
  <w:style w:type="character" w:customStyle="1" w:styleId="40">
    <w:name w:val="Texto de comentário Char"/>
    <w:basedOn w:val="6"/>
    <w:link w:val="16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1">
    <w:name w:val="Assunto do comentário Char"/>
    <w:basedOn w:val="40"/>
    <w:link w:val="21"/>
    <w:semiHidden/>
    <w:qFormat/>
    <w:uiPriority w:val="99"/>
    <w:rPr>
      <w:rFonts w:ascii="Times New Roman" w:hAnsi="Times New Roman" w:eastAsia="Times New Roman" w:cs="Times New Roman"/>
      <w:b/>
      <w:bCs/>
      <w:sz w:val="20"/>
      <w:szCs w:val="20"/>
      <w:lang w:eastAsia="pt-BR"/>
    </w:rPr>
  </w:style>
  <w:style w:type="character" w:customStyle="1" w:styleId="42">
    <w:name w:val="m_7892110431564642023ttulo2char"/>
    <w:basedOn w:val="6"/>
    <w:qFormat/>
    <w:uiPriority w:val="0"/>
  </w:style>
  <w:style w:type="character" w:customStyle="1" w:styleId="43">
    <w:name w:val="WW8Num5z3"/>
    <w:qFormat/>
    <w:uiPriority w:val="0"/>
    <w:rPr>
      <w:rFonts w:ascii="Symbol" w:hAnsi="Symbol" w:cs="Symbol"/>
    </w:rPr>
  </w:style>
  <w:style w:type="character" w:customStyle="1" w:styleId="44">
    <w:name w:val="WW8Num5z4"/>
    <w:qFormat/>
    <w:uiPriority w:val="0"/>
    <w:rPr>
      <w:rFonts w:ascii="Courier New" w:hAnsi="Courier New" w:cs="Courier New"/>
    </w:rPr>
  </w:style>
  <w:style w:type="character" w:customStyle="1" w:styleId="45">
    <w:name w:val="WW8Num6z0"/>
    <w:qFormat/>
    <w:uiPriority w:val="0"/>
    <w:rPr>
      <w:rFonts w:ascii="Times New Roman" w:hAnsi="Times New Roman" w:cs="Times New Roman"/>
    </w:rPr>
  </w:style>
  <w:style w:type="character" w:customStyle="1" w:styleId="46">
    <w:name w:val="Texto de nota de rodapé Char"/>
    <w:basedOn w:val="6"/>
    <w:link w:val="25"/>
    <w:semiHidden/>
    <w:qFormat/>
    <w:uiPriority w:val="99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47">
    <w:name w:val="Âncora da nota de rodapé"/>
    <w:uiPriority w:val="0"/>
    <w:rPr>
      <w:vertAlign w:val="superscript"/>
    </w:rPr>
  </w:style>
  <w:style w:type="character" w:customStyle="1" w:styleId="48">
    <w:name w:val="Footnote Characters"/>
    <w:basedOn w:val="6"/>
    <w:semiHidden/>
    <w:unhideWhenUsed/>
    <w:qFormat/>
    <w:uiPriority w:val="99"/>
    <w:rPr>
      <w:vertAlign w:val="superscript"/>
    </w:rPr>
  </w:style>
  <w:style w:type="character" w:customStyle="1" w:styleId="49">
    <w:name w:val="Caracteres de nota de rodapé"/>
    <w:qFormat/>
    <w:uiPriority w:val="0"/>
  </w:style>
  <w:style w:type="character" w:customStyle="1" w:styleId="50">
    <w:name w:val="Âncora da nota de fim"/>
    <w:qFormat/>
    <w:uiPriority w:val="0"/>
    <w:rPr>
      <w:vertAlign w:val="superscript"/>
    </w:rPr>
  </w:style>
  <w:style w:type="character" w:customStyle="1" w:styleId="51">
    <w:name w:val="Caracteres de nota de fim"/>
    <w:qFormat/>
    <w:uiPriority w:val="0"/>
  </w:style>
  <w:style w:type="paragraph" w:customStyle="1" w:styleId="52">
    <w:name w:val="Índice"/>
    <w:basedOn w:val="1"/>
    <w:qFormat/>
    <w:uiPriority w:val="0"/>
    <w:pPr>
      <w:suppressLineNumbers/>
    </w:pPr>
    <w:rPr>
      <w:rFonts w:cs="Arial"/>
    </w:rPr>
  </w:style>
  <w:style w:type="paragraph" w:customStyle="1" w:styleId="53">
    <w:name w:val="ParaPrinc"/>
    <w:basedOn w:val="1"/>
    <w:qFormat/>
    <w:uiPriority w:val="0"/>
    <w:pPr>
      <w:widowControl w:val="0"/>
      <w:snapToGrid w:val="0"/>
      <w:jc w:val="both"/>
    </w:pPr>
    <w:rPr>
      <w:rFonts w:ascii="Book Antiqua" w:hAnsi="Book Antiqua"/>
      <w:sz w:val="24"/>
      <w:lang w:val="en-AU"/>
    </w:rPr>
  </w:style>
  <w:style w:type="paragraph" w:customStyle="1" w:styleId="54">
    <w:name w:val="Default"/>
    <w:qFormat/>
    <w:uiPriority w:val="0"/>
    <w:rPr>
      <w:rFonts w:ascii="Arial" w:hAnsi="Arial" w:eastAsia="Times New Roman" w:cs="Arial"/>
      <w:color w:val="000000"/>
      <w:sz w:val="24"/>
      <w:szCs w:val="24"/>
      <w:lang w:val="pt-BR" w:eastAsia="pt-BR" w:bidi="ar-SA"/>
    </w:rPr>
  </w:style>
  <w:style w:type="paragraph" w:customStyle="1" w:styleId="55">
    <w:name w:val="WW-Recuo de corpo de texto 2"/>
    <w:basedOn w:val="1"/>
    <w:qFormat/>
    <w:uiPriority w:val="0"/>
    <w:pPr>
      <w:suppressAutoHyphens/>
      <w:ind w:firstLine="708"/>
      <w:jc w:val="both"/>
    </w:pPr>
    <w:rPr>
      <w:b/>
    </w:rPr>
  </w:style>
  <w:style w:type="paragraph" w:customStyle="1" w:styleId="56">
    <w:name w:val="Contrato"/>
    <w:basedOn w:val="1"/>
    <w:qFormat/>
    <w:uiPriority w:val="0"/>
    <w:pPr>
      <w:spacing w:after="240"/>
      <w:jc w:val="both"/>
    </w:pPr>
    <w:rPr>
      <w:sz w:val="24"/>
    </w:rPr>
  </w:style>
  <w:style w:type="paragraph" w:customStyle="1" w:styleId="57">
    <w:name w:val="Cabeçalho e Rodapé"/>
    <w:basedOn w:val="1"/>
    <w:qFormat/>
    <w:uiPriority w:val="0"/>
  </w:style>
  <w:style w:type="paragraph" w:styleId="58">
    <w:name w:val="List Paragraph"/>
    <w:basedOn w:val="1"/>
    <w:qFormat/>
    <w:uiPriority w:val="34"/>
    <w:pPr>
      <w:ind w:left="720"/>
      <w:contextualSpacing/>
    </w:pPr>
  </w:style>
  <w:style w:type="paragraph" w:customStyle="1" w:styleId="59">
    <w:name w:val="Parágrafo da Lista1"/>
    <w:basedOn w:val="1"/>
    <w:qFormat/>
    <w:uiPriority w:val="0"/>
    <w:pPr>
      <w:widowControl w:val="0"/>
      <w:suppressAutoHyphens/>
      <w:textAlignment w:val="baseline"/>
    </w:pPr>
    <w:rPr>
      <w:rFonts w:eastAsia="Lucida Sans Unicode" w:cs="Mangal"/>
      <w:kern w:val="2"/>
      <w:sz w:val="24"/>
      <w:szCs w:val="24"/>
      <w:lang w:eastAsia="zh-CN" w:bidi="hi-IN"/>
    </w:rPr>
  </w:style>
  <w:style w:type="paragraph" w:customStyle="1" w:styleId="60">
    <w:name w:val="_A010165"/>
    <w:qFormat/>
    <w:uiPriority w:val="0"/>
    <w:pPr>
      <w:tabs>
        <w:tab w:val="left" w:pos="937"/>
      </w:tabs>
      <w:suppressAutoHyphens/>
      <w:jc w:val="both"/>
    </w:pPr>
    <w:rPr>
      <w:rFonts w:ascii="Arial" w:hAnsi="Arial" w:eastAsia="Times New Roman" w:cs="Times New Roman"/>
      <w:color w:val="000000"/>
      <w:lang w:val="pt-BR" w:eastAsia="ar-SA" w:bidi="ar-SA"/>
    </w:rPr>
  </w:style>
  <w:style w:type="paragraph" w:customStyle="1" w:styleId="61">
    <w:name w:val="Table Paragraph"/>
    <w:basedOn w:val="1"/>
    <w:qFormat/>
    <w:uiPriority w:val="1"/>
    <w:pPr>
      <w:widowControl w:val="0"/>
      <w:ind w:left="103"/>
    </w:pPr>
    <w:rPr>
      <w:sz w:val="22"/>
      <w:szCs w:val="22"/>
      <w:lang w:val="en-US" w:eastAsia="en-US"/>
    </w:rPr>
  </w:style>
  <w:style w:type="paragraph" w:customStyle="1" w:styleId="62">
    <w:name w:val="rtejustify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3">
    <w:name w:val="rtecenter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4">
    <w:name w:val="rteindent1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5">
    <w:name w:val="texto_justificado"/>
    <w:basedOn w:val="1"/>
    <w:qFormat/>
    <w:uiPriority w:val="0"/>
    <w:pPr>
      <w:spacing w:beforeAutospacing="1" w:afterAutospacing="1"/>
    </w:pPr>
    <w:rPr>
      <w:sz w:val="24"/>
      <w:szCs w:val="24"/>
    </w:rPr>
  </w:style>
  <w:style w:type="paragraph" w:customStyle="1" w:styleId="66">
    <w:name w:val="Conteúdo do quadro"/>
    <w:basedOn w:val="1"/>
    <w:qFormat/>
    <w:uiPriority w:val="0"/>
  </w:style>
  <w:style w:type="table" w:customStyle="1" w:styleId="67">
    <w:name w:val="Tabela de Grade 4 - Ênfase 31"/>
    <w:basedOn w:val="7"/>
    <w:qFormat/>
    <w:uiPriority w:val="49"/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9BBB59" w:themeColor="accent3" w:sz="4" w:space="0"/>
          <w:left w:val="single" w:color="9BBB59" w:themeColor="accent3" w:sz="4" w:space="0"/>
          <w:bottom w:val="single" w:color="9BBB59" w:themeColor="accent3" w:sz="4" w:space="0"/>
          <w:right w:val="single" w:color="9BBB59" w:themeColor="accent3" w:sz="4" w:space="0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68">
    <w:name w:val="Tabela de Lista 3 - Ênfase 31"/>
    <w:basedOn w:val="7"/>
    <w:qFormat/>
    <w:uiPriority w:val="48"/>
    <w:tblPr>
      <w:tblBorders>
        <w:top w:val="single" w:color="9BBB59" w:themeColor="accent3" w:sz="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9BBB59" w:themeFill="accent3"/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9BBB59" w:themeColor="accent3" w:sz="4" w:space="0"/>
          <w:right w:val="single" w:color="9BBB59" w:themeColor="accent3" w:sz="4" w:space="0"/>
        </w:tcBorders>
      </w:tcPr>
    </w:tblStylePr>
    <w:tblStylePr w:type="band1Horz">
      <w:tcPr>
        <w:tcBorders>
          <w:top w:val="single" w:color="9BBB59" w:themeColor="accent3" w:sz="4" w:space="0"/>
          <w:bottom w:val="single" w:color="9BBB59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9BBB59" w:themeColor="accent3" w:sz="4" w:space="0"/>
          <w:left w:val="nil"/>
        </w:tcBorders>
      </w:tcPr>
    </w:tblStylePr>
    <w:tblStylePr w:type="swCell">
      <w:tcPr>
        <w:tcBorders>
          <w:top w:val="double" w:color="9BBB59" w:themeColor="accent3" w:sz="4" w:space="0"/>
          <w:right w:val="nil"/>
        </w:tcBorders>
      </w:tcPr>
    </w:tblStylePr>
  </w:style>
  <w:style w:type="table" w:customStyle="1" w:styleId="69">
    <w:name w:val="Tabela de Grade 6 Colorida - Ênfase 31"/>
    <w:basedOn w:val="7"/>
    <w:qFormat/>
    <w:uiPriority w:val="51"/>
    <w:rPr>
      <w:color w:val="77933C" w:themeColor="accent3" w:themeShade="BF"/>
    </w:rPr>
    <w:tblPr>
      <w:tblBorders>
        <w:top w:val="single" w:color="C2D69B" w:themeColor="accent3" w:themeTint="99" w:sz="4" w:space="0"/>
        <w:left w:val="single" w:color="C2D69B" w:themeColor="accent3" w:themeTint="99" w:sz="4" w:space="0"/>
        <w:bottom w:val="single" w:color="C2D69B" w:themeColor="accent3" w:themeTint="99" w:sz="4" w:space="0"/>
        <w:right w:val="single" w:color="C2D69B" w:themeColor="accent3" w:themeTint="99" w:sz="4" w:space="0"/>
        <w:insideH w:val="single" w:color="C2D69B" w:themeColor="accent3" w:themeTint="99" w:sz="4" w:space="0"/>
        <w:insideV w:val="single" w:color="C2D69B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9BBB59" w:themeColor="accent3" w:sz="12" w:space="0"/>
        </w:tcBorders>
      </w:tcPr>
    </w:tblStylePr>
    <w:tblStylePr w:type="lastRow">
      <w:rPr>
        <w:b/>
        <w:bCs/>
      </w:rPr>
      <w:tcPr>
        <w:tcBorders>
          <w:top w:val="double" w:color="9BBB5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AF1DD" w:themeFill="accent3" w:themeFillTint="33"/>
      </w:tcPr>
    </w:tblStylePr>
    <w:tblStylePr w:type="band1Horz">
      <w:tcPr>
        <w:shd w:val="clear" w:color="auto" w:fill="EAF1DD" w:themeFill="accent3" w:themeFillTint="33"/>
      </w:tcPr>
    </w:tblStylePr>
  </w:style>
  <w:style w:type="table" w:customStyle="1" w:styleId="70">
    <w:name w:val="Tabela de Grade 4 - Ênfase 11"/>
    <w:basedOn w:val="7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71">
    <w:name w:val="Grid Table 4 Accent 1"/>
    <w:basedOn w:val="7"/>
    <w:qFormat/>
    <w:uiPriority w:val="49"/>
    <w:tblPr>
      <w:tblBorders>
        <w:top w:val="single" w:color="95B3D7" w:themeColor="accent1" w:themeTint="99" w:sz="4" w:space="0"/>
        <w:left w:val="single" w:color="95B3D7" w:themeColor="accent1" w:themeTint="99" w:sz="4" w:space="0"/>
        <w:bottom w:val="single" w:color="95B3D7" w:themeColor="accent1" w:themeTint="99" w:sz="4" w:space="0"/>
        <w:right w:val="single" w:color="95B3D7" w:themeColor="accent1" w:themeTint="99" w:sz="4" w:space="0"/>
        <w:insideH w:val="single" w:color="95B3D7" w:themeColor="accent1" w:themeTint="99" w:sz="4" w:space="0"/>
        <w:insideV w:val="single" w:color="95B3D7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cPr>
        <w:tcBorders>
          <w:top w:val="double" w:color="4F81BD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 w:themeFill="accent1" w:themeFillTint="33"/>
      </w:tcPr>
    </w:tblStylePr>
    <w:tblStylePr w:type="band1Horz">
      <w:tcPr>
        <w:shd w:val="clear" w:color="auto" w:fill="DBE5F1" w:themeFill="accent1" w:themeFillTint="33"/>
      </w:tcPr>
    </w:tblStylePr>
  </w:style>
  <w:style w:type="table" w:customStyle="1" w:styleId="72">
    <w:name w:val="Grid Table 5 Dark Accent 1"/>
    <w:basedOn w:val="7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F81BD" w:themeFill="accent1"/>
      </w:tcPr>
    </w:tblStylePr>
    <w:tblStylePr w:type="band1Vert">
      <w:tcPr>
        <w:shd w:val="clear" w:color="auto" w:fill="B8CCE4" w:themeFill="accent1" w:themeFillTint="66"/>
      </w:tcPr>
    </w:tblStylePr>
    <w:tblStylePr w:type="band1Horz">
      <w:tcPr>
        <w:shd w:val="clear" w:color="auto" w:fill="B8CCE4" w:themeFill="accent1" w:themeFillTint="66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4D733A-D005-4F7B-8526-FBAE27407E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3083</Words>
  <Characters>16651</Characters>
  <Lines>138</Lines>
  <Paragraphs>39</Paragraphs>
  <TotalTime>6</TotalTime>
  <ScaleCrop>false</ScaleCrop>
  <LinksUpToDate>false</LinksUpToDate>
  <CharactersWithSpaces>19695</CharactersWithSpaces>
  <Application>WPS Office_12.2.0.18586_F1E327BC-269C-435d-A152-05C5408002CA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2024-08-26T03:04:00Z</dcterms:created>
  <dc:creator>bteixeira</dc:creator>
  <cp:lastModifiedBy>jubor</cp:lastModifiedBy>
  <cp:lastPrinted>2024-05-25T04:32:00Z</cp:lastPrinted>
  <dcterms:modified xsi:type="dcterms:W3CDTF">2024-10-02T17:12:54Z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1046-12.2.0.18586</vt:lpwstr>
  </property>
  <property fmtid="{D5CDD505-2E9C-101B-9397-08002B2CF9AE}" pid="9" name="ICV">
    <vt:lpwstr>21FCA0DE21F0410AB63FC234A726E325_12</vt:lpwstr>
  </property>
</Properties>
</file>