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937"/>
        <w:gridCol w:w="2860"/>
        <w:gridCol w:w="911"/>
        <w:gridCol w:w="674"/>
        <w:gridCol w:w="2123"/>
        <w:gridCol w:w="962"/>
        <w:gridCol w:w="1801"/>
        <w:tblGridChange w:id="0">
          <w:tblGrid>
            <w:gridCol w:w="617"/>
            <w:gridCol w:w="937"/>
            <w:gridCol w:w="2860"/>
            <w:gridCol w:w="911"/>
            <w:gridCol w:w="674"/>
            <w:gridCol w:w="2123"/>
            <w:gridCol w:w="962"/>
            <w:gridCol w:w="1801"/>
          </w:tblGrid>
        </w:tblGridChange>
      </w:tblGrid>
      <w:tr>
        <w:trPr>
          <w:cantSplit w:val="0"/>
          <w:trHeight w:val="12578" w:hRule="atLeast"/>
          <w:tblHeader w:val="0"/>
        </w:trPr>
        <w:tc>
          <w:tcPr>
            <w:gridSpan w:val="8"/>
            <w:tcBorders>
              <w:bottom w:color="000000" w:space="0" w:sz="4" w:val="single"/>
            </w:tcBorders>
          </w:tcPr>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5"/>
                <w:szCs w:val="5"/>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tabs>
                <w:tab w:val="left" w:leader="none" w:pos="5001"/>
                <w:tab w:val="left" w:leader="none" w:pos="9053"/>
              </w:tabs>
              <w:spacing w:after="0" w:before="0" w:line="240" w:lineRule="auto"/>
              <w:ind w:left="62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Pr>
              <w:drawing>
                <wp:inline distB="0" distT="0" distL="0" distR="0">
                  <wp:extent cx="684860" cy="370331"/>
                  <wp:effectExtent b="0" l="0" r="0" t="0"/>
                  <wp:docPr id="2115606147"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tl w:val="0"/>
              </w:rPr>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628762" cy="617029"/>
                  <wp:effectExtent b="0" l="0" r="0" t="0"/>
                  <wp:docPr id="2115606149"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Pr>
              <w:drawing>
                <wp:inline distB="0" distT="0" distL="0" distR="0">
                  <wp:extent cx="927176" cy="196596"/>
                  <wp:effectExtent b="0" l="0" r="0" t="0"/>
                  <wp:docPr id="2115606148"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3709" w:right="3595" w:firstLine="1.0000000000002274"/>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MINISTÉRIO DA EDUCAÇÃO UNIVERSIDADE FEDERAL FLUMINENSE PRO REITORIA DE ADMINISTRAÇÃO</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175" w:line="482" w:lineRule="auto"/>
              <w:ind w:left="2681" w:right="2565" w:firstLine="0"/>
              <w:jc w:val="center"/>
              <w:rPr>
                <w:rFonts w:ascii="Arial" w:cs="Arial" w:eastAsia="Arial" w:hAnsi="Arial"/>
                <w:b w:val="1"/>
                <w:i w:val="0"/>
                <w:smallCaps w:val="0"/>
                <w:strike w:val="0"/>
                <w:color w:val="ff0000"/>
                <w:sz w:val="18"/>
                <w:szCs w:val="18"/>
                <w:u w:val="none"/>
                <w:shd w:fill="auto" w:val="clear"/>
                <w:vertAlign w:val="baseline"/>
              </w:rPr>
            </w:pP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ANEXO </w:t>
            </w:r>
            <w:r w:rsidDel="00000000" w:rsidR="00000000" w:rsidRPr="00000000">
              <w:rPr>
                <w:rFonts w:ascii="Arial" w:cs="Arial" w:eastAsia="Arial" w:hAnsi="Arial"/>
                <w:b w:val="1"/>
                <w:color w:val="ff0000"/>
                <w:sz w:val="18"/>
                <w:szCs w:val="18"/>
                <w:rtl w:val="0"/>
              </w:rPr>
              <w:t xml:space="preserve">III </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DO EDITAL DO </w:t>
            </w:r>
            <w:r w:rsidDel="00000000" w:rsidR="00000000" w:rsidRPr="00000000">
              <w:rPr>
                <w:rFonts w:ascii="Arial" w:cs="Arial" w:eastAsia="Arial" w:hAnsi="Arial"/>
                <w:b w:val="1"/>
                <w:color w:val="ff0000"/>
                <w:sz w:val="18"/>
                <w:szCs w:val="18"/>
                <w:rtl w:val="0"/>
              </w:rPr>
              <w:t xml:space="preserve">PE</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 N.º </w:t>
            </w:r>
            <w:r w:rsidDel="00000000" w:rsidR="00000000" w:rsidRPr="00000000">
              <w:rPr>
                <w:rFonts w:ascii="Arial" w:cs="Arial" w:eastAsia="Arial" w:hAnsi="Arial"/>
                <w:b w:val="1"/>
                <w:color w:val="ff0000"/>
                <w:sz w:val="18"/>
                <w:szCs w:val="18"/>
                <w:rtl w:val="0"/>
              </w:rPr>
              <w:t xml:space="preserve">90.050</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/202</w:t>
            </w:r>
            <w:r w:rsidDel="00000000" w:rsidR="00000000" w:rsidRPr="00000000">
              <w:rPr>
                <w:rFonts w:ascii="Arial" w:cs="Arial" w:eastAsia="Arial" w:hAnsi="Arial"/>
                <w:b w:val="1"/>
                <w:color w:val="ff0000"/>
                <w:sz w:val="18"/>
                <w:szCs w:val="18"/>
                <w:rtl w:val="0"/>
              </w:rPr>
              <w:t xml:space="preserve">4</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/AD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175" w:line="482" w:lineRule="auto"/>
              <w:ind w:left="2681" w:right="2565" w:firstLine="0"/>
              <w:jc w:val="center"/>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MINUTA ATA DE REGISTRO DE PREÇOS</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2" w:lineRule="auto"/>
              <w:ind w:left="1254"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5323205" cy="13335"/>
                      <wp:effectExtent b="0" l="0" r="0" t="0"/>
                      <wp:docPr id="2115606144"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100"/>
                                  <a:chExt cx="5323250" cy="13175"/>
                                </a:xfrm>
                              </wpg:grpSpPr>
                              <wps:wsp>
                                <wps:cNvSpPr/>
                                <wps:cNvPr id="3" name="Shape 3"/>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9" name="Shape 9"/>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5323205" cy="13335"/>
                      <wp:effectExtent b="0" l="0" r="0" t="0"/>
                      <wp:docPr id="2115606144"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w:t>
            </w:r>
            <w:r w:rsidDel="00000000" w:rsidR="00000000" w:rsidRPr="00000000">
              <w:rPr>
                <w:highlight w:val="white"/>
                <w:rtl w:val="0"/>
              </w:rPr>
              <w:t xml:space="preserve">PREÇOS nº 90.050/2024, processo administrativo n.º 23069.189656/2023-78, RES</w:t>
            </w:r>
            <w:r w:rsidDel="00000000" w:rsidR="00000000" w:rsidRPr="00000000">
              <w:rPr>
                <w:rtl w:val="0"/>
              </w:rPr>
              <w:t xml:space="preserve">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136" w:line="240" w:lineRule="auto"/>
              <w:ind w:left="610" w:right="489"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tabs>
                <w:tab w:val="left" w:leader="none" w:pos="1318"/>
              </w:tabs>
              <w:spacing w:after="0" w:before="0" w:line="240" w:lineRule="auto"/>
              <w:ind w:left="61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w:t>
              <w:tab/>
              <w:t xml:space="preserve">DO OBJETO</w:t>
            </w:r>
          </w:p>
          <w:p w:rsidR="00000000" w:rsidDel="00000000" w:rsidP="00000000" w:rsidRDefault="00000000" w:rsidRPr="00000000" w14:paraId="0000000E">
            <w:pPr>
              <w:keepNext w:val="0"/>
              <w:keepLines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314"/>
              </w:tabs>
              <w:spacing w:after="0" w:before="72" w:line="240" w:lineRule="auto"/>
              <w:ind w:left="1313" w:right="489" w:hanging="846"/>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presente Ata tem por objeto o registro de preços para a eventual aquisição de </w:t>
            </w:r>
            <w:r w:rsidDel="00000000" w:rsidR="00000000" w:rsidRPr="00000000">
              <w:rPr>
                <w:rtl w:val="0"/>
              </w:rPr>
              <w:t xml:space="preserve">Material Biológico 2</w:t>
            </w:r>
            <w:r w:rsidDel="00000000" w:rsidR="00000000" w:rsidRPr="00000000">
              <w:rPr>
                <w:rFonts w:ascii="Calibri" w:cs="Calibri" w:eastAsia="Calibri" w:hAnsi="Calibri"/>
                <w:b w:val="1"/>
                <w:i w:val="0"/>
                <w:smallCaps w:val="0"/>
                <w:strike w:val="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especificado(s) no(s) item(ns) do Termo de Referência e Planilha de Itens, Anexos I e I-A do edital de Pregão nº  </w:t>
            </w:r>
            <w:r w:rsidDel="00000000" w:rsidR="00000000" w:rsidRPr="00000000">
              <w:rPr>
                <w:rtl w:val="0"/>
              </w:rPr>
              <w:t xml:space="preserve">90.050</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/202</w:t>
            </w:r>
            <w:r w:rsidDel="00000000" w:rsidR="00000000" w:rsidRPr="00000000">
              <w:rPr>
                <w:rtl w:val="0"/>
              </w:rPr>
              <w:t xml:space="preserve">4</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que é parte integrante desta Ata, assim como a proposta vencedora, independentemente de transcrição.</w:t>
            </w: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462"/>
                <w:tab w:val="left" w:leader="none" w:pos="1463"/>
              </w:tabs>
              <w:spacing w:after="0" w:before="0" w:line="240" w:lineRule="auto"/>
              <w:ind w:left="1462" w:right="0" w:hanging="846"/>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DOS PREÇOS, ESPECIFICAÇÕES E QUANTITATIVOS</w:t>
            </w:r>
          </w:p>
          <w:p w:rsidR="00000000" w:rsidDel="00000000" w:rsidP="00000000" w:rsidRDefault="00000000" w:rsidRPr="00000000" w14:paraId="00000011">
            <w:pPr>
              <w:keepNext w:val="0"/>
              <w:keepLines w:val="0"/>
              <w:widowControl w:val="0"/>
              <w:numPr>
                <w:ilvl w:val="3"/>
                <w:numId w:val="2"/>
              </w:numPr>
              <w:pBdr>
                <w:top w:space="0" w:sz="0" w:val="nil"/>
                <w:left w:space="0" w:sz="0" w:val="nil"/>
                <w:bottom w:space="0" w:sz="0" w:val="nil"/>
                <w:right w:space="0" w:sz="0" w:val="nil"/>
                <w:between w:space="0" w:sz="0" w:val="nil"/>
              </w:pBdr>
              <w:shd w:fill="auto" w:val="clear"/>
              <w:tabs>
                <w:tab w:val="left" w:leader="none" w:pos="1462"/>
                <w:tab w:val="left" w:leader="none" w:pos="1463"/>
              </w:tabs>
              <w:spacing w:after="0" w:before="73" w:line="240" w:lineRule="auto"/>
              <w:ind w:left="1462" w:right="488" w:hanging="846"/>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173" w:line="240" w:lineRule="auto"/>
              <w:ind w:left="430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Identificação da Empresa</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Razão Social:</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CNPJ: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901" w:hRule="atLeast"/>
          <w:tblHeader w:val="0"/>
        </w:trPr>
        <w:tc>
          <w:tcPr>
            <w:tcBorders>
              <w:top w:color="000000" w:space="0" w:sz="4" w:val="single"/>
              <w:bottom w:color="000000" w:space="0" w:sz="4" w:val="single"/>
              <w:right w:color="000000" w:space="0" w:sz="4" w:val="single"/>
            </w:tcBorders>
            <w:shd w:fill="d9e0f1" w:val="clear"/>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56" w:right="5"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CATMAT</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16"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DESCRIÇÃO COMPLEMENTAR</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101" w:right="11" w:firstLine="167.99999999999997"/>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UND MEDIDA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9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QTDA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1158" w:right="14" w:firstLine="143.99999999999991"/>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VALOR UNITÁRIO</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209" w:right="113" w:hanging="2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VALOR TOTAL</w:t>
            </w:r>
          </w:p>
        </w:tc>
        <w:tc>
          <w:tcPr>
            <w:tcBorders>
              <w:top w:color="000000" w:space="0" w:sz="4" w:val="single"/>
              <w:left w:color="000000" w:space="0" w:sz="4" w:val="single"/>
              <w:bottom w:color="000000" w:space="0" w:sz="4" w:val="single"/>
            </w:tcBorders>
            <w:shd w:fill="d9e0f1" w:val="clear"/>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56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MARCA</w:t>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294" w:hRule="atLeast"/>
          <w:tblHeader w:val="0"/>
        </w:trPr>
        <w:tc>
          <w:tcPr>
            <w:gridSpan w:val="8"/>
            <w:tcBorders>
              <w:top w:color="000000" w:space="0" w:sz="4" w:val="single"/>
            </w:tcBorders>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0" w:lineRule="auto"/>
              <w:ind w:left="606"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4312920" cy="5080"/>
                      <wp:effectExtent b="0" l="0" r="0" t="0"/>
                      <wp:docPr id="2115606143"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300" cy="9550"/>
                                </a:xfrm>
                              </wpg:grpSpPr>
                              <wps:wsp>
                                <wps:cNvSpPr/>
                                <wps:cNvPr id="3" name="Shape 3"/>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5" name="Shape 5"/>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4312920" cy="5080"/>
                      <wp:effectExtent b="0" l="0" r="0" t="0"/>
                      <wp:docPr id="2115606143" name="image4.png"/>
                      <a:graphic>
                        <a:graphicData uri="http://schemas.openxmlformats.org/drawingml/2006/picture">
                          <pic:pic>
                            <pic:nvPicPr>
                              <pic:cNvPr id="0" name="image4.png"/>
                              <pic:cNvPicPr preferRelativeResize="0"/>
                            </pic:nvPicPr>
                            <pic:blipFill>
                              <a:blip r:embed="rId13"/>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tabs>
                <w:tab w:val="left" w:leader="none" w:pos="9024"/>
              </w:tabs>
              <w:spacing w:after="0" w:before="0" w:line="240" w:lineRule="auto"/>
              <w:ind w:left="1203" w:right="0" w:firstLine="0"/>
              <w:jc w:val="lef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Anexo III – Minuta Ata Registro de Preços</w:t>
              <w:tab/>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Pág. 1/8</w:t>
            </w:r>
          </w:p>
        </w:tc>
      </w:tr>
    </w:tbl>
    <w:p w:rsidR="00000000" w:rsidDel="00000000" w:rsidP="00000000" w:rsidRDefault="00000000" w:rsidRPr="00000000" w14:paraId="00000045">
      <w:pPr>
        <w:rPr>
          <w:sz w:val="2"/>
          <w:szCs w:val="2"/>
        </w:rPr>
      </w:pP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333333333333336"/>
          <w:szCs w:val="33.333333333333336"/>
          <w:vertAlign w:val="superscript"/>
        </w:rPr>
        <w:drawing>
          <wp:inline distB="0" distT="0" distL="0" distR="0">
            <wp:extent cx="927176" cy="196596"/>
            <wp:effectExtent b="0" l="0" r="0" t="0"/>
            <wp:docPr id="2115606150"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 w:line="276" w:lineRule="auto"/>
        <w:ind w:left="752" w:right="73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2.2. A listagem do cadastro de reserva referente ao presente registro de preços consta como anexo a esta Ata.</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187"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ÓRGÃO(S) GERENCIADOR E PARTICIPANTE(S)</w:t>
      </w:r>
    </w:p>
    <w:p w:rsidR="00000000" w:rsidDel="00000000" w:rsidP="00000000" w:rsidRDefault="00000000" w:rsidRPr="00000000" w14:paraId="0000004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gerenciador será a Pró-Reitoria de Administração.</w:t>
      </w:r>
      <w:r w:rsidDel="00000000" w:rsidR="00000000" w:rsidRPr="00000000">
        <w:rPr>
          <w:rtl w:val="0"/>
        </w:rPr>
      </w:r>
    </w:p>
    <w:p w:rsidR="00000000" w:rsidDel="00000000" w:rsidP="00000000" w:rsidRDefault="00000000" w:rsidRPr="00000000" w14:paraId="0000004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Além do gerenciador, não há</w:t>
      </w:r>
      <w:r w:rsidDel="00000000" w:rsidR="00000000" w:rsidRPr="00000000">
        <w:rPr>
          <w:rtl w:val="0"/>
        </w:rPr>
        <w:t xml:space="preserve"> </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órgãos e entidades públicas participantes do registro de preços</w:t>
      </w:r>
      <w:r w:rsidDel="00000000" w:rsidR="00000000" w:rsidRPr="00000000">
        <w:rPr>
          <w:rtl w:val="0"/>
        </w:rPr>
        <w:t xml:space="preserve">.</w:t>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910590</wp:posOffset>
                </wp:positionH>
                <wp:positionV relativeFrom="page">
                  <wp:posOffset>2670176</wp:posOffset>
                </wp:positionV>
                <wp:extent cx="5676900" cy="5311775"/>
                <wp:effectExtent b="0" l="0" r="0" t="0"/>
                <wp:wrapNone/>
                <wp:docPr id="2115606145" name=""/>
                <a:graphic>
                  <a:graphicData uri="http://schemas.microsoft.com/office/word/2010/wordprocessingShape">
                    <wps:wsp>
                      <wps:cNvSpPr/>
                      <wps:cNvPr id="11" name="Shape 11"/>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910590</wp:posOffset>
                </wp:positionH>
                <wp:positionV relativeFrom="page">
                  <wp:posOffset>2670176</wp:posOffset>
                </wp:positionV>
                <wp:extent cx="5676900" cy="5311775"/>
                <wp:effectExtent b="0" l="0" r="0" t="0"/>
                <wp:wrapNone/>
                <wp:docPr id="2115606145" name="image6.png"/>
                <a:graphic>
                  <a:graphicData uri="http://schemas.openxmlformats.org/drawingml/2006/picture">
                    <pic:pic>
                      <pic:nvPicPr>
                        <pic:cNvPr id="0" name="image6.png"/>
                        <pic:cNvPicPr preferRelativeResize="0"/>
                      </pic:nvPicPr>
                      <pic:blipFill>
                        <a:blip r:embed="rId14"/>
                        <a:srcRect/>
                        <a:stretch>
                          <a:fillRect/>
                        </a:stretch>
                      </pic:blipFill>
                      <pic:spPr>
                        <a:xfrm>
                          <a:off x="0" y="0"/>
                          <a:ext cx="5676900" cy="5311775"/>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4D">
      <w:pPr>
        <w:numPr>
          <w:ilvl w:val="1"/>
          <w:numId w:val="1"/>
        </w:numPr>
        <w:tabs>
          <w:tab w:val="left" w:leader="none" w:pos="1462"/>
        </w:tabs>
        <w:spacing w:before="80" w:lineRule="auto"/>
        <w:ind w:left="1461" w:hanging="709"/>
        <w:jc w:val="both"/>
        <w:rPr>
          <w:highlight w:val="white"/>
        </w:rPr>
      </w:pPr>
      <w:r w:rsidDel="00000000" w:rsidR="00000000" w:rsidRPr="00000000">
        <w:rPr>
          <w:sz w:val="14"/>
          <w:szCs w:val="14"/>
          <w:highlight w:val="white"/>
          <w:rtl w:val="0"/>
        </w:rPr>
        <w:t xml:space="preserve"> </w:t>
      </w:r>
      <w:r w:rsidDel="00000000" w:rsidR="00000000" w:rsidRPr="00000000">
        <w:rPr>
          <w:highlight w:val="white"/>
          <w:rtl w:val="0"/>
        </w:rPr>
        <w:t xml:space="preserve">A IRP nº </w:t>
      </w:r>
      <w:r w:rsidDel="00000000" w:rsidR="00000000" w:rsidRPr="00000000">
        <w:rPr>
          <w:b w:val="1"/>
          <w:color w:val="ff0000"/>
          <w:highlight w:val="white"/>
          <w:rtl w:val="0"/>
        </w:rPr>
        <w:t xml:space="preserve">00028/2023 </w:t>
      </w:r>
      <w:r w:rsidDel="00000000" w:rsidR="00000000" w:rsidRPr="00000000">
        <w:rPr>
          <w:highlight w:val="white"/>
          <w:rtl w:val="0"/>
        </w:rPr>
        <w:t xml:space="preserve"> foi divulgada, conforme art. 9º do Decreto nº 11.462/2023.</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6" name=""/>
                <a:graphic>
                  <a:graphicData uri="http://schemas.microsoft.com/office/word/2010/wordprocessingShape">
                    <wps:wsp>
                      <wps:cNvSpPr/>
                      <wps:cNvPr id="12" name="Shape 1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6" name="image7.png"/>
                <a:graphic>
                  <a:graphicData uri="http://schemas.openxmlformats.org/drawingml/2006/picture">
                    <pic:pic>
                      <pic:nvPicPr>
                        <pic:cNvPr id="0" name="image7.png"/>
                        <pic:cNvPicPr preferRelativeResize="0"/>
                      </pic:nvPicPr>
                      <pic:blipFill>
                        <a:blip r:embed="rId15"/>
                        <a:srcRect/>
                        <a:stretch>
                          <a:fillRect/>
                        </a:stretch>
                      </pic:blipFill>
                      <pic:spPr>
                        <a:xfrm>
                          <a:off x="0" y="0"/>
                          <a:ext cx="5676900" cy="5311775"/>
                        </a:xfrm>
                        <a:prstGeom prst="rect"/>
                        <a:ln/>
                      </pic:spPr>
                    </pic:pic>
                  </a:graphicData>
                </a:graphic>
              </wp:anchor>
            </w:drawing>
          </mc:Fallback>
        </mc:AlternateConten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5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 ADESÃO À ATA DE REGISTRO DE PREÇOS</w:t>
      </w:r>
    </w:p>
    <w:p w:rsidR="00000000" w:rsidDel="00000000" w:rsidP="00000000" w:rsidRDefault="00000000" w:rsidRPr="00000000" w14:paraId="0000005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1"/>
          <w:smallCaps w:val="0"/>
          <w:strike w:val="0"/>
          <w:color w:val="000000"/>
          <w:sz w:val="22"/>
          <w:szCs w:val="22"/>
          <w:highlight w:val="white"/>
          <w:u w:val="none"/>
          <w:vertAlign w:val="baseline"/>
          <w:rtl w:val="0"/>
        </w:rPr>
        <w:t xml:space="preserve"> </w:t>
      </w:r>
      <w:r w:rsidDel="00000000" w:rsidR="00000000" w:rsidRPr="00000000">
        <w:rPr>
          <w:i w:val="1"/>
          <w:highlight w:val="white"/>
          <w:rtl w:val="0"/>
        </w:rPr>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23069.189656/2023-78</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center"/>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tabs>
          <w:tab w:val="left" w:leader="none" w:pos="1462"/>
        </w:tabs>
        <w:spacing w:before="69" w:lineRule="auto"/>
        <w:ind w:left="751" w:right="700" w:firstLine="0"/>
        <w:rPr>
          <w:b w:val="1"/>
        </w:rPr>
      </w:pPr>
      <w:r w:rsidDel="00000000" w:rsidR="00000000" w:rsidRPr="00000000">
        <w:rPr>
          <w:b w:val="1"/>
          <w:rtl w:val="0"/>
        </w:rPr>
        <w:t xml:space="preserve">Vedação a acréscimo de quantitativos</w:t>
      </w:r>
    </w:p>
    <w:p w:rsidR="00000000" w:rsidDel="00000000" w:rsidP="00000000" w:rsidRDefault="00000000" w:rsidRPr="00000000" w14:paraId="0000005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70" w:line="240" w:lineRule="auto"/>
        <w:ind w:left="1461" w:right="700" w:hanging="709"/>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É vedado efetuar acréscimos nos quantitativos fixados na ata de registro de preços</w:t>
      </w: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VALIDADE, FORMALIZAÇÃO DA ATA DE REGISTRO DE PREÇOS E CADASTRO RESERVA</w:t>
      </w:r>
    </w:p>
    <w:p w:rsidR="00000000" w:rsidDel="00000000" w:rsidP="00000000" w:rsidRDefault="00000000" w:rsidRPr="00000000" w14:paraId="0000005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validade da Ata de Registro de Preços será de 1 (um) ano, contado a </w:t>
      </w:r>
      <w:sdt>
        <w:sdtPr>
          <w:tag w:val="goog_rdk_0"/>
        </w:sdtPr>
        <w:sdtContent>
          <w:commentRangeStart w:id="0"/>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partir</w:t>
      </w:r>
      <w:commentRangeEnd w:id="0"/>
      <w:r w:rsidDel="00000000" w:rsidR="00000000" w:rsidRPr="00000000">
        <w:commentReference w:id="0"/>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5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5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5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instrumento contratual de que trata o item 5.2. deverá ser assinado no prazo de validade da ata de registro de preços.</w:t>
      </w:r>
    </w:p>
    <w:p w:rsidR="00000000" w:rsidDel="00000000" w:rsidP="00000000" w:rsidRDefault="00000000" w:rsidRPr="00000000" w14:paraId="0000005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5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000000" w:rsidDel="00000000" w:rsidP="00000000" w:rsidRDefault="00000000" w:rsidRPr="00000000" w14:paraId="0000005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incluído na ata, na forma de anexo, o registro dos licitantes ou dos fornecedores que:</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2127" w:right="70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1">
      <w:pPr>
        <w:keepNext w:val="0"/>
        <w:keepLines w:val="0"/>
        <w:pageBreakBefore w:val="0"/>
        <w:widowControl w:val="1"/>
        <w:numPr>
          <w:ilvl w:val="3"/>
          <w:numId w:val="3"/>
        </w:numPr>
        <w:pBdr>
          <w:top w:space="0" w:sz="0" w:val="nil"/>
          <w:left w:space="0" w:sz="0" w:val="nil"/>
          <w:bottom w:space="0" w:sz="0" w:val="nil"/>
          <w:right w:space="0" w:sz="0" w:val="nil"/>
          <w:between w:space="0" w:sz="0" w:val="nil"/>
        </w:pBdr>
        <w:shd w:fill="auto" w:val="clear"/>
        <w:spacing w:after="120" w:before="120" w:line="276" w:lineRule="auto"/>
        <w:ind w:left="3567"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respeitada, nas contratações, a ordem de classificação dos licitantes ou dos fornecedores registrados na ata.</w:t>
      </w:r>
    </w:p>
    <w:p w:rsidR="00000000" w:rsidDel="00000000" w:rsidP="00000000" w:rsidRDefault="00000000" w:rsidRPr="00000000" w14:paraId="0000006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a que se refere o item 5.4.2</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6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licitante vencedor não assinar a ata de registro de preços, no prazo e nas condições estabelecidos no edital ou no aviso de contratação direta; e</w:t>
      </w:r>
    </w:p>
    <w:p w:rsidR="00000000" w:rsidDel="00000000" w:rsidP="00000000" w:rsidRDefault="00000000" w:rsidRPr="00000000" w14:paraId="0000006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houver o cancelamento do registro do licitante ou do registro de preços nas hipóteses previstas no item 9</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6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6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Administração</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6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6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6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do edital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poderá:</w:t>
      </w: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6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7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ALTERAÇÃO OU ATUALIZAÇÃO DOS PREÇOS REGISTRADOS</w:t>
      </w:r>
    </w:p>
    <w:p w:rsidR="00000000" w:rsidDel="00000000" w:rsidP="00000000" w:rsidRDefault="00000000" w:rsidRPr="00000000" w14:paraId="0000007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w:t>
      </w:r>
      <w:sdt>
        <w:sdtPr>
          <w:tag w:val="goog_rdk_1"/>
        </w:sdtPr>
        <w:sdtContent>
          <w:commentRangeStart w:id="1"/>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commentRangeEnd w:id="1"/>
      <w:r w:rsidDel="00000000" w:rsidR="00000000" w:rsidRPr="00000000">
        <w:commentReference w:id="1"/>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7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78">
      <w:pPr>
        <w:keepNext w:val="0"/>
        <w:keepLines w:val="0"/>
        <w:pageBreakBefore w:val="0"/>
        <w:widowControl w:val="1"/>
        <w:numPr>
          <w:ilvl w:val="3"/>
          <w:numId w:val="5"/>
        </w:numPr>
        <w:pBdr>
          <w:top w:space="0" w:sz="0" w:val="nil"/>
          <w:left w:space="0" w:sz="0" w:val="nil"/>
          <w:bottom w:space="0" w:sz="0" w:val="nil"/>
          <w:right w:space="0" w:sz="0" w:val="nil"/>
          <w:between w:space="0" w:sz="0" w:val="nil"/>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do reajustamento, deverá ser respeitada a contagem da anualidade e o índice previstos para a contratação;  </w:t>
      </w:r>
    </w:p>
    <w:p w:rsidR="00000000" w:rsidDel="00000000" w:rsidP="00000000" w:rsidRDefault="00000000" w:rsidRPr="00000000" w14:paraId="00000079">
      <w:pPr>
        <w:keepNext w:val="0"/>
        <w:keepLines w:val="0"/>
        <w:pageBreakBefore w:val="0"/>
        <w:widowControl w:val="1"/>
        <w:numPr>
          <w:ilvl w:val="3"/>
          <w:numId w:val="5"/>
        </w:numPr>
        <w:pBdr>
          <w:top w:space="0" w:sz="0" w:val="nil"/>
          <w:left w:space="0" w:sz="0" w:val="nil"/>
          <w:bottom w:space="0" w:sz="0" w:val="nil"/>
          <w:right w:space="0" w:sz="0" w:val="nil"/>
          <w:between w:space="0" w:sz="0" w:val="nil"/>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da repactuação, poderá ser a pedido do interessado, conforme critérios definidos para a contratação.</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NEGOCIAÇÃO DE PREÇOS REGISTRADOS</w:t>
      </w:r>
      <w:r w:rsidDel="00000000" w:rsidR="00000000" w:rsidRPr="00000000">
        <w:rPr>
          <w:rtl w:val="0"/>
        </w:rPr>
      </w:r>
    </w:p>
    <w:p w:rsidR="00000000" w:rsidDel="00000000" w:rsidP="00000000" w:rsidRDefault="00000000" w:rsidRPr="00000000" w14:paraId="0000007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7D">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7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prevista no item anterior, o gerenciador convocará os fornecedores do cadastro de reserva, na ordem de classificação, para verificar se aceitam reduzir seus preços aos valores de mercado e não convocará o</w:t>
      </w:r>
      <w:sdt>
        <w:sdtPr>
          <w:tag w:val="goog_rdk_2"/>
        </w:sdtPr>
        <w:sdtContent>
          <w:commentRangeStart w:id="2"/>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 licitantes ou fornecedores que tiveram seu registro cancelado.</w:t>
      </w:r>
      <w:commentRangeEnd w:id="2"/>
      <w:r w:rsidDel="00000000" w:rsidR="00000000" w:rsidRPr="00000000">
        <w:commentReference w:id="2"/>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8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8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8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8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8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remanejamento somente poderá ser feito:</w:t>
      </w: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participante; ou</w:t>
      </w:r>
    </w:p>
    <w:p w:rsidR="00000000" w:rsidDel="00000000" w:rsidP="00000000" w:rsidRDefault="00000000" w:rsidRPr="00000000" w14:paraId="0000008D">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não participante.</w:t>
      </w:r>
    </w:p>
    <w:p w:rsidR="00000000" w:rsidDel="00000000" w:rsidP="00000000" w:rsidRDefault="00000000" w:rsidRPr="00000000" w14:paraId="0000008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8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remanejamento de órgão ou entidade participante para órgão ou entidade não participante, serão observados os limites previstos no </w:t>
      </w:r>
      <w:sdt>
        <w:sdtPr>
          <w:tag w:val="goog_rdk_3"/>
        </w:sdtPr>
        <w:sdtContent>
          <w:commentRangeStart w:id="3"/>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 32 do Decreto nº 11.462, de 2023</w:t>
      </w:r>
      <w:commentRangeEnd w:id="3"/>
      <w:r w:rsidDel="00000000" w:rsidR="00000000" w:rsidRPr="00000000">
        <w:commentReference w:id="3"/>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9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9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Descumprir as condições da ata de registro de preços, sem motivo justificado;</w:t>
      </w:r>
    </w:p>
    <w:p w:rsidR="00000000" w:rsidDel="00000000" w:rsidP="00000000" w:rsidRDefault="00000000" w:rsidRPr="00000000" w14:paraId="0000009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retirar a nota de empenho, ou instrumento equivalente, no prazo estabelecido pela Administração sem justificativa razoável;</w:t>
      </w:r>
    </w:p>
    <w:p w:rsidR="00000000" w:rsidDel="00000000" w:rsidP="00000000" w:rsidRDefault="00000000" w:rsidRPr="00000000" w14:paraId="0000009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aceitar manter seu preço registrado, na hipótese prevista no artigo 27, § 2º, do Decreto nº 11.462, de 2023; ou</w:t>
      </w:r>
    </w:p>
    <w:p w:rsidR="00000000" w:rsidDel="00000000" w:rsidP="00000000" w:rsidRDefault="00000000" w:rsidRPr="00000000" w14:paraId="0000009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Sofrer sanção prevista nos incisos III ou IV do caput do art. 156 da Lei nº 14.133, de 2021.</w:t>
      </w:r>
    </w:p>
    <w:p w:rsidR="00000000" w:rsidDel="00000000" w:rsidP="00000000" w:rsidRDefault="00000000" w:rsidRPr="00000000" w14:paraId="0000009A">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120" w:before="120" w:line="240" w:lineRule="auto"/>
        <w:ind w:left="288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9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9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9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razão de interesse público;</w:t>
      </w:r>
    </w:p>
    <w:p w:rsidR="00000000" w:rsidDel="00000000" w:rsidP="00000000" w:rsidRDefault="00000000" w:rsidRPr="00000000" w14:paraId="0000009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pedido do fornecedor, decorrente de caso fortuito ou força maior; ou</w:t>
      </w:r>
    </w:p>
    <w:p w:rsidR="00000000" w:rsidDel="00000000" w:rsidP="00000000" w:rsidRDefault="00000000" w:rsidRPr="00000000" w14:paraId="000000A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DAS PENALIDADES</w:t>
      </w:r>
      <w:r w:rsidDel="00000000" w:rsidR="00000000" w:rsidRPr="00000000">
        <w:rPr>
          <w:rtl w:val="0"/>
        </w:rPr>
      </w:r>
    </w:p>
    <w:p w:rsidR="00000000" w:rsidDel="00000000" w:rsidP="00000000" w:rsidRDefault="00000000" w:rsidRPr="00000000" w14:paraId="000000A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descumprimento da Ata de Registro de Preços ensejará aplicação das penalidades estabelecidas</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 no edital</w:t>
      </w:r>
      <w:r w:rsidDel="00000000" w:rsidR="00000000" w:rsidRPr="00000000">
        <w:rPr>
          <w:rtl w:val="0"/>
        </w:rPr>
        <w:t xml:space="preserve">.</w:t>
      </w:r>
    </w:p>
    <w:p w:rsidR="00000000" w:rsidDel="00000000" w:rsidP="00000000" w:rsidRDefault="00000000" w:rsidRPr="00000000" w14:paraId="000000A4">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sanções também se aplicam aos integrantes do cadastro de reserva no registro de preços que, convocados, não honrarem o compromisso assumido </w:t>
      </w:r>
      <w:sdt>
        <w:sdtPr>
          <w:tag w:val="goog_rdk_4"/>
        </w:sdtPr>
        <w:sdtContent>
          <w:commentRangeStart w:id="4"/>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injustificadamente</w:t>
      </w:r>
      <w:commentRangeEnd w:id="4"/>
      <w:r w:rsidDel="00000000" w:rsidR="00000000" w:rsidRPr="00000000">
        <w:commentReference w:id="4"/>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após terem assinado a ata. </w:t>
      </w:r>
    </w:p>
    <w:p w:rsidR="00000000" w:rsidDel="00000000" w:rsidP="00000000" w:rsidRDefault="00000000" w:rsidRPr="00000000" w14:paraId="000000A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A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CONDIÇÕES GERAIS</w:t>
      </w:r>
      <w:r w:rsidDel="00000000" w:rsidR="00000000" w:rsidRPr="00000000">
        <w:rPr>
          <w:rtl w:val="0"/>
        </w:rPr>
      </w:r>
    </w:p>
    <w:p w:rsidR="00000000" w:rsidDel="00000000" w:rsidP="00000000" w:rsidRDefault="00000000" w:rsidRPr="00000000" w14:paraId="000000A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AO EDITAL.</w:t>
      </w:r>
      <w:r w:rsidDel="00000000" w:rsidR="00000000" w:rsidRPr="00000000">
        <w:rPr>
          <w:rtl w:val="0"/>
        </w:rPr>
      </w:r>
    </w:p>
    <w:p w:rsidR="00000000" w:rsidDel="00000000" w:rsidP="00000000" w:rsidRDefault="00000000" w:rsidRPr="00000000" w14:paraId="000000A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highlight w:val="white"/>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No caso de adjudicação por preço global de grupo de itens, só será admitida a contratação de parte de itens do grupo se houver prévia pesquisa de mercado e demonstração de sua vantagem para o órgão ou a entidade.</w:t>
      </w:r>
      <w:r w:rsidDel="00000000" w:rsidR="00000000" w:rsidRPr="00000000">
        <w:rPr>
          <w:rtl w:val="0"/>
        </w:rPr>
      </w:r>
    </w:p>
    <w:p w:rsidR="00000000" w:rsidDel="00000000" w:rsidP="00000000" w:rsidRDefault="00000000" w:rsidRPr="00000000" w14:paraId="000000AB">
      <w:pPr>
        <w:numPr>
          <w:ilvl w:val="1"/>
          <w:numId w:val="1"/>
        </w:numPr>
        <w:tabs>
          <w:tab w:val="left" w:leader="none" w:pos="1462"/>
        </w:tabs>
        <w:spacing w:before="69" w:lineRule="auto"/>
        <w:ind w:left="1461" w:right="700" w:hanging="709"/>
        <w:jc w:val="both"/>
        <w:rPr>
          <w:highlight w:val="yellow"/>
        </w:rPr>
      </w:pPr>
      <w:r w:rsidDel="00000000" w:rsidR="00000000" w:rsidRPr="00000000">
        <w:rPr>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both"/>
        <w:rPr>
          <w:rFonts w:ascii="Calibri" w:cs="Calibri" w:eastAsia="Calibri" w:hAnsi="Calibri"/>
          <w:b w:val="0"/>
          <w:i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76"/>
          <w:tab w:val="left" w:leader="none" w:pos="4504"/>
        </w:tabs>
        <w:spacing w:after="0" w:before="0" w:line="240" w:lineRule="auto"/>
        <w:ind w:left="1473"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Niterói, RJ,</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w:t>
      </w:r>
      <w:r w:rsidDel="00000000" w:rsidR="00000000" w:rsidRPr="00000000">
        <w:rPr>
          <w:rtl w:val="0"/>
        </w:rPr>
        <w:t xml:space="preserve">2024</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bebebe"/>
          <w:sz w:val="22"/>
          <w:szCs w:val="22"/>
          <w:u w:val="none"/>
          <w:shd w:fill="auto" w:val="clear"/>
          <w:vertAlign w:val="baseline"/>
          <w:rtl w:val="0"/>
        </w:rPr>
        <w:t xml:space="preserve">DOCUMENTO ASSINADO ELETRONICAMENTE</w:t>
      </w:r>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564" w:right="3553"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VERA LÚCIA LAVRADO CUPELLO CAJAZEIRAS</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Pró-Reitora de Administração</w:t>
      </w:r>
    </w:p>
    <w:p w:rsidR="00000000" w:rsidDel="00000000" w:rsidP="00000000" w:rsidRDefault="00000000" w:rsidRPr="00000000" w14:paraId="000000B7">
      <w:pPr>
        <w:rPr/>
      </w:pPr>
      <w:r w:rsidDel="00000000" w:rsidR="00000000" w:rsidRPr="00000000">
        <w:br w:type="page"/>
      </w: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9">
      <w:pPr>
        <w:spacing w:line="360" w:lineRule="auto"/>
        <w:ind w:right="-30"/>
        <w:jc w:val="center"/>
        <w:rPr>
          <w:rFonts w:ascii="Arial" w:cs="Arial" w:eastAsia="Arial" w:hAnsi="Arial"/>
          <w:b w:val="1"/>
          <w:i w:val="1"/>
          <w:sz w:val="18"/>
          <w:szCs w:val="18"/>
          <w:u w:val="single"/>
        </w:rPr>
      </w:pPr>
      <w:r w:rsidDel="00000000" w:rsidR="00000000" w:rsidRPr="00000000">
        <w:rPr>
          <w:rFonts w:ascii="Arial" w:cs="Arial" w:eastAsia="Arial" w:hAnsi="Arial"/>
          <w:b w:val="1"/>
          <w:i w:val="1"/>
          <w:sz w:val="18"/>
          <w:szCs w:val="18"/>
          <w:u w:val="single"/>
          <w:rtl w:val="0"/>
        </w:rPr>
        <w:t xml:space="preserve">ANEX</w:t>
      </w:r>
      <w:sdt>
        <w:sdtPr>
          <w:tag w:val="goog_rdk_5"/>
        </w:sdtPr>
        <w:sdtContent>
          <w:commentRangeStart w:id="5"/>
        </w:sdtContent>
      </w:sdt>
      <w:r w:rsidDel="00000000" w:rsidR="00000000" w:rsidRPr="00000000">
        <w:rPr>
          <w:rFonts w:ascii="Arial" w:cs="Arial" w:eastAsia="Arial" w:hAnsi="Arial"/>
          <w:b w:val="1"/>
          <w:i w:val="1"/>
          <w:sz w:val="18"/>
          <w:szCs w:val="18"/>
          <w:u w:val="single"/>
          <w:rtl w:val="0"/>
        </w:rPr>
        <w:t xml:space="preserve">O</w:t>
      </w:r>
      <w:commentRangeEnd w:id="5"/>
      <w:r w:rsidDel="00000000" w:rsidR="00000000" w:rsidRPr="00000000">
        <w:commentReference w:id="5"/>
      </w:r>
      <w:r w:rsidDel="00000000" w:rsidR="00000000" w:rsidRPr="00000000">
        <w:rPr>
          <w:rtl w:val="0"/>
        </w:rPr>
      </w:r>
    </w:p>
    <w:p w:rsidR="00000000" w:rsidDel="00000000" w:rsidP="00000000" w:rsidRDefault="00000000" w:rsidRPr="00000000" w14:paraId="000000BA">
      <w:pPr>
        <w:spacing w:line="360" w:lineRule="auto"/>
        <w:ind w:right="-30"/>
        <w:jc w:val="center"/>
        <w:rPr>
          <w:rFonts w:ascii="Arial" w:cs="Arial" w:eastAsia="Arial" w:hAnsi="Arial"/>
          <w:b w:val="1"/>
          <w:i w:val="1"/>
          <w:sz w:val="18"/>
          <w:szCs w:val="18"/>
          <w:u w:val="single"/>
        </w:rPr>
      </w:pPr>
      <w:r w:rsidDel="00000000" w:rsidR="00000000" w:rsidRPr="00000000">
        <w:rPr>
          <w:rFonts w:ascii="Arial" w:cs="Arial" w:eastAsia="Arial" w:hAnsi="Arial"/>
          <w:b w:val="1"/>
          <w:i w:val="1"/>
          <w:sz w:val="18"/>
          <w:szCs w:val="18"/>
          <w:u w:val="single"/>
          <w:rtl w:val="0"/>
        </w:rPr>
        <w:t xml:space="preserve">CADASTRO RESERVA</w:t>
      </w:r>
    </w:p>
    <w:p w:rsidR="00000000" w:rsidDel="00000000" w:rsidP="00000000" w:rsidRDefault="00000000" w:rsidRPr="00000000" w14:paraId="000000BB">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BC">
      <w:pPr>
        <w:spacing w:line="360" w:lineRule="auto"/>
        <w:ind w:right="-30"/>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Seguindo a ordem de classificação, segue relação de fornecedores que aceitaram cotar os itens com preços iguais ao adjudicatário:</w:t>
      </w:r>
    </w:p>
    <w:p w:rsidR="00000000" w:rsidDel="00000000" w:rsidP="00000000" w:rsidRDefault="00000000" w:rsidRPr="00000000" w14:paraId="000000BD">
      <w:pPr>
        <w:spacing w:line="360" w:lineRule="auto"/>
        <w:ind w:right="-30"/>
        <w:jc w:val="center"/>
        <w:rPr>
          <w:rFonts w:ascii="Arial" w:cs="Arial" w:eastAsia="Arial" w:hAnsi="Arial"/>
          <w:color w:val="000000"/>
          <w:sz w:val="20"/>
          <w:szCs w:val="20"/>
        </w:rPr>
      </w:pPr>
      <w:r w:rsidDel="00000000" w:rsidR="00000000" w:rsidRPr="00000000">
        <w:rPr>
          <w:rtl w:val="0"/>
        </w:rPr>
      </w:r>
    </w:p>
    <w:tbl>
      <w:tblPr>
        <w:tblStyle w:val="Table2"/>
        <w:tblW w:w="9392.0" w:type="dxa"/>
        <w:jc w:val="left"/>
        <w:tblInd w:w="877.0" w:type="dxa"/>
        <w:tblLayout w:type="fixed"/>
        <w:tblLook w:val="0000"/>
      </w:tblPr>
      <w:tblGrid>
        <w:gridCol w:w="497"/>
        <w:gridCol w:w="1333"/>
        <w:gridCol w:w="1253"/>
        <w:gridCol w:w="1541"/>
        <w:gridCol w:w="1121"/>
        <w:gridCol w:w="1121"/>
        <w:gridCol w:w="841"/>
        <w:gridCol w:w="841"/>
        <w:gridCol w:w="844"/>
        <w:tblGridChange w:id="0">
          <w:tblGrid>
            <w:gridCol w:w="497"/>
            <w:gridCol w:w="1333"/>
            <w:gridCol w:w="1253"/>
            <w:gridCol w:w="1541"/>
            <w:gridCol w:w="1121"/>
            <w:gridCol w:w="1121"/>
            <w:gridCol w:w="841"/>
            <w:gridCol w:w="841"/>
            <w:gridCol w:w="844"/>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E">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Item</w:t>
            </w:r>
          </w:p>
          <w:p w:rsidR="00000000" w:rsidDel="00000000" w:rsidP="00000000" w:rsidRDefault="00000000" w:rsidRPr="00000000" w14:paraId="000000BF">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do</w:t>
            </w:r>
          </w:p>
          <w:p w:rsidR="00000000" w:rsidDel="00000000" w:rsidP="00000000" w:rsidRDefault="00000000" w:rsidRPr="00000000" w14:paraId="000000C0">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TR</w:t>
            </w:r>
          </w:p>
        </w:tc>
        <w:tc>
          <w:tcPr>
            <w:gridSpan w:val="8"/>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1">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sz w:val="20"/>
                <w:szCs w:val="20"/>
                <w:rtl w:val="0"/>
              </w:rPr>
              <w:t xml:space="preserve">Fornecedor </w:t>
            </w:r>
            <w:r w:rsidDel="00000000" w:rsidR="00000000" w:rsidRPr="00000000">
              <w:rPr>
                <w:rFonts w:ascii="Arial" w:cs="Arial" w:eastAsia="Arial" w:hAnsi="Arial"/>
                <w:i w:val="1"/>
                <w:color w:val="ff0000"/>
                <w:sz w:val="20"/>
                <w:szCs w:val="20"/>
                <w:rtl w:val="0"/>
              </w:rPr>
              <w:t xml:space="preserve">(razão social, CNPJ/MF, endereço, contatos, representante)</w:t>
            </w:r>
          </w:p>
          <w:p w:rsidR="00000000" w:rsidDel="00000000" w:rsidP="00000000" w:rsidRDefault="00000000" w:rsidRPr="00000000" w14:paraId="000000C2">
            <w:pPr>
              <w:spacing w:line="360" w:lineRule="auto"/>
              <w:ind w:right="-30"/>
              <w:jc w:val="center"/>
              <w:rPr>
                <w:rFonts w:ascii="Arial" w:cs="Arial" w:eastAsia="Arial" w:hAnsi="Arial"/>
                <w:sz w:val="20"/>
                <w:szCs w:val="20"/>
              </w:rPr>
            </w:pPr>
            <w:r w:rsidDel="00000000" w:rsidR="00000000" w:rsidRPr="00000000">
              <w:rPr>
                <w:rtl w:val="0"/>
              </w:rPr>
            </w:r>
          </w:p>
        </w:tc>
      </w:tr>
      <w:tr>
        <w:trPr>
          <w:cantSplit w:val="0"/>
          <w:trHeight w:val="674" w:hRule="atLeast"/>
          <w:tblHeader w:val="0"/>
        </w:trPr>
        <w:tc>
          <w:tcPr>
            <w:tcBorders>
              <w:top w:color="000000" w:space="0" w:sz="0" w:val="nil"/>
              <w:left w:color="000000" w:space="0" w:sz="4" w:val="single"/>
              <w:bottom w:color="000000" w:space="0" w:sz="4" w:val="single"/>
              <w:right w:color="000000" w:space="0" w:sz="0" w:val="nil"/>
            </w:tcBorders>
            <w:vAlign w:val="center"/>
          </w:tcPr>
          <w:p w:rsidR="00000000" w:rsidDel="00000000" w:rsidP="00000000" w:rsidRDefault="00000000" w:rsidRPr="00000000" w14:paraId="000000CA">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CB">
            <w:pPr>
              <w:spacing w:line="360" w:lineRule="auto"/>
              <w:ind w:right="-3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Especificação</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CC">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Marca </w:t>
            </w:r>
          </w:p>
          <w:p w:rsidR="00000000" w:rsidDel="00000000" w:rsidP="00000000" w:rsidRDefault="00000000" w:rsidRPr="00000000" w14:paraId="000000CD">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exigida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CE">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Modelo</w:t>
            </w:r>
          </w:p>
          <w:p w:rsidR="00000000" w:rsidDel="00000000" w:rsidP="00000000" w:rsidRDefault="00000000" w:rsidRPr="00000000" w14:paraId="000000CF">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exigido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0">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Unidade</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1">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QuantidadeMáxima</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D2">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 Mínima</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3">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Valor Un</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D4">
            <w:pPr>
              <w:spacing w:line="360" w:lineRule="auto"/>
              <w:ind w:right="-30"/>
              <w:jc w:val="center"/>
              <w:rPr>
                <w:rFonts w:ascii="Arial" w:cs="Arial" w:eastAsia="Arial" w:hAnsi="Arial"/>
                <w:sz w:val="20"/>
                <w:szCs w:val="20"/>
              </w:rPr>
            </w:pPr>
            <w:r w:rsidDel="00000000" w:rsidR="00000000" w:rsidRPr="00000000">
              <w:rPr>
                <w:rFonts w:ascii="Arial" w:cs="Arial" w:eastAsia="Arial" w:hAnsi="Arial"/>
                <w:i w:val="1"/>
                <w:sz w:val="20"/>
                <w:szCs w:val="20"/>
                <w:rtl w:val="0"/>
              </w:rPr>
              <w:t xml:space="preserve">Prazo garantia ou validade</w:t>
            </w:r>
            <w:r w:rsidDel="00000000" w:rsidR="00000000" w:rsidRPr="00000000">
              <w:rPr>
                <w:rtl w:val="0"/>
              </w:rPr>
            </w:r>
          </w:p>
        </w:tc>
      </w:tr>
      <w:tr>
        <w:trPr>
          <w:cantSplit w:val="0"/>
          <w:trHeight w:val="174"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5">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6">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7">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8">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9">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A">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DB">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C">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DD">
            <w:pPr>
              <w:spacing w:line="360" w:lineRule="auto"/>
              <w:ind w:right="-30"/>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DE">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DF">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E0">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E1">
      <w:pPr>
        <w:spacing w:line="360" w:lineRule="auto"/>
        <w:ind w:right="-30"/>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Seguindo a ordem de classificação, segue relação de fornecedores que mantiveram sua proposta original:</w:t>
      </w:r>
    </w:p>
    <w:p w:rsidR="00000000" w:rsidDel="00000000" w:rsidP="00000000" w:rsidRDefault="00000000" w:rsidRPr="00000000" w14:paraId="000000E2">
      <w:pPr>
        <w:spacing w:line="360" w:lineRule="auto"/>
        <w:ind w:right="-30"/>
        <w:jc w:val="center"/>
        <w:rPr>
          <w:rFonts w:ascii="Arial" w:cs="Arial" w:eastAsia="Arial" w:hAnsi="Arial"/>
          <w:color w:val="000000"/>
          <w:sz w:val="20"/>
          <w:szCs w:val="20"/>
        </w:rPr>
      </w:pPr>
      <w:r w:rsidDel="00000000" w:rsidR="00000000" w:rsidRPr="00000000">
        <w:rPr>
          <w:rtl w:val="0"/>
        </w:rPr>
      </w:r>
    </w:p>
    <w:tbl>
      <w:tblPr>
        <w:tblStyle w:val="Table3"/>
        <w:tblW w:w="9392.0" w:type="dxa"/>
        <w:jc w:val="left"/>
        <w:tblInd w:w="877.0" w:type="dxa"/>
        <w:tblLayout w:type="fixed"/>
        <w:tblLook w:val="0000"/>
      </w:tblPr>
      <w:tblGrid>
        <w:gridCol w:w="696"/>
        <w:gridCol w:w="1134"/>
        <w:gridCol w:w="1253"/>
        <w:gridCol w:w="1541"/>
        <w:gridCol w:w="1121"/>
        <w:gridCol w:w="1121"/>
        <w:gridCol w:w="841"/>
        <w:gridCol w:w="841"/>
        <w:gridCol w:w="844"/>
        <w:tblGridChange w:id="0">
          <w:tblGrid>
            <w:gridCol w:w="696"/>
            <w:gridCol w:w="1134"/>
            <w:gridCol w:w="1253"/>
            <w:gridCol w:w="1541"/>
            <w:gridCol w:w="1121"/>
            <w:gridCol w:w="1121"/>
            <w:gridCol w:w="841"/>
            <w:gridCol w:w="841"/>
            <w:gridCol w:w="844"/>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3">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Item</w:t>
            </w:r>
          </w:p>
          <w:p w:rsidR="00000000" w:rsidDel="00000000" w:rsidP="00000000" w:rsidRDefault="00000000" w:rsidRPr="00000000" w14:paraId="000000E4">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do</w:t>
            </w:r>
          </w:p>
          <w:p w:rsidR="00000000" w:rsidDel="00000000" w:rsidP="00000000" w:rsidRDefault="00000000" w:rsidRPr="00000000" w14:paraId="000000E5">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TR</w:t>
            </w:r>
          </w:p>
        </w:tc>
        <w:tc>
          <w:tcPr>
            <w:gridSpan w:val="8"/>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sz w:val="20"/>
                <w:szCs w:val="20"/>
                <w:rtl w:val="0"/>
              </w:rPr>
              <w:t xml:space="preserve">Fornecedor </w:t>
            </w:r>
            <w:r w:rsidDel="00000000" w:rsidR="00000000" w:rsidRPr="00000000">
              <w:rPr>
                <w:rFonts w:ascii="Arial" w:cs="Arial" w:eastAsia="Arial" w:hAnsi="Arial"/>
                <w:i w:val="1"/>
                <w:color w:val="ff0000"/>
                <w:sz w:val="20"/>
                <w:szCs w:val="20"/>
                <w:rtl w:val="0"/>
              </w:rPr>
              <w:t xml:space="preserve">(razão social, CNPJ/MF, endereço, contatos, representante)</w:t>
            </w:r>
          </w:p>
          <w:p w:rsidR="00000000" w:rsidDel="00000000" w:rsidP="00000000" w:rsidRDefault="00000000" w:rsidRPr="00000000" w14:paraId="000000E7">
            <w:pPr>
              <w:spacing w:line="360" w:lineRule="auto"/>
              <w:ind w:right="-30"/>
              <w:jc w:val="center"/>
              <w:rPr>
                <w:rFonts w:ascii="Arial" w:cs="Arial" w:eastAsia="Arial" w:hAnsi="Arial"/>
                <w:sz w:val="20"/>
                <w:szCs w:val="20"/>
              </w:rPr>
            </w:pPr>
            <w:r w:rsidDel="00000000" w:rsidR="00000000" w:rsidRPr="00000000">
              <w:rPr>
                <w:rtl w:val="0"/>
              </w:rPr>
            </w:r>
          </w:p>
        </w:tc>
      </w:tr>
      <w:tr>
        <w:trPr>
          <w:cantSplit w:val="0"/>
          <w:trHeight w:val="674" w:hRule="atLeast"/>
          <w:tblHeader w:val="0"/>
        </w:trPr>
        <w:tc>
          <w:tcPr>
            <w:tcBorders>
              <w:top w:color="000000" w:space="0" w:sz="0" w:val="nil"/>
              <w:left w:color="000000" w:space="0" w:sz="4" w:val="single"/>
              <w:bottom w:color="000000" w:space="0" w:sz="4" w:val="single"/>
              <w:right w:color="000000" w:space="0" w:sz="0" w:val="nil"/>
            </w:tcBorders>
            <w:vAlign w:val="center"/>
          </w:tcPr>
          <w:p w:rsidR="00000000" w:rsidDel="00000000" w:rsidP="00000000" w:rsidRDefault="00000000" w:rsidRPr="00000000" w14:paraId="000000EF">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0">
            <w:pPr>
              <w:spacing w:line="360" w:lineRule="auto"/>
              <w:ind w:right="-3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Especificação</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1">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Marca </w:t>
            </w:r>
          </w:p>
          <w:p w:rsidR="00000000" w:rsidDel="00000000" w:rsidP="00000000" w:rsidRDefault="00000000" w:rsidRPr="00000000" w14:paraId="000000F2">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exigida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3">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Modelo</w:t>
            </w:r>
          </w:p>
          <w:p w:rsidR="00000000" w:rsidDel="00000000" w:rsidP="00000000" w:rsidRDefault="00000000" w:rsidRPr="00000000" w14:paraId="000000F4">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exigido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5">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Unidade</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6">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QuantidadeMáxima</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F7">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 Mínima</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8">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Valor Un</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F9">
            <w:pPr>
              <w:spacing w:line="360" w:lineRule="auto"/>
              <w:ind w:right="-30"/>
              <w:jc w:val="center"/>
              <w:rPr>
                <w:rFonts w:ascii="Arial" w:cs="Arial" w:eastAsia="Arial" w:hAnsi="Arial"/>
                <w:sz w:val="20"/>
                <w:szCs w:val="20"/>
              </w:rPr>
            </w:pPr>
            <w:r w:rsidDel="00000000" w:rsidR="00000000" w:rsidRPr="00000000">
              <w:rPr>
                <w:rFonts w:ascii="Arial" w:cs="Arial" w:eastAsia="Arial" w:hAnsi="Arial"/>
                <w:i w:val="1"/>
                <w:sz w:val="20"/>
                <w:szCs w:val="20"/>
                <w:rtl w:val="0"/>
              </w:rPr>
              <w:t xml:space="preserve">Prazo garantia ou validade</w:t>
            </w:r>
            <w:r w:rsidDel="00000000" w:rsidR="00000000" w:rsidRPr="00000000">
              <w:rPr>
                <w:rtl w:val="0"/>
              </w:rPr>
            </w:r>
          </w:p>
        </w:tc>
      </w:tr>
      <w:tr>
        <w:trPr>
          <w:cantSplit w:val="0"/>
          <w:trHeight w:val="174"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A">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B">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C">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D">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E">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F">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00">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1">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02">
            <w:pPr>
              <w:spacing w:line="360" w:lineRule="auto"/>
              <w:ind w:right="-30"/>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103">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pgSz w:h="16840" w:w="11910" w:orient="portrait"/>
      <w:pgMar w:bottom="280" w:top="460" w:left="380" w:right="3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Autor" w:id="1" w:date="2023-07-10T18:44:43Z">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Restringindo-se o reequilíbrio a alguns itens fornecidos em circunstâncias específicas, a ata poderá prever preços distintos na forma do artigo 82, III, da Lei nº 14.133, de 2021.</w:t>
      </w:r>
    </w:p>
  </w:comment>
  <w:comment w:author="Autor" w:id="2" w:date="2023-07-10T18:44:43Z">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O §3º do art. 28 do Decreto nº 11.462/2023, prevê: "§ 3º  Na hipótese de cancelamento do registro do fornecedor, o órgão ou a entidade gerenciadora poderá convocar os licitantes que compõem o cadastro de reserva, observada a ordem de classificação."</w:t>
      </w:r>
    </w:p>
  </w:comment>
  <w:comment w:author="Autor" w:id="5" w:date="2023-07-10T18:44:43Z">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Caso haja previsão de preços diferentes conforme artigo 82, III, da Lei nº 14.133, de 2021, e artigo 15, III, da Lei nº 11.462, de 2023, deverá ser incluída tabela com os fornecedores e seus respectivos preços.</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Nesta hipóteses, é provável que outras disposições deste modelo e dos demais modelos (edital, TR e contratos) também sofram alterações, cabendo ao órgão fazer as adequações devidas.</w:t>
      </w:r>
    </w:p>
  </w:comment>
  <w:comment w:author="Autor" w:id="0" w:date="2023-07-10T18:44:43Z">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O artigo 84 da Lei 14.133 fixa o prazo de 1 (um) ano para a ata de registro de preços, admitindo a prorrogação por igual período.</w:t>
      </w:r>
    </w:p>
  </w:comment>
  <w:comment w:author="Autor" w:id="4" w:date="2023-07-10T18:44:43Z">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A sanção só cabe se o remanescente já assinou a ata e depois não atende convocação para firmar contrato ou instrumento equivalente: "Art. 45.  Após a homologação, o licitante vencedor será convocado para assinar o termo de contrato ou a ata de registro de preços, ou aceitar ou retirar o instrumento equivalente, no prazo estabelecido no edital de licitação, sob pena de decair o direito à contratação, sem prejuízo das sanções previstas na Lei nº 14.133, de 2021, e em outras legislações aplicáveis. [...] § 4º A recusa injustificada do adjudicatário em assinar o contrato ou a ata de registro de preço, ou em aceitar ou retirar o instrumento equivalente no prazo estabelecido pela Administração caracterizará o descumprimento total da obrigação assumida e o sujeitará às penalidades legalmente estabelecidas e à imediata perda da garantia de proposta em favor do órgão ou entidade promotora da licitação.</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5º A regra do § 4º não se aplicará aos licitantes remanescentes convocados na forma do inciso I do § 3º."</w:t>
      </w:r>
    </w:p>
  </w:comment>
  <w:comment w:author="Autor" w:id="3" w:date="2023-07-10T18:44:43Z">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Art. 32.  Serão observadas as seguintes regras de controle para a adesão à ata de registro de preços de que trata o art. 31:</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 as aquisições ou as contratações adicionais não poderão exceder, por órgão ou entidade, a cinquenta por cento dos quantitativos dos itens do instrumento convocatório registrados na ata de registro de preços para o órgão ou a entidade gerenciadora e para os órgãos ou as entidades participantes; e</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II - o quantitativo decorrente das adesões não poderá exceder, na totalidade, ao dobro do quantitativo de cada item registrado na ata de registro de preços para o órgão ou a entidade gerenciadora e os órgãos ou as entidades participantes, independentemente do número de órgãos ou entidades não participantes que aderirem à ata de registro de preços.</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105" w15:done="0"/>
  <w15:commentEx w15:paraId="00000106" w15:done="0"/>
  <w15:commentEx w15:paraId="00000108" w15:done="0"/>
  <w15:commentEx w15:paraId="00000109" w15:done="0"/>
  <w15:commentEx w15:paraId="0000010B" w15:done="0"/>
  <w15:commentEx w15:paraId="0000010E"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decimal"/>
      <w:lvlText w:val="%1."/>
      <w:lvlJc w:val="left"/>
      <w:pPr>
        <w:ind w:left="1461" w:hanging="709.0000000000001"/>
      </w:pPr>
      <w:rPr>
        <w:rFonts w:ascii="Calibri" w:cs="Calibri" w:eastAsia="Calibri" w:hAnsi="Calibri"/>
        <w:b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9999999999995"/>
      </w:pPr>
      <w:rPr/>
    </w:lvl>
    <w:lvl w:ilvl="4">
      <w:start w:val="0"/>
      <w:numFmt w:val="bullet"/>
      <w:lvlText w:val="•"/>
      <w:lvlJc w:val="left"/>
      <w:pPr>
        <w:ind w:left="4702" w:hanging="709.0000000000005"/>
      </w:pPr>
      <w:rPr/>
    </w:lvl>
    <w:lvl w:ilvl="5">
      <w:start w:val="0"/>
      <w:numFmt w:val="bullet"/>
      <w:lvlText w:val="•"/>
      <w:lvlJc w:val="left"/>
      <w:pPr>
        <w:ind w:left="5782" w:hanging="708.9999999999991"/>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2">
    <w:lvl w:ilvl="0">
      <w:start w:val="1"/>
      <w:numFmt w:val="decimal"/>
      <w:lvlText w:val="%1"/>
      <w:lvlJc w:val="left"/>
      <w:pPr>
        <w:ind w:left="1313" w:hanging="845.9999999999997"/>
      </w:pPr>
      <w:rPr/>
    </w:lvl>
    <w:lvl w:ilvl="1">
      <w:start w:val="1"/>
      <w:numFmt w:val="decimal"/>
      <w:lvlText w:val="%1.%2."/>
      <w:lvlJc w:val="left"/>
      <w:pPr>
        <w:ind w:left="1313" w:hanging="845.9999999999997"/>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9999999999995"/>
      </w:pPr>
      <w:rPr/>
    </w:lvl>
    <w:lvl w:ilvl="5">
      <w:start w:val="0"/>
      <w:numFmt w:val="bullet"/>
      <w:lvlText w:val="•"/>
      <w:lvlJc w:val="left"/>
      <w:pPr>
        <w:ind w:left="5611" w:hanging="846"/>
      </w:pPr>
      <w:rPr/>
    </w:lvl>
    <w:lvl w:ilvl="6">
      <w:start w:val="0"/>
      <w:numFmt w:val="bullet"/>
      <w:lvlText w:val="•"/>
      <w:lvlJc w:val="left"/>
      <w:pPr>
        <w:ind w:left="6648" w:hanging="846.0000000000018"/>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3">
    <w:lvl w:ilvl="0">
      <w:start w:val="5"/>
      <w:numFmt w:val="decimal"/>
      <w:lvlText w:val="%1"/>
      <w:lvlJc w:val="left"/>
      <w:pPr>
        <w:ind w:left="612" w:hanging="612"/>
      </w:pPr>
      <w:rPr/>
    </w:lvl>
    <w:lvl w:ilvl="1">
      <w:start w:val="4"/>
      <w:numFmt w:val="decimal"/>
      <w:lvlText w:val="%1.%2"/>
      <w:lvlJc w:val="left"/>
      <w:pPr>
        <w:ind w:left="1561" w:hanging="612.0000000000002"/>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4">
    <w:lvl w:ilvl="0">
      <w:start w:val="9"/>
      <w:numFmt w:val="decimal"/>
      <w:lvlText w:val="%1"/>
      <w:lvlJc w:val="left"/>
      <w:pPr>
        <w:ind w:left="612" w:hanging="612"/>
      </w:pPr>
      <w:rPr/>
    </w:lvl>
    <w:lvl w:ilvl="1">
      <w:start w:val="1"/>
      <w:numFmt w:val="decimal"/>
      <w:lvlText w:val="%1.%2"/>
      <w:lvlJc w:val="left"/>
      <w:pPr>
        <w:ind w:left="1332" w:hanging="612.0000000000002"/>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abstractNum w:abstractNumId="5">
    <w:lvl w:ilvl="0">
      <w:start w:val="6"/>
      <w:numFmt w:val="decimal"/>
      <w:lvlText w:val="%1"/>
      <w:lvlJc w:val="left"/>
      <w:pPr>
        <w:ind w:left="612" w:hanging="612"/>
      </w:pPr>
      <w:rPr/>
    </w:lvl>
    <w:lvl w:ilvl="1">
      <w:start w:val="1"/>
      <w:numFmt w:val="decimal"/>
      <w:lvlText w:val="%1.%2"/>
      <w:lvlJc w:val="left"/>
      <w:pPr>
        <w:ind w:left="1542" w:hanging="612.0000000000002"/>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rFonts w:ascii="Calibri" w:cs="Calibri" w:eastAsia="Calibri" w:hAnsi="Calibri"/>
      <w:lang w:val="pt-PT"/>
    </w:rPr>
  </w:style>
  <w:style w:type="paragraph" w:styleId="Ttulo1">
    <w:name w:val="heading 1"/>
    <w:basedOn w:val="Normal"/>
    <w:uiPriority w:val="9"/>
    <w:qFormat w:val="1"/>
    <w:pPr>
      <w:ind w:left="1461" w:hanging="710"/>
      <w:outlineLvl w:val="0"/>
    </w:pPr>
    <w:rPr>
      <w:b w:val="1"/>
      <w:bCs w:val="1"/>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detexto">
    <w:name w:val="Body Text"/>
    <w:basedOn w:val="Normal"/>
    <w:uiPriority w:val="1"/>
    <w:qFormat w:val="1"/>
    <w:pPr>
      <w:ind w:left="752"/>
      <w:jc w:val="both"/>
    </w:pPr>
  </w:style>
  <w:style w:type="paragraph" w:styleId="PargrafodaLista">
    <w:name w:val="List Paragraph"/>
    <w:basedOn w:val="Normal"/>
    <w:uiPriority w:val="1"/>
    <w:qFormat w:val="1"/>
    <w:pPr>
      <w:spacing w:before="70"/>
      <w:ind w:left="752"/>
      <w:jc w:val="both"/>
    </w:pPr>
  </w:style>
  <w:style w:type="paragraph" w:styleId="TableParagraph" w:customStyle="1">
    <w:name w:val="Table Paragraph"/>
    <w:basedOn w:val="Normal"/>
    <w:uiPriority w:val="1"/>
    <w:qFormat w:val="1"/>
  </w:style>
  <w:style w:type="paragraph" w:styleId="Nivel01" w:customStyle="1">
    <w:name w:val="Nivel 01"/>
    <w:basedOn w:val="Ttulo1"/>
    <w:next w:val="Normal"/>
    <w:link w:val="Nivel01Char"/>
    <w:qFormat w:val="1"/>
    <w:rsid w:val="00D967C5"/>
    <w:pPr>
      <w:keepNext w:val="1"/>
      <w:keepLines w:val="1"/>
      <w:widowControl w:val="1"/>
      <w:numPr>
        <w:numId w:val="3"/>
      </w:numPr>
      <w:tabs>
        <w:tab w:val="left" w:pos="567"/>
      </w:tabs>
      <w:autoSpaceDE w:val="1"/>
      <w:autoSpaceDN w:val="1"/>
      <w:spacing w:after="120" w:before="120" w:line="276" w:lineRule="auto"/>
      <w:ind w:left="0" w:firstLine="0"/>
      <w:jc w:val="both"/>
    </w:pPr>
    <w:rPr>
      <w:rFonts w:ascii="Arial" w:cs="Arial" w:hAnsi="Arial" w:eastAsiaTheme="majorEastAsia"/>
      <w:sz w:val="20"/>
      <w:szCs w:val="20"/>
      <w:lang w:val="pt-BR"/>
    </w:rPr>
  </w:style>
  <w:style w:type="character" w:styleId="Refdecomentrio">
    <w:name w:val="annotation reference"/>
    <w:basedOn w:val="Fontepargpadro"/>
    <w:semiHidden w:val="1"/>
    <w:unhideWhenUsed w:val="1"/>
    <w:rsid w:val="00D967C5"/>
    <w:rPr>
      <w:sz w:val="16"/>
      <w:szCs w:val="16"/>
    </w:rPr>
  </w:style>
  <w:style w:type="paragraph" w:styleId="Textodecomentrio">
    <w:name w:val="annotation text"/>
    <w:basedOn w:val="Normal"/>
    <w:link w:val="TextodecomentrioChar"/>
    <w:unhideWhenUsed w:val="1"/>
    <w:rsid w:val="00D967C5"/>
    <w:pPr>
      <w:widowControl w:val="1"/>
      <w:autoSpaceDE w:val="1"/>
      <w:autoSpaceDN w:val="1"/>
    </w:pPr>
    <w:rPr>
      <w:rFonts w:ascii="Ecofont_Spranq_eco_Sans" w:cs="Tahoma" w:eastAsia="Times New Roman" w:hAnsi="Ecofont_Spranq_eco_Sans"/>
      <w:sz w:val="20"/>
      <w:szCs w:val="20"/>
      <w:lang w:eastAsia="pt-BR" w:val="pt-BR"/>
    </w:rPr>
  </w:style>
  <w:style w:type="character" w:styleId="TextodecomentrioChar" w:customStyle="1">
    <w:name w:val="Texto de comentário Char"/>
    <w:basedOn w:val="Fontepargpadro"/>
    <w:link w:val="Textodecomentrio"/>
    <w:rsid w:val="00D967C5"/>
    <w:rPr>
      <w:rFonts w:ascii="Ecofont_Spranq_eco_Sans" w:cs="Tahoma" w:eastAsia="Times New Roman" w:hAnsi="Ecofont_Spranq_eco_Sans"/>
      <w:sz w:val="20"/>
      <w:szCs w:val="20"/>
      <w:lang w:eastAsia="pt-BR" w:val="pt-BR"/>
    </w:rPr>
  </w:style>
  <w:style w:type="paragraph" w:styleId="Nivel2" w:customStyle="1">
    <w:name w:val="Nivel 2"/>
    <w:basedOn w:val="Normal"/>
    <w:link w:val="Nivel2Char"/>
    <w:qFormat w:val="1"/>
    <w:rsid w:val="00D967C5"/>
    <w:pPr>
      <w:widowControl w:val="1"/>
      <w:numPr>
        <w:ilvl w:val="1"/>
        <w:numId w:val="3"/>
      </w:numPr>
      <w:adjustRightInd w:val="0"/>
      <w:spacing w:after="120" w:before="120" w:line="276" w:lineRule="auto"/>
      <w:ind w:left="0" w:firstLine="0"/>
      <w:jc w:val="both"/>
    </w:pPr>
    <w:rPr>
      <w:rFonts w:ascii="Arial" w:cs="Arial" w:eastAsia="Times New Roman" w:hAnsi="Arial"/>
      <w:sz w:val="20"/>
      <w:szCs w:val="20"/>
      <w:lang w:eastAsia="pt-BR" w:val="pt-BR"/>
    </w:rPr>
  </w:style>
  <w:style w:type="paragraph" w:styleId="Nvel2-Red" w:customStyle="1">
    <w:name w:val="Nível 2 -Red"/>
    <w:basedOn w:val="Nivel2"/>
    <w:link w:val="Nvel2-RedChar"/>
    <w:qFormat w:val="1"/>
    <w:rsid w:val="00D967C5"/>
    <w:rPr>
      <w:i w:val="1"/>
      <w:iCs w:val="1"/>
      <w:color w:val="ff0000"/>
    </w:rPr>
  </w:style>
  <w:style w:type="character" w:styleId="Nvel2-RedChar" w:customStyle="1">
    <w:name w:val="Nível 2 -Red Char"/>
    <w:basedOn w:val="Fontepargpadro"/>
    <w:link w:val="Nvel2-Red"/>
    <w:rsid w:val="00D967C5"/>
    <w:rPr>
      <w:rFonts w:ascii="Arial" w:cs="Arial" w:eastAsia="Times New Roman" w:hAnsi="Arial"/>
      <w:i w:val="1"/>
      <w:iCs w:val="1"/>
      <w:color w:val="ff0000"/>
      <w:sz w:val="20"/>
      <w:szCs w:val="20"/>
      <w:lang w:eastAsia="pt-BR" w:val="pt-BR"/>
    </w:rPr>
  </w:style>
  <w:style w:type="paragraph" w:styleId="Nvel3-R" w:customStyle="1">
    <w:name w:val="Nível 3-R"/>
    <w:basedOn w:val="Normal"/>
    <w:link w:val="Nvel3-RChar"/>
    <w:qFormat w:val="1"/>
    <w:rsid w:val="00D967C5"/>
    <w:pPr>
      <w:widowControl w:val="1"/>
      <w:numPr>
        <w:ilvl w:val="2"/>
        <w:numId w:val="3"/>
      </w:numPr>
      <w:autoSpaceDE w:val="1"/>
      <w:autoSpaceDN w:val="1"/>
      <w:spacing w:after="120" w:before="120" w:line="276" w:lineRule="auto"/>
      <w:jc w:val="both"/>
    </w:pPr>
    <w:rPr>
      <w:rFonts w:ascii="Arial" w:cs="Arial" w:hAnsi="Arial" w:eastAsiaTheme="minorEastAsia"/>
      <w:i w:val="1"/>
      <w:iCs w:val="1"/>
      <w:color w:val="ff0000"/>
      <w:sz w:val="20"/>
      <w:szCs w:val="20"/>
      <w:lang w:eastAsia="pt-BR" w:val="pt-BR"/>
    </w:rPr>
  </w:style>
  <w:style w:type="paragraph" w:styleId="Nvel4" w:customStyle="1">
    <w:name w:val="Nível 4"/>
    <w:basedOn w:val="Normal"/>
    <w:link w:val="Nvel4Char"/>
    <w:qFormat w:val="1"/>
    <w:rsid w:val="00D967C5"/>
    <w:pPr>
      <w:widowControl w:val="1"/>
      <w:numPr>
        <w:ilvl w:val="3"/>
        <w:numId w:val="3"/>
      </w:numPr>
      <w:autoSpaceDE w:val="1"/>
      <w:autoSpaceDN w:val="1"/>
      <w:spacing w:after="120" w:before="120" w:line="276" w:lineRule="auto"/>
      <w:ind w:left="567" w:firstLine="0"/>
      <w:jc w:val="both"/>
    </w:pPr>
    <w:rPr>
      <w:rFonts w:ascii="Arial" w:cs="Arial" w:eastAsia="Times New Roman" w:hAnsi="Arial"/>
      <w:sz w:val="20"/>
      <w:szCs w:val="20"/>
      <w:lang w:eastAsia="pt-BR" w:val="pt-BR"/>
    </w:rPr>
  </w:style>
  <w:style w:type="character" w:styleId="Nvel3-RChar" w:customStyle="1">
    <w:name w:val="Nível 3-R Char"/>
    <w:basedOn w:val="Fontepargpadro"/>
    <w:link w:val="Nvel3-R"/>
    <w:rsid w:val="00D967C5"/>
    <w:rPr>
      <w:rFonts w:ascii="Arial" w:cs="Arial" w:hAnsi="Arial" w:eastAsiaTheme="minorEastAsia"/>
      <w:i w:val="1"/>
      <w:iCs w:val="1"/>
      <w:color w:val="ff0000"/>
      <w:sz w:val="20"/>
      <w:szCs w:val="20"/>
      <w:lang w:eastAsia="pt-BR" w:val="pt-BR"/>
    </w:rPr>
  </w:style>
  <w:style w:type="paragraph" w:styleId="SubTitNN" w:customStyle="1">
    <w:name w:val="SubTitNN"/>
    <w:basedOn w:val="Normal"/>
    <w:link w:val="SubTitNNChar"/>
    <w:qFormat w:val="1"/>
    <w:rsid w:val="009112FC"/>
    <w:pPr>
      <w:widowControl w:val="1"/>
      <w:autoSpaceDE w:val="1"/>
      <w:autoSpaceDN w:val="1"/>
      <w:spacing w:after="120" w:before="240" w:line="276" w:lineRule="auto"/>
      <w:jc w:val="both"/>
    </w:pPr>
    <w:rPr>
      <w:rFonts w:ascii="Arial" w:cs="Arial" w:eastAsia="Times New Roman" w:hAnsi="Arial"/>
      <w:b w:val="1"/>
      <w:bCs w:val="1"/>
      <w:iCs w:val="1"/>
      <w:sz w:val="20"/>
      <w:szCs w:val="20"/>
      <w:lang w:eastAsia="pt-BR" w:val="pt-BR"/>
    </w:rPr>
  </w:style>
  <w:style w:type="character" w:styleId="SubTitNNChar" w:customStyle="1">
    <w:name w:val="SubTitNN Char"/>
    <w:basedOn w:val="Fontepargpadro"/>
    <w:link w:val="SubTitNN"/>
    <w:rsid w:val="009112FC"/>
    <w:rPr>
      <w:rFonts w:ascii="Arial" w:cs="Arial" w:eastAsia="Times New Roman" w:hAnsi="Arial"/>
      <w:b w:val="1"/>
      <w:bCs w:val="1"/>
      <w:iCs w:val="1"/>
      <w:sz w:val="20"/>
      <w:szCs w:val="20"/>
      <w:lang w:eastAsia="pt-BR" w:val="pt-BR"/>
    </w:rPr>
  </w:style>
  <w:style w:type="character" w:styleId="Nivel01Char" w:customStyle="1">
    <w:name w:val="Nivel 01 Char"/>
    <w:basedOn w:val="Fontepargpadro"/>
    <w:link w:val="Nivel01"/>
    <w:rsid w:val="0048288D"/>
    <w:rPr>
      <w:rFonts w:ascii="Arial" w:cs="Arial" w:hAnsi="Arial" w:eastAsiaTheme="majorEastAsia"/>
      <w:b w:val="1"/>
      <w:bCs w:val="1"/>
      <w:sz w:val="20"/>
      <w:szCs w:val="20"/>
      <w:lang w:val="pt-BR"/>
    </w:rPr>
  </w:style>
  <w:style w:type="character" w:styleId="Nivel2Char" w:customStyle="1">
    <w:name w:val="Nivel 2 Char"/>
    <w:basedOn w:val="Fontepargpadro"/>
    <w:link w:val="Nivel2"/>
    <w:locked w:val="1"/>
    <w:rsid w:val="0048288D"/>
    <w:rPr>
      <w:rFonts w:ascii="Arial" w:cs="Arial" w:eastAsia="Times New Roman" w:hAnsi="Arial"/>
      <w:sz w:val="20"/>
      <w:szCs w:val="20"/>
      <w:lang w:eastAsia="pt-BR" w:val="pt-BR"/>
    </w:rPr>
  </w:style>
  <w:style w:type="paragraph" w:styleId="Nvel3" w:customStyle="1">
    <w:name w:val="Nível 3"/>
    <w:basedOn w:val="Nvel3-R"/>
    <w:link w:val="Nvel3Char"/>
    <w:qFormat w:val="1"/>
    <w:rsid w:val="0048288D"/>
    <w:pPr>
      <w:numPr>
        <w:numId w:val="1"/>
      </w:numPr>
      <w:ind w:left="284" w:firstLine="0"/>
    </w:pPr>
    <w:rPr>
      <w:rFonts w:eastAsia="Times New Roman"/>
      <w:i w:val="0"/>
      <w:iCs w:val="0"/>
    </w:rPr>
  </w:style>
  <w:style w:type="character" w:styleId="Nvel3Char" w:customStyle="1">
    <w:name w:val="Nível 3 Char"/>
    <w:basedOn w:val="Nvel3-RChar"/>
    <w:link w:val="Nvel3"/>
    <w:rsid w:val="0048288D"/>
    <w:rPr>
      <w:rFonts w:ascii="Arial" w:cs="Arial" w:eastAsia="Times New Roman" w:hAnsi="Arial"/>
      <w:i w:val="0"/>
      <w:iCs w:val="0"/>
      <w:color w:val="ff0000"/>
      <w:sz w:val="20"/>
      <w:szCs w:val="20"/>
      <w:lang w:eastAsia="pt-BR" w:val="pt-BR"/>
    </w:rPr>
  </w:style>
  <w:style w:type="character" w:styleId="Nvel4Char" w:customStyle="1">
    <w:name w:val="Nível 4 Char"/>
    <w:basedOn w:val="Nvel3Char"/>
    <w:link w:val="Nvel4"/>
    <w:rsid w:val="00CF6112"/>
    <w:rPr>
      <w:rFonts w:ascii="Arial" w:cs="Arial" w:eastAsia="Times New Roman" w:hAnsi="Arial"/>
      <w:i w:val="0"/>
      <w:iCs w:val="0"/>
      <w:color w:val="ff0000"/>
      <w:sz w:val="20"/>
      <w:szCs w:val="20"/>
      <w:lang w:eastAsia="pt-BR" w:val="pt-BR"/>
    </w:rPr>
  </w:style>
  <w:style w:type="paragraph" w:styleId="Cabealho">
    <w:name w:val="header"/>
    <w:basedOn w:val="Normal"/>
    <w:link w:val="CabealhoChar"/>
    <w:uiPriority w:val="99"/>
    <w:unhideWhenUsed w:val="1"/>
    <w:rsid w:val="00DC364E"/>
    <w:pPr>
      <w:tabs>
        <w:tab w:val="center" w:pos="4252"/>
        <w:tab w:val="right" w:pos="8504"/>
      </w:tabs>
    </w:pPr>
  </w:style>
  <w:style w:type="character" w:styleId="CabealhoChar" w:customStyle="1">
    <w:name w:val="Cabeçalho Char"/>
    <w:basedOn w:val="Fontepargpadro"/>
    <w:link w:val="Cabealho"/>
    <w:uiPriority w:val="99"/>
    <w:rsid w:val="00DC364E"/>
    <w:rPr>
      <w:rFonts w:ascii="Calibri" w:cs="Calibri" w:eastAsia="Calibri" w:hAnsi="Calibri"/>
      <w:lang w:val="pt-PT"/>
    </w:rPr>
  </w:style>
  <w:style w:type="paragraph" w:styleId="Rodap">
    <w:name w:val="footer"/>
    <w:basedOn w:val="Normal"/>
    <w:link w:val="RodapChar"/>
    <w:uiPriority w:val="99"/>
    <w:unhideWhenUsed w:val="1"/>
    <w:rsid w:val="00DC364E"/>
    <w:pPr>
      <w:tabs>
        <w:tab w:val="center" w:pos="4252"/>
        <w:tab w:val="right" w:pos="8504"/>
      </w:tabs>
    </w:pPr>
  </w:style>
  <w:style w:type="character" w:styleId="RodapChar" w:customStyle="1">
    <w:name w:val="Rodapé Char"/>
    <w:basedOn w:val="Fontepargpadro"/>
    <w:link w:val="Rodap"/>
    <w:uiPriority w:val="99"/>
    <w:qFormat w:val="1"/>
    <w:rsid w:val="00DC364E"/>
    <w:rPr>
      <w:rFonts w:ascii="Calibri" w:cs="Calibri" w:eastAsia="Calibri" w:hAnsi="Calibri"/>
      <w:lang w:val="pt-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2.png"/><Relationship Id="rId13" Type="http://schemas.openxmlformats.org/officeDocument/2006/relationships/image" Target="media/image4.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1.jpg"/><Relationship Id="rId15" Type="http://schemas.openxmlformats.org/officeDocument/2006/relationships/image" Target="media/image7.png"/><Relationship Id="rId14" Type="http://schemas.openxmlformats.org/officeDocument/2006/relationships/image" Target="media/image6.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9Okr6DQ+YdTdJrOVGwML3HWVYOg==">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c1BhUERNY1hRQk5tVGNsMDluN2tGTDh5VkljTnRTMX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2023-04-17T00:00:00Z</vt:lpwstr>
  </property>
  <property fmtid="{D5CDD505-2E9C-101B-9397-08002B2CF9AE}" pid="3" name="Creator">
    <vt:lpwstr>Microsoft® Word 2016</vt:lpwstr>
  </property>
  <property fmtid="{D5CDD505-2E9C-101B-9397-08002B2CF9AE}" pid="4" name="LastSaved">
    <vt:lpwstr>2023-04-24T00:00:00Z</vt:lpwstr>
  </property>
</Properties>
</file>