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uppressLineNumbers/>
        <w:spacing w:before="0" w:line="276" w:lineRule="auto"/>
        <w:ind w:left="567" w:hanging="567"/>
        <w:contextualSpacing/>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keepNext/>
        <w:keepLines/>
        <w:suppressLineNumbers/>
        <w:tabs>
          <w:tab w:val="left" w:pos="6284"/>
        </w:tabs>
        <w:ind w:left="567" w:hanging="567"/>
        <w:contextualSpacing/>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uppressLineNumbers/>
        <w:spacing w:before="0"/>
        <w:ind w:left="567" w:hanging="567"/>
        <w:contextualSpacing/>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keepNext/>
        <w:keepLines/>
        <w:suppressLineNumbers/>
        <w:ind w:left="567" w:hanging="567"/>
        <w:contextualSpacing/>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keepNext/>
        <w:keepLines/>
        <w:suppressLineNumbers/>
        <w:spacing w:after="120" w:line="276" w:lineRule="auto"/>
        <w:ind w:left="567" w:right="-15" w:hanging="567"/>
        <w:contextualSpacing/>
        <w:rPr>
          <w:rFonts w:asciiTheme="minorHAnsi" w:hAnsiTheme="minorHAnsi" w:cstheme="minorHAnsi"/>
          <w:b/>
          <w:bCs/>
          <w:sz w:val="22"/>
          <w:szCs w:val="22"/>
        </w:rPr>
      </w:pPr>
    </w:p>
    <w:p w14:paraId="653E43E2">
      <w:pPr>
        <w:pStyle w:val="29"/>
        <w:keepNext/>
        <w:keepLines/>
        <w:suppressLineNumbers/>
        <w:suppressAutoHyphens/>
        <w:ind w:left="567" w:hanging="567"/>
        <w:contextualSpacing/>
        <w:rPr>
          <w:rFonts w:asciiTheme="minorHAnsi" w:hAnsiTheme="minorHAnsi" w:cstheme="minorHAnsi"/>
          <w:b/>
          <w:bCs/>
          <w:sz w:val="22"/>
          <w:szCs w:val="22"/>
        </w:rPr>
      </w:pPr>
    </w:p>
    <w:p w14:paraId="46AFE12B">
      <w:pPr>
        <w:keepNext/>
        <w:keepLines/>
        <w:suppressLineNumbers/>
        <w:spacing w:after="288" w:afterLines="120" w:line="312" w:lineRule="auto"/>
        <w:ind w:left="567" w:hanging="567"/>
        <w:contextualSpacing/>
        <w:jc w:val="center"/>
        <w:rPr>
          <w:rFonts w:asciiTheme="minorHAnsi" w:hAnsiTheme="minorHAnsi" w:cstheme="minorHAnsi"/>
          <w:b/>
          <w:bCs/>
          <w:color w:val="auto"/>
          <w:sz w:val="22"/>
          <w:szCs w:val="22"/>
        </w:rPr>
      </w:pPr>
      <w:r>
        <w:rPr>
          <w:rFonts w:asciiTheme="minorHAnsi" w:hAnsiTheme="minorHAnsi" w:cstheme="minorHAnsi"/>
          <w:b/>
          <w:bCs/>
          <w:color w:val="auto"/>
          <w:sz w:val="22"/>
          <w:szCs w:val="22"/>
        </w:rPr>
        <w:t xml:space="preserve">ANEXO VI – PE. </w:t>
      </w:r>
      <w:r>
        <w:rPr>
          <w:rFonts w:hint="default" w:asciiTheme="minorHAnsi" w:hAnsiTheme="minorHAnsi" w:cstheme="minorHAnsi"/>
          <w:b/>
          <w:bCs/>
          <w:color w:val="auto"/>
          <w:sz w:val="22"/>
          <w:szCs w:val="22"/>
          <w:lang w:val="pt-BR"/>
        </w:rPr>
        <w:t>90.046</w:t>
      </w:r>
      <w:r>
        <w:rPr>
          <w:rFonts w:asciiTheme="minorHAnsi" w:hAnsiTheme="minorHAnsi" w:cstheme="minorHAnsi"/>
          <w:b/>
          <w:bCs/>
          <w:color w:val="auto"/>
          <w:sz w:val="22"/>
          <w:szCs w:val="22"/>
        </w:rPr>
        <w:t>/2024 – MINUTA DO TERMO DE CONTRATO</w:t>
      </w:r>
    </w:p>
    <w:p w14:paraId="0183C6AD">
      <w:pPr>
        <w:keepNext/>
        <w:keepLines/>
        <w:suppressLineNumbers/>
        <w:spacing w:after="288" w:afterLines="120" w:line="312" w:lineRule="auto"/>
        <w:ind w:left="567" w:hanging="567"/>
        <w:contextualSpacing/>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xml:space="preserve">° </w:t>
      </w:r>
      <w:r>
        <w:rPr>
          <w:rFonts w:asciiTheme="minorHAnsi" w:hAnsiTheme="minorHAnsi" w:cstheme="minorHAnsi"/>
          <w:sz w:val="22"/>
          <w:szCs w:val="22"/>
        </w:rPr>
        <w:t>23069.168663/2023-36</w:t>
      </w:r>
      <w:r>
        <w:rPr>
          <w:rFonts w:asciiTheme="minorHAnsi" w:hAnsiTheme="minorHAnsi" w:cstheme="minorHAnsi"/>
          <w:bCs/>
          <w:sz w:val="22"/>
          <w:szCs w:val="22"/>
        </w:rPr>
        <w:t>)</w:t>
      </w:r>
    </w:p>
    <w:p w14:paraId="37698BDA">
      <w:pPr>
        <w:pStyle w:val="504"/>
        <w:keepNext/>
        <w:keepLines/>
        <w:suppressLineNumbers/>
        <w:suppressAutoHyphens/>
        <w:spacing w:before="0" w:after="288" w:afterLines="120" w:line="312" w:lineRule="auto"/>
        <w:ind w:left="5670" w:hanging="6"/>
        <w:contextualSpacing/>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keepNext/>
        <w:keepLines/>
        <w:suppressLineNumbers/>
        <w:spacing w:after="288" w:afterLines="120" w:line="312" w:lineRule="auto"/>
        <w:ind w:left="284"/>
        <w:contextualSpacing/>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Magnífico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sz w:val="22"/>
          <w:szCs w:val="22"/>
        </w:rPr>
        <w:t xml:space="preserve">23069.168663/2023-36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do Pregão Eletrônico n.</w:t>
      </w:r>
      <w:r>
        <w:rPr>
          <w:rFonts w:hint="default" w:eastAsia="Arial" w:asciiTheme="minorHAnsi" w:hAnsiTheme="minorHAnsi" w:cstheme="minorHAnsi"/>
          <w:i/>
          <w:iCs/>
          <w:sz w:val="22"/>
          <w:szCs w:val="22"/>
          <w:lang w:val="pt-BR"/>
        </w:rPr>
        <w:t xml:space="preserve"> </w:t>
      </w:r>
      <w:bookmarkStart w:id="4" w:name="_GoBack"/>
      <w:bookmarkEnd w:id="4"/>
      <w:r>
        <w:rPr>
          <w:rFonts w:hint="default" w:eastAsia="Arial" w:asciiTheme="minorHAnsi" w:hAnsiTheme="minorHAnsi" w:cstheme="minorHAnsi"/>
          <w:i/>
          <w:iCs/>
          <w:sz w:val="22"/>
          <w:szCs w:val="22"/>
          <w:lang w:val="pt-BR"/>
        </w:rPr>
        <w:t>90.046</w:t>
      </w:r>
      <w:r>
        <w:rPr>
          <w:rFonts w:eastAsia="Arial" w:asciiTheme="minorHAnsi" w:hAnsiTheme="minorHAnsi" w:cstheme="minorHAnsi"/>
          <w:i/>
          <w:iCs/>
          <w:sz w:val="22"/>
          <w:szCs w:val="22"/>
        </w:rPr>
        <w:t>/2024,</w:t>
      </w:r>
      <w:r>
        <w:rPr>
          <w:rFonts w:eastAsia="Arial" w:asciiTheme="minorHAnsi" w:hAnsiTheme="minorHAnsi" w:cstheme="minorHAnsi"/>
          <w:sz w:val="22"/>
          <w:szCs w:val="22"/>
        </w:rPr>
        <w:t xml:space="preserve"> mediante as cláusulas e condições a seguir enunciadas.</w:t>
      </w:r>
    </w:p>
    <w:p w14:paraId="73317A24">
      <w:pPr>
        <w:pStyle w:val="78"/>
        <w:keepNext/>
        <w:keepLines/>
        <w:numPr>
          <w:ilvl w:val="0"/>
          <w:numId w:val="8"/>
        </w:numPr>
        <w:suppressLineNumbers/>
        <w:spacing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78"/>
        <w:keepNext/>
        <w:keepLines/>
        <w:numPr>
          <w:ilvl w:val="1"/>
          <w:numId w:val="8"/>
        </w:numPr>
        <w:suppressLineNumbers/>
        <w:spacing w:line="360" w:lineRule="auto"/>
        <w:ind w:left="426"/>
        <w:jc w:val="both"/>
        <w:rPr>
          <w:rFonts w:asciiTheme="minorHAnsi" w:hAnsiTheme="minorHAnsi" w:cstheme="minorHAnsi"/>
          <w:color w:val="000000"/>
          <w:sz w:val="22"/>
          <w:szCs w:val="22"/>
        </w:rPr>
      </w:pPr>
      <w:r>
        <w:rPr>
          <w:rFonts w:ascii="Calibri" w:hAnsi="Calibri" w:cs="Calibri"/>
          <w:color w:val="000000"/>
          <w:sz w:val="22"/>
          <w:szCs w:val="22"/>
        </w:rPr>
        <w:t>Contratação de empresa especializada e credenciada para prestação de Serviços de Coleta, Transporte, Tratamento e Disposição Final de Resíduos Sólidos e líquidos de Serviços de Saúde (RSS), e Químicos, além de Pilhas, Baterias e Lâmpadas gerados nas áreas internas e externas da Universidade Federal Fluminense, localizada em Niterói e municípios do estado do Rio de Janeiro, classificados de acordo com a Resolução da Diretoria Colegiada (RDC) nº 222/18 da Agência Nacional da Vigilância Sanitária, conforme condições, quantidades e exigências estabelecidas neste instrumento e seus anexos</w:t>
      </w:r>
      <w:r>
        <w:rPr>
          <w:rFonts w:asciiTheme="minorHAnsi" w:hAnsiTheme="minorHAnsi" w:cstheme="minorHAnsi"/>
          <w:color w:val="000000"/>
          <w:sz w:val="22"/>
          <w:szCs w:val="22"/>
        </w:rPr>
        <w:t>.</w:t>
      </w:r>
      <w:r>
        <w:rPr>
          <w:rFonts w:asciiTheme="minorHAnsi" w:hAnsiTheme="minorHAnsi" w:cstheme="minorHAnsi"/>
          <w:sz w:val="22"/>
          <w:szCs w:val="22"/>
        </w:rPr>
        <w:br w:type="page"/>
      </w:r>
    </w:p>
    <w:p w14:paraId="0845397F">
      <w:pPr>
        <w:pStyle w:val="99"/>
        <w:keepNext/>
        <w:keepLines/>
        <w:numPr>
          <w:ilvl w:val="1"/>
          <w:numId w:val="8"/>
        </w:numPr>
        <w:suppressLineNumbers/>
        <w:suppressAutoHyphens/>
        <w:spacing w:before="0" w:after="288" w:afterLines="120" w:line="312"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10214" w:type="dxa"/>
        <w:tblInd w:w="-431"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599"/>
        <w:gridCol w:w="3082"/>
        <w:gridCol w:w="880"/>
        <w:gridCol w:w="1040"/>
        <w:gridCol w:w="880"/>
        <w:gridCol w:w="900"/>
        <w:gridCol w:w="850"/>
        <w:gridCol w:w="950"/>
        <w:gridCol w:w="1041"/>
      </w:tblGrid>
      <w:tr w14:paraId="7EACF70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599"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noWrap/>
          </w:tcPr>
          <w:p w14:paraId="5015819A">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ITEM</w:t>
            </w:r>
          </w:p>
        </w:tc>
        <w:tc>
          <w:tcPr>
            <w:tcW w:w="308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noWrap/>
          </w:tcPr>
          <w:p w14:paraId="6419C563">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DESCRIÇÃO</w:t>
            </w:r>
          </w:p>
        </w:tc>
        <w:tc>
          <w:tcPr>
            <w:tcW w:w="88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BB65C01">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UNID. MEDIDA</w:t>
            </w:r>
          </w:p>
        </w:tc>
        <w:tc>
          <w:tcPr>
            <w:tcW w:w="104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DF46190">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VALOR UNITÁRIO</w:t>
            </w:r>
          </w:p>
        </w:tc>
        <w:tc>
          <w:tcPr>
            <w:tcW w:w="88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34FAAEE">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QTDADE MENSAL</w:t>
            </w:r>
          </w:p>
        </w:tc>
        <w:tc>
          <w:tcPr>
            <w:tcW w:w="90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25D293A">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QTDADE TOTAL</w:t>
            </w:r>
          </w:p>
        </w:tc>
        <w:tc>
          <w:tcPr>
            <w:tcW w:w="84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B037BD2">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VALOR MENSAL</w:t>
            </w:r>
          </w:p>
        </w:tc>
        <w:tc>
          <w:tcPr>
            <w:tcW w:w="95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FB21AE7">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 xml:space="preserve">VALOR ANUAL </w:t>
            </w:r>
          </w:p>
        </w:tc>
        <w:tc>
          <w:tcPr>
            <w:tcW w:w="1041"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7EBEF43E">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VALOR 30 MESES</w:t>
            </w:r>
          </w:p>
        </w:tc>
      </w:tr>
      <w:tr w14:paraId="0BF3D98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1800" w:hRule="atLeast"/>
        </w:trPr>
        <w:tc>
          <w:tcPr>
            <w:tcW w:w="599" w:type="dxa"/>
            <w:shd w:val="clear" w:color="auto" w:fill="DBE5F1" w:themeFill="accent1" w:themeFillTint="33"/>
            <w:noWrap/>
          </w:tcPr>
          <w:p w14:paraId="4C8E3909">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1</w:t>
            </w:r>
          </w:p>
        </w:tc>
        <w:tc>
          <w:tcPr>
            <w:tcW w:w="3082" w:type="dxa"/>
            <w:shd w:val="clear" w:color="auto" w:fill="DBE5F1" w:themeFill="accent1" w:themeFillTint="33"/>
          </w:tcPr>
          <w:p w14:paraId="072EF899">
            <w:pPr>
              <w:keepNext/>
              <w:keepLines/>
              <w:suppressAutoHyphens w:val="0"/>
              <w:contextualSpacing/>
              <w:rPr>
                <w:rFonts w:ascii="Calibri" w:hAnsi="Calibri" w:cs="Calibri" w:eastAsiaTheme="minorEastAsia"/>
                <w:color w:val="000000"/>
                <w:sz w:val="18"/>
                <w:szCs w:val="18"/>
              </w:rPr>
            </w:pPr>
            <w:r>
              <w:rPr>
                <w:rFonts w:ascii="Calibri" w:hAnsi="Calibri" w:cs="Calibri" w:eastAsiaTheme="minorEastAsia"/>
                <w:color w:val="000000"/>
                <w:sz w:val="18"/>
                <w:szCs w:val="18"/>
              </w:rPr>
              <w:t xml:space="preserve">Contratação de empresa especializada na coleta, identificação, classificação, segregação, acondicionamento com fornecimento de recipientes de armazenagem, tratamento, destinação final e emissão de certificação de destinação final de resíduos, conforme legislação vigente, - </w:t>
            </w:r>
            <w:r>
              <w:rPr>
                <w:rFonts w:ascii="Calibri" w:hAnsi="Calibri" w:cs="Calibri" w:eastAsiaTheme="minorEastAsia"/>
                <w:b/>
                <w:bCs/>
                <w:color w:val="000000"/>
                <w:sz w:val="18"/>
                <w:szCs w:val="18"/>
              </w:rPr>
              <w:t>Resíduos Infectantes</w:t>
            </w:r>
            <w:r>
              <w:rPr>
                <w:rFonts w:ascii="Calibri" w:hAnsi="Calibri" w:cs="Calibri" w:eastAsiaTheme="minorEastAsia"/>
                <w:color w:val="000000"/>
                <w:sz w:val="18"/>
                <w:szCs w:val="18"/>
              </w:rPr>
              <w:t xml:space="preserve"> </w:t>
            </w:r>
            <w:r>
              <w:rPr>
                <w:rFonts w:ascii="Calibri" w:hAnsi="Calibri" w:cs="Calibri" w:eastAsiaTheme="minorEastAsia"/>
                <w:b/>
                <w:bCs/>
                <w:color w:val="000000"/>
                <w:sz w:val="18"/>
                <w:szCs w:val="18"/>
              </w:rPr>
              <w:t xml:space="preserve">(biológico e Pérfurocortantes) </w:t>
            </w:r>
            <w:r>
              <w:rPr>
                <w:rFonts w:ascii="Calibri" w:hAnsi="Calibri" w:cs="Calibri" w:eastAsiaTheme="minorEastAsia"/>
                <w:color w:val="000000"/>
                <w:sz w:val="18"/>
                <w:szCs w:val="18"/>
              </w:rPr>
              <w:t xml:space="preserve">(Grupos “A” e “E”) </w:t>
            </w:r>
            <w:r>
              <w:rPr>
                <w:rFonts w:ascii="Calibri" w:hAnsi="Calibri" w:cs="Calibri" w:eastAsiaTheme="minorEastAsia"/>
                <w:b/>
                <w:bCs/>
                <w:color w:val="FF0000"/>
                <w:sz w:val="18"/>
                <w:szCs w:val="18"/>
              </w:rPr>
              <w:t>CATSER 24708</w:t>
            </w:r>
          </w:p>
        </w:tc>
        <w:tc>
          <w:tcPr>
            <w:tcW w:w="880" w:type="dxa"/>
            <w:shd w:val="clear" w:color="auto" w:fill="DBE5F1" w:themeFill="accent1" w:themeFillTint="33"/>
            <w:noWrap/>
          </w:tcPr>
          <w:p w14:paraId="3003AF65">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KILO</w:t>
            </w:r>
          </w:p>
        </w:tc>
        <w:tc>
          <w:tcPr>
            <w:tcW w:w="1040" w:type="dxa"/>
            <w:shd w:val="clear" w:color="auto" w:fill="DBE5F1" w:themeFill="accent1" w:themeFillTint="33"/>
            <w:noWrap/>
          </w:tcPr>
          <w:p w14:paraId="186C76CF">
            <w:pPr>
              <w:keepNext/>
              <w:keepLines/>
              <w:suppressAutoHyphens w:val="0"/>
              <w:contextualSpacing/>
              <w:jc w:val="center"/>
              <w:rPr>
                <w:rFonts w:ascii="Calibri" w:hAnsi="Calibri" w:cs="Calibri" w:eastAsiaTheme="minorEastAsia"/>
                <w:color w:val="000000"/>
                <w:sz w:val="18"/>
                <w:szCs w:val="18"/>
              </w:rPr>
            </w:pPr>
          </w:p>
        </w:tc>
        <w:tc>
          <w:tcPr>
            <w:tcW w:w="880" w:type="dxa"/>
            <w:shd w:val="clear" w:color="auto" w:fill="DBE5F1" w:themeFill="accent1" w:themeFillTint="33"/>
            <w:noWrap/>
          </w:tcPr>
          <w:p w14:paraId="141690C2">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1500</w:t>
            </w:r>
          </w:p>
        </w:tc>
        <w:tc>
          <w:tcPr>
            <w:tcW w:w="900" w:type="dxa"/>
            <w:shd w:val="clear" w:color="auto" w:fill="DBE5F1" w:themeFill="accent1" w:themeFillTint="33"/>
            <w:noWrap/>
          </w:tcPr>
          <w:p w14:paraId="40BC26BD">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45000</w:t>
            </w:r>
          </w:p>
        </w:tc>
        <w:tc>
          <w:tcPr>
            <w:tcW w:w="842" w:type="dxa"/>
            <w:shd w:val="clear" w:color="auto" w:fill="DBE5F1" w:themeFill="accent1" w:themeFillTint="33"/>
            <w:noWrap/>
          </w:tcPr>
          <w:p w14:paraId="0D26E659">
            <w:pPr>
              <w:keepNext/>
              <w:keepLines/>
              <w:suppressAutoHyphens w:val="0"/>
              <w:contextualSpacing/>
              <w:jc w:val="center"/>
              <w:rPr>
                <w:rFonts w:ascii="Calibri" w:hAnsi="Calibri" w:cs="Calibri" w:eastAsiaTheme="minorEastAsia"/>
                <w:color w:val="000000"/>
                <w:sz w:val="18"/>
                <w:szCs w:val="18"/>
              </w:rPr>
            </w:pPr>
          </w:p>
        </w:tc>
        <w:tc>
          <w:tcPr>
            <w:tcW w:w="950" w:type="dxa"/>
            <w:shd w:val="clear" w:color="auto" w:fill="DBE5F1" w:themeFill="accent1" w:themeFillTint="33"/>
            <w:noWrap/>
          </w:tcPr>
          <w:p w14:paraId="285F94F6">
            <w:pPr>
              <w:keepNext/>
              <w:keepLines/>
              <w:suppressAutoHyphens w:val="0"/>
              <w:contextualSpacing/>
              <w:jc w:val="center"/>
              <w:rPr>
                <w:rFonts w:ascii="Calibri" w:hAnsi="Calibri" w:cs="Calibri" w:eastAsiaTheme="minorEastAsia"/>
                <w:color w:val="000000"/>
                <w:sz w:val="18"/>
                <w:szCs w:val="18"/>
              </w:rPr>
            </w:pPr>
          </w:p>
        </w:tc>
        <w:tc>
          <w:tcPr>
            <w:tcW w:w="1041" w:type="dxa"/>
            <w:shd w:val="clear" w:color="auto" w:fill="DBE5F1" w:themeFill="accent1" w:themeFillTint="33"/>
            <w:noWrap/>
          </w:tcPr>
          <w:p w14:paraId="75E276C8">
            <w:pPr>
              <w:keepNext/>
              <w:keepLines/>
              <w:suppressAutoHyphens w:val="0"/>
              <w:contextualSpacing/>
              <w:jc w:val="center"/>
              <w:rPr>
                <w:rFonts w:ascii="Calibri" w:hAnsi="Calibri" w:cs="Calibri" w:eastAsiaTheme="minorEastAsia"/>
                <w:color w:val="000000"/>
                <w:sz w:val="18"/>
                <w:szCs w:val="18"/>
              </w:rPr>
            </w:pPr>
          </w:p>
        </w:tc>
      </w:tr>
      <w:tr w14:paraId="2493F9A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1500" w:hRule="atLeast"/>
        </w:trPr>
        <w:tc>
          <w:tcPr>
            <w:tcW w:w="599" w:type="dxa"/>
            <w:noWrap/>
          </w:tcPr>
          <w:p w14:paraId="24EE0304">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2</w:t>
            </w:r>
          </w:p>
        </w:tc>
        <w:tc>
          <w:tcPr>
            <w:tcW w:w="3082" w:type="dxa"/>
          </w:tcPr>
          <w:p w14:paraId="59F66F8B">
            <w:pPr>
              <w:keepNext/>
              <w:keepLines/>
              <w:suppressAutoHyphens w:val="0"/>
              <w:contextualSpacing/>
              <w:rPr>
                <w:rFonts w:ascii="Calibri" w:hAnsi="Calibri" w:cs="Calibri" w:eastAsiaTheme="minorEastAsia"/>
                <w:color w:val="000000"/>
                <w:sz w:val="18"/>
                <w:szCs w:val="18"/>
              </w:rPr>
            </w:pPr>
            <w:r>
              <w:rPr>
                <w:rFonts w:ascii="Calibri" w:hAnsi="Calibri" w:cs="Calibri" w:eastAsiaTheme="minorEastAsia"/>
                <w:color w:val="000000"/>
                <w:sz w:val="18"/>
                <w:szCs w:val="18"/>
              </w:rPr>
              <w:t xml:space="preserve">Contratação de empresa especializada na coleta, identificação, classificação, segregação, acondicionamento com fornecimento de recipientes de armazenagem, tratamento, destinação final e emissão de certificação de destinação final de resíduos, conforme legislação vigente, - </w:t>
            </w:r>
            <w:r>
              <w:rPr>
                <w:rFonts w:ascii="Calibri" w:hAnsi="Calibri" w:cs="Calibri" w:eastAsiaTheme="minorEastAsia"/>
                <w:b/>
                <w:bCs/>
                <w:color w:val="000000"/>
                <w:sz w:val="18"/>
                <w:szCs w:val="18"/>
              </w:rPr>
              <w:t>Resíduos Químicos</w:t>
            </w:r>
            <w:r>
              <w:rPr>
                <w:rFonts w:ascii="Calibri" w:hAnsi="Calibri" w:cs="Calibri" w:eastAsiaTheme="minorEastAsia"/>
                <w:color w:val="000000"/>
                <w:sz w:val="18"/>
                <w:szCs w:val="18"/>
              </w:rPr>
              <w:t xml:space="preserve"> (Grupo B) </w:t>
            </w:r>
            <w:r>
              <w:rPr>
                <w:rFonts w:ascii="Calibri" w:hAnsi="Calibri" w:cs="Calibri" w:eastAsiaTheme="minorEastAsia"/>
                <w:b/>
                <w:bCs/>
                <w:color w:val="FF0000"/>
                <w:sz w:val="18"/>
                <w:szCs w:val="18"/>
              </w:rPr>
              <w:t>CATSER 24708</w:t>
            </w:r>
          </w:p>
        </w:tc>
        <w:tc>
          <w:tcPr>
            <w:tcW w:w="880" w:type="dxa"/>
            <w:noWrap/>
          </w:tcPr>
          <w:p w14:paraId="5E21FF16">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KILO</w:t>
            </w:r>
          </w:p>
        </w:tc>
        <w:tc>
          <w:tcPr>
            <w:tcW w:w="1040" w:type="dxa"/>
            <w:noWrap/>
          </w:tcPr>
          <w:p w14:paraId="5943D5CB">
            <w:pPr>
              <w:keepNext/>
              <w:keepLines/>
              <w:suppressAutoHyphens w:val="0"/>
              <w:contextualSpacing/>
              <w:jc w:val="center"/>
              <w:rPr>
                <w:rFonts w:ascii="Calibri" w:hAnsi="Calibri" w:cs="Calibri" w:eastAsiaTheme="minorEastAsia"/>
                <w:color w:val="000000"/>
                <w:sz w:val="18"/>
                <w:szCs w:val="18"/>
              </w:rPr>
            </w:pPr>
          </w:p>
        </w:tc>
        <w:tc>
          <w:tcPr>
            <w:tcW w:w="880" w:type="dxa"/>
            <w:noWrap/>
          </w:tcPr>
          <w:p w14:paraId="1A6DAEAE">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1500</w:t>
            </w:r>
          </w:p>
        </w:tc>
        <w:tc>
          <w:tcPr>
            <w:tcW w:w="900" w:type="dxa"/>
            <w:noWrap/>
          </w:tcPr>
          <w:p w14:paraId="7CD30C32">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45000</w:t>
            </w:r>
          </w:p>
        </w:tc>
        <w:tc>
          <w:tcPr>
            <w:tcW w:w="842" w:type="dxa"/>
            <w:noWrap/>
          </w:tcPr>
          <w:p w14:paraId="4787C2D7">
            <w:pPr>
              <w:keepNext/>
              <w:keepLines/>
              <w:suppressAutoHyphens w:val="0"/>
              <w:contextualSpacing/>
              <w:jc w:val="center"/>
              <w:rPr>
                <w:rFonts w:ascii="Calibri" w:hAnsi="Calibri" w:cs="Calibri" w:eastAsiaTheme="minorEastAsia"/>
                <w:color w:val="000000"/>
                <w:sz w:val="18"/>
                <w:szCs w:val="18"/>
              </w:rPr>
            </w:pPr>
          </w:p>
        </w:tc>
        <w:tc>
          <w:tcPr>
            <w:tcW w:w="950" w:type="dxa"/>
            <w:noWrap/>
          </w:tcPr>
          <w:p w14:paraId="3E4A8281">
            <w:pPr>
              <w:keepNext/>
              <w:keepLines/>
              <w:suppressAutoHyphens w:val="0"/>
              <w:contextualSpacing/>
              <w:jc w:val="center"/>
              <w:rPr>
                <w:rFonts w:ascii="Calibri" w:hAnsi="Calibri" w:cs="Calibri" w:eastAsiaTheme="minorEastAsia"/>
                <w:color w:val="000000"/>
                <w:sz w:val="18"/>
                <w:szCs w:val="18"/>
              </w:rPr>
            </w:pPr>
          </w:p>
        </w:tc>
        <w:tc>
          <w:tcPr>
            <w:tcW w:w="1041" w:type="dxa"/>
            <w:noWrap/>
          </w:tcPr>
          <w:p w14:paraId="4B7D64E1">
            <w:pPr>
              <w:keepNext/>
              <w:keepLines/>
              <w:suppressAutoHyphens w:val="0"/>
              <w:contextualSpacing/>
              <w:jc w:val="center"/>
              <w:rPr>
                <w:rFonts w:ascii="Calibri" w:hAnsi="Calibri" w:cs="Calibri" w:eastAsiaTheme="minorEastAsia"/>
                <w:color w:val="000000"/>
                <w:sz w:val="18"/>
                <w:szCs w:val="18"/>
              </w:rPr>
            </w:pPr>
          </w:p>
        </w:tc>
      </w:tr>
      <w:tr w14:paraId="651B5D5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3681" w:type="dxa"/>
            <w:gridSpan w:val="2"/>
            <w:shd w:val="clear" w:color="auto" w:fill="DBE5F1" w:themeFill="accent1" w:themeFillTint="33"/>
            <w:noWrap/>
          </w:tcPr>
          <w:p w14:paraId="5BDD8DC7">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VALOR TOTAL</w:t>
            </w:r>
          </w:p>
        </w:tc>
        <w:tc>
          <w:tcPr>
            <w:tcW w:w="880" w:type="dxa"/>
            <w:shd w:val="clear" w:color="auto" w:fill="DBE5F1" w:themeFill="accent1" w:themeFillTint="33"/>
            <w:noWrap/>
          </w:tcPr>
          <w:p w14:paraId="5D94ECC6">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 </w:t>
            </w:r>
          </w:p>
        </w:tc>
        <w:tc>
          <w:tcPr>
            <w:tcW w:w="1040" w:type="dxa"/>
            <w:shd w:val="clear" w:color="auto" w:fill="DBE5F1" w:themeFill="accent1" w:themeFillTint="33"/>
            <w:noWrap/>
          </w:tcPr>
          <w:p w14:paraId="354C4DD5">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 </w:t>
            </w:r>
          </w:p>
        </w:tc>
        <w:tc>
          <w:tcPr>
            <w:tcW w:w="880" w:type="dxa"/>
            <w:shd w:val="clear" w:color="auto" w:fill="DBE5F1" w:themeFill="accent1" w:themeFillTint="33"/>
            <w:noWrap/>
          </w:tcPr>
          <w:p w14:paraId="4B52BF6B">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3000,00</w:t>
            </w:r>
          </w:p>
        </w:tc>
        <w:tc>
          <w:tcPr>
            <w:tcW w:w="900" w:type="dxa"/>
            <w:shd w:val="clear" w:color="auto" w:fill="DBE5F1" w:themeFill="accent1" w:themeFillTint="33"/>
            <w:noWrap/>
          </w:tcPr>
          <w:p w14:paraId="408639F2">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 </w:t>
            </w:r>
          </w:p>
        </w:tc>
        <w:tc>
          <w:tcPr>
            <w:tcW w:w="842" w:type="dxa"/>
            <w:shd w:val="clear" w:color="auto" w:fill="DBE5F1" w:themeFill="accent1" w:themeFillTint="33"/>
            <w:noWrap/>
          </w:tcPr>
          <w:p w14:paraId="7869DD17">
            <w:pPr>
              <w:keepNext/>
              <w:keepLines/>
              <w:suppressAutoHyphens w:val="0"/>
              <w:contextualSpacing/>
              <w:jc w:val="center"/>
              <w:rPr>
                <w:rFonts w:ascii="Calibri" w:hAnsi="Calibri" w:cs="Calibri" w:eastAsiaTheme="minorEastAsia"/>
                <w:b/>
                <w:bCs/>
                <w:color w:val="000000"/>
                <w:sz w:val="18"/>
                <w:szCs w:val="18"/>
              </w:rPr>
            </w:pPr>
          </w:p>
        </w:tc>
        <w:tc>
          <w:tcPr>
            <w:tcW w:w="950" w:type="dxa"/>
            <w:shd w:val="clear" w:color="auto" w:fill="DBE5F1" w:themeFill="accent1" w:themeFillTint="33"/>
            <w:noWrap/>
          </w:tcPr>
          <w:p w14:paraId="1053B5F1">
            <w:pPr>
              <w:keepNext/>
              <w:keepLines/>
              <w:suppressAutoHyphens w:val="0"/>
              <w:contextualSpacing/>
              <w:jc w:val="center"/>
              <w:rPr>
                <w:rFonts w:ascii="Calibri" w:hAnsi="Calibri" w:cs="Calibri" w:eastAsiaTheme="minorEastAsia"/>
                <w:b/>
                <w:bCs/>
                <w:color w:val="000000"/>
                <w:sz w:val="18"/>
                <w:szCs w:val="18"/>
              </w:rPr>
            </w:pPr>
          </w:p>
        </w:tc>
        <w:tc>
          <w:tcPr>
            <w:tcW w:w="1041" w:type="dxa"/>
            <w:shd w:val="clear" w:color="auto" w:fill="DBE5F1" w:themeFill="accent1" w:themeFillTint="33"/>
            <w:noWrap/>
          </w:tcPr>
          <w:p w14:paraId="76779851">
            <w:pPr>
              <w:keepNext/>
              <w:keepLines/>
              <w:suppressAutoHyphens w:val="0"/>
              <w:contextualSpacing/>
              <w:jc w:val="center"/>
              <w:rPr>
                <w:rFonts w:ascii="Calibri" w:hAnsi="Calibri" w:cs="Calibri" w:eastAsiaTheme="minorEastAsia"/>
                <w:b/>
                <w:bCs/>
                <w:color w:val="000000"/>
                <w:sz w:val="18"/>
                <w:szCs w:val="18"/>
              </w:rPr>
            </w:pPr>
          </w:p>
        </w:tc>
      </w:tr>
    </w:tbl>
    <w:p w14:paraId="5A3BB92F">
      <w:pPr>
        <w:pStyle w:val="99"/>
        <w:keepNext/>
        <w:keepLines/>
        <w:numPr>
          <w:ilvl w:val="0"/>
          <w:numId w:val="0"/>
        </w:numPr>
        <w:suppressLineNumbers/>
        <w:suppressAutoHyphens/>
        <w:spacing w:before="0" w:after="288" w:afterLines="120" w:line="312" w:lineRule="auto"/>
        <w:contextualSpacing/>
        <w:rPr>
          <w:rFonts w:asciiTheme="minorHAnsi" w:hAnsiTheme="minorHAnsi" w:cstheme="minorHAnsi"/>
          <w:sz w:val="22"/>
          <w:szCs w:val="22"/>
        </w:rPr>
      </w:pPr>
    </w:p>
    <w:tbl>
      <w:tblPr>
        <w:tblStyle w:val="485"/>
        <w:tblW w:w="10214" w:type="dxa"/>
        <w:tblInd w:w="-431"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599"/>
        <w:gridCol w:w="3088"/>
        <w:gridCol w:w="880"/>
        <w:gridCol w:w="1040"/>
        <w:gridCol w:w="880"/>
        <w:gridCol w:w="900"/>
        <w:gridCol w:w="850"/>
        <w:gridCol w:w="950"/>
        <w:gridCol w:w="1041"/>
      </w:tblGrid>
      <w:tr w14:paraId="67B53F7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599"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noWrap/>
          </w:tcPr>
          <w:p w14:paraId="66FF6389">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ITEM</w:t>
            </w:r>
          </w:p>
        </w:tc>
        <w:tc>
          <w:tcPr>
            <w:tcW w:w="308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noWrap/>
          </w:tcPr>
          <w:p w14:paraId="6E9A6BDD">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DESCRIÇÃO</w:t>
            </w:r>
          </w:p>
        </w:tc>
        <w:tc>
          <w:tcPr>
            <w:tcW w:w="88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528E91C">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UNID. MEDIDA</w:t>
            </w:r>
          </w:p>
        </w:tc>
        <w:tc>
          <w:tcPr>
            <w:tcW w:w="104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D839955">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VALOR UNITÁRIO</w:t>
            </w:r>
          </w:p>
        </w:tc>
        <w:tc>
          <w:tcPr>
            <w:tcW w:w="88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C9E3AA1">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QTDADE MENSAL</w:t>
            </w:r>
          </w:p>
        </w:tc>
        <w:tc>
          <w:tcPr>
            <w:tcW w:w="90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D3C09EF">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QTDADE TOTAL</w:t>
            </w:r>
          </w:p>
        </w:tc>
        <w:tc>
          <w:tcPr>
            <w:tcW w:w="83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355C854">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VALOR MENSAL</w:t>
            </w:r>
          </w:p>
        </w:tc>
        <w:tc>
          <w:tcPr>
            <w:tcW w:w="95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CF30254">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 xml:space="preserve">VALOR ANUAL </w:t>
            </w:r>
          </w:p>
        </w:tc>
        <w:tc>
          <w:tcPr>
            <w:tcW w:w="1041"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01AD12C2">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VALOR 30 MESES</w:t>
            </w:r>
          </w:p>
        </w:tc>
      </w:tr>
      <w:tr w14:paraId="6D0CC87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1800" w:hRule="atLeast"/>
        </w:trPr>
        <w:tc>
          <w:tcPr>
            <w:tcW w:w="599" w:type="dxa"/>
            <w:shd w:val="clear" w:color="auto" w:fill="DBE5F1" w:themeFill="accent1" w:themeFillTint="33"/>
            <w:noWrap/>
          </w:tcPr>
          <w:p w14:paraId="2F50B1C5">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1</w:t>
            </w:r>
          </w:p>
        </w:tc>
        <w:tc>
          <w:tcPr>
            <w:tcW w:w="3088" w:type="dxa"/>
            <w:shd w:val="clear" w:color="auto" w:fill="DBE5F1" w:themeFill="accent1" w:themeFillTint="33"/>
          </w:tcPr>
          <w:p w14:paraId="45C08E82">
            <w:pPr>
              <w:keepNext/>
              <w:keepLines/>
              <w:suppressAutoHyphens w:val="0"/>
              <w:contextualSpacing/>
              <w:rPr>
                <w:rFonts w:ascii="Calibri" w:hAnsi="Calibri" w:cs="Calibri" w:eastAsiaTheme="minorEastAsia"/>
                <w:color w:val="000000"/>
                <w:sz w:val="18"/>
                <w:szCs w:val="18"/>
              </w:rPr>
            </w:pPr>
            <w:r>
              <w:rPr>
                <w:rFonts w:ascii="Calibri" w:hAnsi="Calibri" w:cs="Calibri" w:eastAsiaTheme="minorEastAsia"/>
                <w:color w:val="000000"/>
                <w:sz w:val="18"/>
                <w:szCs w:val="18"/>
              </w:rPr>
              <w:t xml:space="preserve">Contratação de empresa especializada na coleta, identificação, classificação, segregação, acondicionamento com fornecimento de recipientes de armazenagem, tratamento, destinação final e emissão de certificação de destinação final de resíduos, conforme legislação vigente, dentre eles: pilhas e baterias (eletrônicas e automotivas). </w:t>
            </w:r>
            <w:r>
              <w:rPr>
                <w:rFonts w:ascii="Calibri" w:hAnsi="Calibri" w:cs="Calibri" w:eastAsiaTheme="minorEastAsia"/>
                <w:b/>
                <w:bCs/>
                <w:color w:val="FF0000"/>
                <w:sz w:val="18"/>
                <w:szCs w:val="18"/>
              </w:rPr>
              <w:t>CATSER 24708</w:t>
            </w:r>
          </w:p>
        </w:tc>
        <w:tc>
          <w:tcPr>
            <w:tcW w:w="880" w:type="dxa"/>
            <w:shd w:val="clear" w:color="auto" w:fill="DBE5F1" w:themeFill="accent1" w:themeFillTint="33"/>
            <w:noWrap/>
          </w:tcPr>
          <w:p w14:paraId="0727F70F">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KILO</w:t>
            </w:r>
          </w:p>
        </w:tc>
        <w:tc>
          <w:tcPr>
            <w:tcW w:w="1040" w:type="dxa"/>
            <w:shd w:val="clear" w:color="auto" w:fill="DBE5F1" w:themeFill="accent1" w:themeFillTint="33"/>
            <w:noWrap/>
          </w:tcPr>
          <w:p w14:paraId="233DA828">
            <w:pPr>
              <w:keepNext/>
              <w:keepLines/>
              <w:suppressAutoHyphens w:val="0"/>
              <w:contextualSpacing/>
              <w:jc w:val="center"/>
              <w:rPr>
                <w:rFonts w:ascii="Calibri" w:hAnsi="Calibri" w:cs="Calibri" w:eastAsiaTheme="minorEastAsia"/>
                <w:color w:val="000000"/>
                <w:sz w:val="18"/>
                <w:szCs w:val="18"/>
              </w:rPr>
            </w:pPr>
          </w:p>
        </w:tc>
        <w:tc>
          <w:tcPr>
            <w:tcW w:w="880" w:type="dxa"/>
            <w:shd w:val="clear" w:color="auto" w:fill="DBE5F1" w:themeFill="accent1" w:themeFillTint="33"/>
            <w:noWrap/>
          </w:tcPr>
          <w:p w14:paraId="0F68D8BB">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600</w:t>
            </w:r>
          </w:p>
        </w:tc>
        <w:tc>
          <w:tcPr>
            <w:tcW w:w="900" w:type="dxa"/>
            <w:shd w:val="clear" w:color="auto" w:fill="DBE5F1" w:themeFill="accent1" w:themeFillTint="33"/>
            <w:noWrap/>
          </w:tcPr>
          <w:p w14:paraId="444F3B60">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18000</w:t>
            </w:r>
          </w:p>
        </w:tc>
        <w:tc>
          <w:tcPr>
            <w:tcW w:w="836" w:type="dxa"/>
            <w:shd w:val="clear" w:color="auto" w:fill="DBE5F1" w:themeFill="accent1" w:themeFillTint="33"/>
            <w:noWrap/>
          </w:tcPr>
          <w:p w14:paraId="2EA5A99E">
            <w:pPr>
              <w:keepNext/>
              <w:keepLines/>
              <w:suppressAutoHyphens w:val="0"/>
              <w:contextualSpacing/>
              <w:jc w:val="center"/>
              <w:rPr>
                <w:rFonts w:ascii="Calibri" w:hAnsi="Calibri" w:cs="Calibri" w:eastAsiaTheme="minorEastAsia"/>
                <w:color w:val="000000"/>
                <w:sz w:val="18"/>
                <w:szCs w:val="18"/>
              </w:rPr>
            </w:pPr>
          </w:p>
        </w:tc>
        <w:tc>
          <w:tcPr>
            <w:tcW w:w="950" w:type="dxa"/>
            <w:shd w:val="clear" w:color="auto" w:fill="DBE5F1" w:themeFill="accent1" w:themeFillTint="33"/>
            <w:noWrap/>
          </w:tcPr>
          <w:p w14:paraId="2468E0C7">
            <w:pPr>
              <w:keepNext/>
              <w:keepLines/>
              <w:suppressAutoHyphens w:val="0"/>
              <w:contextualSpacing/>
              <w:jc w:val="center"/>
              <w:rPr>
                <w:rFonts w:ascii="Calibri" w:hAnsi="Calibri" w:cs="Calibri" w:eastAsiaTheme="minorEastAsia"/>
                <w:color w:val="000000"/>
                <w:sz w:val="18"/>
                <w:szCs w:val="18"/>
              </w:rPr>
            </w:pPr>
          </w:p>
        </w:tc>
        <w:tc>
          <w:tcPr>
            <w:tcW w:w="1041" w:type="dxa"/>
            <w:shd w:val="clear" w:color="auto" w:fill="DBE5F1" w:themeFill="accent1" w:themeFillTint="33"/>
            <w:noWrap/>
          </w:tcPr>
          <w:p w14:paraId="6683E59E">
            <w:pPr>
              <w:keepNext/>
              <w:keepLines/>
              <w:suppressAutoHyphens w:val="0"/>
              <w:contextualSpacing/>
              <w:jc w:val="center"/>
              <w:rPr>
                <w:rFonts w:ascii="Calibri" w:hAnsi="Calibri" w:cs="Calibri" w:eastAsiaTheme="minorEastAsia"/>
                <w:color w:val="000000"/>
                <w:sz w:val="18"/>
                <w:szCs w:val="18"/>
              </w:rPr>
            </w:pPr>
          </w:p>
        </w:tc>
      </w:tr>
      <w:tr w14:paraId="72019B4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1500" w:hRule="atLeast"/>
        </w:trPr>
        <w:tc>
          <w:tcPr>
            <w:tcW w:w="599" w:type="dxa"/>
            <w:noWrap/>
          </w:tcPr>
          <w:p w14:paraId="1E7491C5">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2</w:t>
            </w:r>
          </w:p>
        </w:tc>
        <w:tc>
          <w:tcPr>
            <w:tcW w:w="3088" w:type="dxa"/>
          </w:tcPr>
          <w:p w14:paraId="7909001D">
            <w:pPr>
              <w:keepNext/>
              <w:keepLines/>
              <w:suppressAutoHyphens w:val="0"/>
              <w:contextualSpacing/>
              <w:rPr>
                <w:rFonts w:ascii="Calibri" w:hAnsi="Calibri" w:cs="Calibri" w:eastAsiaTheme="minorEastAsia"/>
                <w:color w:val="000000"/>
                <w:sz w:val="18"/>
                <w:szCs w:val="18"/>
              </w:rPr>
            </w:pPr>
            <w:r>
              <w:rPr>
                <w:rFonts w:ascii="Calibri" w:hAnsi="Calibri" w:cs="Calibri" w:eastAsiaTheme="minorEastAsia"/>
                <w:color w:val="000000"/>
                <w:sz w:val="18"/>
                <w:szCs w:val="18"/>
              </w:rPr>
              <w:t xml:space="preserve">Contratação de empresa especializada na coleta, identificação, classificação, segregação, acondicionamento com fornecimento de recipientes de armazenagem, tratamento, destinação final e emissão de certificação de destinação final de resíduos, conforme legislação vigente, dentre eles: lâmpadas diversas quebradas. </w:t>
            </w:r>
            <w:r>
              <w:rPr>
                <w:rFonts w:ascii="Calibri" w:hAnsi="Calibri" w:cs="Calibri" w:eastAsiaTheme="minorEastAsia"/>
                <w:b/>
                <w:bCs/>
                <w:color w:val="FF0000"/>
                <w:sz w:val="18"/>
                <w:szCs w:val="18"/>
              </w:rPr>
              <w:t>CATSER 24708</w:t>
            </w:r>
          </w:p>
        </w:tc>
        <w:tc>
          <w:tcPr>
            <w:tcW w:w="880" w:type="dxa"/>
            <w:noWrap/>
          </w:tcPr>
          <w:p w14:paraId="695658A9">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KILO</w:t>
            </w:r>
          </w:p>
        </w:tc>
        <w:tc>
          <w:tcPr>
            <w:tcW w:w="1040" w:type="dxa"/>
            <w:noWrap/>
          </w:tcPr>
          <w:p w14:paraId="30943C9D">
            <w:pPr>
              <w:keepNext/>
              <w:keepLines/>
              <w:suppressAutoHyphens w:val="0"/>
              <w:contextualSpacing/>
              <w:jc w:val="center"/>
              <w:rPr>
                <w:rFonts w:ascii="Calibri" w:hAnsi="Calibri" w:cs="Calibri" w:eastAsiaTheme="minorEastAsia"/>
                <w:color w:val="000000"/>
                <w:sz w:val="18"/>
                <w:szCs w:val="18"/>
              </w:rPr>
            </w:pPr>
          </w:p>
        </w:tc>
        <w:tc>
          <w:tcPr>
            <w:tcW w:w="880" w:type="dxa"/>
            <w:noWrap/>
          </w:tcPr>
          <w:p w14:paraId="41E6181F">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600</w:t>
            </w:r>
          </w:p>
        </w:tc>
        <w:tc>
          <w:tcPr>
            <w:tcW w:w="900" w:type="dxa"/>
            <w:noWrap/>
          </w:tcPr>
          <w:p w14:paraId="333822DF">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18000</w:t>
            </w:r>
          </w:p>
        </w:tc>
        <w:tc>
          <w:tcPr>
            <w:tcW w:w="836" w:type="dxa"/>
            <w:noWrap/>
          </w:tcPr>
          <w:p w14:paraId="0B9E950A">
            <w:pPr>
              <w:keepNext/>
              <w:keepLines/>
              <w:suppressAutoHyphens w:val="0"/>
              <w:contextualSpacing/>
              <w:jc w:val="center"/>
              <w:rPr>
                <w:rFonts w:ascii="Calibri" w:hAnsi="Calibri" w:cs="Calibri" w:eastAsiaTheme="minorEastAsia"/>
                <w:color w:val="000000"/>
                <w:sz w:val="18"/>
                <w:szCs w:val="18"/>
              </w:rPr>
            </w:pPr>
          </w:p>
        </w:tc>
        <w:tc>
          <w:tcPr>
            <w:tcW w:w="950" w:type="dxa"/>
            <w:noWrap/>
          </w:tcPr>
          <w:p w14:paraId="5DC853CF">
            <w:pPr>
              <w:keepNext/>
              <w:keepLines/>
              <w:suppressAutoHyphens w:val="0"/>
              <w:contextualSpacing/>
              <w:jc w:val="center"/>
              <w:rPr>
                <w:rFonts w:ascii="Calibri" w:hAnsi="Calibri" w:cs="Calibri" w:eastAsiaTheme="minorEastAsia"/>
                <w:color w:val="000000"/>
                <w:sz w:val="18"/>
                <w:szCs w:val="18"/>
              </w:rPr>
            </w:pPr>
          </w:p>
        </w:tc>
        <w:tc>
          <w:tcPr>
            <w:tcW w:w="1041" w:type="dxa"/>
            <w:noWrap/>
          </w:tcPr>
          <w:p w14:paraId="6944085C">
            <w:pPr>
              <w:keepNext/>
              <w:keepLines/>
              <w:suppressAutoHyphens w:val="0"/>
              <w:contextualSpacing/>
              <w:jc w:val="center"/>
              <w:rPr>
                <w:rFonts w:ascii="Calibri" w:hAnsi="Calibri" w:cs="Calibri" w:eastAsiaTheme="minorEastAsia"/>
                <w:color w:val="000000"/>
                <w:sz w:val="18"/>
                <w:szCs w:val="18"/>
              </w:rPr>
            </w:pPr>
          </w:p>
        </w:tc>
      </w:tr>
      <w:tr w14:paraId="3890AC8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1800" w:hRule="atLeast"/>
        </w:trPr>
        <w:tc>
          <w:tcPr>
            <w:tcW w:w="599" w:type="dxa"/>
            <w:shd w:val="clear" w:color="auto" w:fill="DBE5F1" w:themeFill="accent1" w:themeFillTint="33"/>
            <w:noWrap/>
          </w:tcPr>
          <w:p w14:paraId="42AF7F56">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3</w:t>
            </w:r>
          </w:p>
        </w:tc>
        <w:tc>
          <w:tcPr>
            <w:tcW w:w="3088" w:type="dxa"/>
            <w:shd w:val="clear" w:color="auto" w:fill="DBE5F1" w:themeFill="accent1" w:themeFillTint="33"/>
          </w:tcPr>
          <w:p w14:paraId="61B4E014">
            <w:pPr>
              <w:keepNext/>
              <w:keepLines/>
              <w:suppressAutoHyphens w:val="0"/>
              <w:contextualSpacing/>
              <w:rPr>
                <w:rFonts w:ascii="Calibri" w:hAnsi="Calibri" w:cs="Calibri" w:eastAsiaTheme="minorEastAsia"/>
                <w:color w:val="000000"/>
                <w:sz w:val="18"/>
                <w:szCs w:val="18"/>
              </w:rPr>
            </w:pPr>
            <w:r>
              <w:rPr>
                <w:rFonts w:ascii="Calibri" w:hAnsi="Calibri" w:cs="Calibri" w:eastAsiaTheme="minorEastAsia"/>
                <w:color w:val="000000"/>
                <w:sz w:val="18"/>
                <w:szCs w:val="18"/>
              </w:rPr>
              <w:t xml:space="preserve">Contratação de empresa especializada na coleta, identificação, classificação, segregação, acondicionamento com fornecimento de recipientes de armazenagem, tratamento, destinação final e emissão de certificação de destinação final de resíduos, conforme legislação vigente, dentre eles: lâmpadas diversas inteiras e reatores. </w:t>
            </w:r>
            <w:r>
              <w:rPr>
                <w:rFonts w:ascii="Calibri" w:hAnsi="Calibri" w:cs="Calibri" w:eastAsiaTheme="minorEastAsia"/>
                <w:b/>
                <w:bCs/>
                <w:color w:val="FF0000"/>
                <w:sz w:val="18"/>
                <w:szCs w:val="18"/>
              </w:rPr>
              <w:t>CATSER 24708</w:t>
            </w:r>
          </w:p>
        </w:tc>
        <w:tc>
          <w:tcPr>
            <w:tcW w:w="880" w:type="dxa"/>
            <w:shd w:val="clear" w:color="auto" w:fill="DBE5F1" w:themeFill="accent1" w:themeFillTint="33"/>
            <w:noWrap/>
          </w:tcPr>
          <w:p w14:paraId="7305574C">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UNID</w:t>
            </w:r>
          </w:p>
        </w:tc>
        <w:tc>
          <w:tcPr>
            <w:tcW w:w="1040" w:type="dxa"/>
            <w:shd w:val="clear" w:color="auto" w:fill="DBE5F1" w:themeFill="accent1" w:themeFillTint="33"/>
            <w:noWrap/>
          </w:tcPr>
          <w:p w14:paraId="2EF2FE5D">
            <w:pPr>
              <w:keepNext/>
              <w:keepLines/>
              <w:suppressAutoHyphens w:val="0"/>
              <w:contextualSpacing/>
              <w:jc w:val="center"/>
              <w:rPr>
                <w:rFonts w:ascii="Calibri" w:hAnsi="Calibri" w:cs="Calibri" w:eastAsiaTheme="minorEastAsia"/>
                <w:color w:val="000000"/>
                <w:sz w:val="18"/>
                <w:szCs w:val="18"/>
              </w:rPr>
            </w:pPr>
          </w:p>
        </w:tc>
        <w:tc>
          <w:tcPr>
            <w:tcW w:w="880" w:type="dxa"/>
            <w:shd w:val="clear" w:color="auto" w:fill="DBE5F1" w:themeFill="accent1" w:themeFillTint="33"/>
            <w:noWrap/>
          </w:tcPr>
          <w:p w14:paraId="3B150416">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1000</w:t>
            </w:r>
          </w:p>
        </w:tc>
        <w:tc>
          <w:tcPr>
            <w:tcW w:w="900" w:type="dxa"/>
            <w:shd w:val="clear" w:color="auto" w:fill="DBE5F1" w:themeFill="accent1" w:themeFillTint="33"/>
            <w:noWrap/>
          </w:tcPr>
          <w:p w14:paraId="304A92B7">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30000</w:t>
            </w:r>
          </w:p>
        </w:tc>
        <w:tc>
          <w:tcPr>
            <w:tcW w:w="836" w:type="dxa"/>
            <w:shd w:val="clear" w:color="auto" w:fill="DBE5F1" w:themeFill="accent1" w:themeFillTint="33"/>
            <w:noWrap/>
          </w:tcPr>
          <w:p w14:paraId="37EB3E56">
            <w:pPr>
              <w:keepNext/>
              <w:keepLines/>
              <w:suppressAutoHyphens w:val="0"/>
              <w:contextualSpacing/>
              <w:jc w:val="center"/>
              <w:rPr>
                <w:rFonts w:ascii="Calibri" w:hAnsi="Calibri" w:cs="Calibri" w:eastAsiaTheme="minorEastAsia"/>
                <w:color w:val="000000"/>
                <w:sz w:val="18"/>
                <w:szCs w:val="18"/>
              </w:rPr>
            </w:pPr>
          </w:p>
        </w:tc>
        <w:tc>
          <w:tcPr>
            <w:tcW w:w="950" w:type="dxa"/>
            <w:shd w:val="clear" w:color="auto" w:fill="DBE5F1" w:themeFill="accent1" w:themeFillTint="33"/>
            <w:noWrap/>
          </w:tcPr>
          <w:p w14:paraId="56C34A7F">
            <w:pPr>
              <w:keepNext/>
              <w:keepLines/>
              <w:suppressAutoHyphens w:val="0"/>
              <w:contextualSpacing/>
              <w:jc w:val="center"/>
              <w:rPr>
                <w:rFonts w:ascii="Calibri" w:hAnsi="Calibri" w:cs="Calibri" w:eastAsiaTheme="minorEastAsia"/>
                <w:color w:val="000000"/>
                <w:sz w:val="18"/>
                <w:szCs w:val="18"/>
              </w:rPr>
            </w:pPr>
          </w:p>
        </w:tc>
        <w:tc>
          <w:tcPr>
            <w:tcW w:w="1041" w:type="dxa"/>
            <w:shd w:val="clear" w:color="auto" w:fill="DBE5F1" w:themeFill="accent1" w:themeFillTint="33"/>
            <w:noWrap/>
          </w:tcPr>
          <w:p w14:paraId="1D0DE180">
            <w:pPr>
              <w:keepNext/>
              <w:keepLines/>
              <w:suppressAutoHyphens w:val="0"/>
              <w:contextualSpacing/>
              <w:jc w:val="center"/>
              <w:rPr>
                <w:rFonts w:ascii="Calibri" w:hAnsi="Calibri" w:cs="Calibri" w:eastAsiaTheme="minorEastAsia"/>
                <w:color w:val="000000"/>
                <w:sz w:val="18"/>
                <w:szCs w:val="18"/>
              </w:rPr>
            </w:pPr>
          </w:p>
        </w:tc>
      </w:tr>
      <w:tr w14:paraId="000277E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3687" w:type="dxa"/>
            <w:gridSpan w:val="2"/>
            <w:noWrap/>
          </w:tcPr>
          <w:p w14:paraId="2137F716">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VALOR TOTAL</w:t>
            </w:r>
          </w:p>
        </w:tc>
        <w:tc>
          <w:tcPr>
            <w:tcW w:w="880" w:type="dxa"/>
            <w:noWrap/>
          </w:tcPr>
          <w:p w14:paraId="7B0ECF5F">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 </w:t>
            </w:r>
          </w:p>
        </w:tc>
        <w:tc>
          <w:tcPr>
            <w:tcW w:w="1040" w:type="dxa"/>
            <w:noWrap/>
          </w:tcPr>
          <w:p w14:paraId="02365B30">
            <w:pPr>
              <w:keepNext/>
              <w:keepLines/>
              <w:suppressAutoHyphens w:val="0"/>
              <w:contextualSpacing/>
              <w:jc w:val="center"/>
              <w:rPr>
                <w:rFonts w:ascii="Calibri" w:hAnsi="Calibri" w:cs="Calibri" w:eastAsiaTheme="minorEastAsia"/>
                <w:color w:val="000000"/>
                <w:sz w:val="18"/>
                <w:szCs w:val="18"/>
              </w:rPr>
            </w:pPr>
            <w:r>
              <w:rPr>
                <w:rFonts w:ascii="Calibri" w:hAnsi="Calibri" w:cs="Calibri" w:eastAsiaTheme="minorEastAsia"/>
                <w:color w:val="000000"/>
                <w:sz w:val="18"/>
                <w:szCs w:val="18"/>
              </w:rPr>
              <w:t> </w:t>
            </w:r>
          </w:p>
        </w:tc>
        <w:tc>
          <w:tcPr>
            <w:tcW w:w="880" w:type="dxa"/>
            <w:noWrap/>
          </w:tcPr>
          <w:p w14:paraId="7A54F4A9">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1800,00</w:t>
            </w:r>
          </w:p>
        </w:tc>
        <w:tc>
          <w:tcPr>
            <w:tcW w:w="900" w:type="dxa"/>
            <w:noWrap/>
          </w:tcPr>
          <w:p w14:paraId="283AE864">
            <w:pPr>
              <w:keepNext/>
              <w:keepLines/>
              <w:suppressAutoHyphens w:val="0"/>
              <w:contextualSpacing/>
              <w:jc w:val="center"/>
              <w:rPr>
                <w:rFonts w:ascii="Calibri" w:hAnsi="Calibri" w:cs="Calibri" w:eastAsiaTheme="minorEastAsia"/>
                <w:b/>
                <w:bCs/>
                <w:color w:val="000000"/>
                <w:sz w:val="18"/>
                <w:szCs w:val="18"/>
              </w:rPr>
            </w:pPr>
            <w:r>
              <w:rPr>
                <w:rFonts w:ascii="Calibri" w:hAnsi="Calibri" w:cs="Calibri" w:eastAsiaTheme="minorEastAsia"/>
                <w:b/>
                <w:bCs/>
                <w:color w:val="000000"/>
                <w:sz w:val="18"/>
                <w:szCs w:val="18"/>
              </w:rPr>
              <w:t> </w:t>
            </w:r>
          </w:p>
        </w:tc>
        <w:tc>
          <w:tcPr>
            <w:tcW w:w="836" w:type="dxa"/>
            <w:noWrap/>
          </w:tcPr>
          <w:p w14:paraId="76F20B95">
            <w:pPr>
              <w:keepNext/>
              <w:keepLines/>
              <w:suppressAutoHyphens w:val="0"/>
              <w:contextualSpacing/>
              <w:jc w:val="center"/>
              <w:rPr>
                <w:rFonts w:ascii="Calibri" w:hAnsi="Calibri" w:cs="Calibri" w:eastAsiaTheme="minorEastAsia"/>
                <w:b/>
                <w:bCs/>
                <w:color w:val="000000"/>
                <w:sz w:val="18"/>
                <w:szCs w:val="18"/>
              </w:rPr>
            </w:pPr>
          </w:p>
        </w:tc>
        <w:tc>
          <w:tcPr>
            <w:tcW w:w="950" w:type="dxa"/>
            <w:noWrap/>
          </w:tcPr>
          <w:p w14:paraId="3EB3495E">
            <w:pPr>
              <w:keepNext/>
              <w:keepLines/>
              <w:suppressAutoHyphens w:val="0"/>
              <w:contextualSpacing/>
              <w:jc w:val="center"/>
              <w:rPr>
                <w:rFonts w:ascii="Calibri" w:hAnsi="Calibri" w:cs="Calibri" w:eastAsiaTheme="minorEastAsia"/>
                <w:b/>
                <w:bCs/>
                <w:color w:val="000000"/>
                <w:sz w:val="18"/>
                <w:szCs w:val="18"/>
              </w:rPr>
            </w:pPr>
          </w:p>
        </w:tc>
        <w:tc>
          <w:tcPr>
            <w:tcW w:w="1041" w:type="dxa"/>
            <w:noWrap/>
          </w:tcPr>
          <w:p w14:paraId="7F1266E6">
            <w:pPr>
              <w:keepNext/>
              <w:keepLines/>
              <w:suppressAutoHyphens w:val="0"/>
              <w:contextualSpacing/>
              <w:jc w:val="center"/>
              <w:rPr>
                <w:rFonts w:ascii="Calibri" w:hAnsi="Calibri" w:cs="Calibri" w:eastAsiaTheme="minorEastAsia"/>
                <w:b/>
                <w:bCs/>
                <w:color w:val="000000"/>
                <w:sz w:val="18"/>
                <w:szCs w:val="18"/>
              </w:rPr>
            </w:pPr>
          </w:p>
        </w:tc>
      </w:tr>
    </w:tbl>
    <w:p w14:paraId="448D05EE">
      <w:pPr>
        <w:pStyle w:val="99"/>
        <w:keepNext/>
        <w:keepLines/>
        <w:numPr>
          <w:ilvl w:val="1"/>
          <w:numId w:val="8"/>
        </w:numPr>
        <w:suppressLineNumbers/>
        <w:suppressAutoHyphens/>
        <w:spacing w:before="0" w:after="288" w:afterLines="120" w:line="360" w:lineRule="auto"/>
        <w:ind w:left="567" w:hanging="567"/>
        <w:contextualSpacing/>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keepNext/>
        <w:keepLines/>
        <w:numPr>
          <w:ilvl w:val="2"/>
          <w:numId w:val="8"/>
        </w:numPr>
        <w:suppressLineNumbers/>
        <w:suppressAutoHyphens/>
        <w:spacing w:before="0" w:after="288" w:afterLines="120" w:line="360" w:lineRule="auto"/>
        <w:ind w:left="567" w:hanging="567"/>
        <w:contextualSpacing/>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keepNext/>
        <w:keepLines/>
        <w:numPr>
          <w:ilvl w:val="2"/>
          <w:numId w:val="8"/>
        </w:numPr>
        <w:suppressLineNumbers/>
        <w:suppressAutoHyphens/>
        <w:spacing w:before="0" w:after="288" w:afterLines="120" w:line="360" w:lineRule="auto"/>
        <w:ind w:left="567" w:hanging="567"/>
        <w:contextualSpacing/>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keepNext/>
        <w:keepLines/>
        <w:numPr>
          <w:ilvl w:val="2"/>
          <w:numId w:val="8"/>
        </w:numPr>
        <w:suppressLineNumbers/>
        <w:suppressAutoHyphens/>
        <w:spacing w:before="0" w:after="288" w:afterLines="120" w:line="360" w:lineRule="auto"/>
        <w:ind w:left="567" w:hanging="567"/>
        <w:contextualSpacing/>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keepNext/>
        <w:keepLines/>
        <w:numPr>
          <w:ilvl w:val="2"/>
          <w:numId w:val="8"/>
        </w:numPr>
        <w:suppressLineNumbers/>
        <w:suppressAutoHyphens/>
        <w:spacing w:before="0" w:after="288" w:afterLines="120" w:line="360" w:lineRule="auto"/>
        <w:ind w:left="567" w:hanging="567"/>
        <w:contextualSpacing/>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756EC55">
      <w:pPr>
        <w:pStyle w:val="101"/>
        <w:keepNext/>
        <w:keepLines/>
        <w:numPr>
          <w:ilvl w:val="0"/>
          <w:numId w:val="0"/>
        </w:numPr>
        <w:suppressLineNumbers/>
        <w:suppressAutoHyphens/>
        <w:spacing w:before="0" w:after="288" w:afterLines="120" w:line="360" w:lineRule="auto"/>
        <w:ind w:left="2160" w:hanging="180"/>
        <w:contextualSpacing/>
        <w:rPr>
          <w:rFonts w:asciiTheme="minorHAnsi" w:hAnsiTheme="minorHAnsi" w:cstheme="minorHAnsi"/>
          <w:sz w:val="22"/>
          <w:szCs w:val="22"/>
          <w:lang w:val="zh-CN"/>
        </w:rPr>
      </w:pPr>
    </w:p>
    <w:p w14:paraId="7D2274F5">
      <w:pPr>
        <w:pStyle w:val="101"/>
        <w:keepNext/>
        <w:keepLines/>
        <w:numPr>
          <w:ilvl w:val="0"/>
          <w:numId w:val="8"/>
        </w:numPr>
        <w:suppressLineNumbers/>
        <w:suppressAutoHyphens/>
        <w:spacing w:before="0" w:after="288" w:afterLines="120" w:line="360" w:lineRule="auto"/>
        <w:contextualSpacing/>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53C92455">
      <w:pPr>
        <w:pStyle w:val="78"/>
        <w:keepNext/>
        <w:keepLines/>
        <w:numPr>
          <w:ilvl w:val="1"/>
          <w:numId w:val="9"/>
        </w:numPr>
        <w:suppressLineNumbers/>
        <w:spacing w:beforeAutospacing="1" w:after="288" w:afterLines="120" w:line="360" w:lineRule="auto"/>
        <w:ind w:left="567" w:hanging="567"/>
        <w:jc w:val="both"/>
        <w:rPr>
          <w:rFonts w:asciiTheme="minorHAnsi" w:hAnsiTheme="minorHAnsi" w:cstheme="minorHAnsi"/>
          <w:sz w:val="22"/>
          <w:szCs w:val="22"/>
        </w:rPr>
      </w:pPr>
      <w:r>
        <w:rPr>
          <w:rFonts w:asciiTheme="minorHAnsi" w:hAnsiTheme="minorHAnsi" w:cstheme="minorHAnsi"/>
          <w:color w:val="000000"/>
          <w:sz w:val="22"/>
          <w:szCs w:val="22"/>
        </w:rPr>
        <w:t>O prazo de vigência da contratação é de 30 (trinta) meses contados da assinatura das partes, prorrogável para até 10 anos, na forma dos artigos 106 e 107 da Lei n° 14.133, de 2021.</w:t>
      </w:r>
    </w:p>
    <w:p w14:paraId="65B1B592">
      <w:pPr>
        <w:pStyle w:val="78"/>
        <w:keepNext/>
        <w:keepLines/>
        <w:suppressLineNumbers/>
        <w:spacing w:beforeAutospacing="1" w:after="288" w:afterLines="120" w:line="360" w:lineRule="auto"/>
        <w:ind w:left="567"/>
        <w:jc w:val="both"/>
        <w:rPr>
          <w:rFonts w:asciiTheme="minorHAnsi" w:hAnsiTheme="minorHAnsi" w:cstheme="minorHAnsi"/>
          <w:sz w:val="22"/>
          <w:szCs w:val="22"/>
        </w:rPr>
      </w:pPr>
    </w:p>
    <w:p w14:paraId="16EE69CD">
      <w:pPr>
        <w:pStyle w:val="78"/>
        <w:keepNext/>
        <w:keepLines/>
        <w:numPr>
          <w:ilvl w:val="1"/>
          <w:numId w:val="9"/>
        </w:numPr>
        <w:suppressLineNumbers/>
        <w:spacing w:beforeAutospacing="1" w:after="288" w:afterLines="120" w:line="360" w:lineRule="auto"/>
        <w:ind w:left="567" w:hanging="567"/>
        <w:jc w:val="both"/>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keepNext/>
        <w:keepLines/>
        <w:numPr>
          <w:ilvl w:val="1"/>
          <w:numId w:val="10"/>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keepNext/>
        <w:keepLines/>
        <w:numPr>
          <w:ilvl w:val="1"/>
          <w:numId w:val="10"/>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keepNext/>
        <w:keepLines/>
        <w:numPr>
          <w:ilvl w:val="1"/>
          <w:numId w:val="10"/>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keepNext/>
        <w:keepLines/>
        <w:numPr>
          <w:ilvl w:val="1"/>
          <w:numId w:val="10"/>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5A2DA6E8">
      <w:pPr>
        <w:pStyle w:val="99"/>
        <w:keepNext/>
        <w:keepLines/>
        <w:numPr>
          <w:ilvl w:val="1"/>
          <w:numId w:val="10"/>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468FA35">
      <w:pPr>
        <w:pStyle w:val="99"/>
        <w:keepNext/>
        <w:keepLines/>
        <w:numPr>
          <w:ilvl w:val="1"/>
          <w:numId w:val="9"/>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keepNext/>
        <w:keepLines/>
        <w:numPr>
          <w:ilvl w:val="1"/>
          <w:numId w:val="9"/>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keepNext/>
        <w:keepLines/>
        <w:numPr>
          <w:ilvl w:val="1"/>
          <w:numId w:val="9"/>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keepNext/>
        <w:keepLines/>
        <w:numPr>
          <w:ilvl w:val="1"/>
          <w:numId w:val="9"/>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77"/>
      <w:bookmarkEnd w:id="0"/>
      <w:bookmarkStart w:id="1" w:name="_Hlk114497502"/>
      <w:bookmarkEnd w:id="1"/>
    </w:p>
    <w:p w14:paraId="42A1093D">
      <w:pPr>
        <w:pStyle w:val="99"/>
        <w:keepNext/>
        <w:keepLines/>
        <w:numPr>
          <w:ilvl w:val="0"/>
          <w:numId w:val="0"/>
        </w:numPr>
        <w:suppressLineNumbers/>
        <w:suppressAutoHyphens/>
        <w:spacing w:before="0" w:after="0" w:line="360" w:lineRule="auto"/>
        <w:ind w:left="567"/>
        <w:contextualSpacing/>
        <w:rPr>
          <w:rFonts w:asciiTheme="minorHAnsi" w:hAnsiTheme="minorHAnsi" w:cstheme="minorHAnsi"/>
          <w:sz w:val="22"/>
          <w:szCs w:val="22"/>
        </w:rPr>
      </w:pPr>
    </w:p>
    <w:p w14:paraId="2710741E">
      <w:pPr>
        <w:pStyle w:val="99"/>
        <w:keepNext/>
        <w:keepLines/>
        <w:numPr>
          <w:ilvl w:val="0"/>
          <w:numId w:val="9"/>
        </w:numPr>
        <w:suppressLineNumbers/>
        <w:suppressAutoHyphens/>
        <w:spacing w:before="0" w:after="0" w:line="360" w:lineRule="auto"/>
        <w:contextualSpacing/>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keepNext/>
        <w:keepLines/>
        <w:numPr>
          <w:ilvl w:val="1"/>
          <w:numId w:val="11"/>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3AC2C79C">
      <w:pPr>
        <w:pStyle w:val="99"/>
        <w:keepNext/>
        <w:keepLines/>
        <w:numPr>
          <w:ilvl w:val="0"/>
          <w:numId w:val="0"/>
        </w:numPr>
        <w:suppressLineNumbers/>
        <w:suppressAutoHyphens/>
        <w:spacing w:before="0" w:after="288" w:afterLines="120" w:line="360" w:lineRule="auto"/>
        <w:ind w:left="858" w:hanging="432"/>
        <w:contextualSpacing/>
        <w:rPr>
          <w:rFonts w:asciiTheme="minorHAnsi" w:hAnsiTheme="minorHAnsi" w:cstheme="minorHAnsi"/>
          <w:sz w:val="22"/>
          <w:szCs w:val="22"/>
        </w:rPr>
      </w:pPr>
    </w:p>
    <w:p w14:paraId="60DE92CA">
      <w:pPr>
        <w:pStyle w:val="99"/>
        <w:keepNext/>
        <w:keepLines/>
        <w:numPr>
          <w:ilvl w:val="0"/>
          <w:numId w:val="11"/>
        </w:numPr>
        <w:suppressLineNumbers/>
        <w:suppressAutoHyphens/>
        <w:spacing w:before="0" w:after="288" w:afterLines="120" w:line="360" w:lineRule="auto"/>
        <w:contextualSpacing/>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040B844">
      <w:pPr>
        <w:pStyle w:val="482"/>
        <w:keepNext/>
        <w:keepLines/>
        <w:numPr>
          <w:ilvl w:val="1"/>
          <w:numId w:val="12"/>
        </w:numPr>
        <w:spacing w:before="120" w:beforeAutospacing="0" w:after="120" w:afterAutospacing="0" w:line="360" w:lineRule="auto"/>
        <w:ind w:right="120"/>
        <w:contextualSpacing/>
        <w:jc w:val="both"/>
        <w:rPr>
          <w:rFonts w:ascii="Calibri" w:hAnsi="Calibri" w:cs="Calibri"/>
          <w:color w:val="000000"/>
          <w:sz w:val="22"/>
          <w:szCs w:val="22"/>
        </w:rPr>
      </w:pPr>
      <w:r>
        <w:rPr>
          <w:rFonts w:ascii="Calibri" w:hAnsi="Calibri" w:cs="Calibri"/>
          <w:color w:val="000000"/>
          <w:sz w:val="22"/>
          <w:szCs w:val="22"/>
        </w:rPr>
        <w:t>A disposição final em aterro licenciado poderá ser subcontratada pela CONTRATADA, devendo esta, no entanto, informar qual será o (s) local (is) utilizado (s), sendo vedada a sub-rogação completa ou da parcela principal da obrigação.</w:t>
      </w:r>
    </w:p>
    <w:p w14:paraId="26FF2E74">
      <w:pPr>
        <w:pStyle w:val="482"/>
        <w:keepNext/>
        <w:keepLines/>
        <w:numPr>
          <w:ilvl w:val="1"/>
          <w:numId w:val="12"/>
        </w:numPr>
        <w:spacing w:before="120" w:beforeAutospacing="0" w:after="120" w:afterAutospacing="0" w:line="360" w:lineRule="auto"/>
        <w:ind w:right="120"/>
        <w:contextualSpacing/>
        <w:jc w:val="both"/>
        <w:rPr>
          <w:rFonts w:ascii="Calibri" w:hAnsi="Calibri" w:cs="Calibri"/>
          <w:color w:val="000000"/>
          <w:sz w:val="22"/>
          <w:szCs w:val="22"/>
        </w:rPr>
      </w:pPr>
      <w:r>
        <w:rPr>
          <w:rFonts w:ascii="Calibri" w:hAnsi="Calibri" w:cs="Calibri"/>
          <w:color w:val="000000"/>
          <w:sz w:val="22"/>
          <w:szCs w:val="22"/>
        </w:rPr>
        <w:t>O tratamento dos resíduos (sólidos e líquidos) poderá ser subcontratado pela CONTRATADA, devendo esta, no entanto, informar qual será a empresa responsável pelo serviço, </w:t>
      </w:r>
      <w:r>
        <w:rPr>
          <w:rStyle w:val="13"/>
          <w:rFonts w:ascii="Calibri" w:hAnsi="Calibri" w:cs="Calibri"/>
          <w:color w:val="000000"/>
          <w:sz w:val="22"/>
          <w:szCs w:val="22"/>
        </w:rPr>
        <w:t>apresentar a licença ambiental da referida empresa e termo de prestação de serviços firmado entre as partes.</w:t>
      </w:r>
    </w:p>
    <w:p w14:paraId="0394BA50">
      <w:pPr>
        <w:pStyle w:val="482"/>
        <w:keepNext/>
        <w:keepLines/>
        <w:numPr>
          <w:ilvl w:val="1"/>
          <w:numId w:val="12"/>
        </w:numPr>
        <w:spacing w:before="120" w:beforeAutospacing="0" w:after="120" w:afterAutospacing="0" w:line="360" w:lineRule="auto"/>
        <w:ind w:right="120"/>
        <w:contextualSpacing/>
        <w:jc w:val="both"/>
        <w:rPr>
          <w:rFonts w:ascii="Calibri" w:hAnsi="Calibri" w:cs="Calibri"/>
          <w:color w:val="000000"/>
          <w:sz w:val="22"/>
          <w:szCs w:val="22"/>
        </w:rPr>
      </w:pPr>
      <w:r>
        <w:rPr>
          <w:rFonts w:ascii="Calibri" w:hAnsi="Calibri" w:cs="Calibri"/>
          <w:color w:val="000000"/>
          <w:sz w:val="22"/>
          <w:szCs w:val="22"/>
        </w:rPr>
        <w:t>As microempresas e/ou empresas de pequeno porte a serem subcontratadas serão indicadas e qualificadas pela licitante melhor classificada juntamente com a descrição dos bens e/ou serviços a serem por elas fornecidos e seus respectivos valores;</w:t>
      </w:r>
    </w:p>
    <w:p w14:paraId="23CD062D">
      <w:pPr>
        <w:pStyle w:val="482"/>
        <w:keepNext/>
        <w:keepLines/>
        <w:numPr>
          <w:ilvl w:val="1"/>
          <w:numId w:val="12"/>
        </w:numPr>
        <w:spacing w:before="120" w:beforeAutospacing="0" w:after="120" w:afterAutospacing="0" w:line="360" w:lineRule="auto"/>
        <w:ind w:right="120"/>
        <w:contextualSpacing/>
        <w:jc w:val="both"/>
        <w:rPr>
          <w:rFonts w:ascii="Calibri" w:hAnsi="Calibri" w:cs="Calibri"/>
          <w:color w:val="000000"/>
          <w:sz w:val="22"/>
          <w:szCs w:val="22"/>
        </w:rPr>
      </w:pPr>
      <w:r>
        <w:rPr>
          <w:rFonts w:ascii="Calibri" w:hAnsi="Calibri" w:cs="Calibri"/>
          <w:color w:val="000000"/>
          <w:sz w:val="22"/>
          <w:szCs w:val="22"/>
        </w:rPr>
        <w:t>São obrigações adicionais da contratada, em razão da subcontratação:</w:t>
      </w:r>
    </w:p>
    <w:p w14:paraId="2C732A50">
      <w:pPr>
        <w:pStyle w:val="482"/>
        <w:keepNext/>
        <w:keepLines/>
        <w:numPr>
          <w:ilvl w:val="2"/>
          <w:numId w:val="12"/>
        </w:numPr>
        <w:spacing w:before="120" w:beforeAutospacing="0" w:after="120" w:afterAutospacing="0" w:line="360" w:lineRule="auto"/>
        <w:ind w:right="120"/>
        <w:contextualSpacing/>
        <w:jc w:val="both"/>
        <w:rPr>
          <w:rFonts w:ascii="Calibri" w:hAnsi="Calibri" w:cs="Calibri"/>
          <w:color w:val="000000"/>
          <w:sz w:val="22"/>
          <w:szCs w:val="22"/>
        </w:rPr>
      </w:pPr>
      <w:r>
        <w:rPr>
          <w:rFonts w:ascii="Calibri" w:hAnsi="Calibri" w:cs="Calibri"/>
          <w:color w:val="000000"/>
          <w:sz w:val="22"/>
          <w:szCs w:val="22"/>
        </w:rPr>
        <w:t>apresentar a documentação de regularidade fiscal das microempresas e empresas de pequeno porte subcontratadas, sob pena de rescisão, aplicando-se o prazo para regularização previsto no § 1º do art. 4º do </w:t>
      </w:r>
      <w:r>
        <w:fldChar w:fldCharType="begin"/>
      </w:r>
      <w:r>
        <w:instrText xml:space="preserve"> HYPERLINK "http://www.planalto.gov.br/ccivil_03/_ato2015-2018/2015/decreto/D8538.htm" \t "_blank" </w:instrText>
      </w:r>
      <w:r>
        <w:fldChar w:fldCharType="separate"/>
      </w:r>
      <w:r>
        <w:rPr>
          <w:rStyle w:val="18"/>
          <w:rFonts w:ascii="Calibri" w:hAnsi="Calibri" w:cs="Calibri"/>
          <w:sz w:val="22"/>
          <w:szCs w:val="22"/>
        </w:rPr>
        <w:t>Decreto nº 8.538, de 6 de outubro de 2015</w:t>
      </w:r>
      <w:r>
        <w:rPr>
          <w:rStyle w:val="18"/>
          <w:rFonts w:ascii="Calibri" w:hAnsi="Calibri" w:cs="Calibri"/>
          <w:sz w:val="22"/>
          <w:szCs w:val="22"/>
        </w:rPr>
        <w:fldChar w:fldCharType="end"/>
      </w:r>
      <w:r>
        <w:rPr>
          <w:rFonts w:ascii="Calibri" w:hAnsi="Calibri" w:cs="Calibri"/>
          <w:color w:val="000000"/>
          <w:sz w:val="22"/>
          <w:szCs w:val="22"/>
        </w:rPr>
        <w:t>;</w:t>
      </w:r>
    </w:p>
    <w:p w14:paraId="1811EF03">
      <w:pPr>
        <w:pStyle w:val="482"/>
        <w:keepNext/>
        <w:keepLines/>
        <w:numPr>
          <w:ilvl w:val="2"/>
          <w:numId w:val="12"/>
        </w:numPr>
        <w:spacing w:before="120" w:beforeAutospacing="0" w:after="120" w:afterAutospacing="0" w:line="360" w:lineRule="auto"/>
        <w:ind w:right="120"/>
        <w:contextualSpacing/>
        <w:jc w:val="both"/>
        <w:rPr>
          <w:rFonts w:ascii="Calibri" w:hAnsi="Calibri" w:cs="Calibri"/>
          <w:color w:val="000000"/>
          <w:sz w:val="22"/>
          <w:szCs w:val="22"/>
        </w:rPr>
      </w:pPr>
      <w:r>
        <w:rPr>
          <w:rFonts w:ascii="Calibri" w:hAnsi="Calibri" w:cs="Calibri"/>
          <w:color w:val="000000"/>
          <w:sz w:val="22"/>
          <w:szCs w:val="22"/>
        </w:rPr>
        <w:t>Substituir a subcontratada, no prazo máximo de trinta dias, na hipótese de extinção da subcontratação, mantendo o percentual originalmente subcontratado até a sua execução total, notificando o órgão ou entidade contratante, sob pena de rescisão, sem prejuízo das sanções cabíveis, ou a demonstrar a inviabilidade da substituição, hipótese em que ficará responsável pela execução da parcela originalmente subcontratada;</w:t>
      </w:r>
    </w:p>
    <w:p w14:paraId="3384E279">
      <w:pPr>
        <w:pStyle w:val="482"/>
        <w:keepNext/>
        <w:keepLines/>
        <w:numPr>
          <w:ilvl w:val="1"/>
          <w:numId w:val="12"/>
        </w:numPr>
        <w:spacing w:before="120" w:beforeAutospacing="0" w:after="120" w:afterAutospacing="0" w:line="360" w:lineRule="auto"/>
        <w:ind w:right="120"/>
        <w:contextualSpacing/>
        <w:jc w:val="both"/>
        <w:rPr>
          <w:rFonts w:ascii="Calibri" w:hAnsi="Calibri" w:cs="Calibri"/>
          <w:color w:val="000000"/>
          <w:sz w:val="22"/>
          <w:szCs w:val="22"/>
        </w:rPr>
      </w:pPr>
      <w:r>
        <w:rPr>
          <w:rFonts w:ascii="Calibri" w:hAnsi="Calibri" w:cs="Calibri"/>
          <w:color w:val="000000"/>
          <w:sz w:val="22"/>
          <w:szCs w:val="22"/>
        </w:rPr>
        <w:t>Em qualquer hipótese de subcontratação, permanece a responsabilidade integral da Contratada pela perfeita execução contratual, bem como pela padronização, pela compatibilidade, pelo gerenciamento centralizado e pela qualidade da subcontratação, cabendo-lhe realizar a supervisão e coordenação das atividades da subcontratada, bem como responder perante a Contratante pelo rigoroso cumprimento das obrigações contratuais correspondentes ao objeto da subcontratação.</w:t>
      </w:r>
    </w:p>
    <w:p w14:paraId="39317F93">
      <w:pPr>
        <w:pStyle w:val="482"/>
        <w:keepNext/>
        <w:keepLines/>
        <w:numPr>
          <w:ilvl w:val="1"/>
          <w:numId w:val="12"/>
        </w:numPr>
        <w:spacing w:before="120" w:beforeAutospacing="0" w:after="120" w:afterAutospacing="0" w:line="360" w:lineRule="auto"/>
        <w:ind w:right="120"/>
        <w:contextualSpacing/>
        <w:jc w:val="both"/>
        <w:rPr>
          <w:rFonts w:ascii="Calibri" w:hAnsi="Calibri" w:cs="Calibri"/>
          <w:color w:val="000000"/>
          <w:sz w:val="22"/>
          <w:szCs w:val="22"/>
        </w:rPr>
      </w:pPr>
      <w:r>
        <w:rPr>
          <w:rFonts w:ascii="Calibri" w:hAnsi="Calibri" w:cs="Calibri"/>
          <w:color w:val="000000"/>
          <w:sz w:val="22"/>
          <w:szCs w:val="22"/>
        </w:rPr>
        <w:t>Não será aplicável a exigência de subcontratação quando a licitante for qualificada como microempresa ou empresa de pequeno porte.</w:t>
      </w:r>
    </w:p>
    <w:p w14:paraId="65FF982D">
      <w:pPr>
        <w:pStyle w:val="482"/>
        <w:keepNext/>
        <w:keepLines/>
        <w:spacing w:before="120" w:beforeAutospacing="0" w:after="120" w:afterAutospacing="0" w:line="360" w:lineRule="auto"/>
        <w:ind w:right="120"/>
        <w:contextualSpacing/>
        <w:jc w:val="both"/>
        <w:rPr>
          <w:rFonts w:ascii="Calibri" w:hAnsi="Calibri" w:cs="Calibri"/>
          <w:color w:val="000000"/>
          <w:sz w:val="22"/>
          <w:szCs w:val="22"/>
        </w:rPr>
      </w:pPr>
    </w:p>
    <w:p w14:paraId="48DA5DD2">
      <w:pPr>
        <w:pStyle w:val="482"/>
        <w:keepNext/>
        <w:keepLines/>
        <w:numPr>
          <w:ilvl w:val="0"/>
          <w:numId w:val="13"/>
        </w:numPr>
        <w:suppressLineNumbers/>
        <w:suppressAutoHyphens/>
        <w:spacing w:before="0" w:beforeAutospacing="0" w:after="0" w:afterAutospacing="0" w:line="360" w:lineRule="auto"/>
        <w:ind w:right="120"/>
        <w:contextualSpacing/>
        <w:jc w:val="both"/>
        <w:rPr>
          <w:rFonts w:asciiTheme="minorHAnsi" w:hAnsiTheme="minorHAnsi" w:cstheme="minorHAnsi"/>
          <w:b/>
          <w:bCs/>
          <w:color w:val="000000"/>
          <w:sz w:val="22"/>
          <w:szCs w:val="22"/>
        </w:rPr>
      </w:pPr>
      <w:r>
        <w:rPr>
          <w:rFonts w:asciiTheme="minorHAnsi" w:hAnsiTheme="minorHAnsi" w:cstheme="minorHAnsi"/>
          <w:b/>
          <w:bCs/>
          <w:sz w:val="22"/>
          <w:szCs w:val="22"/>
        </w:rPr>
        <w:t>CLÁUSULA QUINTA - PREÇO</w:t>
      </w:r>
    </w:p>
    <w:p w14:paraId="7C4E1701">
      <w:pPr>
        <w:pStyle w:val="99"/>
        <w:keepNext/>
        <w:keepLines/>
        <w:numPr>
          <w:ilvl w:val="1"/>
          <w:numId w:val="13"/>
        </w:numPr>
        <w:suppressLineNumbers/>
        <w:suppressAutoHyphens/>
        <w:spacing w:before="0"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14:paraId="5AD579C6">
      <w:pPr>
        <w:pStyle w:val="99"/>
        <w:keepNext/>
        <w:keepLines/>
        <w:numPr>
          <w:ilvl w:val="1"/>
          <w:numId w:val="13"/>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keepNext/>
        <w:keepLines/>
        <w:numPr>
          <w:ilvl w:val="1"/>
          <w:numId w:val="13"/>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0395FCEB">
      <w:pPr>
        <w:pStyle w:val="99"/>
        <w:keepNext/>
        <w:keepLines/>
        <w:numPr>
          <w:ilvl w:val="0"/>
          <w:numId w:val="0"/>
        </w:numPr>
        <w:suppressLineNumbers/>
        <w:suppressAutoHyphens/>
        <w:spacing w:before="0" w:after="288" w:afterLines="120" w:line="360" w:lineRule="auto"/>
        <w:ind w:left="858" w:hanging="432"/>
        <w:contextualSpacing/>
        <w:rPr>
          <w:rFonts w:asciiTheme="minorHAnsi" w:hAnsiTheme="minorHAnsi" w:cstheme="minorHAnsi"/>
          <w:sz w:val="22"/>
          <w:szCs w:val="22"/>
        </w:rPr>
      </w:pPr>
    </w:p>
    <w:p w14:paraId="7BB62FF6">
      <w:pPr>
        <w:pStyle w:val="99"/>
        <w:keepNext/>
        <w:keepLines/>
        <w:numPr>
          <w:ilvl w:val="0"/>
          <w:numId w:val="13"/>
        </w:numPr>
        <w:suppressLineNumbers/>
        <w:suppressAutoHyphens/>
        <w:spacing w:before="0" w:after="288" w:afterLines="120" w:line="360" w:lineRule="auto"/>
        <w:contextualSpacing/>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keepNext/>
        <w:keepLines/>
        <w:numPr>
          <w:ilvl w:val="1"/>
          <w:numId w:val="13"/>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color w:val="000000"/>
          <w:sz w:val="22"/>
          <w:szCs w:val="22"/>
        </w:rPr>
        <w:t>O prazo para pagamento ao contratado e demais condições a ele referentes encontram-se definidos no Termo de Referência, anexo a este Contrato.</w:t>
      </w:r>
    </w:p>
    <w:p w14:paraId="16738B88">
      <w:pPr>
        <w:pStyle w:val="99"/>
        <w:keepNext/>
        <w:keepLines/>
        <w:numPr>
          <w:ilvl w:val="0"/>
          <w:numId w:val="0"/>
        </w:numPr>
        <w:suppressLineNumbers/>
        <w:suppressAutoHyphens/>
        <w:spacing w:before="0" w:after="0" w:line="360" w:lineRule="auto"/>
        <w:ind w:left="567"/>
        <w:contextualSpacing/>
        <w:rPr>
          <w:rFonts w:asciiTheme="minorHAnsi" w:hAnsiTheme="minorHAnsi" w:cstheme="minorHAnsi"/>
          <w:sz w:val="22"/>
          <w:szCs w:val="22"/>
        </w:rPr>
      </w:pPr>
    </w:p>
    <w:p w14:paraId="7D6A4131">
      <w:pPr>
        <w:keepNext/>
        <w:keepLines/>
        <w:suppressLineNumbers/>
        <w:spacing w:before="100" w:beforeAutospacing="1" w:line="360" w:lineRule="auto"/>
        <w:contextualSpacing/>
        <w:jc w:val="both"/>
        <w:rPr>
          <w:rFonts w:asciiTheme="minorHAnsi" w:hAnsiTheme="minorHAnsi" w:cstheme="minorHAnsi"/>
          <w:b/>
          <w:bCs/>
          <w:color w:val="000000"/>
          <w:sz w:val="22"/>
          <w:szCs w:val="22"/>
        </w:rPr>
      </w:pPr>
      <w:r>
        <w:rPr>
          <w:rFonts w:asciiTheme="minorHAnsi" w:hAnsiTheme="minorHAnsi" w:cstheme="minorHAnsi"/>
          <w:b/>
          <w:bCs/>
          <w:color w:val="000000"/>
          <w:sz w:val="22"/>
          <w:szCs w:val="22"/>
        </w:rPr>
        <w:t>7. CLÁUSULA SÉTIMA - REAJUSTE (art. 92, V)</w:t>
      </w:r>
    </w:p>
    <w:p w14:paraId="13AAEE3D">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7.1. Os preços inicialmente contratados são fixos e irreajustáveis no prazo de um ano contado da data do orçamento estimado, em __/__/__ (DD/MM/AAAA). </w:t>
      </w:r>
    </w:p>
    <w:p w14:paraId="7053F05B">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7.2.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F38C120">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7.3. Nos reajustes subsequentes ao primeiro, o interregno mínimo de um ano será contado a partir dos efeitos financeiros do último reajuste.</w:t>
      </w:r>
    </w:p>
    <w:p w14:paraId="1F55E263">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7.4. No caso de atraso ou não divulgação do(s) índice (s) de reajustamento, o contratante pagará ao contratado a importância calculada pela última variação conhecida, liquidando a diferença correspondente tão logo seja(m) divulgado(s) o(s) índice(s) definitivo(s).</w:t>
      </w:r>
    </w:p>
    <w:p w14:paraId="3CDAA9CF">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7.5. Nas aferições finais, o(s) índice(s) utilizado(s) para reajuste será(ão), obrigatoriamente, o(s) definitivo(s).</w:t>
      </w:r>
    </w:p>
    <w:p w14:paraId="2BB14CBB">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7.6. Caso o(s) índice(s) estabelecido(s) para reajustamento venha(m) a ser extinto(s) ou de qualquer forma não possa(m) mais ser utilizado(s), será(ão) adotado(s), em substituição, o(s) que vier(em) a ser determinado(s) pela legislação então em vigor.</w:t>
      </w:r>
    </w:p>
    <w:p w14:paraId="4BD9764D">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7.7. Na ausência de previsão legal quanto ao índice substituto, as partes elegerão novo índice oficial, para reajustamento do preço do valor remanescente, por meio de termo aditivo.</w:t>
      </w:r>
    </w:p>
    <w:p w14:paraId="709C560A">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7.8. O reajuste será realizado por apostilamento.</w:t>
      </w:r>
    </w:p>
    <w:p w14:paraId="3E58F1E1">
      <w:pPr>
        <w:keepNext/>
        <w:keepLines/>
        <w:suppressLineNumbers/>
        <w:spacing w:before="100" w:beforeAutospacing="1" w:line="360" w:lineRule="auto"/>
        <w:contextualSpacing/>
        <w:jc w:val="both"/>
        <w:rPr>
          <w:rFonts w:asciiTheme="minorHAnsi" w:hAnsiTheme="minorHAnsi" w:cstheme="minorHAnsi"/>
          <w:color w:val="000000"/>
          <w:sz w:val="22"/>
          <w:szCs w:val="22"/>
        </w:rPr>
      </w:pPr>
    </w:p>
    <w:p w14:paraId="207ED06E">
      <w:pPr>
        <w:pStyle w:val="90"/>
        <w:numPr>
          <w:ilvl w:val="0"/>
          <w:numId w:val="14"/>
        </w:numPr>
        <w:suppressLineNumbers/>
        <w:suppressAutoHyphens/>
        <w:spacing w:before="0" w:line="360" w:lineRule="auto"/>
        <w:contextualSpacing/>
        <w:rPr>
          <w:rFonts w:eastAsia="Times New Roman" w:asciiTheme="minorHAnsi" w:hAnsiTheme="minorHAnsi" w:cstheme="minorHAnsi"/>
          <w:sz w:val="22"/>
          <w:szCs w:val="22"/>
        </w:rPr>
      </w:pPr>
      <w:r>
        <w:rPr>
          <w:rFonts w:asciiTheme="minorHAnsi" w:hAnsiTheme="minorHAnsi" w:cstheme="minorHAnsi"/>
          <w:sz w:val="22"/>
          <w:szCs w:val="22"/>
        </w:rP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AB23EC9">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São obrigações do Contratante:</w:t>
      </w:r>
    </w:p>
    <w:p w14:paraId="3FA5278C">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Exigir o cumprimento de todas as obrigações assumidas pelo Contratado, de acordo com o contrato e seus anexos;</w:t>
      </w:r>
    </w:p>
    <w:p w14:paraId="14F9B8AE">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Receber o objeto no prazo e condições estabelecidas no Termo de Referência;</w:t>
      </w:r>
    </w:p>
    <w:p w14:paraId="072D09F4">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Notificar o Contratado, por escrito, sobre vícios, defeitos ou incorreções verificadas no objeto fornecido, para que seja por ele substituído, reparado ou corrigido, no total ou em parte, às suas expensas;</w:t>
      </w:r>
    </w:p>
    <w:p w14:paraId="65B006BF">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Acompanhar e fiscalizar a execução do contrato e o cumprimento das obrigações pelo Contratado;</w:t>
      </w:r>
    </w:p>
    <w:p w14:paraId="6A6BC6FC">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Comunicar a empresa para emissão de Nota Fiscal no que pertine à parcela incontroversa da execução do objeto, para efeito de liquidação e pagamento, quando houver controvérsia sobre a execução do objeto, quanto à dimensão, qualidade e quantidade, conforme o art. 143 da Lei nº 14.133, de 2021;</w:t>
      </w:r>
    </w:p>
    <w:p w14:paraId="34723396">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Efetuar o pagamento ao Contratado do valor correspondente à execução do objeto, no prazo, forma e condições estabelecidos no presente Contrato e no Termo de Referência;</w:t>
      </w:r>
    </w:p>
    <w:p w14:paraId="2946FE09">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Aplicar ao Contratado as sanções previstas na lei e neste Contrato;</w:t>
      </w:r>
    </w:p>
    <w:p w14:paraId="5AF7E39B">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Cientificar o órgão de representação judicial da Advocacia-Geral da União para adoção das medidas cabíveis quando do descumprimento de obrigações pelo Contratado;</w:t>
      </w:r>
    </w:p>
    <w:p w14:paraId="2E24F05A">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00B2CFE">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A Administração terá o prazo de 30 (trinta) dias, a contar da data do protocolo do requerimento para decidir, admitida a prorrogação motivada, por igual período. </w:t>
      </w:r>
    </w:p>
    <w:p w14:paraId="6D160AC2">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Responder eventuais pedidos de reestabelecimento do equilíbrio econômico-financeiro feitos pelo contratado no prazo máximo de trinta dias. </w:t>
      </w:r>
    </w:p>
    <w:p w14:paraId="79768978">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Notificar os emitentes das garantias quanto ao início de processo administrativo para apuração de descumprimento de cláusulas contratuais.</w:t>
      </w:r>
    </w:p>
    <w:p w14:paraId="307E8D38">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Comunicar o Contratado na hipótese de posterior alteração do projeto pelo Contratante, no caso do art. 93, §2º, da Lei nº 14.133, de 2021.</w:t>
      </w:r>
    </w:p>
    <w:p w14:paraId="56BDE391">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pPr>
        <w:pStyle w:val="99"/>
        <w:keepNext/>
        <w:keepLines/>
        <w:numPr>
          <w:ilvl w:val="0"/>
          <w:numId w:val="0"/>
        </w:numPr>
        <w:suppressLineNumbers/>
        <w:suppressAutoHyphens/>
        <w:spacing w:before="0" w:after="288" w:afterLines="120" w:line="360" w:lineRule="auto"/>
        <w:ind w:left="567"/>
        <w:contextualSpacing/>
        <w:rPr>
          <w:rFonts w:asciiTheme="minorHAnsi" w:hAnsiTheme="minorHAnsi" w:cstheme="minorHAnsi"/>
          <w:sz w:val="22"/>
          <w:szCs w:val="22"/>
        </w:rPr>
      </w:pPr>
    </w:p>
    <w:p w14:paraId="4ABCC36B">
      <w:pPr>
        <w:pStyle w:val="90"/>
        <w:numPr>
          <w:ilvl w:val="0"/>
          <w:numId w:val="14"/>
        </w:numPr>
        <w:suppressLineNumbers/>
        <w:suppressAutoHyphens/>
        <w:spacing w:before="0"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5A4C0FD">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53A21393">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14:paraId="76C45817">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5FDA6FE8">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A0412E9">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6956699B">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331E4DE7">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2C9F74A8">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do fiscal ou gestor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C4B0D6C">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664ED182">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8C84A01">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36CC0A24">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4CADD1A2">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4350036D">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6FA042B0">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722B4ED3">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027BDC48">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64BE71B9">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791DAF8E">
      <w:pPr>
        <w:pStyle w:val="99"/>
        <w:keepNext/>
        <w:keepLines/>
        <w:numPr>
          <w:ilvl w:val="1"/>
          <w:numId w:val="16"/>
        </w:numPr>
        <w:suppressLineNumbers/>
        <w:suppressAutoHyphens/>
        <w:spacing w:after="288" w:afterLines="120" w:line="360" w:lineRule="auto"/>
        <w:contextualSpacing/>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2E4DA45">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09629F6">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3BD4923E">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26BF3C1">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0266CEC3">
      <w:pPr>
        <w:pStyle w:val="90"/>
        <w:numPr>
          <w:ilvl w:val="0"/>
          <w:numId w:val="16"/>
        </w:numPr>
        <w:suppressLineNumbers/>
        <w:suppressAutoHyphens/>
        <w:spacing w:before="0"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CLÁUSULA DÉCIMA- OBRIGAÇÕES PERTINENTES À LGPD</w:t>
      </w:r>
    </w:p>
    <w:p w14:paraId="3D16C35D">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keepNext/>
        <w:keepLines/>
        <w:numPr>
          <w:ilvl w:val="2"/>
          <w:numId w:val="16"/>
        </w:numPr>
        <w:suppressLineNumbers/>
        <w:suppressAutoHyphens/>
        <w:spacing w:before="0" w:after="288" w:afterLines="120" w:line="360" w:lineRule="auto"/>
        <w:ind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numPr>
          <w:ilvl w:val="0"/>
          <w:numId w:val="16"/>
        </w:numPr>
        <w:suppressLineNumbers/>
        <w:suppressAutoHyphens/>
        <w:spacing w:before="0"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color w:val="auto"/>
          <w:sz w:val="22"/>
          <w:szCs w:val="22"/>
        </w:rPr>
        <w:t>art. 92, XII e XIII</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 xml:space="preserve">) </w:t>
      </w:r>
    </w:p>
    <w:p w14:paraId="7D6D61B4">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Não haverá exigência de garantia contratual da execução.</w:t>
      </w:r>
    </w:p>
    <w:p w14:paraId="1B423BAB">
      <w:pPr>
        <w:pStyle w:val="492"/>
        <w:numPr>
          <w:ilvl w:val="0"/>
          <w:numId w:val="16"/>
        </w:numPr>
        <w:suppressLineNumbers/>
        <w:suppressAutoHyphens/>
        <w:spacing w:before="0" w:after="288" w:afterLines="120" w:line="360" w:lineRule="auto"/>
        <w:contextualSpacing/>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12. 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F7D5A1">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Comete infração administrativa, nos termos da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o contratado que:</w:t>
      </w:r>
    </w:p>
    <w:p w14:paraId="7CCB5867">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w:t>
      </w:r>
    </w:p>
    <w:p w14:paraId="200B5C3C">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 que cause grave dano à Administração ou ao funcionamento dos serviços públicos ou ao interesse coletivo;</w:t>
      </w:r>
    </w:p>
    <w:p w14:paraId="6EDE242A">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total do contrato;</w:t>
      </w:r>
    </w:p>
    <w:p w14:paraId="5B1E4C34">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ensejar o retardamento da execução ou da entrega do objeto da contratação sem motivo justificado;</w:t>
      </w:r>
    </w:p>
    <w:p w14:paraId="345E44ED">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apresentar documentação falsa ou prestar declaração falsa durante a execução do contrato;</w:t>
      </w:r>
    </w:p>
    <w:p w14:paraId="1F87105E">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praticar ato fraudulento na execução do contrato;</w:t>
      </w:r>
    </w:p>
    <w:p w14:paraId="1B8B9894">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comportar-se de modo inidôneo ou cometer fraude de qualquer natureza;</w:t>
      </w:r>
    </w:p>
    <w:p w14:paraId="5569229B">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praticar ato lesivo previsto no </w:t>
      </w:r>
      <w:r>
        <w:fldChar w:fldCharType="begin"/>
      </w:r>
      <w:r>
        <w:instrText xml:space="preserve"> HYPERLINK "https://www.planalto.gov.br/ccivil_03/_ato2011-2014/2013/lei/l12846.htm" \l "art5" </w:instrText>
      </w:r>
      <w:r>
        <w:fldChar w:fldCharType="separate"/>
      </w:r>
      <w:r>
        <w:rPr>
          <w:rStyle w:val="18"/>
          <w:rFonts w:eastAsia="Arial" w:asciiTheme="minorHAnsi" w:hAnsiTheme="minorHAnsi" w:cstheme="minorHAnsi"/>
          <w:sz w:val="22"/>
          <w:szCs w:val="22"/>
        </w:rPr>
        <w:t>art. 5º da Lei nº 12.846, de 1º de agosto de 2013</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3D618108">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Serão aplicadas ao contratado que incorrer nas infrações acima descritas as seguintes sanções:</w:t>
      </w:r>
    </w:p>
    <w:p w14:paraId="609FD8E2">
      <w:pPr>
        <w:keepNext/>
        <w:keepLines/>
        <w:numPr>
          <w:ilvl w:val="2"/>
          <w:numId w:val="18"/>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Advertência</w:t>
      </w:r>
      <w:r>
        <w:rPr>
          <w:rFonts w:eastAsia="Arial" w:asciiTheme="minorHAnsi" w:hAnsiTheme="minorHAnsi" w:cstheme="minorHAnsi"/>
          <w:sz w:val="22"/>
          <w:szCs w:val="22"/>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8"/>
          <w:rFonts w:eastAsia="Arial" w:asciiTheme="minorHAnsi" w:hAnsiTheme="minorHAnsi" w:cstheme="minorHAnsi"/>
          <w:sz w:val="22"/>
          <w:szCs w:val="22"/>
        </w:rPr>
        <w:t xml:space="preserve">art. 156, §2º, da </w:t>
      </w:r>
      <w:bookmarkStart w:id="2" w:name="_Hlk114504069"/>
      <w:r>
        <w:rPr>
          <w:rStyle w:val="18"/>
          <w:rFonts w:eastAsia="Arial" w:asciiTheme="minorHAnsi" w:hAnsiTheme="minorHAnsi" w:cstheme="minorHAnsi"/>
          <w:sz w:val="22"/>
          <w:szCs w:val="22"/>
        </w:rPr>
        <w:t>Lei nº 14.133, de 2021</w:t>
      </w:r>
      <w:bookmarkEnd w:id="2"/>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6F505328">
      <w:pPr>
        <w:keepNext/>
        <w:keepLines/>
        <w:numPr>
          <w:ilvl w:val="2"/>
          <w:numId w:val="18"/>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Impedimento de licitar e contratar</w:t>
      </w:r>
      <w:r>
        <w:rPr>
          <w:rFonts w:eastAsia="Arial" w:asciiTheme="minorHAnsi" w:hAnsiTheme="minorHAnsi" w:cstheme="minorHAnsi"/>
          <w:sz w:val="22"/>
          <w:szCs w:val="22"/>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8"/>
          <w:rFonts w:eastAsia="Arial" w:asciiTheme="minorHAnsi" w:hAnsiTheme="minorHAnsi" w:cstheme="minorHAnsi"/>
          <w:sz w:val="22"/>
          <w:szCs w:val="22"/>
        </w:rPr>
        <w:t>art. 156, § 4º,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77930570">
      <w:pPr>
        <w:keepNext/>
        <w:keepLines/>
        <w:numPr>
          <w:ilvl w:val="2"/>
          <w:numId w:val="18"/>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Declaração de inidoneidade para licitar e contratar</w:t>
      </w:r>
      <w:r>
        <w:rPr>
          <w:rFonts w:eastAsia="Arial" w:asciiTheme="minorHAnsi" w:hAnsiTheme="minorHAnsi" w:cstheme="minorHAnsi"/>
          <w:sz w:val="22"/>
          <w:szCs w:val="22"/>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8"/>
          <w:rFonts w:eastAsia="Arial" w:asciiTheme="minorHAnsi" w:hAnsiTheme="minorHAnsi" w:cstheme="minorHAnsi"/>
          <w:sz w:val="22"/>
          <w:szCs w:val="22"/>
        </w:rPr>
        <w:t>art. 156, §5º,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5E4486B5">
      <w:pPr>
        <w:keepNext/>
        <w:keepLines/>
        <w:numPr>
          <w:ilvl w:val="2"/>
          <w:numId w:val="18"/>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Multa:</w:t>
      </w:r>
    </w:p>
    <w:p w14:paraId="05F0B2B0">
      <w:pPr>
        <w:keepNext/>
        <w:keepLines/>
        <w:numPr>
          <w:ilvl w:val="3"/>
          <w:numId w:val="18"/>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moratória de 5% (cinco por cento) por dia de atraso injustificado sobre o valor da parcela inadimplida, até o limite de 30 (trinta) dias;</w:t>
      </w:r>
    </w:p>
    <w:p w14:paraId="6EA09309">
      <w:pPr>
        <w:keepNext/>
        <w:keepLines/>
        <w:numPr>
          <w:ilvl w:val="7"/>
          <w:numId w:val="18"/>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O atraso superior a 30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eastAsia="Arial" w:asciiTheme="minorHAnsi" w:hAnsiTheme="minorHAnsi" w:cstheme="minorHAnsi"/>
          <w:color w:val="auto"/>
          <w:sz w:val="22"/>
          <w:szCs w:val="22"/>
        </w:rPr>
        <w:t>inciso I do art. 137 da Lei n. 14.133, de 2021</w:t>
      </w:r>
      <w:r>
        <w:rPr>
          <w:rStyle w:val="18"/>
          <w:rFonts w:eastAsia="Arial" w:asciiTheme="minorHAnsi" w:hAnsiTheme="minorHAnsi" w:cstheme="minorHAnsi"/>
          <w:color w:val="auto"/>
          <w:sz w:val="22"/>
          <w:szCs w:val="22"/>
        </w:rPr>
        <w:fldChar w:fldCharType="end"/>
      </w:r>
      <w:r>
        <w:rPr>
          <w:rFonts w:eastAsia="Arial" w:asciiTheme="minorHAnsi" w:hAnsiTheme="minorHAnsi" w:cstheme="minorHAnsi"/>
          <w:sz w:val="22"/>
          <w:szCs w:val="22"/>
        </w:rPr>
        <w:t xml:space="preserve">. </w:t>
      </w:r>
    </w:p>
    <w:p w14:paraId="21359FA8">
      <w:pPr>
        <w:keepNext/>
        <w:keepLines/>
        <w:numPr>
          <w:ilvl w:val="3"/>
          <w:numId w:val="18"/>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compensatória de 20% (vinte por cento) sobre o valor total do contrato, no caso de inexecução total do objeto;</w:t>
      </w:r>
    </w:p>
    <w:p w14:paraId="213AAC5A">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8"/>
          <w:rFonts w:asciiTheme="minorHAnsi" w:hAnsiTheme="minorHAnsi" w:cstheme="minorHAnsi"/>
          <w:sz w:val="22"/>
          <w:szCs w:val="22"/>
        </w:rPr>
        <w:t>art. 156, §9º,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2F2B4A3">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8"/>
          <w:rFonts w:asciiTheme="minorHAnsi" w:hAnsiTheme="minorHAnsi" w:cstheme="minorHAnsi"/>
          <w:sz w:val="22"/>
          <w:szCs w:val="22"/>
        </w:rPr>
        <w:t>art. 156, §7º,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408B70C">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8"/>
          <w:rFonts w:asciiTheme="minorHAnsi" w:hAnsiTheme="minorHAnsi" w:cstheme="minorHAnsi"/>
          <w:sz w:val="22"/>
          <w:szCs w:val="22"/>
        </w:rPr>
        <w:t>art. 157,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D62F511">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8"/>
          <w:rFonts w:asciiTheme="minorHAnsi" w:hAnsiTheme="minorHAnsi" w:cstheme="minorHAnsi"/>
          <w:sz w:val="22"/>
          <w:szCs w:val="22"/>
        </w:rPr>
        <w:t>art. 156, §8º,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8605F5F">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Previamente ao encaminhamento à cobrança judicial, a multa poderá ser recolhida administrativamente no prazo máximo de </w:t>
      </w:r>
      <w:r>
        <w:rPr>
          <w:rFonts w:asciiTheme="minorHAnsi" w:hAnsiTheme="minorHAnsi" w:cstheme="minorHAnsi"/>
          <w:color w:val="auto"/>
          <w:sz w:val="22"/>
          <w:szCs w:val="22"/>
        </w:rPr>
        <w:t>10 (dez)</w:t>
      </w:r>
      <w:r>
        <w:rPr>
          <w:rFonts w:asciiTheme="minorHAnsi" w:hAnsiTheme="minorHAnsi" w:cstheme="minorHAnsi"/>
          <w:i/>
          <w:iCs/>
          <w:color w:val="FF0000"/>
          <w:sz w:val="22"/>
          <w:szCs w:val="22"/>
        </w:rPr>
        <w:t xml:space="preserve"> </w:t>
      </w:r>
      <w:r>
        <w:rPr>
          <w:rFonts w:asciiTheme="minorHAnsi" w:hAnsiTheme="minorHAnsi" w:cstheme="minorHAnsi"/>
          <w:sz w:val="22"/>
          <w:szCs w:val="22"/>
        </w:rPr>
        <w:t>dias, a contar da data do recebimento da comunicação enviada pela autoridade competente.</w:t>
      </w:r>
      <w:bookmarkStart w:id="3" w:name="_Hlk78351618"/>
      <w:bookmarkEnd w:id="3"/>
    </w:p>
    <w:p w14:paraId="3437A351">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Pr>
          <w:rFonts w:asciiTheme="minorHAnsi" w:hAnsiTheme="minorHAnsi" w:cstheme="minorHAnsi"/>
          <w:b/>
          <w:bCs/>
          <w:sz w:val="22"/>
          <w:szCs w:val="22"/>
        </w:rPr>
        <w:t xml:space="preserve">caput </w:t>
      </w:r>
      <w:r>
        <w:rPr>
          <w:rFonts w:asciiTheme="minorHAnsi" w:hAnsiTheme="minorHAnsi" w:cstheme="minorHAnsi"/>
          <w:sz w:val="22"/>
          <w:szCs w:val="22"/>
        </w:rPr>
        <w:t xml:space="preserve">e parágrafos do </w:t>
      </w:r>
      <w:r>
        <w:fldChar w:fldCharType="begin"/>
      </w:r>
      <w:r>
        <w:instrText xml:space="preserve"> HYPERLINK "http://www.planalto.gov.br/ccivil_03/_ato2019-2022/2021/lei/L14133.htm" \l "art158" </w:instrText>
      </w:r>
      <w:r>
        <w:fldChar w:fldCharType="separate"/>
      </w:r>
      <w:r>
        <w:rPr>
          <w:rStyle w:val="18"/>
          <w:rFonts w:asciiTheme="minorHAnsi" w:hAnsiTheme="minorHAnsi" w:cstheme="minorHAnsi"/>
          <w:sz w:val="22"/>
          <w:szCs w:val="22"/>
        </w:rPr>
        <w:t>art. 158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para as penalidades de impedimento de licitar e contratar e de declaração de inidoneidade para licitar ou contratar.</w:t>
      </w:r>
    </w:p>
    <w:p w14:paraId="5581322A">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Na aplicação das sanções serão considerados (</w:t>
      </w:r>
      <w:r>
        <w:fldChar w:fldCharType="begin"/>
      </w:r>
      <w:r>
        <w:instrText xml:space="preserve"> HYPERLINK "http://www.planalto.gov.br/ccivil_03/_ato2019-2022/2021/lei/L14133.htm" \l "art156§1" </w:instrText>
      </w:r>
      <w:r>
        <w:fldChar w:fldCharType="separate"/>
      </w:r>
      <w:r>
        <w:rPr>
          <w:rStyle w:val="18"/>
          <w:rFonts w:asciiTheme="minorHAnsi" w:hAnsiTheme="minorHAnsi" w:cstheme="minorHAnsi"/>
          <w:sz w:val="22"/>
          <w:szCs w:val="22"/>
        </w:rPr>
        <w:t>art. 156, §1º,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86E69FF">
      <w:pPr>
        <w:keepNext/>
        <w:keepLines/>
        <w:numPr>
          <w:ilvl w:val="0"/>
          <w:numId w:val="19"/>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natureza e a gravidade da infração cometida;</w:t>
      </w:r>
    </w:p>
    <w:p w14:paraId="1EE53554">
      <w:pPr>
        <w:keepNext/>
        <w:keepLines/>
        <w:numPr>
          <w:ilvl w:val="0"/>
          <w:numId w:val="19"/>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peculiaridades do caso concreto;</w:t>
      </w:r>
    </w:p>
    <w:p w14:paraId="5A3B9B40">
      <w:pPr>
        <w:keepNext/>
        <w:keepLines/>
        <w:numPr>
          <w:ilvl w:val="0"/>
          <w:numId w:val="19"/>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circunstâncias agravantes ou atenuantes;</w:t>
      </w:r>
    </w:p>
    <w:p w14:paraId="3BBFC7E2">
      <w:pPr>
        <w:keepNext/>
        <w:keepLines/>
        <w:numPr>
          <w:ilvl w:val="0"/>
          <w:numId w:val="19"/>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os danos que dela provierem para o Contratante;</w:t>
      </w:r>
    </w:p>
    <w:p w14:paraId="4763F694">
      <w:pPr>
        <w:keepNext/>
        <w:keepLines/>
        <w:numPr>
          <w:ilvl w:val="0"/>
          <w:numId w:val="19"/>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implantação ou o aperfeiçoamento de programa de integridade, conforme normas e orientações dos órgãos de controle.</w:t>
      </w:r>
    </w:p>
    <w:p w14:paraId="60F75E8F">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8"/>
          <w:rFonts w:asciiTheme="minorHAnsi" w:hAnsiTheme="minorHAnsi" w:cstheme="minorHAnsi"/>
          <w:sz w:val="22"/>
          <w:szCs w:val="22"/>
        </w:rPr>
        <w:t>na Lei nº 12.846, de 2013</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8"/>
          <w:rFonts w:asciiTheme="minorHAnsi" w:hAnsiTheme="minorHAnsi" w:cstheme="minorHAnsi"/>
          <w:sz w:val="22"/>
          <w:szCs w:val="22"/>
        </w:rPr>
        <w:t>Lei (art. 159</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CF38924">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iCs/>
          <w:sz w:val="22"/>
          <w:szCs w:val="22"/>
        </w:rPr>
      </w:pPr>
      <w:r>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8"/>
          <w:rFonts w:asciiTheme="minorHAnsi" w:hAnsiTheme="minorHAnsi" w:cstheme="minorHAnsi"/>
          <w:sz w:val="22"/>
          <w:szCs w:val="22"/>
        </w:rPr>
        <w:t>art. 160,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5E0E0D9">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iCs/>
          <w:sz w:val="22"/>
          <w:szCs w:val="22"/>
        </w:rPr>
      </w:pPr>
      <w:r>
        <w:rPr>
          <w:rFonts w:asciiTheme="minorHAnsi" w:hAnsiTheme="minorHAnsi" w:cstheme="minorHAnsi"/>
          <w:sz w:val="22"/>
          <w:szCs w:val="22"/>
        </w:rPr>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fldChar w:fldCharType="begin"/>
      </w:r>
      <w:r>
        <w:instrText xml:space="preserve"> HYPERLINK "http://www.planalto.gov.br/ccivil_03/_ato2019-2022/2021/lei/L14133.htm" \l "art161" </w:instrText>
      </w:r>
      <w:r>
        <w:fldChar w:fldCharType="separate"/>
      </w:r>
      <w:r>
        <w:rPr>
          <w:rStyle w:val="18"/>
          <w:rFonts w:asciiTheme="minorHAnsi" w:hAnsiTheme="minorHAnsi" w:cstheme="minorHAnsi"/>
          <w:sz w:val="22"/>
          <w:szCs w:val="22"/>
        </w:rPr>
        <w:t>Art. 161,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F1EDC91">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iCs/>
          <w:sz w:val="22"/>
          <w:szCs w:val="22"/>
        </w:rPr>
      </w:pPr>
      <w:r>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8"/>
          <w:rFonts w:asciiTheme="minorHAnsi" w:hAnsiTheme="minorHAnsi" w:cstheme="minorHAnsi"/>
          <w:sz w:val="22"/>
          <w:szCs w:val="22"/>
        </w:rPr>
        <w:t>art. 163 da Lei nº 14.133/21.</w:t>
      </w:r>
      <w:r>
        <w:rPr>
          <w:rStyle w:val="18"/>
          <w:rFonts w:asciiTheme="minorHAnsi" w:hAnsiTheme="minorHAnsi" w:cstheme="minorHAnsi"/>
          <w:sz w:val="22"/>
          <w:szCs w:val="22"/>
        </w:rPr>
        <w:fldChar w:fldCharType="end"/>
      </w:r>
    </w:p>
    <w:p w14:paraId="6E008AB4">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8"/>
          <w:rFonts w:asciiTheme="minorHAnsi" w:hAnsiTheme="minorHAnsi" w:cstheme="minorHAnsi"/>
          <w:sz w:val="22"/>
          <w:szCs w:val="22"/>
        </w:rPr>
        <w:t>Instrução Normativa SEGES/ME nº 26, de 13 de abril de 2022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25D6080A">
      <w:pPr>
        <w:pStyle w:val="492"/>
        <w:numPr>
          <w:ilvl w:val="0"/>
          <w:numId w:val="16"/>
        </w:numPr>
        <w:suppressLineNumbers/>
        <w:suppressAutoHyphens/>
        <w:spacing w:before="0" w:after="288" w:afterLines="120" w:line="360" w:lineRule="auto"/>
        <w:contextualSpacing/>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1EFF29CC">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DF3397F">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36F1946E">
      <w:pPr>
        <w:pStyle w:val="99"/>
        <w:keepNext/>
        <w:keepLines/>
        <w:numPr>
          <w:ilvl w:val="2"/>
          <w:numId w:val="20"/>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CD80AE3">
      <w:pPr>
        <w:pStyle w:val="99"/>
        <w:keepNext/>
        <w:keepLines/>
        <w:numPr>
          <w:ilvl w:val="2"/>
          <w:numId w:val="20"/>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372698E2">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artigo 137 da Lei nº 14.133/21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amigavelmente, </w:t>
      </w:r>
      <w:r>
        <w:rPr>
          <w:rFonts w:asciiTheme="minorHAnsi" w:hAnsiTheme="minorHAnsi" w:cstheme="minorHAnsi"/>
          <w:color w:val="000000" w:themeColor="text1"/>
          <w:sz w:val="22"/>
          <w:szCs w:val="22"/>
          <w14:textFill>
            <w14:solidFill>
              <w14:schemeClr w14:val="tx1"/>
            </w14:solidFill>
          </w14:textFill>
        </w:rPr>
        <w:t>assegurados o contraditório e a ampla defesa</w:t>
      </w:r>
      <w:r>
        <w:rPr>
          <w:rFonts w:asciiTheme="minorHAnsi" w:hAnsiTheme="minorHAnsi" w:cstheme="minorHAnsi"/>
          <w:sz w:val="22"/>
          <w:szCs w:val="22"/>
        </w:rPr>
        <w:t>.</w:t>
      </w:r>
    </w:p>
    <w:p w14:paraId="5EC3D7AA">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Nesta hipótese, aplicam-se também os </w:t>
      </w:r>
      <w:r>
        <w:fldChar w:fldCharType="begin"/>
      </w:r>
      <w:r>
        <w:instrText xml:space="preserve"> HYPERLINK "http://www.planalto.gov.br/ccivil_03/_ato2019-2022/2021/lei/L14133.htm" \l "art138" </w:instrText>
      </w:r>
      <w:r>
        <w:fldChar w:fldCharType="separate"/>
      </w:r>
      <w:r>
        <w:rPr>
          <w:rStyle w:val="18"/>
          <w:rFonts w:asciiTheme="minorHAnsi" w:hAnsiTheme="minorHAnsi" w:cstheme="minorHAnsi"/>
          <w:sz w:val="22"/>
          <w:szCs w:val="22"/>
        </w:rPr>
        <w:t>artigos 138 e 139</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da mesma Lei.</w:t>
      </w:r>
    </w:p>
    <w:p w14:paraId="1A356C20">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A </w:t>
      </w:r>
      <w:r>
        <w:rPr>
          <w:rFonts w:asciiTheme="minorHAnsi" w:hAnsiTheme="minorHAnsi" w:cstheme="minorHAnsi"/>
          <w:color w:val="000000" w:themeColor="text1"/>
          <w:sz w:val="22"/>
          <w:szCs w:val="22"/>
          <w14:textFill>
            <w14:solidFill>
              <w14:schemeClr w14:val="tx1"/>
            </w14:solidFill>
          </w14:textFill>
        </w:rPr>
        <w:t>alteração social ou a modificação da finalidade ou da estrutura da empresa</w:t>
      </w:r>
      <w:r>
        <w:rPr>
          <w:rFonts w:asciiTheme="minorHAnsi" w:hAnsiTheme="minorHAnsi" w:cstheme="minorHAnsi"/>
          <w:sz w:val="22"/>
          <w:szCs w:val="22"/>
        </w:rPr>
        <w:t xml:space="preserve"> não ensejará a extinção se não </w:t>
      </w:r>
      <w:r>
        <w:rPr>
          <w:rFonts w:asciiTheme="minorHAnsi" w:hAnsiTheme="minorHAnsi" w:cstheme="minorHAnsi"/>
          <w:color w:val="000000" w:themeColor="text1"/>
          <w:sz w:val="22"/>
          <w:szCs w:val="22"/>
          <w14:textFill>
            <w14:solidFill>
              <w14:schemeClr w14:val="tx1"/>
            </w14:solidFill>
          </w14:textFill>
        </w:rPr>
        <w:t>restringir sua capacidade de concluir o contrato.</w:t>
      </w:r>
    </w:p>
    <w:p w14:paraId="0E81D986">
      <w:pPr>
        <w:pStyle w:val="102"/>
        <w:keepNext/>
        <w:keepLines/>
        <w:numPr>
          <w:ilvl w:val="3"/>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Se a operação </w:t>
      </w:r>
      <w:r>
        <w:rPr>
          <w:rFonts w:asciiTheme="minorHAnsi" w:hAnsiTheme="minorHAnsi" w:cstheme="minorHAnsi"/>
          <w:sz w:val="22"/>
          <w:szCs w:val="22"/>
        </w:rPr>
        <w:t>implicar mudança da pessoa jurídica contratada, deverá ser formalizado termo aditivo para alteração subjetiva.</w:t>
      </w:r>
    </w:p>
    <w:p w14:paraId="2682B19D">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7EE495E5">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2257656F">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0DDB14E4">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Indenizações e multas.</w:t>
      </w:r>
    </w:p>
    <w:p w14:paraId="28BD1FD5">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w:instrText>
      </w:r>
      <w:r>
        <w:fldChar w:fldCharType="separate"/>
      </w:r>
      <w:r>
        <w:rPr>
          <w:rStyle w:val="18"/>
          <w:rFonts w:asciiTheme="minorHAnsi" w:hAnsiTheme="minorHAnsi" w:cstheme="minorHAnsi"/>
          <w:sz w:val="22"/>
          <w:szCs w:val="22"/>
        </w:rPr>
        <w:t xml:space="preserve">art. 131, </w:t>
      </w:r>
      <w:r>
        <w:rPr>
          <w:rStyle w:val="18"/>
          <w:rFonts w:asciiTheme="minorHAnsi" w:hAnsiTheme="minorHAnsi" w:cstheme="minorHAnsi"/>
          <w:iCs/>
          <w:sz w:val="22"/>
          <w:szCs w:val="22"/>
        </w:rPr>
        <w:t xml:space="preserve">caput, </w:t>
      </w:r>
      <w:r>
        <w:rPr>
          <w:rStyle w:val="18"/>
          <w:rFonts w:asciiTheme="minorHAnsi" w:hAnsiTheme="minorHAnsi" w:cstheme="minorHAnsi"/>
          <w:sz w:val="22"/>
          <w:szCs w:val="22"/>
        </w:rPr>
        <w:t>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7A7B0046">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 não pagamento dos salários e das verbas trabalhistas, e o não recolhimento das contribuições sociais, previdenciárias e para com o FGTS poderá dar ensejo à extinção do contrato por ato unilateral e escrito do contratante e à aplicação das penalidades cabíveis. </w:t>
      </w:r>
    </w:p>
    <w:p w14:paraId="5BC66BB9">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661F806E">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618EEF33">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437B5F4E">
      <w:pPr>
        <w:pStyle w:val="99"/>
        <w:keepNext/>
        <w:keepLines/>
        <w:numPr>
          <w:ilvl w:val="2"/>
          <w:numId w:val="21"/>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w:t>
      </w:r>
      <w:r>
        <w:fldChar w:fldCharType="begin"/>
      </w:r>
      <w:r>
        <w:instrText xml:space="preserve"> HYPERLINK "http://www.planalto.gov.br/ccivil_03/_ato2019-2022/2021/lei/L14133.htm" \l "art121§3" </w:instrText>
      </w:r>
      <w:r>
        <w:fldChar w:fldCharType="separate"/>
      </w:r>
      <w:r>
        <w:rPr>
          <w:rStyle w:val="18"/>
          <w:rFonts w:asciiTheme="minorHAnsi" w:hAnsiTheme="minorHAnsi" w:cstheme="minorHAnsi"/>
          <w:sz w:val="22"/>
          <w:szCs w:val="22"/>
        </w:rPr>
        <w:t>art. 121, § 3º, 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art. 139, III, b</w:t>
      </w:r>
      <w:r>
        <w:rPr>
          <w:rStyle w:val="18"/>
          <w:rFonts w:asciiTheme="minorHAnsi" w:hAnsiTheme="minorHAnsi" w:cstheme="minorHAnsi"/>
          <w:sz w:val="22"/>
          <w:szCs w:val="22"/>
        </w:rPr>
        <w:fldChar w:fldCharType="end"/>
      </w:r>
      <w:r>
        <w:rPr>
          <w:rFonts w:asciiTheme="minorHAnsi" w:hAnsiTheme="minorHAnsi" w:cstheme="minorHAnsi"/>
          <w:sz w:val="22"/>
          <w:szCs w:val="22"/>
        </w:rPr>
        <w:t>, da Lei n.º 14.133/2021); e </w:t>
      </w:r>
    </w:p>
    <w:p w14:paraId="6F03FCC3">
      <w:pPr>
        <w:pStyle w:val="99"/>
        <w:keepNext/>
        <w:keepLines/>
        <w:numPr>
          <w:ilvl w:val="2"/>
          <w:numId w:val="21"/>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os valores das Notas fiscais ou Faturas correspondentes em valor proporcional ao inadimplemento, até que a situação seja regularizada.</w:t>
      </w:r>
    </w:p>
    <w:p w14:paraId="0704C558">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Na hipótese do subitem anterior, não havendo quitação das obrigações por parte do contratado no prazo de </w:t>
      </w:r>
      <w:r>
        <w:rPr>
          <w:rFonts w:asciiTheme="minorHAnsi" w:hAnsiTheme="minorHAnsi" w:cstheme="minorHAnsi"/>
          <w:iCs/>
          <w:color w:val="000000" w:themeColor="text1"/>
          <w:sz w:val="22"/>
          <w:szCs w:val="22"/>
          <w14:textFill>
            <w14:solidFill>
              <w14:schemeClr w14:val="tx1"/>
            </w14:solidFill>
          </w14:textFill>
        </w:rPr>
        <w:t>15 (quinze)</w:t>
      </w:r>
      <w:r>
        <w:rPr>
          <w:rFonts w:asciiTheme="minorHAnsi" w:hAnsiTheme="minorHAnsi" w:cstheme="minorHAnsi"/>
          <w:color w:val="000000" w:themeColor="text1"/>
          <w:sz w:val="22"/>
          <w:szCs w:val="22"/>
          <w14:textFill>
            <w14:solidFill>
              <w14:schemeClr w14:val="tx1"/>
            </w14:solidFill>
          </w14:textFill>
        </w:rPr>
        <w:t xml:space="preserve"> </w:t>
      </w:r>
      <w:r>
        <w:rPr>
          <w:rFonts w:asciiTheme="minorHAnsi" w:hAnsiTheme="minorHAnsi" w:cstheme="minorHAnsi"/>
          <w:sz w:val="22"/>
          <w:szCs w:val="22"/>
        </w:rPr>
        <w:t>dias, o contratante poderá efetuar o pagamento das obrigações diretamente aos empregados que tenham participado da execução dos serviços objeto do contrato, deduzindo o respectivo valor do pagamento devido ao contratado (</w:t>
      </w:r>
      <w:r>
        <w:fldChar w:fldCharType="begin"/>
      </w:r>
      <w:r>
        <w:instrText xml:space="preserve"> HYPERLINK "http://www.planalto.gov.br/ccivil_03/_ato2019-2022/2021/lei/L14133.htm" \l "art121§3" </w:instrText>
      </w:r>
      <w:r>
        <w:fldChar w:fldCharType="separate"/>
      </w:r>
      <w:r>
        <w:rPr>
          <w:rStyle w:val="18"/>
          <w:rFonts w:asciiTheme="minorHAnsi" w:hAnsiTheme="minorHAnsi" w:cstheme="minorHAnsi"/>
          <w:sz w:val="22"/>
          <w:szCs w:val="22"/>
        </w:rPr>
        <w:t>art. 121, §3º, inciso II,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D138839">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contratante poderá ainda:</w:t>
      </w:r>
    </w:p>
    <w:p w14:paraId="515DE8F1">
      <w:pPr>
        <w:pStyle w:val="99"/>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 nos casos de obrigação de pagamento de multa pelo contratado, reter a garantia prestada a ser executada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art. 139, III, “c”,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 conforme legislação que rege a matéria; e</w:t>
      </w:r>
    </w:p>
    <w:p w14:paraId="1ABE5785">
      <w:pPr>
        <w:pStyle w:val="99"/>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nos casos em que houver necessidade de ressarcimento de prejuízos causados à Administração, nos termos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do inciso IV do art. 139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reter os eventuais créditos existentes em favor do contratado decorrentes do contrato.</w:t>
      </w:r>
    </w:p>
    <w:p w14:paraId="1330475C">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r>
        <w:fldChar w:fldCharType="begin"/>
      </w:r>
      <w:r>
        <w:instrText xml:space="preserve"> HYPERLINK "http://www.planalto.gov.br/ccivil_03/_ato2019-2022/2021/lei/L14133.htm" \l "art14" </w:instrText>
      </w:r>
      <w:r>
        <w:fldChar w:fldCharType="separate"/>
      </w:r>
      <w:r>
        <w:rPr>
          <w:rStyle w:val="18"/>
          <w:rFonts w:asciiTheme="minorHAnsi" w:hAnsiTheme="minorHAnsi" w:cstheme="minorHAnsi"/>
          <w:sz w:val="22"/>
          <w:szCs w:val="22"/>
        </w:rPr>
        <w:t>art. 14, inciso IV,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E2E572F">
      <w:pPr>
        <w:pStyle w:val="492"/>
        <w:numPr>
          <w:ilvl w:val="0"/>
          <w:numId w:val="16"/>
        </w:numPr>
        <w:suppressLineNumbers/>
        <w:suppressAutoHyphens/>
        <w:spacing w:before="0" w:after="288" w:afterLines="120" w:line="360" w:lineRule="auto"/>
        <w:contextualSpacing/>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12D379D9">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arts. 124 e seguintes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5F63027">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60A23C74">
      <w:pPr>
        <w:pStyle w:val="99"/>
        <w:keepNext/>
        <w:keepLines/>
        <w:numPr>
          <w:ilvl w:val="1"/>
          <w:numId w:val="16"/>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w:t>
      </w:r>
      <w:r>
        <w:fldChar w:fldCharType="begin"/>
      </w:r>
      <w:r>
        <w:instrText xml:space="preserve"> HYPERLINK "http://www.planalto.gov.br/ccivil_03/_ato2019-2022/2021/lei/L14133.htm" \l "art132" </w:instrText>
      </w:r>
      <w:r>
        <w:fldChar w:fldCharType="separate"/>
      </w:r>
      <w:r>
        <w:rPr>
          <w:rStyle w:val="18"/>
          <w:rFonts w:asciiTheme="minorHAnsi" w:hAnsiTheme="minorHAnsi" w:cstheme="minorHAnsi"/>
          <w:sz w:val="22"/>
          <w:szCs w:val="22"/>
        </w:rPr>
        <w:t>art. 132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AF62ABF">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w:instrText>
      </w:r>
      <w:r>
        <w:fldChar w:fldCharType="separate"/>
      </w:r>
      <w:r>
        <w:rPr>
          <w:rStyle w:val="18"/>
          <w:rFonts w:asciiTheme="minorHAnsi" w:hAnsiTheme="minorHAnsi" w:cstheme="minorHAnsi"/>
          <w:sz w:val="22"/>
          <w:szCs w:val="22"/>
        </w:rPr>
        <w:t>art. 136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0D2BDD9">
      <w:pPr>
        <w:pStyle w:val="492"/>
        <w:numPr>
          <w:ilvl w:val="0"/>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keepNext/>
        <w:keepLines/>
        <w:numPr>
          <w:ilvl w:val="1"/>
          <w:numId w:val="22"/>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keepNext/>
        <w:keepLines/>
        <w:numPr>
          <w:ilvl w:val="1"/>
          <w:numId w:val="22"/>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keepNext/>
        <w:keepLines/>
        <w:numPr>
          <w:ilvl w:val="1"/>
          <w:numId w:val="22"/>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keepNext/>
        <w:keepLines/>
        <w:numPr>
          <w:ilvl w:val="1"/>
          <w:numId w:val="22"/>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keepNext/>
        <w:keepLines/>
        <w:numPr>
          <w:ilvl w:val="1"/>
          <w:numId w:val="22"/>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keepNext/>
        <w:keepLines/>
        <w:numPr>
          <w:ilvl w:val="1"/>
          <w:numId w:val="22"/>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492"/>
        <w:numPr>
          <w:ilvl w:val="0"/>
          <w:numId w:val="16"/>
        </w:numPr>
        <w:suppressLineNumbers/>
        <w:suppressAutoHyphens/>
        <w:spacing w:before="0" w:after="288" w:afterLines="120" w:line="360" w:lineRule="auto"/>
        <w:contextualSpacing/>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492"/>
        <w:numPr>
          <w:ilvl w:val="0"/>
          <w:numId w:val="16"/>
        </w:numPr>
        <w:suppressLineNumbers/>
        <w:suppressAutoHyphens/>
        <w:spacing w:before="0" w:after="288" w:afterLines="120" w:line="360" w:lineRule="auto"/>
        <w:contextualSpacing/>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E302872">
      <w:pPr>
        <w:pStyle w:val="99"/>
        <w:keepNext/>
        <w:keepLines/>
        <w:numPr>
          <w:ilvl w:val="0"/>
          <w:numId w:val="0"/>
        </w:numPr>
        <w:suppressLineNumbers/>
        <w:suppressAutoHyphens/>
        <w:spacing w:before="0" w:after="288" w:afterLines="120" w:line="360" w:lineRule="auto"/>
        <w:ind w:left="858" w:hanging="432"/>
        <w:contextualSpacing/>
        <w:rPr>
          <w:rFonts w:asciiTheme="minorHAnsi" w:hAnsiTheme="minorHAnsi" w:cstheme="minorHAnsi"/>
          <w:sz w:val="22"/>
          <w:szCs w:val="22"/>
        </w:rPr>
      </w:pPr>
    </w:p>
    <w:p w14:paraId="5C31E496">
      <w:pPr>
        <w:pStyle w:val="99"/>
        <w:keepNext/>
        <w:keepLines/>
        <w:numPr>
          <w:ilvl w:val="0"/>
          <w:numId w:val="16"/>
        </w:numPr>
        <w:suppressLineNumbers/>
        <w:suppressAutoHyphens/>
        <w:spacing w:before="0" w:after="288" w:afterLines="120" w:line="360" w:lineRule="auto"/>
        <w:contextualSpacing/>
        <w:rPr>
          <w:rFonts w:asciiTheme="minorHAnsi" w:hAnsiTheme="minorHAnsi" w:cstheme="minorHAnsi"/>
          <w:b/>
          <w:bCs/>
          <w:sz w:val="22"/>
          <w:szCs w:val="22"/>
        </w:rPr>
      </w:pPr>
      <w:r>
        <w:rPr>
          <w:rFonts w:asciiTheme="minorHAnsi" w:hAnsiTheme="minorHAnsi" w:cstheme="minorHAnsi"/>
          <w:b/>
          <w:bCs/>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b/>
          <w:bCs/>
          <w:color w:val="auto"/>
          <w:sz w:val="22"/>
          <w:szCs w:val="22"/>
        </w:rPr>
        <w:t>art. 92, §1º</w:t>
      </w:r>
      <w:r>
        <w:rPr>
          <w:rStyle w:val="18"/>
          <w:rFonts w:asciiTheme="minorHAnsi" w:hAnsiTheme="minorHAnsi" w:cstheme="minorHAnsi"/>
          <w:b/>
          <w:bCs/>
          <w:color w:val="auto"/>
          <w:sz w:val="22"/>
          <w:szCs w:val="22"/>
        </w:rPr>
        <w:fldChar w:fldCharType="end"/>
      </w:r>
      <w:r>
        <w:rPr>
          <w:rFonts w:asciiTheme="minorHAnsi" w:hAnsiTheme="minorHAnsi" w:cstheme="minorHAnsi"/>
          <w:b/>
          <w:bCs/>
          <w:sz w:val="22"/>
          <w:szCs w:val="22"/>
        </w:rPr>
        <w:t>)</w:t>
      </w:r>
    </w:p>
    <w:p w14:paraId="011B23EA">
      <w:pPr>
        <w:pStyle w:val="99"/>
        <w:keepNext/>
        <w:keepLines/>
        <w:numPr>
          <w:ilvl w:val="1"/>
          <w:numId w:val="23"/>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3C4B8C95">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p>
    <w:p w14:paraId="6EBD887F">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keepNext/>
        <w:keepLines/>
        <w:suppressLineNumbers/>
        <w:spacing w:after="120" w:line="276" w:lineRule="auto"/>
        <w:ind w:left="567" w:right="-15" w:hanging="567"/>
        <w:contextualSpacing/>
        <w:rPr>
          <w:rFonts w:asciiTheme="minorHAnsi" w:hAnsiTheme="minorHAnsi" w:cstheme="minorHAnsi"/>
          <w:b/>
          <w:bCs/>
          <w:sz w:val="22"/>
          <w:szCs w:val="22"/>
        </w:rPr>
      </w:pPr>
    </w:p>
    <w:p w14:paraId="4624D86B">
      <w:pPr>
        <w:keepNext/>
        <w:keepLines/>
        <w:suppressLineNumbers/>
        <w:spacing w:after="120" w:line="276" w:lineRule="auto"/>
        <w:ind w:left="567" w:right="-15" w:hanging="567"/>
        <w:contextualSpacing/>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00" w:usb3="00000000" w:csb0="00000000"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1BDC6C68">
    <w:pPr>
      <w:pStyle w:val="33"/>
      <w:rPr>
        <w:rFonts w:cs="Arial"/>
        <w:sz w:val="14"/>
        <w:szCs w:val="14"/>
      </w:rPr>
    </w:pPr>
    <w:r>
      <w:rPr>
        <w:rFonts w:cs="Arial"/>
        <w:sz w:val="14"/>
        <w:szCs w:val="14"/>
      </w:rPr>
      <w:t>Câmara Nacional de Modelos de Licitações e Contratos da Consultoria-Geral da União</w:t>
    </w:r>
  </w:p>
  <w:p w14:paraId="723785EE">
    <w:pPr>
      <w:pStyle w:val="33"/>
      <w:rPr>
        <w:rFonts w:cs="Arial"/>
        <w:sz w:val="14"/>
        <w:szCs w:val="14"/>
      </w:rPr>
    </w:pPr>
    <w:r>
      <w:rPr>
        <w:rFonts w:cs="Arial"/>
        <w:sz w:val="14"/>
        <w:szCs w:val="14"/>
      </w:rPr>
      <w:t>Atualização: fevereiro/2023</w:t>
    </w:r>
  </w:p>
  <w:p w14:paraId="5719E57C">
    <w:pPr>
      <w:pStyle w:val="33"/>
      <w:rPr>
        <w:rFonts w:cs="Arial"/>
        <w:sz w:val="14"/>
        <w:szCs w:val="14"/>
      </w:rPr>
    </w:pPr>
    <w:r>
      <w:rPr>
        <w:rFonts w:cs="Arial"/>
        <w:sz w:val="14"/>
        <w:szCs w:val="14"/>
      </w:rPr>
      <w:t>Termo de contrato modelo para Pregão Eletrônico - Serviços</w:t>
    </w:r>
    <w:r>
      <w:rPr>
        <w:sz w:val="14"/>
        <w:szCs w:val="14"/>
      </w:rPr>
      <w:t xml:space="preserve"> </w:t>
    </w:r>
    <w:r>
      <w:rPr>
        <w:rFonts w:cs="Arial"/>
        <w:sz w:val="14"/>
        <w:szCs w:val="14"/>
      </w:rPr>
      <w:t>contínuos com regime de dedicação exclusiva de mão de obra - Lei nº 14.133, de 2021.</w:t>
    </w:r>
  </w:p>
  <w:p w14:paraId="1785A0CA">
    <w:pPr>
      <w:pStyle w:val="33"/>
      <w:rPr>
        <w:rFonts w:cs="Arial"/>
        <w:sz w:val="14"/>
        <w:szCs w:val="14"/>
      </w:rPr>
    </w:pPr>
    <w:r>
      <w:rPr>
        <w:rFonts w:cs="Arial"/>
        <w:sz w:val="14"/>
        <w:szCs w:val="14"/>
      </w:rPr>
      <w:t>Revisado pela Secretaria de Gestão e Inovação.</w:t>
    </w:r>
  </w:p>
  <w:p w14:paraId="4312F900">
    <w:pPr>
      <w:pStyle w:val="33"/>
      <w:tabs>
        <w:tab w:val="right" w:pos="9639"/>
        <w:tab w:val="clear" w:pos="8504"/>
      </w:tabs>
      <w:rPr>
        <w:i/>
      </w:rPr>
    </w:pPr>
    <w:r>
      <w:rPr>
        <w:rFonts w:cs="Arial"/>
        <w:sz w:val="14"/>
        <w:szCs w:val="14"/>
      </w:rPr>
      <w:t>Identidade visual pela Secretaria de Gestão e Inovação</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1">
    <w:nsid w:val="050D7438"/>
    <w:multiLevelType w:val="multilevel"/>
    <w:tmpl w:val="050D7438"/>
    <w:lvl w:ilvl="0" w:tentative="0">
      <w:start w:val="4"/>
      <w:numFmt w:val="decimal"/>
      <w:lvlText w:val="%1."/>
      <w:lvlJc w:val="left"/>
      <w:pPr>
        <w:ind w:left="420" w:hanging="420"/>
      </w:pPr>
      <w:rPr>
        <w:rFonts w:hint="default"/>
      </w:rPr>
    </w:lvl>
    <w:lvl w:ilvl="1" w:tentative="0">
      <w:start w:val="1"/>
      <w:numFmt w:val="decimal"/>
      <w:lvlText w:val="%1.%2."/>
      <w:lvlJc w:val="left"/>
      <w:pPr>
        <w:ind w:left="720" w:hanging="720"/>
      </w:pPr>
      <w:rPr>
        <w:rFonts w:hint="default"/>
        <w:sz w:val="22"/>
        <w:szCs w:val="22"/>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abstractNum w:abstractNumId="2">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3">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4">
    <w:nsid w:val="0F6B410B"/>
    <w:multiLevelType w:val="multilevel"/>
    <w:tmpl w:val="0F6B410B"/>
    <w:lvl w:ilvl="0" w:tentative="0">
      <w:start w:val="8"/>
      <w:numFmt w:val="decimal"/>
      <w:lvlText w:val="%1."/>
      <w:lvlJc w:val="left"/>
      <w:pPr>
        <w:ind w:left="720" w:hanging="360"/>
      </w:pPr>
      <w:rPr>
        <w:rFonts w:hint="default" w:eastAsiaTheme="majorEastAsia"/>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13BE1A73"/>
    <w:multiLevelType w:val="multilevel"/>
    <w:tmpl w:val="13BE1A73"/>
    <w:lvl w:ilvl="0" w:tentative="0">
      <w:start w:val="8"/>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6">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8">
    <w:nsid w:val="2928118C"/>
    <w:multiLevelType w:val="multilevel"/>
    <w:tmpl w:val="2928118C"/>
    <w:lvl w:ilvl="0" w:tentative="0">
      <w:start w:val="13"/>
      <w:numFmt w:val="decimal"/>
      <w:lvlText w:val="%1"/>
      <w:lvlJc w:val="left"/>
      <w:pPr>
        <w:ind w:left="560" w:hanging="560"/>
      </w:pPr>
      <w:rPr>
        <w:rFonts w:hint="default"/>
      </w:rPr>
    </w:lvl>
    <w:lvl w:ilvl="1" w:tentative="0">
      <w:start w:val="2"/>
      <w:numFmt w:val="decimal"/>
      <w:lvlText w:val="%1.%2"/>
      <w:lvlJc w:val="left"/>
      <w:pPr>
        <w:ind w:left="914" w:hanging="560"/>
      </w:pPr>
      <w:rPr>
        <w:rFonts w:hint="default"/>
      </w:rPr>
    </w:lvl>
    <w:lvl w:ilvl="2" w:tentative="0">
      <w:start w:val="1"/>
      <w:numFmt w:val="decimal"/>
      <w:lvlText w:val="%1.%2.%3"/>
      <w:lvlJc w:val="left"/>
      <w:pPr>
        <w:ind w:left="1428" w:hanging="720"/>
      </w:pPr>
      <w:rPr>
        <w:rFonts w:hint="default"/>
      </w:rPr>
    </w:lvl>
    <w:lvl w:ilvl="3" w:tentative="0">
      <w:start w:val="1"/>
      <w:numFmt w:val="decimal"/>
      <w:lvlText w:val="%1.%2.%3.%4"/>
      <w:lvlJc w:val="left"/>
      <w:pPr>
        <w:ind w:left="1782" w:hanging="720"/>
      </w:pPr>
      <w:rPr>
        <w:rFonts w:hint="default"/>
      </w:rPr>
    </w:lvl>
    <w:lvl w:ilvl="4" w:tentative="0">
      <w:start w:val="1"/>
      <w:numFmt w:val="decimal"/>
      <w:lvlText w:val="%1.%2.%3.%4.%5"/>
      <w:lvlJc w:val="left"/>
      <w:pPr>
        <w:ind w:left="2496" w:hanging="1080"/>
      </w:pPr>
      <w:rPr>
        <w:rFonts w:hint="default"/>
      </w:rPr>
    </w:lvl>
    <w:lvl w:ilvl="5" w:tentative="0">
      <w:start w:val="1"/>
      <w:numFmt w:val="decimal"/>
      <w:lvlText w:val="%1.%2.%3.%4.%5.%6"/>
      <w:lvlJc w:val="left"/>
      <w:pPr>
        <w:ind w:left="2850" w:hanging="1080"/>
      </w:pPr>
      <w:rPr>
        <w:rFonts w:hint="default"/>
      </w:rPr>
    </w:lvl>
    <w:lvl w:ilvl="6" w:tentative="0">
      <w:start w:val="1"/>
      <w:numFmt w:val="decimal"/>
      <w:lvlText w:val="%1.%2.%3.%4.%5.%6.%7"/>
      <w:lvlJc w:val="left"/>
      <w:pPr>
        <w:ind w:left="3564" w:hanging="1440"/>
      </w:pPr>
      <w:rPr>
        <w:rFonts w:hint="default"/>
      </w:rPr>
    </w:lvl>
    <w:lvl w:ilvl="7" w:tentative="0">
      <w:start w:val="1"/>
      <w:numFmt w:val="decimal"/>
      <w:lvlText w:val="%1.%2.%3.%4.%5.%6.%7.%8"/>
      <w:lvlJc w:val="left"/>
      <w:pPr>
        <w:ind w:left="3918" w:hanging="1440"/>
      </w:pPr>
      <w:rPr>
        <w:rFonts w:hint="default"/>
      </w:rPr>
    </w:lvl>
    <w:lvl w:ilvl="8" w:tentative="0">
      <w:start w:val="1"/>
      <w:numFmt w:val="decimal"/>
      <w:lvlText w:val="%1.%2.%3.%4.%5.%6.%7.%8.%9"/>
      <w:lvlJc w:val="left"/>
      <w:pPr>
        <w:ind w:left="4632" w:hanging="1800"/>
      </w:pPr>
      <w:rPr>
        <w:rFonts w:hint="default"/>
      </w:rPr>
    </w:lvl>
  </w:abstractNum>
  <w:abstractNum w:abstractNumId="9">
    <w:nsid w:val="29542377"/>
    <w:multiLevelType w:val="multilevel"/>
    <w:tmpl w:val="29542377"/>
    <w:lvl w:ilvl="0" w:tentative="0">
      <w:start w:val="13"/>
      <w:numFmt w:val="decimal"/>
      <w:lvlText w:val="%1"/>
      <w:lvlJc w:val="left"/>
      <w:pPr>
        <w:ind w:left="670" w:hanging="670"/>
      </w:pPr>
      <w:rPr>
        <w:rFonts w:hint="default"/>
      </w:rPr>
    </w:lvl>
    <w:lvl w:ilvl="1" w:tentative="0">
      <w:start w:val="11"/>
      <w:numFmt w:val="decimal"/>
      <w:lvlText w:val="%1.%2"/>
      <w:lvlJc w:val="left"/>
      <w:pPr>
        <w:ind w:left="1024" w:hanging="670"/>
      </w:pPr>
      <w:rPr>
        <w:rFonts w:hint="default"/>
      </w:rPr>
    </w:lvl>
    <w:lvl w:ilvl="2" w:tentative="0">
      <w:start w:val="1"/>
      <w:numFmt w:val="decimal"/>
      <w:lvlText w:val="%1.%2.%3"/>
      <w:lvlJc w:val="left"/>
      <w:pPr>
        <w:ind w:left="1428" w:hanging="720"/>
      </w:pPr>
      <w:rPr>
        <w:rFonts w:hint="default"/>
      </w:rPr>
    </w:lvl>
    <w:lvl w:ilvl="3" w:tentative="0">
      <w:start w:val="1"/>
      <w:numFmt w:val="decimal"/>
      <w:lvlText w:val="%1.%2.%3.%4"/>
      <w:lvlJc w:val="left"/>
      <w:pPr>
        <w:ind w:left="1782" w:hanging="720"/>
      </w:pPr>
      <w:rPr>
        <w:rFonts w:hint="default"/>
      </w:rPr>
    </w:lvl>
    <w:lvl w:ilvl="4" w:tentative="0">
      <w:start w:val="1"/>
      <w:numFmt w:val="decimal"/>
      <w:lvlText w:val="%1.%2.%3.%4.%5"/>
      <w:lvlJc w:val="left"/>
      <w:pPr>
        <w:ind w:left="2496" w:hanging="1080"/>
      </w:pPr>
      <w:rPr>
        <w:rFonts w:hint="default"/>
      </w:rPr>
    </w:lvl>
    <w:lvl w:ilvl="5" w:tentative="0">
      <w:start w:val="1"/>
      <w:numFmt w:val="decimal"/>
      <w:lvlText w:val="%1.%2.%3.%4.%5.%6"/>
      <w:lvlJc w:val="left"/>
      <w:pPr>
        <w:ind w:left="2850" w:hanging="1080"/>
      </w:pPr>
      <w:rPr>
        <w:rFonts w:hint="default"/>
      </w:rPr>
    </w:lvl>
    <w:lvl w:ilvl="6" w:tentative="0">
      <w:start w:val="1"/>
      <w:numFmt w:val="decimal"/>
      <w:lvlText w:val="%1.%2.%3.%4.%5.%6.%7"/>
      <w:lvlJc w:val="left"/>
      <w:pPr>
        <w:ind w:left="3564" w:hanging="1440"/>
      </w:pPr>
      <w:rPr>
        <w:rFonts w:hint="default"/>
      </w:rPr>
    </w:lvl>
    <w:lvl w:ilvl="7" w:tentative="0">
      <w:start w:val="1"/>
      <w:numFmt w:val="decimal"/>
      <w:lvlText w:val="%1.%2.%3.%4.%5.%6.%7.%8"/>
      <w:lvlJc w:val="left"/>
      <w:pPr>
        <w:ind w:left="3918" w:hanging="1440"/>
      </w:pPr>
      <w:rPr>
        <w:rFonts w:hint="default"/>
      </w:rPr>
    </w:lvl>
    <w:lvl w:ilvl="8" w:tentative="0">
      <w:start w:val="1"/>
      <w:numFmt w:val="decimal"/>
      <w:lvlText w:val="%1.%2.%3.%4.%5.%6.%7.%8.%9"/>
      <w:lvlJc w:val="left"/>
      <w:pPr>
        <w:ind w:left="4632" w:hanging="1800"/>
      </w:pPr>
      <w:rPr>
        <w:rFonts w:hint="default"/>
      </w:rPr>
    </w:lvl>
  </w:abstractNum>
  <w:abstractNum w:abstractNumId="10">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11">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12">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13">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14">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5">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6">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7">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8">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9">
    <w:nsid w:val="788565F1"/>
    <w:multiLevelType w:val="multilevel"/>
    <w:tmpl w:val="788565F1"/>
    <w:lvl w:ilvl="0" w:tentative="0">
      <w:start w:val="2"/>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0">
    <w:nsid w:val="7CA9412C"/>
    <w:multiLevelType w:val="multilevel"/>
    <w:tmpl w:val="7CA9412C"/>
    <w:lvl w:ilvl="0" w:tentative="0">
      <w:start w:val="9"/>
      <w:numFmt w:val="decimal"/>
      <w:lvlText w:val="%1."/>
      <w:lvlJc w:val="left"/>
      <w:pPr>
        <w:ind w:left="360" w:hanging="360"/>
      </w:pPr>
      <w:rPr>
        <w:rFonts w:hint="default"/>
      </w:rPr>
    </w:lvl>
    <w:lvl w:ilvl="1" w:tentative="0">
      <w:start w:val="1"/>
      <w:numFmt w:val="decimal"/>
      <w:lvlText w:val="%1.%2."/>
      <w:lvlJc w:val="left"/>
      <w:pPr>
        <w:ind w:left="786" w:hanging="360"/>
      </w:pPr>
      <w:rPr>
        <w:rFonts w:hint="default"/>
      </w:rPr>
    </w:lvl>
    <w:lvl w:ilvl="2" w:tentative="0">
      <w:start w:val="1"/>
      <w:numFmt w:val="decimal"/>
      <w:lvlText w:val="%1.%2.%3."/>
      <w:lvlJc w:val="left"/>
      <w:pPr>
        <w:ind w:left="1572" w:hanging="720"/>
      </w:pPr>
      <w:rPr>
        <w:rFonts w:hint="default"/>
      </w:rPr>
    </w:lvl>
    <w:lvl w:ilvl="3" w:tentative="0">
      <w:start w:val="1"/>
      <w:numFmt w:val="decimal"/>
      <w:lvlText w:val="%1.%2.%3.%4."/>
      <w:lvlJc w:val="left"/>
      <w:pPr>
        <w:ind w:left="1998" w:hanging="720"/>
      </w:pPr>
      <w:rPr>
        <w:rFonts w:hint="default"/>
      </w:rPr>
    </w:lvl>
    <w:lvl w:ilvl="4" w:tentative="0">
      <w:start w:val="1"/>
      <w:numFmt w:val="decimal"/>
      <w:lvlText w:val="%1.%2.%3.%4.%5."/>
      <w:lvlJc w:val="left"/>
      <w:pPr>
        <w:ind w:left="2784" w:hanging="1080"/>
      </w:pPr>
      <w:rPr>
        <w:rFonts w:hint="default"/>
      </w:rPr>
    </w:lvl>
    <w:lvl w:ilvl="5" w:tentative="0">
      <w:start w:val="1"/>
      <w:numFmt w:val="decimal"/>
      <w:lvlText w:val="%1.%2.%3.%4.%5.%6."/>
      <w:lvlJc w:val="left"/>
      <w:pPr>
        <w:ind w:left="3210" w:hanging="1080"/>
      </w:pPr>
      <w:rPr>
        <w:rFonts w:hint="default"/>
      </w:rPr>
    </w:lvl>
    <w:lvl w:ilvl="6" w:tentative="0">
      <w:start w:val="1"/>
      <w:numFmt w:val="decimal"/>
      <w:lvlText w:val="%1.%2.%3.%4.%5.%6.%7."/>
      <w:lvlJc w:val="left"/>
      <w:pPr>
        <w:ind w:left="3636" w:hanging="1080"/>
      </w:pPr>
      <w:rPr>
        <w:rFonts w:hint="default"/>
      </w:rPr>
    </w:lvl>
    <w:lvl w:ilvl="7" w:tentative="0">
      <w:start w:val="1"/>
      <w:numFmt w:val="decimal"/>
      <w:lvlText w:val="%1.%2.%3.%4.%5.%6.%7.%8."/>
      <w:lvlJc w:val="left"/>
      <w:pPr>
        <w:ind w:left="4422" w:hanging="1440"/>
      </w:pPr>
      <w:rPr>
        <w:rFonts w:hint="default"/>
      </w:rPr>
    </w:lvl>
    <w:lvl w:ilvl="8" w:tentative="0">
      <w:start w:val="1"/>
      <w:numFmt w:val="decimal"/>
      <w:lvlText w:val="%1.%2.%3.%4.%5.%6.%7.%8.%9."/>
      <w:lvlJc w:val="left"/>
      <w:pPr>
        <w:ind w:left="4848" w:hanging="1440"/>
      </w:pPr>
      <w:rPr>
        <w:rFonts w:hint="default"/>
      </w:rPr>
    </w:lvl>
  </w:abstractNum>
  <w:abstractNum w:abstractNumId="21">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11"/>
  </w:num>
  <w:num w:numId="2">
    <w:abstractNumId w:val="15"/>
  </w:num>
  <w:num w:numId="3">
    <w:abstractNumId w:val="16"/>
  </w:num>
  <w:num w:numId="4">
    <w:abstractNumId w:val="17"/>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7"/>
  </w:num>
  <w:num w:numId="8">
    <w:abstractNumId w:val="6"/>
  </w:num>
  <w:num w:numId="9">
    <w:abstractNumId w:val="19"/>
  </w:num>
  <w:num w:numId="10">
    <w:abstractNumId w:val="18"/>
  </w:num>
  <w:num w:numId="11">
    <w:abstractNumId w:val="12"/>
  </w:num>
  <w:num w:numId="12">
    <w:abstractNumId w:val="1"/>
  </w:num>
  <w:num w:numId="13">
    <w:abstractNumId w:val="3"/>
  </w:num>
  <w:num w:numId="14">
    <w:abstractNumId w:val="4"/>
  </w:num>
  <w:num w:numId="15">
    <w:abstractNumId w:val="5"/>
  </w:num>
  <w:num w:numId="16">
    <w:abstractNumId w:val="20"/>
  </w:num>
  <w:num w:numId="17">
    <w:abstractNumId w:val="21"/>
  </w:num>
  <w:num w:numId="18">
    <w:abstractNumId w:val="13"/>
  </w:num>
  <w:num w:numId="19">
    <w:abstractNumId w:val="0"/>
  </w:num>
  <w:num w:numId="20">
    <w:abstractNumId w:val="8"/>
  </w:num>
  <w:num w:numId="21">
    <w:abstractNumId w:val="9"/>
  </w:num>
  <w:num w:numId="22">
    <w:abstractNumId w:val="2"/>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67937"/>
    <w:rsid w:val="00073A80"/>
    <w:rsid w:val="00074805"/>
    <w:rsid w:val="00081034"/>
    <w:rsid w:val="000815B6"/>
    <w:rsid w:val="000A570B"/>
    <w:rsid w:val="000A58EF"/>
    <w:rsid w:val="000A5C63"/>
    <w:rsid w:val="000A62C8"/>
    <w:rsid w:val="000B5CD5"/>
    <w:rsid w:val="000D0B49"/>
    <w:rsid w:val="000D13E3"/>
    <w:rsid w:val="000D1838"/>
    <w:rsid w:val="000D62E0"/>
    <w:rsid w:val="000E0BB9"/>
    <w:rsid w:val="000F0145"/>
    <w:rsid w:val="0010119F"/>
    <w:rsid w:val="00104571"/>
    <w:rsid w:val="00122A72"/>
    <w:rsid w:val="00123A6B"/>
    <w:rsid w:val="00131CC6"/>
    <w:rsid w:val="00135BEF"/>
    <w:rsid w:val="0014109B"/>
    <w:rsid w:val="001571D0"/>
    <w:rsid w:val="00163819"/>
    <w:rsid w:val="0018615A"/>
    <w:rsid w:val="001877DC"/>
    <w:rsid w:val="00191B50"/>
    <w:rsid w:val="00194CFD"/>
    <w:rsid w:val="00195787"/>
    <w:rsid w:val="001A27F4"/>
    <w:rsid w:val="001A6554"/>
    <w:rsid w:val="001B3F02"/>
    <w:rsid w:val="001C5C08"/>
    <w:rsid w:val="001C723F"/>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DA"/>
    <w:rsid w:val="003804AE"/>
    <w:rsid w:val="00394D5F"/>
    <w:rsid w:val="003A2662"/>
    <w:rsid w:val="003A4456"/>
    <w:rsid w:val="003A5295"/>
    <w:rsid w:val="003B11E3"/>
    <w:rsid w:val="003B787E"/>
    <w:rsid w:val="003C658B"/>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36F9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3758"/>
    <w:rsid w:val="00561155"/>
    <w:rsid w:val="005807EC"/>
    <w:rsid w:val="0058089D"/>
    <w:rsid w:val="005853CE"/>
    <w:rsid w:val="005A0B33"/>
    <w:rsid w:val="005A0C7A"/>
    <w:rsid w:val="005A51E8"/>
    <w:rsid w:val="005B345F"/>
    <w:rsid w:val="005B3CB4"/>
    <w:rsid w:val="005C41B6"/>
    <w:rsid w:val="005D7737"/>
    <w:rsid w:val="005E6819"/>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6E9A"/>
    <w:rsid w:val="00661793"/>
    <w:rsid w:val="00665924"/>
    <w:rsid w:val="00667772"/>
    <w:rsid w:val="006723C3"/>
    <w:rsid w:val="006757D3"/>
    <w:rsid w:val="0069429E"/>
    <w:rsid w:val="00697869"/>
    <w:rsid w:val="006A50FF"/>
    <w:rsid w:val="006C27E6"/>
    <w:rsid w:val="006D546C"/>
    <w:rsid w:val="006E2B79"/>
    <w:rsid w:val="006E3D66"/>
    <w:rsid w:val="006E4496"/>
    <w:rsid w:val="006E480D"/>
    <w:rsid w:val="006E7396"/>
    <w:rsid w:val="006F29AD"/>
    <w:rsid w:val="0070435E"/>
    <w:rsid w:val="00711ECE"/>
    <w:rsid w:val="00712E04"/>
    <w:rsid w:val="00720609"/>
    <w:rsid w:val="0072557C"/>
    <w:rsid w:val="007312B8"/>
    <w:rsid w:val="0074359C"/>
    <w:rsid w:val="007464EA"/>
    <w:rsid w:val="00747EBB"/>
    <w:rsid w:val="00750831"/>
    <w:rsid w:val="00751153"/>
    <w:rsid w:val="007535D5"/>
    <w:rsid w:val="00754691"/>
    <w:rsid w:val="00767D68"/>
    <w:rsid w:val="00772F28"/>
    <w:rsid w:val="00780E4D"/>
    <w:rsid w:val="00782642"/>
    <w:rsid w:val="007856B1"/>
    <w:rsid w:val="007861D9"/>
    <w:rsid w:val="00792C4F"/>
    <w:rsid w:val="00792EFD"/>
    <w:rsid w:val="00793F13"/>
    <w:rsid w:val="00793F3E"/>
    <w:rsid w:val="00796214"/>
    <w:rsid w:val="007A512D"/>
    <w:rsid w:val="007B50C0"/>
    <w:rsid w:val="007C0405"/>
    <w:rsid w:val="007D1562"/>
    <w:rsid w:val="007D4F40"/>
    <w:rsid w:val="007D5648"/>
    <w:rsid w:val="007D77AE"/>
    <w:rsid w:val="007E3B26"/>
    <w:rsid w:val="007E4F4D"/>
    <w:rsid w:val="007E50AD"/>
    <w:rsid w:val="00800F2B"/>
    <w:rsid w:val="008034B1"/>
    <w:rsid w:val="008065EE"/>
    <w:rsid w:val="008078B0"/>
    <w:rsid w:val="00814931"/>
    <w:rsid w:val="008154F5"/>
    <w:rsid w:val="008227EC"/>
    <w:rsid w:val="00824928"/>
    <w:rsid w:val="008540D8"/>
    <w:rsid w:val="008566DD"/>
    <w:rsid w:val="00892576"/>
    <w:rsid w:val="0089665C"/>
    <w:rsid w:val="008B0E2B"/>
    <w:rsid w:val="008C23FF"/>
    <w:rsid w:val="008C54E4"/>
    <w:rsid w:val="008C63D1"/>
    <w:rsid w:val="008C6744"/>
    <w:rsid w:val="008D05AA"/>
    <w:rsid w:val="008D0EDF"/>
    <w:rsid w:val="008D2CD5"/>
    <w:rsid w:val="008E166E"/>
    <w:rsid w:val="008F3BD8"/>
    <w:rsid w:val="0090037C"/>
    <w:rsid w:val="00912689"/>
    <w:rsid w:val="009271C3"/>
    <w:rsid w:val="009350A3"/>
    <w:rsid w:val="00937A6A"/>
    <w:rsid w:val="00940753"/>
    <w:rsid w:val="00946A34"/>
    <w:rsid w:val="009502A0"/>
    <w:rsid w:val="00951247"/>
    <w:rsid w:val="00973203"/>
    <w:rsid w:val="009920C9"/>
    <w:rsid w:val="009937E6"/>
    <w:rsid w:val="009A4E8F"/>
    <w:rsid w:val="009A60CB"/>
    <w:rsid w:val="009C1A02"/>
    <w:rsid w:val="009E113C"/>
    <w:rsid w:val="009F2EB2"/>
    <w:rsid w:val="00A05241"/>
    <w:rsid w:val="00A21E8F"/>
    <w:rsid w:val="00A23D08"/>
    <w:rsid w:val="00A30A28"/>
    <w:rsid w:val="00A33729"/>
    <w:rsid w:val="00A4294C"/>
    <w:rsid w:val="00A45504"/>
    <w:rsid w:val="00A54D43"/>
    <w:rsid w:val="00A738FA"/>
    <w:rsid w:val="00A74E08"/>
    <w:rsid w:val="00A85110"/>
    <w:rsid w:val="00A87093"/>
    <w:rsid w:val="00A93E08"/>
    <w:rsid w:val="00A942C3"/>
    <w:rsid w:val="00AB336E"/>
    <w:rsid w:val="00AB700F"/>
    <w:rsid w:val="00AC3B53"/>
    <w:rsid w:val="00AD214B"/>
    <w:rsid w:val="00AD321A"/>
    <w:rsid w:val="00AE0A71"/>
    <w:rsid w:val="00AF32BC"/>
    <w:rsid w:val="00AF3581"/>
    <w:rsid w:val="00AF781E"/>
    <w:rsid w:val="00AF7DA7"/>
    <w:rsid w:val="00B15476"/>
    <w:rsid w:val="00B17DC6"/>
    <w:rsid w:val="00B5046D"/>
    <w:rsid w:val="00B525B8"/>
    <w:rsid w:val="00B54C7E"/>
    <w:rsid w:val="00B558E1"/>
    <w:rsid w:val="00B66F19"/>
    <w:rsid w:val="00B67441"/>
    <w:rsid w:val="00B72EE9"/>
    <w:rsid w:val="00B77077"/>
    <w:rsid w:val="00B82EC1"/>
    <w:rsid w:val="00B8510A"/>
    <w:rsid w:val="00B85C8F"/>
    <w:rsid w:val="00B90BA6"/>
    <w:rsid w:val="00B94120"/>
    <w:rsid w:val="00B9643D"/>
    <w:rsid w:val="00BA0662"/>
    <w:rsid w:val="00BB0870"/>
    <w:rsid w:val="00BB08AE"/>
    <w:rsid w:val="00BB1363"/>
    <w:rsid w:val="00BB2C3E"/>
    <w:rsid w:val="00BB598F"/>
    <w:rsid w:val="00BC4F69"/>
    <w:rsid w:val="00BE2F47"/>
    <w:rsid w:val="00BE53BB"/>
    <w:rsid w:val="00BE591B"/>
    <w:rsid w:val="00BF0117"/>
    <w:rsid w:val="00BF319D"/>
    <w:rsid w:val="00BF4761"/>
    <w:rsid w:val="00C00AE6"/>
    <w:rsid w:val="00C01D97"/>
    <w:rsid w:val="00C0241D"/>
    <w:rsid w:val="00C107EE"/>
    <w:rsid w:val="00C11C38"/>
    <w:rsid w:val="00C13D03"/>
    <w:rsid w:val="00C154AA"/>
    <w:rsid w:val="00C1654F"/>
    <w:rsid w:val="00C2046E"/>
    <w:rsid w:val="00C30204"/>
    <w:rsid w:val="00C433C3"/>
    <w:rsid w:val="00C44CC3"/>
    <w:rsid w:val="00C45096"/>
    <w:rsid w:val="00C50DCE"/>
    <w:rsid w:val="00C5395D"/>
    <w:rsid w:val="00C6037B"/>
    <w:rsid w:val="00C63DD4"/>
    <w:rsid w:val="00C754FF"/>
    <w:rsid w:val="00C7600F"/>
    <w:rsid w:val="00C804D0"/>
    <w:rsid w:val="00C9098A"/>
    <w:rsid w:val="00CA1C08"/>
    <w:rsid w:val="00CA7862"/>
    <w:rsid w:val="00CB041E"/>
    <w:rsid w:val="00CB5F48"/>
    <w:rsid w:val="00CD2701"/>
    <w:rsid w:val="00CD3A73"/>
    <w:rsid w:val="00CE00C9"/>
    <w:rsid w:val="00CE1A91"/>
    <w:rsid w:val="00CE4C58"/>
    <w:rsid w:val="00CE53E5"/>
    <w:rsid w:val="00CE7B83"/>
    <w:rsid w:val="00D01911"/>
    <w:rsid w:val="00D03194"/>
    <w:rsid w:val="00D0795F"/>
    <w:rsid w:val="00D11FB6"/>
    <w:rsid w:val="00D15CE1"/>
    <w:rsid w:val="00D166E7"/>
    <w:rsid w:val="00D20659"/>
    <w:rsid w:val="00D24004"/>
    <w:rsid w:val="00D40051"/>
    <w:rsid w:val="00D43BAF"/>
    <w:rsid w:val="00D4570A"/>
    <w:rsid w:val="00D52F83"/>
    <w:rsid w:val="00D541A6"/>
    <w:rsid w:val="00D62B23"/>
    <w:rsid w:val="00D72CFE"/>
    <w:rsid w:val="00D734D3"/>
    <w:rsid w:val="00D7605E"/>
    <w:rsid w:val="00D839EC"/>
    <w:rsid w:val="00D83B02"/>
    <w:rsid w:val="00D901EE"/>
    <w:rsid w:val="00D902D6"/>
    <w:rsid w:val="00D945C1"/>
    <w:rsid w:val="00DB435A"/>
    <w:rsid w:val="00DB6F67"/>
    <w:rsid w:val="00DC6924"/>
    <w:rsid w:val="00DE596B"/>
    <w:rsid w:val="00DF5E89"/>
    <w:rsid w:val="00E03B99"/>
    <w:rsid w:val="00E1163C"/>
    <w:rsid w:val="00E23909"/>
    <w:rsid w:val="00E31561"/>
    <w:rsid w:val="00E43629"/>
    <w:rsid w:val="00E44B0C"/>
    <w:rsid w:val="00E52524"/>
    <w:rsid w:val="00E578A6"/>
    <w:rsid w:val="00E67DCF"/>
    <w:rsid w:val="00E726A9"/>
    <w:rsid w:val="00EA06C5"/>
    <w:rsid w:val="00EB556D"/>
    <w:rsid w:val="00EB6AF5"/>
    <w:rsid w:val="00EB7F69"/>
    <w:rsid w:val="00ED4EB4"/>
    <w:rsid w:val="00ED7983"/>
    <w:rsid w:val="00F070E5"/>
    <w:rsid w:val="00F12161"/>
    <w:rsid w:val="00F12A88"/>
    <w:rsid w:val="00F12E0D"/>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97CB3"/>
    <w:rsid w:val="00FA11BA"/>
    <w:rsid w:val="00FA37D5"/>
    <w:rsid w:val="00FA404A"/>
    <w:rsid w:val="00FA6B1D"/>
    <w:rsid w:val="00FC1C20"/>
    <w:rsid w:val="00FC2D21"/>
    <w:rsid w:val="00FC4618"/>
    <w:rsid w:val="00FD242D"/>
    <w:rsid w:val="00FE7935"/>
    <w:rsid w:val="00FF6C7B"/>
    <w:rsid w:val="69BE7506"/>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1"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qFormat/>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qFormat/>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1"/>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qFormat/>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qFormat/>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qFormat/>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uiPriority w:val="0"/>
  </w:style>
  <w:style w:type="character" w:customStyle="1" w:styleId="145">
    <w:name w:val="WW8Num13z3"/>
    <w:qFormat/>
    <w:uiPriority w:val="0"/>
  </w:style>
  <w:style w:type="character" w:customStyle="1" w:styleId="146">
    <w:name w:val="WW8Num13z4"/>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uiPriority w:val="0"/>
  </w:style>
  <w:style w:type="character" w:customStyle="1" w:styleId="151">
    <w:name w:val="WW8Num14z0"/>
    <w:qFormat/>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qFormat/>
    <w:uiPriority w:val="0"/>
  </w:style>
  <w:style w:type="character" w:customStyle="1" w:styleId="155">
    <w:name w:val="WW8Num14z4"/>
    <w:uiPriority w:val="0"/>
  </w:style>
  <w:style w:type="character" w:customStyle="1" w:styleId="156">
    <w:name w:val="WW8Num14z5"/>
    <w:qFormat/>
    <w:uiPriority w:val="0"/>
  </w:style>
  <w:style w:type="character" w:customStyle="1" w:styleId="157">
    <w:name w:val="WW8Num14z6"/>
    <w:qFormat/>
    <w:uiPriority w:val="0"/>
  </w:style>
  <w:style w:type="character" w:customStyle="1" w:styleId="158">
    <w:name w:val="WW8Num14z7"/>
    <w:uiPriority w:val="0"/>
  </w:style>
  <w:style w:type="character" w:customStyle="1" w:styleId="159">
    <w:name w:val="WW8Num14z8"/>
    <w:qFormat/>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qFormat/>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qFormat/>
    <w:uiPriority w:val="0"/>
  </w:style>
  <w:style w:type="character" w:customStyle="1" w:styleId="197">
    <w:name w:val="WW8Num17z2"/>
    <w:uiPriority w:val="0"/>
  </w:style>
  <w:style w:type="character" w:customStyle="1" w:styleId="198">
    <w:name w:val="WW8Num17z3"/>
    <w:qFormat/>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uiPriority w:val="0"/>
  </w:style>
  <w:style w:type="character" w:customStyle="1" w:styleId="211">
    <w:name w:val="WW8Num19z8"/>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qFormat/>
    <w:uiPriority w:val="0"/>
    <w:rPr>
      <w:rFonts w:hint="default" w:eastAsia="Times New Roman"/>
    </w:rPr>
  </w:style>
  <w:style w:type="character" w:customStyle="1" w:styleId="223">
    <w:name w:val="WW8Num23z1"/>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uiPriority w:val="0"/>
  </w:style>
  <w:style w:type="character" w:customStyle="1" w:styleId="227">
    <w:name w:val="WW8Num23z5"/>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uiPriority w:val="0"/>
  </w:style>
  <w:style w:type="character" w:customStyle="1" w:styleId="234">
    <w:name w:val="WW8Num24z3"/>
    <w:qFormat/>
    <w:uiPriority w:val="0"/>
  </w:style>
  <w:style w:type="character" w:customStyle="1" w:styleId="235">
    <w:name w:val="WW8Num24z4"/>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uiPriority w:val="0"/>
  </w:style>
  <w:style w:type="character" w:customStyle="1" w:styleId="245">
    <w:name w:val="WW8Num26z2"/>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uiPriority w:val="0"/>
  </w:style>
  <w:style w:type="character" w:customStyle="1" w:styleId="251">
    <w:name w:val="WW8Num26z8"/>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qFormat/>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qFormat/>
    <w:uiPriority w:val="0"/>
  </w:style>
  <w:style w:type="character" w:customStyle="1" w:styleId="260">
    <w:name w:val="WW8Num27z8"/>
    <w:uiPriority w:val="0"/>
  </w:style>
  <w:style w:type="character" w:customStyle="1" w:styleId="261">
    <w:name w:val="Fonte parág. padrão3"/>
    <w:qFormat/>
    <w:uiPriority w:val="0"/>
  </w:style>
  <w:style w:type="character" w:customStyle="1" w:styleId="262">
    <w:name w:val="Fonte parág. padrão2"/>
    <w:qFormat/>
    <w:uiPriority w:val="0"/>
  </w:style>
  <w:style w:type="character" w:customStyle="1" w:styleId="263">
    <w:name w:val="WW8Num6z1"/>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uiPriority w:val="0"/>
  </w:style>
  <w:style w:type="character" w:customStyle="1" w:styleId="266">
    <w:name w:val="WW8Num6z4"/>
    <w:qFormat/>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qFormat/>
    <w:uiPriority w:val="0"/>
  </w:style>
  <w:style w:type="character" w:customStyle="1" w:styleId="276">
    <w:name w:val="WW8Num18z4"/>
    <w:uiPriority w:val="0"/>
  </w:style>
  <w:style w:type="character" w:customStyle="1" w:styleId="277">
    <w:name w:val="WW8Num18z5"/>
    <w:qFormat/>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uiPriority w:val="0"/>
  </w:style>
  <w:style w:type="character" w:customStyle="1" w:styleId="281">
    <w:name w:val="WW8Num20z1"/>
    <w:qFormat/>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uiPriority w:val="0"/>
  </w:style>
  <w:style w:type="character" w:customStyle="1" w:styleId="284">
    <w:name w:val="WW8Num20z4"/>
    <w:qFormat/>
    <w:uiPriority w:val="0"/>
  </w:style>
  <w:style w:type="character" w:customStyle="1" w:styleId="285">
    <w:name w:val="WW8Num20z5"/>
    <w:uiPriority w:val="0"/>
  </w:style>
  <w:style w:type="character" w:customStyle="1" w:styleId="286">
    <w:name w:val="WW8Num20z6"/>
    <w:qFormat/>
    <w:uiPriority w:val="0"/>
  </w:style>
  <w:style w:type="character" w:customStyle="1" w:styleId="287">
    <w:name w:val="WW8Num20z7"/>
    <w:uiPriority w:val="0"/>
  </w:style>
  <w:style w:type="character" w:customStyle="1" w:styleId="288">
    <w:name w:val="WW8Num20z8"/>
    <w:qFormat/>
    <w:uiPriority w:val="0"/>
  </w:style>
  <w:style w:type="character" w:customStyle="1" w:styleId="289">
    <w:name w:val="WW8Num7z1"/>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uiPriority w:val="0"/>
  </w:style>
  <w:style w:type="character" w:customStyle="1" w:styleId="294">
    <w:name w:val="WW8Num7z6"/>
    <w:qFormat/>
    <w:uiPriority w:val="0"/>
  </w:style>
  <w:style w:type="character" w:customStyle="1" w:styleId="295">
    <w:name w:val="WW8Num7z7"/>
    <w:uiPriority w:val="0"/>
  </w:style>
  <w:style w:type="character" w:customStyle="1" w:styleId="296">
    <w:name w:val="WW8Num7z8"/>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uiPriority w:val="0"/>
    <w:rPr>
      <w:b/>
    </w:rPr>
  </w:style>
  <w:style w:type="character" w:customStyle="1" w:styleId="302">
    <w:name w:val="WW8Num2z1"/>
    <w:qFormat/>
    <w:uiPriority w:val="0"/>
  </w:style>
  <w:style w:type="character" w:customStyle="1" w:styleId="303">
    <w:name w:val="WW8Num2z2"/>
    <w:uiPriority w:val="0"/>
  </w:style>
  <w:style w:type="character" w:customStyle="1" w:styleId="304">
    <w:name w:val="WW8Num2z3"/>
    <w:uiPriority w:val="0"/>
  </w:style>
  <w:style w:type="character" w:customStyle="1" w:styleId="305">
    <w:name w:val="WW8Num2z4"/>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uiPriority w:val="0"/>
  </w:style>
  <w:style w:type="character" w:customStyle="1" w:styleId="312">
    <w:name w:val="WW8Num4z4"/>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uiPriority w:val="0"/>
  </w:style>
  <w:style w:type="character" w:customStyle="1" w:styleId="316">
    <w:name w:val="WW8Num4z8"/>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uiPriority w:val="0"/>
  </w:style>
  <w:style w:type="character" w:customStyle="1" w:styleId="328">
    <w:name w:val="WW8Num21z4"/>
    <w:uiPriority w:val="0"/>
  </w:style>
  <w:style w:type="character" w:customStyle="1" w:styleId="329">
    <w:name w:val="WW8Num21z5"/>
    <w:uiPriority w:val="0"/>
  </w:style>
  <w:style w:type="character" w:customStyle="1" w:styleId="330">
    <w:name w:val="WW8Num21z6"/>
    <w:qFormat/>
    <w:uiPriority w:val="0"/>
  </w:style>
  <w:style w:type="character" w:customStyle="1" w:styleId="331">
    <w:name w:val="WW8Num21z7"/>
    <w:uiPriority w:val="0"/>
  </w:style>
  <w:style w:type="character" w:customStyle="1" w:styleId="332">
    <w:name w:val="WW8Num21z8"/>
    <w:qFormat/>
    <w:uiPriority w:val="0"/>
  </w:style>
  <w:style w:type="character" w:customStyle="1" w:styleId="333">
    <w:name w:val="WW8Num25z3"/>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uiPriority w:val="0"/>
  </w:style>
  <w:style w:type="character" w:customStyle="1" w:styleId="342">
    <w:name w:val="WW8Num29z2"/>
    <w:qFormat/>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qFormat/>
    <w:uiPriority w:val="0"/>
  </w:style>
  <w:style w:type="character" w:customStyle="1" w:styleId="347">
    <w:name w:val="WW8Num29z7"/>
    <w:uiPriority w:val="0"/>
  </w:style>
  <w:style w:type="character" w:customStyle="1" w:styleId="348">
    <w:name w:val="WW8Num29z8"/>
    <w:uiPriority w:val="0"/>
  </w:style>
  <w:style w:type="character" w:customStyle="1" w:styleId="349">
    <w:name w:val="WW8Num30z0"/>
    <w:uiPriority w:val="0"/>
    <w:rPr>
      <w:b/>
    </w:rPr>
  </w:style>
  <w:style w:type="character" w:customStyle="1" w:styleId="350">
    <w:name w:val="WW8Num30z1"/>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uiPriority w:val="0"/>
  </w:style>
  <w:style w:type="character" w:customStyle="1" w:styleId="354">
    <w:name w:val="WW8Num30z5"/>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qFormat/>
    <w:uiPriority w:val="0"/>
  </w:style>
  <w:style w:type="character" w:customStyle="1" w:styleId="363">
    <w:name w:val="WW8Num31z5"/>
    <w:uiPriority w:val="0"/>
  </w:style>
  <w:style w:type="character" w:customStyle="1" w:styleId="364">
    <w:name w:val="WW8Num31z6"/>
    <w:uiPriority w:val="0"/>
  </w:style>
  <w:style w:type="character" w:customStyle="1" w:styleId="365">
    <w:name w:val="WW8Num31z7"/>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qFormat/>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qFormat/>
    <w:uiPriority w:val="0"/>
  </w:style>
  <w:style w:type="character" w:customStyle="1" w:styleId="390">
    <w:name w:val="WW8Num34z5"/>
    <w:qFormat/>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qFormat/>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qFormat/>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 w:type="table" w:customStyle="1" w:styleId="541">
    <w:name w:val="Grid Table 3 Accent 1"/>
    <w:basedOn w:val="12"/>
    <w:qFormat/>
    <w:uiPriority w:val="48"/>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BE5F1" w:themeFill="accent1" w:themeFillTint="33"/>
      </w:tcPr>
    </w:tblStylePr>
    <w:tblStylePr w:type="band1Horz">
      <w:tcPr>
        <w:shd w:val="clear" w:color="auto" w:fill="DBE5F1" w:themeFill="accent1" w:themeFillTint="33"/>
      </w:tcPr>
    </w:tblStylePr>
    <w:tblStylePr w:type="neCell">
      <w:tcPr>
        <w:tcBorders>
          <w:bottom w:val="single" w:color="95B3D7" w:themeColor="accent1" w:themeTint="99" w:sz="4" w:space="0"/>
        </w:tcBorders>
      </w:tcPr>
    </w:tblStylePr>
    <w:tblStylePr w:type="nwCell">
      <w:tcPr>
        <w:tcBorders>
          <w:bottom w:val="single" w:color="95B3D7" w:themeColor="accent1" w:themeTint="99" w:sz="4" w:space="0"/>
        </w:tcBorders>
      </w:tcPr>
    </w:tblStylePr>
    <w:tblStylePr w:type="seCell">
      <w:tcPr>
        <w:tcBorders>
          <w:top w:val="single" w:color="95B3D7" w:themeColor="accent1" w:themeTint="99" w:sz="4" w:space="0"/>
        </w:tcBorders>
      </w:tcPr>
    </w:tblStylePr>
    <w:tblStylePr w:type="swCell">
      <w:tcPr>
        <w:tcBorders>
          <w:top w:val="single" w:color="95B3D7" w:themeColor="accent1" w:themeTint="99" w:sz="4" w:space="0"/>
        </w:tcBorders>
      </w:tc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16</Pages>
  <Words>6348</Words>
  <Characters>34280</Characters>
  <Lines>285</Lines>
  <Paragraphs>81</Paragraphs>
  <TotalTime>14</TotalTime>
  <ScaleCrop>false</ScaleCrop>
  <LinksUpToDate>false</LinksUpToDate>
  <CharactersWithSpaces>40547</CharactersWithSpaces>
  <Application>WPS Office_12.2.0.17153_F1E327BC-269C-435d-A152-05C5408002CA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2023-06-27T03:12:00Z</dcterms:created>
  <dc:creator>Adriano</dc:creator>
  <cp:lastModifiedBy>jubor</cp:lastModifiedBy>
  <cp:lastPrinted>2024-07-22T00:31:00Z</cp:lastPrinted>
  <dcterms:modified xsi:type="dcterms:W3CDTF">2024-07-29T22:04:07Z</dcterms:modified>
  <dc:title>NOTAS EXPLICATIVAS</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1046-12.2.0.17153</vt:lpwstr>
  </property>
  <property fmtid="{D5CDD505-2E9C-101B-9397-08002B2CF9AE}" pid="3" name="ICV">
    <vt:lpwstr>CC408BD74C33434B8B6D49764B982FFB_12</vt:lpwstr>
  </property>
</Properties>
</file>