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Arial" w:asciiTheme="minorHAnsi" w:hAnsiTheme="minorHAnsi"/>
          <w:b/>
          <w:sz w:val="16"/>
          <w:szCs w:val="16"/>
        </w:rPr>
      </w:pPr>
      <w:r>
        <w:drawing>
          <wp:anchor distT="0" distB="0" distL="0" distR="0" simplePos="0" relativeHeight="251659264" behindDoc="0" locked="0" layoutInCell="1" allowOverlap="1">
            <wp:simplePos x="0" y="0"/>
            <wp:positionH relativeFrom="margin">
              <wp:align>center</wp:align>
            </wp:positionH>
            <wp:positionV relativeFrom="paragraph">
              <wp:posOffset>-494665</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rPr>
          <w:rFonts w:cs="Arial" w:asciiTheme="minorHAnsi" w:hAnsiTheme="minorHAnsi"/>
          <w:b/>
          <w:sz w:val="16"/>
          <w:szCs w:val="16"/>
        </w:rPr>
        <w:t xml:space="preserve">    </w:t>
      </w:r>
      <w:r>
        <w:rPr>
          <w:rFonts w:cs="Arial" w:asciiTheme="minorHAnsi" w:hAnsiTheme="minorHAnsi"/>
          <w:b/>
          <w:sz w:val="16"/>
          <w:szCs w:val="16"/>
        </w:rPr>
        <w:br w:type="textWrapping"/>
      </w:r>
    </w:p>
    <w:p>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pPr>
        <w:pStyle w:val="54"/>
        <w:rPr>
          <w:rFonts w:asciiTheme="minorHAnsi" w:hAnsiTheme="minorHAnsi"/>
          <w:b/>
        </w:rPr>
      </w:pPr>
    </w:p>
    <w:p>
      <w:pPr>
        <w:jc w:val="center"/>
        <w:rPr>
          <w:rFonts w:asciiTheme="minorHAnsi" w:hAnsiTheme="minorHAnsi" w:cstheme="minorHAnsi"/>
          <w:b/>
          <w:sz w:val="24"/>
          <w:szCs w:val="24"/>
        </w:rPr>
      </w:pPr>
      <w:r>
        <w:rPr>
          <w:rFonts w:asciiTheme="minorHAnsi" w:hAnsiTheme="minorHAnsi" w:cstheme="minorHAnsi"/>
          <w:b/>
          <w:sz w:val="24"/>
          <w:szCs w:val="24"/>
        </w:rPr>
        <w:t xml:space="preserve">PREGÃO ELETRÔNICO Nº </w:t>
      </w:r>
      <w:r>
        <w:rPr>
          <w:rFonts w:hint="default" w:asciiTheme="minorHAnsi" w:hAnsiTheme="minorHAnsi" w:cstheme="minorHAnsi"/>
          <w:b/>
          <w:sz w:val="24"/>
          <w:szCs w:val="24"/>
          <w:lang w:val="pt-BR"/>
        </w:rPr>
        <w:t>45</w:t>
      </w:r>
      <w:bookmarkStart w:id="3" w:name="_GoBack"/>
      <w:bookmarkEnd w:id="3"/>
      <w:r>
        <w:rPr>
          <w:rFonts w:asciiTheme="minorHAnsi" w:hAnsiTheme="minorHAnsi" w:cstheme="minorHAnsi"/>
          <w:b/>
          <w:sz w:val="24"/>
          <w:szCs w:val="24"/>
        </w:rPr>
        <w:t>/2022</w:t>
      </w:r>
    </w:p>
    <w:p>
      <w:pPr>
        <w:pStyle w:val="54"/>
        <w:rPr>
          <w:rFonts w:asciiTheme="minorHAnsi" w:hAnsiTheme="minorHAnsi"/>
          <w:b/>
        </w:rPr>
      </w:pPr>
    </w:p>
    <w:p>
      <w:pPr>
        <w:pStyle w:val="5"/>
        <w:rPr>
          <w:rFonts w:cs="Arial" w:asciiTheme="minorHAnsi" w:hAnsiTheme="minorHAnsi"/>
          <w:sz w:val="24"/>
          <w:szCs w:val="24"/>
          <w:u w:val="none"/>
        </w:rPr>
      </w:pPr>
      <w:r>
        <w:rPr>
          <w:rFonts w:cs="Arial" w:asciiTheme="minorHAnsi" w:hAnsiTheme="minorHAnsi"/>
          <w:sz w:val="24"/>
          <w:szCs w:val="24"/>
          <w:u w:val="none"/>
        </w:rPr>
        <w:t>ANEXO  IX DO EDITAL</w:t>
      </w:r>
    </w:p>
    <w:p>
      <w:pPr>
        <w:pStyle w:val="5"/>
        <w:rPr>
          <w:rFonts w:cs="Arial" w:asciiTheme="minorHAnsi" w:hAnsiTheme="minorHAnsi"/>
          <w:sz w:val="24"/>
          <w:szCs w:val="24"/>
        </w:rPr>
      </w:pPr>
    </w:p>
    <w:p>
      <w:pPr>
        <w:pStyle w:val="5"/>
        <w:rPr>
          <w:rFonts w:cs="Arial" w:asciiTheme="minorHAnsi" w:hAnsiTheme="minorHAnsi"/>
          <w:sz w:val="24"/>
          <w:szCs w:val="24"/>
        </w:rPr>
      </w:pPr>
      <w:r>
        <w:rPr>
          <w:rFonts w:cs="Arial" w:asciiTheme="minorHAnsi" w:hAnsiTheme="minorHAnsi"/>
          <w:sz w:val="24"/>
          <w:szCs w:val="24"/>
        </w:rPr>
        <w:t>MEMÓRIA DE CÁLCULO DA PLANILHA DE CUSTO E FORMAÇÃO DE PREÇO</w:t>
      </w:r>
    </w:p>
    <w:p>
      <w:pPr>
        <w:rPr>
          <w:rFonts w:cs="Arial" w:asciiTheme="minorHAnsi" w:hAnsiTheme="minorHAnsi"/>
          <w:sz w:val="16"/>
          <w:szCs w:val="16"/>
          <w:lang w:val="pt-PT"/>
        </w:rPr>
      </w:pPr>
    </w:p>
    <w:p>
      <w:pPr>
        <w:rPr>
          <w:rFonts w:cs="Arial" w:asciiTheme="minorHAnsi" w:hAnsiTheme="minorHAnsi"/>
          <w:b/>
          <w:sz w:val="16"/>
          <w:szCs w:val="16"/>
          <w:u w:val="single"/>
          <w:lang w:val="pt-PT"/>
        </w:rPr>
      </w:pPr>
    </w:p>
    <w:p>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pPr>
        <w:pStyle w:val="54"/>
        <w:jc w:val="both"/>
        <w:rPr>
          <w:rFonts w:ascii="Calibri" w:hAnsi="Calibri"/>
          <w:bCs/>
          <w:color w:val="auto"/>
          <w:sz w:val="22"/>
          <w:szCs w:val="22"/>
        </w:rPr>
      </w:pPr>
    </w:p>
    <w:p>
      <w:pPr>
        <w:pStyle w:val="54"/>
        <w:jc w:val="both"/>
        <w:rPr>
          <w:rFonts w:ascii="Calibri" w:hAnsi="Calibri"/>
          <w:b/>
          <w:sz w:val="22"/>
          <w:szCs w:val="22"/>
          <w:u w:val="single"/>
        </w:rPr>
      </w:pPr>
    </w:p>
    <w:p>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pPr>
        <w:rPr>
          <w:rFonts w:ascii="Calibri" w:hAnsi="Calibri" w:cs="Arial"/>
          <w:sz w:val="22"/>
          <w:szCs w:val="22"/>
        </w:rPr>
      </w:pPr>
    </w:p>
    <w:p>
      <w:pPr>
        <w:spacing w:line="276" w:lineRule="auto"/>
        <w:jc w:val="both"/>
        <w:rPr>
          <w:rFonts w:ascii="Calibri" w:hAnsi="Calibri" w:cs="Arial"/>
          <w:b/>
          <w:sz w:val="22"/>
          <w:szCs w:val="22"/>
        </w:rPr>
      </w:pPr>
      <w:r>
        <w:rPr>
          <w:rFonts w:ascii="Calibri" w:hAnsi="Calibri" w:cs="Arial"/>
          <w:b/>
          <w:sz w:val="22"/>
          <w:szCs w:val="22"/>
        </w:rPr>
        <w:t xml:space="preserve">A) Salário Base </w:t>
      </w:r>
    </w:p>
    <w:p>
      <w:pPr>
        <w:pStyle w:val="54"/>
        <w:jc w:val="both"/>
        <w:rPr>
          <w:rStyle w:val="35"/>
          <w:rFonts w:ascii="Calibri" w:hAnsi="Calibri"/>
          <w:sz w:val="22"/>
          <w:szCs w:val="22"/>
        </w:rPr>
      </w:pPr>
    </w:p>
    <w:p>
      <w:pPr>
        <w:pStyle w:val="54"/>
        <w:jc w:val="both"/>
        <w:rPr>
          <w:rStyle w:val="35"/>
          <w:rFonts w:ascii="Calibri" w:hAnsi="Calibri"/>
          <w:sz w:val="22"/>
          <w:szCs w:val="22"/>
          <w:highlight w:val="yellow"/>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pelo </w:t>
      </w:r>
      <w:r>
        <w:rPr>
          <w:rStyle w:val="35"/>
          <w:rFonts w:ascii="Calibri" w:hAnsi="Calibri"/>
          <w:b/>
          <w:sz w:val="20"/>
          <w:szCs w:val="20"/>
        </w:rPr>
        <w:t>SINDICATO DAS EMPRESAS DE SERVICOS TERCEIRIZAVEIS TRABALHO TEMPORARIO LIMPEZA E CONSERVACAO AMBIENTAL DO ESTADO DO PARA</w:t>
      </w:r>
      <w:r>
        <w:rPr>
          <w:rStyle w:val="35"/>
          <w:rFonts w:ascii="Calibri" w:hAnsi="Calibri"/>
        </w:rPr>
        <w:t xml:space="preserve">, </w:t>
      </w:r>
      <w:r>
        <w:rPr>
          <w:rStyle w:val="35"/>
          <w:rFonts w:ascii="Calibri" w:hAnsi="Calibri"/>
          <w:sz w:val="20"/>
          <w:szCs w:val="20"/>
        </w:rPr>
        <w:t>por meio da Convenção Coletiva de Trabalho 2021/2022, registrada sob o nº</w:t>
      </w:r>
      <w:r>
        <w:rPr>
          <w:rStyle w:val="35"/>
          <w:rFonts w:ascii="Calibri" w:hAnsi="Calibri"/>
        </w:rPr>
        <w:t xml:space="preserve"> </w:t>
      </w:r>
      <w:r>
        <w:rPr>
          <w:rStyle w:val="35"/>
          <w:rFonts w:ascii="Calibri" w:hAnsi="Calibri"/>
          <w:b/>
          <w:sz w:val="20"/>
          <w:szCs w:val="20"/>
        </w:rPr>
        <w:t>PA000067/2021</w:t>
      </w:r>
      <w:r>
        <w:rPr>
          <w:rStyle w:val="35"/>
          <w:rFonts w:ascii="Calibri" w:hAnsi="Calibri"/>
          <w:b/>
          <w:sz w:val="20"/>
          <w:szCs w:val="20"/>
        </w:rPr>
        <w:tab/>
      </w:r>
      <w:r>
        <w:rPr>
          <w:rStyle w:val="35"/>
          <w:rFonts w:ascii="Calibri" w:hAnsi="Calibri"/>
          <w:b/>
          <w:sz w:val="20"/>
          <w:szCs w:val="20"/>
        </w:rPr>
        <w:tab/>
      </w:r>
      <w:r>
        <w:rPr>
          <w:rStyle w:val="35"/>
          <w:rFonts w:ascii="Calibri" w:hAnsi="Calibri"/>
          <w:b/>
          <w:sz w:val="20"/>
          <w:szCs w:val="20"/>
        </w:rPr>
        <w:tab/>
      </w:r>
      <w:r>
        <w:rPr>
          <w:rStyle w:val="35"/>
          <w:rFonts w:ascii="Calibri" w:hAnsi="Calibri"/>
          <w:b/>
          <w:sz w:val="20"/>
          <w:szCs w:val="20"/>
        </w:rPr>
        <w:tab/>
      </w:r>
      <w:r>
        <w:rPr>
          <w:rStyle w:val="35"/>
          <w:rFonts w:ascii="Calibri" w:hAnsi="Calibri"/>
          <w:b/>
          <w:sz w:val="20"/>
          <w:szCs w:val="20"/>
        </w:rPr>
        <w:tab/>
      </w:r>
      <w:r>
        <w:rPr>
          <w:rStyle w:val="35"/>
          <w:rFonts w:ascii="Calibri" w:hAnsi="Calibri"/>
          <w:sz w:val="22"/>
          <w:szCs w:val="22"/>
        </w:rPr>
        <w:t>.</w:t>
      </w:r>
    </w:p>
    <w:p>
      <w:pPr>
        <w:pStyle w:val="54"/>
        <w:jc w:val="both"/>
        <w:rPr>
          <w:rFonts w:ascii="Calibri" w:hAnsi="Calibri"/>
          <w:b/>
          <w:u w:val="single"/>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3680"/>
        <w:gridCol w:w="1559"/>
        <w:gridCol w:w="4112"/>
      </w:tblGrid>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52" w:hRule="atLeast"/>
        </w:trPr>
        <w:tc>
          <w:tcPr>
            <w:tcW w:w="368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b w:val="0"/>
                <w:bCs/>
                <w:color w:val="auto"/>
                <w:sz w:val="18"/>
                <w:szCs w:val="18"/>
              </w:rPr>
            </w:pPr>
            <w:r>
              <w:rPr>
                <w:rFonts w:asciiTheme="minorHAnsi" w:hAnsiTheme="minorHAnsi"/>
                <w:b/>
                <w:bCs/>
                <w:color w:val="auto"/>
                <w:sz w:val="18"/>
                <w:szCs w:val="18"/>
              </w:rPr>
              <w:t>CATEGORIA</w:t>
            </w:r>
          </w:p>
        </w:tc>
        <w:tc>
          <w:tcPr>
            <w:tcW w:w="155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b w:val="0"/>
                <w:bCs/>
                <w:color w:val="auto"/>
                <w:sz w:val="18"/>
                <w:szCs w:val="18"/>
              </w:rPr>
            </w:pPr>
            <w:r>
              <w:rPr>
                <w:rFonts w:asciiTheme="minorHAnsi" w:hAnsiTheme="minorHAnsi"/>
                <w:b/>
                <w:bCs/>
                <w:color w:val="auto"/>
                <w:sz w:val="18"/>
                <w:szCs w:val="18"/>
              </w:rPr>
              <w:t>SALÁRIO (R$)</w:t>
            </w:r>
          </w:p>
        </w:tc>
        <w:tc>
          <w:tcPr>
            <w:tcW w:w="4112"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pPr>
              <w:jc w:val="center"/>
              <w:rPr>
                <w:rFonts w:asciiTheme="minorHAnsi" w:hAnsiTheme="minorHAnsi"/>
                <w:b/>
                <w:bCs/>
                <w:color w:val="auto"/>
                <w:sz w:val="18"/>
                <w:szCs w:val="18"/>
              </w:rPr>
            </w:pPr>
            <w:r>
              <w:rPr>
                <w:rFonts w:asciiTheme="minorHAnsi" w:hAnsiTheme="minorHAnsi"/>
                <w:b/>
                <w:bCs w:val="0"/>
                <w:color w:val="auto"/>
                <w:sz w:val="18"/>
                <w:szCs w:val="18"/>
              </w:rPr>
              <w:t xml:space="preserve">REFERÊNCIA </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3680" w:type="dxa"/>
            <w:tcBorders>
              <w:top w:val="double" w:color="4F81BD" w:themeColor="accent1" w:sz="4" w:space="0"/>
            </w:tcBorders>
          </w:tcPr>
          <w:p>
            <w:pPr>
              <w:rPr>
                <w:rFonts w:asciiTheme="minorHAnsi" w:hAnsiTheme="minorHAnsi"/>
                <w:b w:val="0"/>
                <w:bCs/>
                <w:sz w:val="18"/>
                <w:szCs w:val="18"/>
              </w:rPr>
            </w:pPr>
            <w:r>
              <w:rPr>
                <w:rFonts w:asciiTheme="minorHAnsi" w:hAnsiTheme="minorHAnsi"/>
                <w:b w:val="0"/>
                <w:bCs/>
                <w:sz w:val="18"/>
                <w:szCs w:val="18"/>
              </w:rPr>
              <w:t>Servente (44 horas)</w:t>
            </w:r>
          </w:p>
        </w:tc>
        <w:tc>
          <w:tcPr>
            <w:tcW w:w="1559" w:type="dxa"/>
            <w:tcBorders>
              <w:top w:val="double" w:color="4F81BD" w:themeColor="accent1" w:sz="4" w:space="0"/>
            </w:tcBorders>
          </w:tcPr>
          <w:p>
            <w:pPr>
              <w:jc w:val="center"/>
              <w:rPr>
                <w:rFonts w:asciiTheme="minorHAnsi" w:hAnsiTheme="minorHAnsi" w:cstheme="minorHAnsi"/>
                <w:b/>
                <w:bCs/>
                <w:sz w:val="18"/>
                <w:szCs w:val="18"/>
              </w:rPr>
            </w:pPr>
            <w:r>
              <w:rPr>
                <w:rFonts w:asciiTheme="minorHAnsi" w:hAnsiTheme="minorHAnsi" w:cstheme="minorHAnsi"/>
                <w:b/>
                <w:bCs/>
                <w:sz w:val="18"/>
                <w:szCs w:val="18"/>
              </w:rPr>
              <w:t>R$ 1.211,81</w:t>
            </w:r>
          </w:p>
        </w:tc>
        <w:tc>
          <w:tcPr>
            <w:tcW w:w="4112" w:type="dxa"/>
            <w:tcBorders>
              <w:top w:val="double" w:color="4F81BD" w:themeColor="accent1" w:sz="4" w:space="0"/>
            </w:tcBorders>
          </w:tcPr>
          <w:p>
            <w:pPr>
              <w:jc w:val="center"/>
              <w:rPr>
                <w:rFonts w:asciiTheme="minorHAnsi" w:hAnsiTheme="minorHAnsi" w:cstheme="minorHAnsi"/>
                <w:b/>
                <w:bCs/>
                <w:sz w:val="18"/>
                <w:szCs w:val="18"/>
              </w:rPr>
            </w:pPr>
            <w:r>
              <w:rPr>
                <w:rFonts w:asciiTheme="minorHAnsi" w:hAnsiTheme="minorHAnsi" w:cstheme="minorHAnsi"/>
                <w:b/>
                <w:bCs/>
                <w:sz w:val="18"/>
                <w:szCs w:val="18"/>
              </w:rPr>
              <w:t>CCT 2021/2022 – PA000067/2021</w:t>
            </w:r>
          </w:p>
        </w:tc>
      </w:tr>
    </w:tbl>
    <w:p>
      <w:pPr>
        <w:spacing w:line="276" w:lineRule="auto"/>
        <w:jc w:val="both"/>
        <w:rPr>
          <w:rFonts w:ascii="Calibri" w:hAnsi="Calibri" w:cs="Arial"/>
          <w:b/>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B e C) Adicional de Insalubridade/Periculosidade</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Não há previsão inicial para os demais postos. Poderá ser alvo de reequilíbrio após apresentação de laudo, mediante apresentação de laudo do SESMET das empresas prestadoras de serviço que considere os respectivos locais insalubres, conforme cláusula 12ª da CCT.</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D) Adicional Noturno</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Não há previsão para esse custo.</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E) Adicional de hora noturna reduzida</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Não há previsão para esse custo.</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F) Outros:</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rPr>
      </w:pPr>
      <w:r>
        <w:rPr>
          <w:rStyle w:val="8"/>
          <w:rFonts w:asciiTheme="minorHAnsi" w:hAnsiTheme="minorHAnsi" w:cstheme="minorHAnsi"/>
          <w:color w:val="000000"/>
          <w:sz w:val="22"/>
          <w:szCs w:val="22"/>
          <w:shd w:val="clear" w:color="auto" w:fill="FFFFFF"/>
        </w:rPr>
        <w:t>Nota 1: </w:t>
      </w:r>
      <w:r>
        <w:rPr>
          <w:rFonts w:asciiTheme="minorHAnsi" w:hAnsiTheme="minorHAnsi" w:cstheme="minorHAnsi"/>
          <w:color w:val="000000"/>
          <w:sz w:val="22"/>
          <w:szCs w:val="22"/>
          <w:shd w:val="clear" w:color="auto" w:fill="FFFFFF"/>
        </w:rPr>
        <w:t>O Módulo 1 refere-se ao </w:t>
      </w:r>
      <w:r>
        <w:rPr>
          <w:rStyle w:val="8"/>
          <w:rFonts w:asciiTheme="minorHAnsi" w:hAnsiTheme="minorHAnsi" w:cstheme="minorHAnsi"/>
          <w:color w:val="000000"/>
          <w:sz w:val="22"/>
          <w:szCs w:val="22"/>
          <w:shd w:val="clear" w:color="auto" w:fill="FFFFFF"/>
        </w:rPr>
        <w:t>valor mensal devido ao empregado</w:t>
      </w:r>
      <w:r>
        <w:rPr>
          <w:rFonts w:asciiTheme="minorHAnsi" w:hAnsiTheme="minorHAnsi" w:cstheme="minorHAnsi"/>
          <w:color w:val="000000"/>
          <w:sz w:val="22"/>
          <w:szCs w:val="22"/>
          <w:shd w:val="clear" w:color="auto" w:fill="FFFFFF"/>
        </w:rPr>
        <w:t> pela prestação do serviço no período de 12 meses.</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1-A) Intrajornada</w:t>
      </w:r>
    </w:p>
    <w:p>
      <w:pPr>
        <w:tabs>
          <w:tab w:val="left" w:pos="8130"/>
        </w:tabs>
        <w:ind w:left="720"/>
        <w:jc w:val="both"/>
        <w:rPr>
          <w:rFonts w:asciiTheme="minorHAnsi" w:hAnsiTheme="minorHAnsi" w:cstheme="minorHAnsi"/>
          <w:sz w:val="22"/>
          <w:szCs w:val="22"/>
        </w:rPr>
      </w:pPr>
      <w:r>
        <w:rPr>
          <w:rFonts w:asciiTheme="minorHAnsi" w:hAnsiTheme="minorHAnsi" w:cstheme="minorHAnsi"/>
          <w:sz w:val="22"/>
          <w:szCs w:val="22"/>
        </w:rPr>
        <w:t xml:space="preserve">Não haverá indenização e nem previsão de substituto da intrajornada. </w:t>
      </w:r>
    </w:p>
    <w:p>
      <w:pPr>
        <w:tabs>
          <w:tab w:val="left" w:pos="8130"/>
        </w:tabs>
        <w:ind w:left="720"/>
        <w:jc w:val="both"/>
        <w:rPr>
          <w:rFonts w:asciiTheme="minorHAnsi" w:hAnsiTheme="minorHAnsi" w:cstheme="minorHAnsi"/>
          <w:sz w:val="22"/>
          <w:szCs w:val="22"/>
        </w:rPr>
      </w:pPr>
      <w:r>
        <w:rPr>
          <w:rFonts w:asciiTheme="minorHAnsi" w:hAnsiTheme="minorHAnsi" w:cstheme="minorHAnsi"/>
          <w:sz w:val="22"/>
          <w:szCs w:val="22"/>
        </w:rPr>
        <w:tab/>
      </w:r>
    </w:p>
    <w:p>
      <w:pPr>
        <w:tabs>
          <w:tab w:val="left" w:pos="8130"/>
        </w:tabs>
        <w:ind w:left="720"/>
        <w:jc w:val="both"/>
        <w:rPr>
          <w:rFonts w:asciiTheme="minorHAnsi" w:hAnsiTheme="minorHAnsi" w:cstheme="minorHAnsi"/>
          <w:sz w:val="22"/>
          <w:szCs w:val="22"/>
        </w:rPr>
      </w:pPr>
    </w:p>
    <w:p>
      <w:pPr>
        <w:jc w:val="both"/>
        <w:rPr>
          <w:rFonts w:asciiTheme="minorHAnsi" w:hAnsiTheme="minorHAnsi" w:cstheme="minorHAnsi"/>
          <w:iCs/>
          <w:sz w:val="22"/>
          <w:szCs w:val="22"/>
          <w:u w:val="single"/>
        </w:rPr>
      </w:pPr>
      <w:r>
        <w:rPr>
          <w:rFonts w:asciiTheme="minorHAnsi" w:hAnsiTheme="minorHAnsi" w:cstheme="minorHAnsi"/>
          <w:b/>
          <w:sz w:val="22"/>
          <w:szCs w:val="22"/>
          <w:u w:val="single"/>
        </w:rPr>
        <mc:AlternateContent>
          <mc:Choice Requires="wps">
            <w:drawing>
              <wp:anchor distT="0" distB="0" distL="114300" distR="114300" simplePos="0" relativeHeight="251660288" behindDoc="0" locked="0" layoutInCell="1" allowOverlap="1">
                <wp:simplePos x="0" y="0"/>
                <wp:positionH relativeFrom="column">
                  <wp:posOffset>337820</wp:posOffset>
                </wp:positionH>
                <wp:positionV relativeFrom="paragraph">
                  <wp:posOffset>1436370</wp:posOffset>
                </wp:positionV>
                <wp:extent cx="222250" cy="0"/>
                <wp:effectExtent l="0" t="0" r="25400" b="19050"/>
                <wp:wrapNone/>
                <wp:docPr id="3" name="Conector Reto 3"/>
                <wp:cNvGraphicFramePr/>
                <a:graphic xmlns:a="http://schemas.openxmlformats.org/drawingml/2006/main">
                  <a:graphicData uri="http://schemas.microsoft.com/office/word/2010/wordprocessingShape">
                    <wps:wsp>
                      <wps:cNvCnPr/>
                      <wps:spPr>
                        <a:xfrm>
                          <a:off x="0" y="0"/>
                          <a:ext cx="222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6.6pt;margin-top:113.1pt;height:0pt;width:17.5pt;z-index:251660288;mso-width-relative:page;mso-height-relative:page;" filled="f" stroked="t" coordsize="21600,21600" o:gfxdata="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KdkWDdUAAAAJAQAADwAAAAAAAAAB&#10;ACAAAAAiAAAAZHJzL2Rvd25yZXYueG1sUEsBAhQAFAAAAAgAh07iQB6aAJHaAQAA0AMAAA4AAAAA&#10;AAAAAQAgAAAAJAEAAGRycy9lMm9Eb2MueG1sUEsFBgAAAAAGAAYAWQEAAHAFAAAAAA==&#10;">
                <v:fill on="f" focussize="0,0"/>
                <v:stroke color="#000000 [3200]" joinstyle="round"/>
                <v:imagedata o:title=""/>
                <o:lock v:ext="edit" aspectratio="f"/>
              </v:line>
            </w:pict>
          </mc:Fallback>
        </mc:AlternateContent>
      </w:r>
      <w:r>
        <w:rPr>
          <w:rFonts w:asciiTheme="minorHAnsi" w:hAnsiTheme="minorHAnsi" w:cstheme="minorHAnsi"/>
          <w:b/>
          <w:iCs/>
          <w:sz w:val="22"/>
          <w:szCs w:val="22"/>
          <w:u w:val="single"/>
        </w:rPr>
        <w:t>Média Mensal de Dias Trabalhados (44 horas semanais)</w:t>
      </w:r>
      <w:r>
        <w:rPr>
          <w:rFonts w:asciiTheme="minorHAnsi" w:hAnsiTheme="minorHAnsi" w:cstheme="minorHAnsi"/>
          <w:iCs/>
          <w:sz w:val="22"/>
          <w:szCs w:val="22"/>
          <w:u w:val="single"/>
        </w:rPr>
        <w:t>:</w:t>
      </w:r>
    </w:p>
    <w:p>
      <w:pPr>
        <w:pStyle w:val="63"/>
        <w:spacing w:beforeAutospacing="0" w:afterAutospacing="0"/>
        <w:jc w:val="center"/>
        <w:rPr>
          <w:rFonts w:asciiTheme="minorHAnsi" w:hAnsiTheme="minorHAnsi" w:cstheme="minorHAnsi"/>
          <w:iCs/>
          <w:sz w:val="22"/>
          <w:szCs w:val="22"/>
          <w:u w:val="single"/>
        </w:rPr>
      </w:pPr>
    </w:p>
    <w:p>
      <w:pPr>
        <w:pStyle w:val="63"/>
        <w:spacing w:beforeAutospacing="0" w:afterAutospacing="0"/>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pPr>
        <w:pStyle w:val="63"/>
        <w:spacing w:beforeAutospacing="0" w:afterAutospacing="0"/>
        <w:rPr>
          <w:rFonts w:asciiTheme="minorHAnsi" w:hAnsiTheme="minorHAnsi"/>
          <w:iCs/>
          <w:sz w:val="22"/>
          <w:szCs w:val="22"/>
        </w:rPr>
      </w:pPr>
      <w:r>
        <w:rPr>
          <w:rFonts w:asciiTheme="minorHAnsi" w:hAnsiTheme="minorHAnsi"/>
          <w:iCs/>
          <w:sz w:val="22"/>
          <w:szCs w:val="22"/>
        </w:rPr>
        <w:t>13 feriados por ano, sendo 10 com data fixa.</w:t>
      </w:r>
    </w:p>
    <w:p>
      <w:pPr>
        <w:pStyle w:val="63"/>
        <w:spacing w:beforeAutospacing="0" w:afterAutospacing="0"/>
        <w:rPr>
          <w:rFonts w:asciiTheme="minorHAnsi" w:hAnsiTheme="minorHAnsi"/>
          <w:iCs/>
          <w:sz w:val="22"/>
          <w:szCs w:val="22"/>
        </w:rPr>
      </w:pPr>
      <w:r>
        <w:rPr>
          <w:rFonts w:asciiTheme="minorHAnsi" w:hAnsiTheme="minorHAnsi"/>
          <w:iCs/>
          <w:sz w:val="22"/>
          <w:szCs w:val="22"/>
        </w:rPr>
        <w:t>Sendo assim</w:t>
      </w:r>
      <w:r>
        <w:rPr>
          <w:rFonts w:asciiTheme="minorHAnsi" w:hAnsiTheme="minorHAnsi"/>
          <w:b/>
          <w:bCs/>
          <w:iCs/>
          <w:sz w:val="22"/>
          <w:szCs w:val="22"/>
        </w:rPr>
        <w:t>, considerando 06 dias de trabalho por semana</w:t>
      </w:r>
      <w:r>
        <w:rPr>
          <w:rFonts w:asciiTheme="minorHAnsi" w:hAnsiTheme="minorHAnsi"/>
          <w:iCs/>
          <w:sz w:val="22"/>
          <w:szCs w:val="22"/>
        </w:rPr>
        <w:t xml:space="preserve"> (jornada de 44 horas), temos:</w:t>
      </w:r>
    </w:p>
    <w:p>
      <w:pPr>
        <w:pStyle w:val="63"/>
        <w:spacing w:beforeAutospacing="0" w:afterAutospacing="0"/>
        <w:rPr>
          <w:rFonts w:asciiTheme="minorHAnsi" w:hAnsiTheme="minorHAnsi"/>
          <w:iCs/>
          <w:sz w:val="22"/>
          <w:szCs w:val="22"/>
        </w:rPr>
      </w:pPr>
    </w:p>
    <w:p>
      <w:pPr>
        <w:pStyle w:val="63"/>
        <w:spacing w:beforeAutospacing="0" w:afterAutospacing="0"/>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(6/7)  = 8,5714</w:t>
      </w:r>
    </w:p>
    <w:p>
      <w:pPr>
        <w:pStyle w:val="63"/>
        <w:spacing w:beforeAutospacing="0" w:afterAutospacing="0"/>
        <w:rPr>
          <w:rFonts w:asciiTheme="minorHAnsi" w:hAnsiTheme="minorHAnsi"/>
          <w:iCs/>
          <w:sz w:val="22"/>
          <w:szCs w:val="22"/>
        </w:rPr>
      </w:pPr>
      <w:r>
        <w:rPr>
          <w:rFonts w:asciiTheme="minorHAnsi" w:hAnsiTheme="minorHAnsi"/>
          <w:iCs/>
          <w:sz w:val="22"/>
          <w:szCs w:val="22"/>
        </w:rPr>
        <w:t xml:space="preserve">              </w:t>
      </w:r>
    </w:p>
    <w:p>
      <w:pPr>
        <w:pStyle w:val="63"/>
        <w:spacing w:beforeAutospacing="0" w:afterAutospacing="0"/>
        <w:rPr>
          <w:rFonts w:asciiTheme="minorHAnsi" w:hAnsiTheme="minorHAnsi"/>
          <w:iCs/>
          <w:sz w:val="22"/>
          <w:szCs w:val="22"/>
        </w:rPr>
      </w:pPr>
      <w:r>
        <w:rPr>
          <w:rFonts w:asciiTheme="minorHAnsi" w:hAnsiTheme="minorHAnsi"/>
          <w:iCs/>
          <w:sz w:val="22"/>
          <w:szCs w:val="22"/>
        </w:rPr>
        <w:t xml:space="preserve">Somando-se aos feriados com data móvel (03):   8,5714 + 3= </w:t>
      </w:r>
      <w:r>
        <w:rPr>
          <w:rFonts w:asciiTheme="minorHAnsi" w:hAnsiTheme="minorHAnsi"/>
          <w:b/>
          <w:iCs/>
          <w:sz w:val="22"/>
          <w:szCs w:val="22"/>
        </w:rPr>
        <w:t>11,5714</w:t>
      </w:r>
      <w:r>
        <w:rPr>
          <w:rFonts w:asciiTheme="minorHAnsi" w:hAnsiTheme="minorHAnsi"/>
          <w:iCs/>
          <w:sz w:val="22"/>
          <w:szCs w:val="22"/>
        </w:rPr>
        <w:t xml:space="preserve"> (por ano)</w:t>
      </w:r>
    </w:p>
    <w:p>
      <w:pPr>
        <w:pStyle w:val="63"/>
        <w:spacing w:beforeAutospacing="0" w:afterAutospacing="0"/>
        <w:rPr>
          <w:rFonts w:asciiTheme="minorHAnsi" w:hAnsiTheme="minorHAnsi"/>
          <w:iCs/>
          <w:sz w:val="22"/>
          <w:szCs w:val="22"/>
        </w:rPr>
      </w:pPr>
    </w:p>
    <w:p>
      <w:pPr>
        <w:pStyle w:val="63"/>
        <w:spacing w:beforeAutospacing="0" w:afterAutospacing="0"/>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pPr>
        <w:pStyle w:val="63"/>
        <w:spacing w:beforeAutospacing="0" w:afterAutospacing="0"/>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1 = 52,1429  (dias de final de semana no ano)</w:t>
      </w:r>
    </w:p>
    <w:p>
      <w:pPr>
        <w:pStyle w:val="63"/>
        <w:spacing w:beforeAutospacing="0" w:afterAutospacing="0"/>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52,1429 + 11,5714 = 63,7143 (dias não trabalhados no ano)</w:t>
      </w:r>
    </w:p>
    <w:p>
      <w:pPr>
        <w:pStyle w:val="63"/>
        <w:spacing w:beforeAutospacing="0" w:afterAutospacing="0"/>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63,7143 = 301,2857 (dias de trabalho no ano)</w:t>
      </w:r>
    </w:p>
    <w:p>
      <w:pPr>
        <w:pStyle w:val="63"/>
        <w:spacing w:beforeAutospacing="0" w:afterAutospacing="0"/>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301,2857 : 12 = </w:t>
      </w:r>
      <w:r>
        <w:rPr>
          <w:rFonts w:asciiTheme="minorHAnsi" w:hAnsiTheme="minorHAnsi"/>
          <w:b/>
          <w:iCs/>
          <w:color w:val="FF0000"/>
          <w:sz w:val="22"/>
          <w:szCs w:val="22"/>
        </w:rPr>
        <w:t>25,11</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pPr>
        <w:pStyle w:val="63"/>
        <w:spacing w:beforeAutospacing="0" w:afterAutospacing="0"/>
        <w:rPr>
          <w:rFonts w:asciiTheme="minorHAnsi" w:hAnsiTheme="minorHAnsi" w:cstheme="minorHAnsi"/>
          <w:iCs/>
          <w:sz w:val="22"/>
          <w:szCs w:val="22"/>
        </w:rPr>
      </w:pP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p>
    <w:p>
      <w:pPr>
        <w:jc w:val="both"/>
        <w:rPr>
          <w:rFonts w:asciiTheme="minorHAnsi" w:hAnsiTheme="minorHAnsi" w:cstheme="minorHAnsi"/>
          <w:b/>
          <w:sz w:val="22"/>
          <w:szCs w:val="22"/>
          <w:u w:val="single"/>
        </w:rPr>
      </w:pPr>
      <w:r>
        <w:rPr>
          <w:rFonts w:asciiTheme="minorHAnsi" w:hAnsiTheme="minorHAnsi" w:cstheme="minorHAnsi"/>
          <w:sz w:val="22"/>
          <w:szCs w:val="22"/>
        </w:rPr>
        <mc:AlternateContent>
          <mc:Choice Requires="wps">
            <w:drawing>
              <wp:anchor distT="0" distB="0" distL="0" distR="0" simplePos="0" relativeHeight="251659264"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59264;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Theme="minorHAnsi" w:hAnsiTheme="minorHAnsi" w:cstheme="minorHAnsi"/>
          <w:b/>
          <w:sz w:val="22"/>
          <w:szCs w:val="22"/>
          <w:u w:val="single"/>
        </w:rPr>
        <w:t>Modulo 2 – Encargos e Benefícios Anuais, Mensais e Diários</w:t>
      </w:r>
    </w:p>
    <w:p>
      <w:pPr>
        <w:jc w:val="both"/>
        <w:rPr>
          <w:rFonts w:asciiTheme="minorHAnsi" w:hAnsiTheme="minorHAnsi" w:cstheme="minorHAnsi"/>
          <w:b/>
          <w:sz w:val="22"/>
          <w:szCs w:val="22"/>
          <w:u w:val="single"/>
        </w:rPr>
      </w:pPr>
    </w:p>
    <w:p>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2.1 – 13º Salário, Férias e Adicional de Férias</w:t>
      </w:r>
    </w:p>
    <w:p>
      <w:pPr>
        <w:jc w:val="both"/>
        <w:rPr>
          <w:rFonts w:asciiTheme="minorHAnsi" w:hAnsiTheme="minorHAnsi" w:cstheme="minorHAnsi"/>
          <w:sz w:val="22"/>
          <w:szCs w:val="22"/>
          <w:u w:val="single"/>
          <w:lang w:val="pt-PT"/>
        </w:rPr>
      </w:pPr>
    </w:p>
    <w:tbl>
      <w:tblPr>
        <w:tblStyle w:val="7"/>
        <w:tblW w:w="8917" w:type="dxa"/>
        <w:jc w:val="center"/>
        <w:tblLayout w:type="autofit"/>
        <w:tblCellMar>
          <w:top w:w="0" w:type="dxa"/>
          <w:left w:w="70" w:type="dxa"/>
          <w:bottom w:w="0" w:type="dxa"/>
          <w:right w:w="70" w:type="dxa"/>
        </w:tblCellMar>
      </w:tblPr>
      <w:tblGrid>
        <w:gridCol w:w="1149"/>
        <w:gridCol w:w="22"/>
        <w:gridCol w:w="2238"/>
        <w:gridCol w:w="842"/>
        <w:gridCol w:w="2840"/>
        <w:gridCol w:w="1680"/>
        <w:gridCol w:w="146"/>
      </w:tblGrid>
      <w:tr>
        <w:tblPrEx>
          <w:tblCellMar>
            <w:top w:w="0" w:type="dxa"/>
            <w:left w:w="70" w:type="dxa"/>
            <w:bottom w:w="0" w:type="dxa"/>
            <w:right w:w="70" w:type="dxa"/>
          </w:tblCellMar>
        </w:tblPrEx>
        <w:trPr>
          <w:trHeight w:val="510" w:hRule="atLeast"/>
          <w:jc w:val="center"/>
        </w:trPr>
        <w:tc>
          <w:tcPr>
            <w:tcW w:w="1172"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ITEM</w:t>
            </w: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DESCRIÇÃO</w:t>
            </w:r>
          </w:p>
        </w:tc>
        <w:tc>
          <w:tcPr>
            <w:tcW w:w="851"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w:t>
            </w:r>
          </w:p>
        </w:tc>
        <w:tc>
          <w:tcPr>
            <w:tcW w:w="290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MEMÓRIA DE CÁLCULO </w:t>
            </w:r>
          </w:p>
        </w:tc>
        <w:tc>
          <w:tcPr>
            <w:tcW w:w="1687"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FUNDAMENTO</w:t>
            </w:r>
          </w:p>
        </w:tc>
        <w:tc>
          <w:tcPr>
            <w:tcW w:w="15" w:type="dxa"/>
            <w:shd w:val="clear" w:color="auto" w:fill="auto"/>
          </w:tcPr>
          <w:p>
            <w:pPr>
              <w:rPr>
                <w:rFonts w:asciiTheme="minorHAnsi" w:hAnsiTheme="minorHAnsi" w:cstheme="minorHAnsi"/>
                <w:sz w:val="22"/>
                <w:szCs w:val="22"/>
              </w:rPr>
            </w:pPr>
          </w:p>
        </w:tc>
      </w:tr>
      <w:tr>
        <w:tblPrEx>
          <w:tblCellMar>
            <w:top w:w="0" w:type="dxa"/>
            <w:left w:w="70" w:type="dxa"/>
            <w:bottom w:w="0" w:type="dxa"/>
            <w:right w:w="70" w:type="dxa"/>
          </w:tblCellMar>
        </w:tblPrEx>
        <w:trPr>
          <w:trHeight w:val="631" w:hRule="atLeast"/>
          <w:jc w:val="center"/>
        </w:trPr>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w:t>
            </w: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13º Salário</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8,33</w:t>
            </w:r>
          </w:p>
        </w:tc>
        <w:tc>
          <w:tcPr>
            <w:tcW w:w="2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DTS = 1/12 x Remuneração</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Art.7º, VIII, CF/88</w:t>
            </w:r>
          </w:p>
        </w:tc>
        <w:tc>
          <w:tcPr>
            <w:tcW w:w="15" w:type="dxa"/>
            <w:shd w:val="clear" w:color="auto" w:fill="auto"/>
          </w:tcPr>
          <w:p>
            <w:pPr>
              <w:rPr>
                <w:rFonts w:asciiTheme="minorHAnsi" w:hAnsiTheme="minorHAnsi" w:cstheme="minorHAnsi"/>
                <w:sz w:val="22"/>
                <w:szCs w:val="22"/>
              </w:rPr>
            </w:pPr>
          </w:p>
        </w:tc>
      </w:tr>
      <w:tr>
        <w:tblPrEx>
          <w:tblCellMar>
            <w:top w:w="0" w:type="dxa"/>
            <w:left w:w="70" w:type="dxa"/>
            <w:bottom w:w="0" w:type="dxa"/>
            <w:right w:w="70" w:type="dxa"/>
          </w:tblCellMar>
        </w:tblPrEx>
        <w:trPr>
          <w:trHeight w:val="510" w:hRule="atLeast"/>
          <w:jc w:val="center"/>
        </w:trPr>
        <w:tc>
          <w:tcPr>
            <w:tcW w:w="11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B</w:t>
            </w:r>
          </w:p>
        </w:tc>
        <w:tc>
          <w:tcPr>
            <w:tcW w:w="22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Férias e Adicional de Férias</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12,10</w:t>
            </w:r>
          </w:p>
        </w:tc>
        <w:tc>
          <w:tcPr>
            <w:tcW w:w="29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rPr>
              <w:t>FAF = 1/11 x R + 1/3 x 1/11 x R</w:t>
            </w:r>
          </w:p>
        </w:tc>
        <w:tc>
          <w:tcPr>
            <w:tcW w:w="16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 Conta Vinculada- Anexo XII da IN nº 05/2017</w:t>
            </w:r>
          </w:p>
        </w:tc>
        <w:tc>
          <w:tcPr>
            <w:tcW w:w="15" w:type="dxa"/>
            <w:shd w:val="clear" w:color="auto" w:fill="auto"/>
          </w:tcPr>
          <w:p>
            <w:pPr>
              <w:rPr>
                <w:rFonts w:asciiTheme="minorHAnsi" w:hAnsiTheme="minorHAnsi" w:cstheme="minorHAnsi"/>
                <w:sz w:val="22"/>
                <w:szCs w:val="22"/>
              </w:rPr>
            </w:pPr>
          </w:p>
        </w:tc>
      </w:tr>
      <w:tr>
        <w:tblPrEx>
          <w:tblCellMar>
            <w:top w:w="0" w:type="dxa"/>
            <w:left w:w="70" w:type="dxa"/>
            <w:bottom w:w="0" w:type="dxa"/>
            <w:right w:w="70" w:type="dxa"/>
          </w:tblCellMar>
        </w:tblPrEx>
        <w:trPr>
          <w:trHeight w:val="283" w:hRule="atLeast"/>
          <w:jc w:val="center"/>
        </w:trPr>
        <w:tc>
          <w:tcPr>
            <w:tcW w:w="3464" w:type="dxa"/>
            <w:gridSpan w:val="3"/>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r>
              <w:rPr>
                <w:rFonts w:asciiTheme="minorHAnsi" w:hAnsiTheme="minorHAnsi" w:cstheme="minorHAnsi"/>
                <w:sz w:val="22"/>
                <w:szCs w:val="22"/>
              </w:rPr>
              <w:t>Total</w:t>
            </w:r>
          </w:p>
        </w:tc>
        <w:tc>
          <w:tcPr>
            <w:tcW w:w="85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r>
              <w:rPr>
                <w:rFonts w:asciiTheme="minorHAnsi" w:hAnsiTheme="minorHAnsi" w:cstheme="minorHAnsi"/>
                <w:sz w:val="22"/>
                <w:szCs w:val="22"/>
              </w:rPr>
              <w:t>20,43</w:t>
            </w:r>
          </w:p>
        </w:tc>
        <w:tc>
          <w:tcPr>
            <w:tcW w:w="2901"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p>
        </w:tc>
        <w:tc>
          <w:tcPr>
            <w:tcW w:w="1687"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p>
        </w:tc>
        <w:tc>
          <w:tcPr>
            <w:tcW w:w="14" w:type="dxa"/>
            <w:shd w:val="clear" w:color="auto" w:fill="auto"/>
          </w:tcPr>
          <w:p>
            <w:pPr>
              <w:rPr>
                <w:rFonts w:asciiTheme="minorHAnsi" w:hAnsiTheme="minorHAnsi" w:cstheme="minorHAnsi"/>
                <w:sz w:val="22"/>
                <w:szCs w:val="22"/>
              </w:rPr>
            </w:pPr>
          </w:p>
        </w:tc>
      </w:tr>
      <w:tr>
        <w:tblPrEx>
          <w:tblCellMar>
            <w:top w:w="0" w:type="dxa"/>
            <w:left w:w="70" w:type="dxa"/>
            <w:bottom w:w="0" w:type="dxa"/>
            <w:right w:w="70" w:type="dxa"/>
          </w:tblCellMar>
        </w:tblPrEx>
        <w:trPr>
          <w:trHeight w:val="283" w:hRule="atLeast"/>
          <w:jc w:val="center"/>
        </w:trPr>
        <w:tc>
          <w:tcPr>
            <w:tcW w:w="1195" w:type="dxa"/>
            <w:gridSpan w:val="2"/>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ind w:right="-4"/>
              <w:jc w:val="center"/>
              <w:rPr>
                <w:rFonts w:asciiTheme="minorHAnsi" w:hAnsiTheme="minorHAnsi" w:cstheme="minorHAnsi"/>
                <w:sz w:val="22"/>
                <w:szCs w:val="22"/>
              </w:rPr>
            </w:pPr>
            <w:r>
              <w:rPr>
                <w:rFonts w:asciiTheme="minorHAnsi" w:hAnsiTheme="minorHAnsi" w:cstheme="minorHAnsi"/>
                <w:sz w:val="22"/>
                <w:szCs w:val="22"/>
              </w:rPr>
              <w:t>C</w:t>
            </w:r>
          </w:p>
        </w:tc>
        <w:tc>
          <w:tcPr>
            <w:tcW w:w="2268"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ind w:right="-4"/>
              <w:jc w:val="center"/>
              <w:rPr>
                <w:rFonts w:asciiTheme="minorHAnsi" w:hAnsiTheme="minorHAnsi" w:cstheme="minorHAnsi"/>
                <w:sz w:val="22"/>
                <w:szCs w:val="22"/>
              </w:rPr>
            </w:pPr>
            <w:r>
              <w:rPr>
                <w:rFonts w:asciiTheme="minorHAnsi" w:hAnsiTheme="minorHAnsi" w:cstheme="minorHAnsi"/>
                <w:sz w:val="22"/>
                <w:szCs w:val="22"/>
              </w:rPr>
              <w:t>Incidência do Submódulo 2.2 - Encargos previdenciários (GPS), FGTS e outras contribuições</w:t>
            </w:r>
          </w:p>
        </w:tc>
        <w:tc>
          <w:tcPr>
            <w:tcW w:w="851"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r>
              <w:rPr>
                <w:rFonts w:asciiTheme="minorHAnsi" w:hAnsiTheme="minorHAnsi" w:cstheme="minorHAnsi"/>
                <w:sz w:val="22"/>
                <w:szCs w:val="22"/>
              </w:rPr>
              <w:t>7,82</w:t>
            </w:r>
            <w:r>
              <w:rPr>
                <w:rStyle w:val="47"/>
                <w:rFonts w:asciiTheme="minorHAnsi" w:hAnsiTheme="minorHAnsi" w:cstheme="minorHAnsi"/>
                <w:sz w:val="22"/>
                <w:szCs w:val="22"/>
              </w:rPr>
              <w:footnoteReference w:id="0"/>
            </w:r>
          </w:p>
        </w:tc>
        <w:tc>
          <w:tcPr>
            <w:tcW w:w="290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r>
              <w:rPr>
                <w:rFonts w:asciiTheme="minorHAnsi" w:hAnsiTheme="minorHAnsi" w:cstheme="minorHAnsi"/>
                <w:sz w:val="22"/>
                <w:szCs w:val="22"/>
              </w:rPr>
              <w:t>=Total da remuneração x Percentual da tabela do Anexo XII</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r>
              <w:rPr>
                <w:rFonts w:asciiTheme="minorHAnsi" w:hAnsiTheme="minorHAnsi" w:cstheme="minorHAnsi"/>
                <w:sz w:val="22"/>
                <w:szCs w:val="22"/>
              </w:rPr>
              <w:t>% Conta Vinculada- Anexo XII da IN nº 05/2017</w:t>
            </w:r>
          </w:p>
        </w:tc>
      </w:tr>
    </w:tbl>
    <w:p>
      <w:pPr>
        <w:jc w:val="center"/>
        <w:rPr>
          <w:rFonts w:asciiTheme="minorHAnsi" w:hAnsiTheme="minorHAnsi" w:cstheme="minorHAnsi"/>
          <w:sz w:val="22"/>
          <w:szCs w:val="22"/>
        </w:rPr>
      </w:pPr>
    </w:p>
    <w:p>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pPr>
        <w:jc w:val="both"/>
        <w:rPr>
          <w:rFonts w:asciiTheme="minorHAnsi" w:hAnsiTheme="minorHAnsi" w:cstheme="minorHAnsi"/>
          <w:color w:val="000000"/>
          <w:sz w:val="22"/>
          <w:szCs w:val="22"/>
          <w:highlight w:val="white"/>
        </w:rPr>
      </w:pPr>
    </w:p>
    <w:p>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pPr>
        <w:jc w:val="both"/>
        <w:rPr>
          <w:rFonts w:asciiTheme="minorHAnsi" w:hAnsiTheme="minorHAnsi" w:cstheme="minorHAnsi"/>
          <w:sz w:val="22"/>
          <w:szCs w:val="22"/>
          <w:u w:val="single"/>
        </w:rPr>
      </w:pPr>
    </w:p>
    <w:p>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pPr>
        <w:jc w:val="both"/>
        <w:rPr>
          <w:rFonts w:asciiTheme="minorHAnsi" w:hAnsiTheme="minorHAnsi" w:cstheme="minorHAnsi"/>
          <w:sz w:val="22"/>
          <w:szCs w:val="22"/>
          <w:u w:val="single"/>
          <w:lang w:val="pt-PT"/>
        </w:rPr>
      </w:pPr>
    </w:p>
    <w:p>
      <w:pPr>
        <w:jc w:val="both"/>
        <w:rPr>
          <w:rFonts w:asciiTheme="minorHAnsi" w:hAnsiTheme="minorHAnsi" w:cstheme="minorHAnsi"/>
          <w:sz w:val="22"/>
          <w:szCs w:val="22"/>
          <w:u w:val="single"/>
          <w:lang w:val="pt-PT"/>
        </w:rPr>
      </w:pPr>
    </w:p>
    <w:p>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 xml:space="preserve">Submódulo 2.2 - Encargos Previdenciários (GPS), Fundo de Garantia por Tempo de Serviço (FGTS) e outras contribuições. </w:t>
      </w:r>
    </w:p>
    <w:p>
      <w:pPr>
        <w:rPr>
          <w:rFonts w:asciiTheme="minorHAnsi" w:hAnsiTheme="minorHAnsi" w:cstheme="minorHAnsi"/>
          <w:sz w:val="22"/>
          <w:szCs w:val="22"/>
        </w:rPr>
      </w:pPr>
    </w:p>
    <w:tbl>
      <w:tblPr>
        <w:tblStyle w:val="7"/>
        <w:tblW w:w="9007" w:type="dxa"/>
        <w:jc w:val="center"/>
        <w:tblLayout w:type="autofit"/>
        <w:tblCellMar>
          <w:top w:w="0" w:type="dxa"/>
          <w:left w:w="70" w:type="dxa"/>
          <w:bottom w:w="0" w:type="dxa"/>
          <w:right w:w="70" w:type="dxa"/>
        </w:tblCellMar>
      </w:tblPr>
      <w:tblGrid>
        <w:gridCol w:w="845"/>
        <w:gridCol w:w="2126"/>
        <w:gridCol w:w="850"/>
        <w:gridCol w:w="1842"/>
        <w:gridCol w:w="3344"/>
      </w:tblGrid>
      <w:tr>
        <w:tblPrEx>
          <w:tblCellMar>
            <w:top w:w="0" w:type="dxa"/>
            <w:left w:w="70" w:type="dxa"/>
            <w:bottom w:w="0" w:type="dxa"/>
            <w:right w:w="70" w:type="dxa"/>
          </w:tblCellMar>
        </w:tblPrEx>
        <w:trPr>
          <w:trHeight w:val="720" w:hRule="atLeast"/>
          <w:jc w:val="center"/>
        </w:trPr>
        <w:tc>
          <w:tcPr>
            <w:tcW w:w="845"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ITEM</w:t>
            </w:r>
          </w:p>
        </w:tc>
        <w:tc>
          <w:tcPr>
            <w:tcW w:w="2126" w:type="dxa"/>
            <w:tcBorders>
              <w:top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DESCRIÇÃO</w:t>
            </w:r>
          </w:p>
        </w:tc>
        <w:tc>
          <w:tcPr>
            <w:tcW w:w="850" w:type="dxa"/>
            <w:tcBorders>
              <w:top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w:t>
            </w:r>
          </w:p>
        </w:tc>
        <w:tc>
          <w:tcPr>
            <w:tcW w:w="1842" w:type="dxa"/>
            <w:tcBorders>
              <w:top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MEMÓRIA DE CALCULO </w:t>
            </w:r>
          </w:p>
        </w:tc>
        <w:tc>
          <w:tcPr>
            <w:tcW w:w="3344" w:type="dxa"/>
            <w:tcBorders>
              <w:top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FUNDAMENTO</w:t>
            </w:r>
          </w:p>
        </w:tc>
      </w:tr>
      <w:tr>
        <w:tblPrEx>
          <w:tblCellMar>
            <w:top w:w="0" w:type="dxa"/>
            <w:left w:w="70" w:type="dxa"/>
            <w:bottom w:w="0" w:type="dxa"/>
            <w:right w:w="70" w:type="dxa"/>
          </w:tblCellMar>
        </w:tblPrEx>
        <w:trPr>
          <w:trHeight w:val="316"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A</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INSS</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20,0</w:t>
            </w:r>
          </w:p>
        </w:tc>
        <w:tc>
          <w:tcPr>
            <w:tcW w:w="1842"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Art.22, Inciso I da Lei 8.212/91</w:t>
            </w:r>
          </w:p>
        </w:tc>
      </w:tr>
      <w:tr>
        <w:tblPrEx>
          <w:tblCellMar>
            <w:top w:w="0" w:type="dxa"/>
            <w:left w:w="70" w:type="dxa"/>
            <w:bottom w:w="0" w:type="dxa"/>
            <w:right w:w="70" w:type="dxa"/>
          </w:tblCellMar>
        </w:tblPrEx>
        <w:trPr>
          <w:trHeight w:val="300"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B</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SALÁRIO EDUCAÇÃO</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2,50</w:t>
            </w:r>
          </w:p>
        </w:tc>
        <w:tc>
          <w:tcPr>
            <w:tcW w:w="1842"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Art.3º, Inciso I, Decreto 87.043/82</w:t>
            </w:r>
          </w:p>
        </w:tc>
      </w:tr>
      <w:tr>
        <w:tblPrEx>
          <w:tblCellMar>
            <w:top w:w="0" w:type="dxa"/>
            <w:left w:w="70" w:type="dxa"/>
            <w:bottom w:w="0" w:type="dxa"/>
            <w:right w:w="70" w:type="dxa"/>
          </w:tblCellMar>
        </w:tblPrEx>
        <w:trPr>
          <w:trHeight w:val="330"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b/>
                <w:color w:val="FF0000"/>
                <w:sz w:val="22"/>
                <w:szCs w:val="22"/>
              </w:rPr>
            </w:pPr>
            <w:r>
              <w:rPr>
                <w:rFonts w:asciiTheme="minorHAnsi" w:hAnsiTheme="minorHAnsi" w:cstheme="minorHAnsi"/>
                <w:b/>
                <w:color w:val="FF0000"/>
                <w:sz w:val="22"/>
                <w:szCs w:val="22"/>
              </w:rPr>
              <w:t>C</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b/>
                <w:color w:val="FF0000"/>
                <w:sz w:val="22"/>
                <w:szCs w:val="22"/>
              </w:rPr>
            </w:pPr>
            <w:r>
              <w:rPr>
                <w:rFonts w:asciiTheme="minorHAnsi" w:hAnsiTheme="minorHAnsi" w:cstheme="minorHAnsi"/>
                <w:b/>
                <w:color w:val="FF0000"/>
                <w:sz w:val="22"/>
                <w:szCs w:val="22"/>
              </w:rPr>
              <w:t>Seguro de Acidente de Trabalho (SAT)</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b/>
                <w:color w:val="FF0000"/>
                <w:sz w:val="22"/>
                <w:szCs w:val="22"/>
              </w:rPr>
            </w:pPr>
            <w:r>
              <w:rPr>
                <w:rFonts w:asciiTheme="minorHAnsi" w:hAnsiTheme="minorHAnsi" w:cstheme="minorHAnsi"/>
                <w:b/>
                <w:color w:val="FF0000"/>
                <w:sz w:val="22"/>
                <w:szCs w:val="22"/>
              </w:rPr>
              <w:t>6,0</w:t>
            </w:r>
          </w:p>
        </w:tc>
        <w:tc>
          <w:tcPr>
            <w:tcW w:w="1842" w:type="dxa"/>
            <w:tcBorders>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shd w:val="clear" w:color="auto" w:fill="FFFFFF"/>
              </w:rPr>
              <w:t xml:space="preserve"> </w:t>
            </w:r>
            <w:r>
              <w:rPr>
                <w:rFonts w:asciiTheme="minorHAnsi" w:hAnsiTheme="minorHAnsi" w:cstheme="minorHAnsi"/>
                <w:sz w:val="22"/>
                <w:szCs w:val="22"/>
              </w:rPr>
              <w:t>Total da remuneração x %</w:t>
            </w:r>
          </w:p>
          <w:p>
            <w:pPr>
              <w:rPr>
                <w:rFonts w:asciiTheme="minorHAnsi" w:hAnsiTheme="minorHAnsi" w:cstheme="minorHAnsi"/>
                <w:sz w:val="22"/>
                <w:szCs w:val="22"/>
                <w:highlight w:val="white"/>
              </w:rPr>
            </w:pPr>
            <w:r>
              <w:rPr>
                <w:rFonts w:asciiTheme="minorHAnsi" w:hAnsiTheme="minorHAnsi" w:cstheme="minorHAnsi"/>
                <w:sz w:val="22"/>
                <w:szCs w:val="22"/>
                <w:shd w:val="clear" w:color="auto" w:fill="FFFFFF"/>
              </w:rPr>
              <w:t>RAT: 1%, 2% ou </w:t>
            </w:r>
            <w:r>
              <w:rPr>
                <w:rStyle w:val="8"/>
                <w:rFonts w:asciiTheme="minorHAnsi" w:hAnsiTheme="minorHAnsi" w:cstheme="minorHAnsi"/>
                <w:b w:val="0"/>
                <w:sz w:val="22"/>
                <w:szCs w:val="22"/>
                <w:shd w:val="clear" w:color="auto" w:fill="FFFFFF"/>
              </w:rPr>
              <w:t>3%</w:t>
            </w:r>
            <w:r>
              <w:rPr>
                <w:rFonts w:asciiTheme="minorHAnsi" w:hAnsiTheme="minorHAnsi" w:cstheme="minorHAnsi"/>
                <w:sz w:val="22"/>
                <w:szCs w:val="22"/>
                <w:shd w:val="clear" w:color="auto" w:fill="FFFFFF"/>
              </w:rPr>
              <w:t> x </w:t>
            </w:r>
            <w:r>
              <w:rPr>
                <w:rStyle w:val="39"/>
                <w:rFonts w:asciiTheme="minorHAnsi" w:hAnsiTheme="minorHAnsi" w:cstheme="minorHAnsi"/>
                <w:sz w:val="22"/>
                <w:szCs w:val="22"/>
                <w:shd w:val="clear" w:color="auto" w:fill="FFFFFF"/>
              </w:rPr>
              <w:t>FAP</w:t>
            </w:r>
            <w:r>
              <w:rPr>
                <w:rFonts w:asciiTheme="minorHAnsi" w:hAnsiTheme="minorHAnsi" w:cstheme="minorHAnsi"/>
                <w:sz w:val="22"/>
                <w:szCs w:val="22"/>
                <w:shd w:val="clear" w:color="auto" w:fill="FFFFFF"/>
              </w:rPr>
              <w:t xml:space="preserve">: 0,5 a 2% </w:t>
            </w:r>
          </w:p>
          <w:p>
            <w:pPr>
              <w:rPr>
                <w:rFonts w:asciiTheme="minorHAnsi" w:hAnsiTheme="minorHAnsi" w:cstheme="minorHAnsi"/>
                <w:sz w:val="22"/>
                <w:szCs w:val="22"/>
                <w:highlight w:val="white"/>
              </w:rPr>
            </w:pPr>
          </w:p>
          <w:p>
            <w:pPr>
              <w:rPr>
                <w:rFonts w:asciiTheme="minorHAnsi" w:hAnsiTheme="minorHAnsi" w:cstheme="minorHAnsi"/>
                <w:color w:val="000000"/>
                <w:sz w:val="22"/>
                <w:szCs w:val="22"/>
              </w:rPr>
            </w:pPr>
            <w:r>
              <w:rPr>
                <w:rFonts w:asciiTheme="minorHAnsi" w:hAnsiTheme="minorHAnsi" w:cstheme="minorHAnsi"/>
                <w:color w:val="000000"/>
                <w:sz w:val="22"/>
                <w:szCs w:val="22"/>
                <w:shd w:val="clear" w:color="auto" w:fill="FFFFFF"/>
              </w:rPr>
              <w:t>CNAE 8129-0/00</w:t>
            </w:r>
            <w:r>
              <w:rPr>
                <w:rFonts w:asciiTheme="minorHAnsi" w:hAnsiTheme="minorHAnsi" w:cstheme="minorHAnsi"/>
                <w:sz w:val="22"/>
                <w:szCs w:val="22"/>
                <w:shd w:val="clear" w:color="auto" w:fill="FFFFFF"/>
              </w:rPr>
              <w:t xml:space="preserve">= RAT </w:t>
            </w:r>
            <w:r>
              <w:rPr>
                <w:rFonts w:asciiTheme="minorHAnsi" w:hAnsiTheme="minorHAnsi" w:cstheme="minorHAnsi"/>
                <w:b/>
                <w:sz w:val="22"/>
                <w:szCs w:val="22"/>
                <w:shd w:val="clear" w:color="auto" w:fill="FFFFFF"/>
              </w:rPr>
              <w:t>3% x</w:t>
            </w:r>
            <w:r>
              <w:rPr>
                <w:rFonts w:asciiTheme="minorHAnsi" w:hAnsiTheme="minorHAnsi" w:cstheme="minorHAnsi"/>
                <w:b/>
                <w:color w:val="FF0000"/>
                <w:sz w:val="22"/>
                <w:szCs w:val="22"/>
                <w:shd w:val="clear" w:color="auto" w:fill="FFFFFF"/>
              </w:rPr>
              <w:t xml:space="preserve"> 2% FAP </w:t>
            </w:r>
            <w:r>
              <w:rPr>
                <w:rFonts w:asciiTheme="minorHAnsi" w:hAnsiTheme="minorHAnsi" w:cstheme="minorHAnsi"/>
                <w:sz w:val="22"/>
                <w:szCs w:val="22"/>
                <w:shd w:val="clear" w:color="auto" w:fill="FFFFFF"/>
              </w:rPr>
              <w:t>(considerando a maior)</w:t>
            </w:r>
            <w:r>
              <w:rPr>
                <w:rFonts w:asciiTheme="minorHAnsi" w:hAnsiTheme="minorHAnsi" w:cstheme="minorHAnsi"/>
                <w:sz w:val="22"/>
                <w:szCs w:val="22"/>
              </w:rPr>
              <w:t xml:space="preserve"> </w:t>
            </w:r>
          </w:p>
        </w:tc>
        <w:tc>
          <w:tcPr>
            <w:tcW w:w="3344" w:type="dxa"/>
            <w:tcBorders>
              <w:bottom w:val="single" w:color="000000" w:sz="4" w:space="0"/>
              <w:right w:val="single" w:color="000000" w:sz="4" w:space="0"/>
            </w:tcBorders>
            <w:shd w:val="clear" w:color="auto" w:fill="auto"/>
            <w:vAlign w:val="center"/>
          </w:tcPr>
          <w:p>
            <w:pPr>
              <w:jc w:val="both"/>
              <w:rPr>
                <w:rFonts w:asciiTheme="minorHAnsi" w:hAnsiTheme="minorHAnsi" w:cstheme="minorHAnsi"/>
                <w:sz w:val="22"/>
                <w:szCs w:val="22"/>
              </w:rPr>
            </w:pPr>
            <w:r>
              <w:rPr>
                <w:rFonts w:asciiTheme="minorHAnsi" w:hAnsiTheme="minorHAnsi" w:cstheme="minorHAnsi"/>
                <w:sz w:val="22"/>
                <w:szCs w:val="22"/>
              </w:rPr>
              <w:t xml:space="preserve">RATxFAT – </w:t>
            </w:r>
            <w:r>
              <w:rPr>
                <w:rStyle w:val="11"/>
                <w:rFonts w:asciiTheme="minorHAnsi" w:hAnsiTheme="minorHAnsi" w:cstheme="minorHAnsi"/>
                <w:sz w:val="22"/>
                <w:szCs w:val="22"/>
                <w:shd w:val="clear" w:color="auto" w:fill="FFFFFF"/>
              </w:rPr>
              <w:t>Fundamentação: art. 22, inciso II, alíneas ‘b’ e ‘c’, da Lei nº 8.212/91.</w:t>
            </w:r>
            <w:r>
              <w:rPr>
                <w:rFonts w:asciiTheme="minorHAnsi" w:hAnsiTheme="minorHAnsi" w:cstheme="minorHAnsi"/>
                <w:sz w:val="22"/>
                <w:szCs w:val="22"/>
                <w:shd w:val="clear" w:color="auto" w:fill="FFFFFF"/>
              </w:rPr>
              <w:t> C</w:t>
            </w:r>
            <w:r>
              <w:rPr>
                <w:rFonts w:asciiTheme="minorHAnsi" w:hAnsiTheme="minorHAnsi" w:cstheme="minorHAnsi"/>
                <w:sz w:val="22"/>
                <w:szCs w:val="22"/>
              </w:rPr>
              <w:t>onforme GFIP do mês anterior à data da proposta – Para estimativa, considerado o maior valor possível.</w:t>
            </w:r>
          </w:p>
        </w:tc>
      </w:tr>
      <w:tr>
        <w:tblPrEx>
          <w:tblCellMar>
            <w:top w:w="0" w:type="dxa"/>
            <w:left w:w="70" w:type="dxa"/>
            <w:bottom w:w="0" w:type="dxa"/>
            <w:right w:w="70" w:type="dxa"/>
          </w:tblCellMar>
        </w:tblPrEx>
        <w:trPr>
          <w:trHeight w:val="374"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D</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SESC OU SESI</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1,50</w:t>
            </w:r>
          </w:p>
        </w:tc>
        <w:tc>
          <w:tcPr>
            <w:tcW w:w="1842" w:type="dxa"/>
            <w:tcBorders>
              <w:bottom w:val="single" w:color="000000" w:sz="4" w:space="0"/>
              <w:right w:val="single" w:color="000000" w:sz="4" w:space="0"/>
            </w:tcBorders>
            <w:shd w:val="clear" w:color="auto" w:fill="auto"/>
          </w:tcPr>
          <w:p>
            <w:pP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Art.3º, da lei 8036/90</w:t>
            </w:r>
          </w:p>
        </w:tc>
      </w:tr>
      <w:tr>
        <w:tblPrEx>
          <w:tblCellMar>
            <w:top w:w="0" w:type="dxa"/>
            <w:left w:w="70" w:type="dxa"/>
            <w:bottom w:w="0" w:type="dxa"/>
            <w:right w:w="70" w:type="dxa"/>
          </w:tblCellMar>
        </w:tblPrEx>
        <w:trPr>
          <w:trHeight w:val="266" w:hRule="atLeast"/>
          <w:jc w:val="center"/>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E</w:t>
            </w:r>
          </w:p>
        </w:tc>
        <w:tc>
          <w:tcPr>
            <w:tcW w:w="21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SENAI OU SENAC</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1,00</w:t>
            </w:r>
          </w:p>
        </w:tc>
        <w:tc>
          <w:tcPr>
            <w:tcW w:w="1842" w:type="dxa"/>
            <w:tcBorders>
              <w:top w:val="single" w:color="000000" w:sz="4" w:space="0"/>
              <w:left w:val="single" w:color="000000" w:sz="4" w:space="0"/>
              <w:bottom w:val="single" w:color="000000" w:sz="4" w:space="0"/>
              <w:right w:val="single" w:color="000000" w:sz="4" w:space="0"/>
            </w:tcBorders>
            <w:shd w:val="clear" w:color="auto" w:fill="auto"/>
          </w:tcPr>
          <w:p>
            <w:pP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Decreto 2.318/86</w:t>
            </w:r>
          </w:p>
        </w:tc>
      </w:tr>
      <w:tr>
        <w:tblPrEx>
          <w:tblCellMar>
            <w:top w:w="0" w:type="dxa"/>
            <w:left w:w="70" w:type="dxa"/>
            <w:bottom w:w="0" w:type="dxa"/>
            <w:right w:w="70" w:type="dxa"/>
          </w:tblCellMar>
        </w:tblPrEx>
        <w:trPr>
          <w:trHeight w:val="314" w:hRule="atLeast"/>
          <w:jc w:val="center"/>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F</w:t>
            </w:r>
          </w:p>
        </w:tc>
        <w:tc>
          <w:tcPr>
            <w:tcW w:w="2126" w:type="dxa"/>
            <w:tcBorders>
              <w:top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SEBRAE</w:t>
            </w:r>
          </w:p>
        </w:tc>
        <w:tc>
          <w:tcPr>
            <w:tcW w:w="850" w:type="dxa"/>
            <w:tcBorders>
              <w:top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0,60</w:t>
            </w:r>
          </w:p>
        </w:tc>
        <w:tc>
          <w:tcPr>
            <w:tcW w:w="1842" w:type="dxa"/>
            <w:tcBorders>
              <w:top w:val="single" w:color="000000" w:sz="4" w:space="0"/>
              <w:bottom w:val="single" w:color="000000" w:sz="4" w:space="0"/>
              <w:right w:val="single" w:color="000000" w:sz="4" w:space="0"/>
            </w:tcBorders>
            <w:shd w:val="clear" w:color="auto" w:fill="auto"/>
          </w:tcPr>
          <w:p>
            <w:pP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top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Art.8º, Lei 8029/90 e Lei 8154/90</w:t>
            </w:r>
          </w:p>
        </w:tc>
      </w:tr>
      <w:tr>
        <w:tblPrEx>
          <w:tblCellMar>
            <w:top w:w="0" w:type="dxa"/>
            <w:left w:w="70" w:type="dxa"/>
            <w:bottom w:w="0" w:type="dxa"/>
            <w:right w:w="70" w:type="dxa"/>
          </w:tblCellMar>
        </w:tblPrEx>
        <w:trPr>
          <w:trHeight w:val="504"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G</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INCRA</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0,20</w:t>
            </w:r>
          </w:p>
        </w:tc>
        <w:tc>
          <w:tcPr>
            <w:tcW w:w="1842" w:type="dxa"/>
            <w:tcBorders>
              <w:bottom w:val="single" w:color="000000" w:sz="4" w:space="0"/>
              <w:right w:val="single" w:color="000000" w:sz="4" w:space="0"/>
            </w:tcBorders>
            <w:shd w:val="clear" w:color="auto" w:fill="auto"/>
          </w:tcPr>
          <w:p>
            <w:pP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Lei 7787/89 e DL 1146/70</w:t>
            </w:r>
          </w:p>
        </w:tc>
      </w:tr>
      <w:tr>
        <w:tblPrEx>
          <w:tblCellMar>
            <w:top w:w="0" w:type="dxa"/>
            <w:left w:w="70" w:type="dxa"/>
            <w:bottom w:w="0" w:type="dxa"/>
            <w:right w:w="70" w:type="dxa"/>
          </w:tblCellMar>
        </w:tblPrEx>
        <w:trPr>
          <w:trHeight w:val="270" w:hRule="atLeast"/>
          <w:jc w:val="center"/>
        </w:trPr>
        <w:tc>
          <w:tcPr>
            <w:tcW w:w="845" w:type="dxa"/>
            <w:tcBorders>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H</w:t>
            </w:r>
          </w:p>
        </w:tc>
        <w:tc>
          <w:tcPr>
            <w:tcW w:w="2126"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FGTS</w:t>
            </w:r>
          </w:p>
        </w:tc>
        <w:tc>
          <w:tcPr>
            <w:tcW w:w="850" w:type="dxa"/>
            <w:tcBorders>
              <w:bottom w:val="single" w:color="000000" w:sz="4" w:space="0"/>
              <w:right w:val="single" w:color="000000" w:sz="4" w:space="0"/>
            </w:tcBorders>
            <w:shd w:val="clear" w:color="auto" w:fill="auto"/>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8,00</w:t>
            </w:r>
          </w:p>
        </w:tc>
        <w:tc>
          <w:tcPr>
            <w:tcW w:w="1842" w:type="dxa"/>
            <w:tcBorders>
              <w:bottom w:val="single" w:color="000000" w:sz="4" w:space="0"/>
              <w:right w:val="single" w:color="000000" w:sz="4" w:space="0"/>
            </w:tcBorders>
            <w:shd w:val="clear" w:color="auto" w:fill="auto"/>
          </w:tcPr>
          <w:p>
            <w:pPr>
              <w:rPr>
                <w:rFonts w:asciiTheme="minorHAnsi" w:hAnsiTheme="minorHAnsi" w:cstheme="minorHAnsi"/>
                <w:sz w:val="22"/>
                <w:szCs w:val="22"/>
              </w:rPr>
            </w:pPr>
            <w:r>
              <w:rPr>
                <w:rFonts w:asciiTheme="minorHAnsi" w:hAnsiTheme="minorHAnsi" w:cstheme="minorHAnsi"/>
                <w:sz w:val="22"/>
                <w:szCs w:val="22"/>
              </w:rPr>
              <w:t>Total da remuneração x %</w:t>
            </w:r>
          </w:p>
        </w:tc>
        <w:tc>
          <w:tcPr>
            <w:tcW w:w="3344" w:type="dxa"/>
            <w:tcBorders>
              <w:bottom w:val="single" w:color="000000" w:sz="4" w:space="0"/>
              <w:right w:val="single" w:color="000000" w:sz="4" w:space="0"/>
            </w:tcBorders>
            <w:shd w:val="clear" w:color="auto" w:fill="auto"/>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Art.15, da Lei 8036/90 e Art.7º III, CF</w:t>
            </w:r>
          </w:p>
        </w:tc>
      </w:tr>
      <w:tr>
        <w:tblPrEx>
          <w:tblCellMar>
            <w:top w:w="0" w:type="dxa"/>
            <w:left w:w="70" w:type="dxa"/>
            <w:bottom w:w="0" w:type="dxa"/>
            <w:right w:w="70" w:type="dxa"/>
          </w:tblCellMar>
        </w:tblPrEx>
        <w:trPr>
          <w:trHeight w:val="303" w:hRule="atLeast"/>
          <w:jc w:val="center"/>
        </w:trPr>
        <w:tc>
          <w:tcPr>
            <w:tcW w:w="845" w:type="dxa"/>
            <w:tcBorders>
              <w:top w:val="single" w:color="000000" w:sz="4" w:space="0"/>
              <w:left w:val="single" w:color="000000" w:sz="4" w:space="0"/>
              <w:bottom w:val="single" w:color="000000" w:sz="4" w:space="0"/>
            </w:tcBorders>
            <w:shd w:val="clear" w:color="auto" w:fill="EAF1DD" w:themeFill="accent3" w:themeFillTint="33"/>
            <w:vAlign w:val="center"/>
          </w:tcPr>
          <w:p>
            <w:pPr>
              <w:jc w:val="center"/>
              <w:rPr>
                <w:rFonts w:asciiTheme="minorHAnsi" w:hAnsiTheme="minorHAnsi" w:cstheme="minorHAnsi"/>
                <w:color w:val="000000"/>
                <w:sz w:val="22"/>
                <w:szCs w:val="22"/>
              </w:rPr>
            </w:pPr>
          </w:p>
        </w:tc>
        <w:tc>
          <w:tcPr>
            <w:tcW w:w="2126" w:type="dxa"/>
            <w:tcBorders>
              <w:top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color w:val="000000"/>
                <w:sz w:val="22"/>
                <w:szCs w:val="22"/>
              </w:rPr>
            </w:pPr>
            <w:r>
              <w:rPr>
                <w:rFonts w:asciiTheme="minorHAnsi" w:hAnsiTheme="minorHAnsi" w:cstheme="minorHAnsi"/>
                <w:color w:val="000000"/>
                <w:sz w:val="22"/>
                <w:szCs w:val="22"/>
              </w:rPr>
              <w:t>Total</w:t>
            </w:r>
          </w:p>
        </w:tc>
        <w:tc>
          <w:tcPr>
            <w:tcW w:w="85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color w:val="000000"/>
                <w:sz w:val="22"/>
                <w:szCs w:val="22"/>
              </w:rPr>
            </w:pPr>
            <w:r>
              <w:rPr>
                <w:rFonts w:asciiTheme="minorHAnsi" w:hAnsiTheme="minorHAnsi" w:cstheme="minorHAnsi"/>
                <w:color w:val="000000"/>
                <w:sz w:val="22"/>
                <w:szCs w:val="22"/>
              </w:rPr>
              <w:t>39,80</w:t>
            </w:r>
          </w:p>
        </w:tc>
        <w:tc>
          <w:tcPr>
            <w:tcW w:w="1842" w:type="dxa"/>
            <w:tcBorders>
              <w:top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color w:val="000000"/>
                <w:sz w:val="22"/>
                <w:szCs w:val="22"/>
              </w:rPr>
            </w:pPr>
          </w:p>
        </w:tc>
        <w:tc>
          <w:tcPr>
            <w:tcW w:w="3344" w:type="dxa"/>
            <w:tcBorders>
              <w:top w:val="single" w:color="000000" w:sz="4" w:space="0"/>
              <w:bottom w:val="single" w:color="000000" w:sz="4" w:space="0"/>
              <w:right w:val="single" w:color="000000" w:sz="4" w:space="0"/>
            </w:tcBorders>
            <w:shd w:val="clear" w:color="auto" w:fill="EAF1DD" w:themeFill="accent3" w:themeFillTint="33"/>
            <w:vAlign w:val="bottom"/>
          </w:tcPr>
          <w:p>
            <w:pPr>
              <w:rPr>
                <w:rFonts w:asciiTheme="minorHAnsi" w:hAnsiTheme="minorHAnsi" w:cstheme="minorHAnsi"/>
                <w:sz w:val="22"/>
                <w:szCs w:val="22"/>
              </w:rPr>
            </w:pPr>
          </w:p>
        </w:tc>
      </w:tr>
    </w:tbl>
    <w:p>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pPr>
        <w:pStyle w:val="65"/>
        <w:shd w:val="clear" w:color="auto" w:fill="FFFFFF"/>
        <w:spacing w:beforeAutospacing="0" w:afterAutospacing="0"/>
        <w:textAlignment w:val="baseline"/>
        <w:rPr>
          <w:rFonts w:asciiTheme="minorHAnsi" w:hAnsiTheme="minorHAnsi" w:cstheme="minorHAnsi"/>
          <w:color w:val="000000"/>
          <w:sz w:val="22"/>
          <w:szCs w:val="22"/>
        </w:rPr>
      </w:pPr>
    </w:p>
    <w:p>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a Atividades de limpeza não especificadas anteriormente (CNAE 8129-0/00).</w:t>
      </w:r>
    </w:p>
    <w:p>
      <w:pPr>
        <w:jc w:val="both"/>
        <w:rPr>
          <w:rFonts w:asciiTheme="minorHAnsi" w:hAnsiTheme="minorHAnsi" w:cstheme="minorHAnsi"/>
          <w:color w:val="000000"/>
          <w:sz w:val="22"/>
          <w:szCs w:val="22"/>
        </w:rPr>
      </w:pPr>
    </w:p>
    <w:p>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59264"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59264;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Incindirá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pPr>
        <w:jc w:val="both"/>
        <w:rPr>
          <w:rFonts w:asciiTheme="minorHAnsi" w:hAnsiTheme="minorHAnsi" w:cstheme="minorHAnsi"/>
          <w:sz w:val="22"/>
          <w:szCs w:val="22"/>
          <w:u w:val="single"/>
          <w:lang w:val="pt-PT"/>
        </w:rPr>
      </w:pPr>
    </w:p>
    <w:p>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pPr>
        <w:jc w:val="both"/>
        <w:rPr>
          <w:rFonts w:asciiTheme="minorHAnsi" w:hAnsiTheme="minorHAnsi" w:cstheme="minorHAnsi"/>
          <w:sz w:val="22"/>
          <w:szCs w:val="22"/>
          <w:u w:val="single"/>
          <w:lang w:val="pt-PT"/>
        </w:rPr>
      </w:pPr>
    </w:p>
    <w:p>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pPr>
        <w:jc w:val="both"/>
        <w:rPr>
          <w:rFonts w:asciiTheme="minorHAnsi" w:hAnsiTheme="minorHAnsi" w:cstheme="minorHAnsi"/>
          <w:sz w:val="22"/>
          <w:szCs w:val="22"/>
          <w:u w:val="single"/>
          <w:lang w:val="pt-PT"/>
        </w:rPr>
      </w:pPr>
    </w:p>
    <w:p>
      <w:pPr>
        <w:jc w:val="both"/>
        <w:rPr>
          <w:rFonts w:asciiTheme="minorHAnsi" w:hAnsiTheme="minorHAnsi" w:cstheme="minorHAnsi"/>
          <w:b/>
          <w:sz w:val="22"/>
          <w:szCs w:val="22"/>
          <w:u w:val="single"/>
          <w:lang w:val="pt-PT"/>
        </w:rPr>
      </w:pPr>
      <w:r>
        <w:rPr>
          <w:rFonts w:asciiTheme="minorHAnsi" w:hAnsiTheme="minorHAnsi" w:cstheme="minorHAnsi"/>
          <w:b/>
          <w:sz w:val="22"/>
          <w:szCs w:val="22"/>
          <w:u w:val="single"/>
          <w:lang w:val="pt-PT"/>
        </w:rPr>
        <w:t>Conforme CCT (Asseio):</w:t>
      </w:r>
    </w:p>
    <w:p>
      <w:pPr>
        <w:jc w:val="both"/>
        <w:rPr>
          <w:rFonts w:asciiTheme="minorHAnsi" w:hAnsiTheme="minorHAnsi" w:cstheme="minorHAnsi"/>
          <w:b/>
          <w:sz w:val="22"/>
          <w:szCs w:val="22"/>
          <w:u w:val="single"/>
          <w:lang w:val="pt-PT"/>
        </w:rPr>
      </w:pPr>
    </w:p>
    <w:tbl>
      <w:tblPr>
        <w:tblStyle w:val="7"/>
        <w:tblW w:w="6443" w:type="dxa"/>
        <w:jc w:val="center"/>
        <w:tblLayout w:type="autofit"/>
        <w:tblCellMar>
          <w:top w:w="0" w:type="dxa"/>
          <w:left w:w="70" w:type="dxa"/>
          <w:bottom w:w="0" w:type="dxa"/>
          <w:right w:w="70" w:type="dxa"/>
        </w:tblCellMar>
      </w:tblPr>
      <w:tblGrid>
        <w:gridCol w:w="422"/>
        <w:gridCol w:w="2118"/>
        <w:gridCol w:w="3903"/>
      </w:tblGrid>
      <w:tr>
        <w:tblPrEx>
          <w:tblCellMar>
            <w:top w:w="0" w:type="dxa"/>
            <w:left w:w="70" w:type="dxa"/>
            <w:bottom w:w="0" w:type="dxa"/>
            <w:right w:w="70" w:type="dxa"/>
          </w:tblCellMar>
        </w:tblPrEx>
        <w:trPr>
          <w:trHeight w:val="510" w:hRule="atLeast"/>
          <w:jc w:val="center"/>
        </w:trPr>
        <w:tc>
          <w:tcPr>
            <w:tcW w:w="388"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2.3</w:t>
            </w:r>
          </w:p>
        </w:tc>
        <w:tc>
          <w:tcPr>
            <w:tcW w:w="1865"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BENEFÍCIOS MENSAIS E DIÁRIOS</w:t>
            </w:r>
          </w:p>
        </w:tc>
        <w:tc>
          <w:tcPr>
            <w:tcW w:w="419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VALOR (R$) </w:t>
            </w:r>
          </w:p>
        </w:tc>
      </w:tr>
      <w:tr>
        <w:tblPrEx>
          <w:tblCellMar>
            <w:top w:w="0" w:type="dxa"/>
            <w:left w:w="70" w:type="dxa"/>
            <w:bottom w:w="0" w:type="dxa"/>
            <w:right w:w="70" w:type="dxa"/>
          </w:tblCellMar>
        </w:tblPrEx>
        <w:trPr>
          <w:trHeight w:val="631" w:hRule="atLeast"/>
          <w:jc w:val="center"/>
        </w:trPr>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Transporte</w:t>
            </w:r>
          </w:p>
        </w:tc>
        <w:tc>
          <w:tcPr>
            <w:tcW w:w="41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both"/>
              <w:rPr>
                <w:rFonts w:asciiTheme="minorHAnsi" w:hAnsiTheme="minorHAnsi" w:cstheme="minorHAnsi"/>
                <w:sz w:val="22"/>
                <w:szCs w:val="22"/>
              </w:rPr>
            </w:pPr>
            <w:r>
              <w:rPr>
                <w:rFonts w:asciiTheme="minorHAnsi" w:hAnsiTheme="minorHAnsi" w:cstheme="minorHAnsi"/>
                <w:sz w:val="22"/>
                <w:szCs w:val="22"/>
              </w:rPr>
              <w:t>valor do transporte x nº de passagens por dia x nº de dias trabalhados – (6% x valor salário base)</w:t>
            </w:r>
          </w:p>
        </w:tc>
      </w:tr>
      <w:tr>
        <w:tblPrEx>
          <w:tblCellMar>
            <w:top w:w="0" w:type="dxa"/>
            <w:left w:w="70" w:type="dxa"/>
            <w:bottom w:w="0" w:type="dxa"/>
            <w:right w:w="70" w:type="dxa"/>
          </w:tblCellMar>
        </w:tblPrEx>
        <w:trPr>
          <w:trHeight w:val="510" w:hRule="atLeast"/>
          <w:jc w:val="center"/>
        </w:trPr>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B</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Auxílio Refeição/Alimentação</w:t>
            </w:r>
          </w:p>
        </w:tc>
        <w:tc>
          <w:tcPr>
            <w:tcW w:w="41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76" w:lineRule="auto"/>
              <w:jc w:val="both"/>
              <w:rPr>
                <w:rFonts w:asciiTheme="minorHAnsi" w:hAnsiTheme="minorHAnsi" w:cstheme="minorHAnsi"/>
                <w:sz w:val="22"/>
                <w:szCs w:val="22"/>
              </w:rPr>
            </w:pPr>
            <w:r>
              <w:rPr>
                <w:rFonts w:asciiTheme="minorHAnsi" w:hAnsiTheme="minorHAnsi" w:cstheme="minorHAnsi"/>
                <w:sz w:val="22"/>
                <w:szCs w:val="22"/>
              </w:rPr>
              <w:t>valor do vale alimentação mensal (R$ 19,82) x nº de dias de trabalho – 10% (valor do vale alimentação mensal (R$ 19,82) x nº de dias de trabalho) (</w:t>
            </w:r>
            <w:r>
              <w:rPr>
                <w:rFonts w:asciiTheme="minorHAnsi" w:hAnsiTheme="minorHAnsi" w:cstheme="minorHAnsi"/>
                <w:iCs/>
                <w:sz w:val="22"/>
                <w:szCs w:val="22"/>
              </w:rPr>
              <w:t>Clausula 23ª da CCT)</w:t>
            </w:r>
          </w:p>
        </w:tc>
      </w:tr>
      <w:tr>
        <w:tblPrEx>
          <w:tblCellMar>
            <w:top w:w="0" w:type="dxa"/>
            <w:left w:w="70" w:type="dxa"/>
            <w:bottom w:w="0" w:type="dxa"/>
            <w:right w:w="70" w:type="dxa"/>
          </w:tblCellMar>
        </w:tblPrEx>
        <w:trPr>
          <w:trHeight w:val="510" w:hRule="atLeast"/>
          <w:jc w:val="center"/>
        </w:trPr>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C</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Outros (Benefício Social Familiar)</w:t>
            </w:r>
          </w:p>
        </w:tc>
        <w:tc>
          <w:tcPr>
            <w:tcW w:w="41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Cláusula 17ª da CCT = R$6,00</w:t>
            </w:r>
          </w:p>
        </w:tc>
      </w:tr>
      <w:tr>
        <w:tblPrEx>
          <w:tblCellMar>
            <w:top w:w="0" w:type="dxa"/>
            <w:left w:w="70" w:type="dxa"/>
            <w:bottom w:w="0" w:type="dxa"/>
            <w:right w:w="70" w:type="dxa"/>
          </w:tblCellMar>
        </w:tblPrEx>
        <w:trPr>
          <w:trHeight w:val="510" w:hRule="atLeast"/>
          <w:jc w:val="center"/>
        </w:trPr>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D</w:t>
            </w:r>
          </w:p>
        </w:tc>
        <w:tc>
          <w:tcPr>
            <w:tcW w:w="186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Plano de Assistência Pessoal</w:t>
            </w:r>
          </w:p>
        </w:tc>
        <w:tc>
          <w:tcPr>
            <w:tcW w:w="41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Cláusula 48ª da CCT = R$19,90</w:t>
            </w:r>
          </w:p>
        </w:tc>
      </w:tr>
      <w:tr>
        <w:tblPrEx>
          <w:tblCellMar>
            <w:top w:w="0" w:type="dxa"/>
            <w:left w:w="70" w:type="dxa"/>
            <w:bottom w:w="0" w:type="dxa"/>
            <w:right w:w="70" w:type="dxa"/>
          </w:tblCellMar>
        </w:tblPrEx>
        <w:trPr>
          <w:trHeight w:val="283" w:hRule="atLeast"/>
          <w:jc w:val="center"/>
        </w:trPr>
        <w:tc>
          <w:tcPr>
            <w:tcW w:w="2253" w:type="dxa"/>
            <w:gridSpan w:val="2"/>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p>
        </w:tc>
        <w:tc>
          <w:tcPr>
            <w:tcW w:w="419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p>
        </w:tc>
      </w:tr>
      <w:tr>
        <w:tblPrEx>
          <w:tblCellMar>
            <w:top w:w="0" w:type="dxa"/>
            <w:left w:w="70" w:type="dxa"/>
            <w:bottom w:w="0" w:type="dxa"/>
            <w:right w:w="70" w:type="dxa"/>
          </w:tblCellMar>
        </w:tblPrEx>
        <w:trPr>
          <w:trHeight w:val="283" w:hRule="atLeast"/>
          <w:jc w:val="center"/>
        </w:trPr>
        <w:tc>
          <w:tcPr>
            <w:tcW w:w="2253" w:type="dxa"/>
            <w:gridSpan w:val="2"/>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sz w:val="22"/>
                <w:szCs w:val="22"/>
              </w:rPr>
            </w:pPr>
            <w:r>
              <w:rPr>
                <w:rFonts w:asciiTheme="minorHAnsi" w:hAnsiTheme="minorHAnsi" w:cstheme="minorHAnsi"/>
                <w:sz w:val="22"/>
                <w:szCs w:val="22"/>
              </w:rPr>
              <w:t>Total</w:t>
            </w:r>
          </w:p>
        </w:tc>
        <w:tc>
          <w:tcPr>
            <w:tcW w:w="419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p>
        </w:tc>
      </w:tr>
    </w:tbl>
    <w:p>
      <w:pPr>
        <w:jc w:val="both"/>
        <w:rPr>
          <w:rFonts w:asciiTheme="minorHAnsi" w:hAnsiTheme="minorHAnsi" w:cstheme="minorHAnsi"/>
          <w:b/>
          <w:sz w:val="22"/>
          <w:szCs w:val="22"/>
          <w:u w:val="single"/>
          <w:lang w:val="pt-PT"/>
        </w:rPr>
      </w:pPr>
    </w:p>
    <w:p>
      <w:pPr>
        <w:jc w:val="both"/>
        <w:rPr>
          <w:rFonts w:asciiTheme="minorHAnsi" w:hAnsiTheme="minorHAnsi" w:cstheme="minorHAnsi"/>
          <w:b/>
          <w:sz w:val="22"/>
          <w:szCs w:val="22"/>
          <w:u w:val="single"/>
          <w:lang w:val="pt-PT"/>
        </w:rPr>
      </w:pPr>
    </w:p>
    <w:p>
      <w:pPr>
        <w:shd w:val="clear" w:color="auto" w:fill="FFFFFF"/>
        <w:textAlignment w:val="baseline"/>
        <w:rPr>
          <w:rFonts w:asciiTheme="minorHAnsi" w:hAnsiTheme="minorHAnsi" w:cstheme="minorHAnsi"/>
          <w:color w:val="000000"/>
          <w:sz w:val="22"/>
          <w:szCs w:val="22"/>
          <w:lang w:eastAsia="en-US"/>
        </w:rPr>
      </w:pPr>
      <w:r>
        <w:rPr>
          <w:rFonts w:asciiTheme="minorHAnsi" w:hAnsiTheme="minorHAnsi" w:cstheme="minorHAnsi"/>
          <w:b/>
          <w:bCs/>
          <w:color w:val="000000"/>
          <w:sz w:val="22"/>
          <w:szCs w:val="22"/>
          <w:lang w:eastAsia="en-US"/>
        </w:rPr>
        <w:t>Nota 1:</w:t>
      </w:r>
      <w:r>
        <w:rPr>
          <w:rFonts w:asciiTheme="minorHAnsi" w:hAnsiTheme="minorHAnsi" w:cstheme="minorHAnsi"/>
          <w:color w:val="000000"/>
          <w:sz w:val="22"/>
          <w:szCs w:val="22"/>
          <w:lang w:eastAsia="en-US"/>
        </w:rPr>
        <w:t> O valor informado deverá ser o custo real do benefício (descontado o valor eventualmente pago pelo empregado).</w:t>
      </w:r>
    </w:p>
    <w:p>
      <w:pPr>
        <w:shd w:val="clear" w:color="auto" w:fill="FFFFFF"/>
        <w:textAlignment w:val="baseline"/>
        <w:rPr>
          <w:rFonts w:asciiTheme="minorHAnsi" w:hAnsiTheme="minorHAnsi" w:cstheme="minorHAnsi"/>
          <w:color w:val="000000"/>
          <w:sz w:val="22"/>
          <w:szCs w:val="22"/>
          <w:lang w:eastAsia="en-US"/>
        </w:rPr>
      </w:pPr>
    </w:p>
    <w:p>
      <w:pPr>
        <w:shd w:val="clear" w:color="auto" w:fill="FFFFFF"/>
        <w:textAlignment w:val="baseline"/>
        <w:rPr>
          <w:rFonts w:asciiTheme="minorHAnsi" w:hAnsiTheme="minorHAnsi" w:cstheme="minorHAnsi"/>
          <w:color w:val="000000"/>
          <w:sz w:val="22"/>
          <w:szCs w:val="22"/>
          <w:lang w:eastAsia="en-US"/>
        </w:rPr>
      </w:pPr>
      <w:r>
        <w:rPr>
          <w:rFonts w:asciiTheme="minorHAnsi" w:hAnsiTheme="minorHAnsi" w:cstheme="minorHAnsi"/>
          <w:b/>
          <w:bCs/>
          <w:color w:val="000000"/>
          <w:sz w:val="22"/>
          <w:szCs w:val="22"/>
          <w:lang w:eastAsia="en-US"/>
        </w:rPr>
        <w:t>Nota 2: </w:t>
      </w:r>
      <w:r>
        <w:rPr>
          <w:rFonts w:asciiTheme="minorHAnsi" w:hAnsiTheme="minorHAnsi" w:cstheme="minorHAnsi"/>
          <w:color w:val="000000"/>
          <w:sz w:val="22"/>
          <w:szCs w:val="22"/>
          <w:lang w:eastAsia="en-US"/>
        </w:rPr>
        <w:t>Observar a previsão dos benefícios contidos em Acordos, Convenções e Dissídios Coletivos de Trabalho e atentar-se ao disposto no art. 6º da IN 5/2017.</w:t>
      </w:r>
    </w:p>
    <w:p>
      <w:pPr>
        <w:jc w:val="both"/>
        <w:rPr>
          <w:rFonts w:asciiTheme="minorHAnsi" w:hAnsiTheme="minorHAnsi" w:cstheme="minorHAnsi"/>
          <w:sz w:val="22"/>
          <w:szCs w:val="22"/>
          <w:u w:val="single"/>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A) Transporte</w:t>
      </w:r>
    </w:p>
    <w:p>
      <w:pPr>
        <w:spacing w:line="276" w:lineRule="auto"/>
        <w:rPr>
          <w:rFonts w:asciiTheme="minorHAnsi" w:hAnsiTheme="minorHAnsi" w:cstheme="minorHAnsi"/>
          <w:iCs/>
          <w:sz w:val="22"/>
          <w:szCs w:val="22"/>
        </w:rPr>
      </w:pPr>
      <w:r>
        <w:rPr>
          <w:rFonts w:asciiTheme="minorHAnsi" w:hAnsiTheme="minorHAnsi" w:cstheme="minorHAnsi"/>
          <w:sz w:val="22"/>
          <w:szCs w:val="22"/>
        </w:rPr>
        <w:t xml:space="preserve">a.1. Para fins de estimativa, foi considerado o valor referente ao preço da passagem de ônibus em Niterói, considerando duas passagens de ida e duas passagens de volta, com o desconto de 6% do empregado, calculado com base em </w:t>
      </w:r>
      <w:r>
        <w:rPr>
          <w:rFonts w:asciiTheme="minorHAnsi" w:hAnsiTheme="minorHAnsi" w:cstheme="minorHAnsi"/>
          <w:b/>
          <w:iCs/>
          <w:sz w:val="22"/>
          <w:szCs w:val="22"/>
        </w:rPr>
        <w:t>25,11</w:t>
      </w:r>
      <w:r>
        <w:rPr>
          <w:rFonts w:asciiTheme="minorHAnsi" w:hAnsiTheme="minorHAnsi" w:cstheme="minorHAnsi"/>
          <w:iCs/>
          <w:sz w:val="22"/>
          <w:szCs w:val="22"/>
        </w:rPr>
        <w:t xml:space="preserve"> </w:t>
      </w:r>
      <w:r>
        <w:rPr>
          <w:rFonts w:asciiTheme="minorHAnsi" w:hAnsiTheme="minorHAnsi" w:cstheme="minorHAnsi"/>
          <w:b/>
          <w:sz w:val="22"/>
          <w:szCs w:val="22"/>
        </w:rPr>
        <w:t>dias úteis</w:t>
      </w:r>
      <w:r>
        <w:rPr>
          <w:rFonts w:asciiTheme="minorHAnsi" w:hAnsiTheme="minorHAnsi" w:cstheme="minorHAnsi"/>
          <w:sz w:val="22"/>
          <w:szCs w:val="22"/>
        </w:rPr>
        <w:t xml:space="preserve">, como </w:t>
      </w:r>
      <w:r>
        <w:rPr>
          <w:rFonts w:asciiTheme="minorHAnsi" w:hAnsiTheme="minorHAnsi" w:cstheme="minorHAnsi"/>
          <w:iCs/>
          <w:sz w:val="22"/>
          <w:szCs w:val="22"/>
        </w:rPr>
        <w:t xml:space="preserve">demonstrado, para </w:t>
      </w:r>
      <w:r>
        <w:rPr>
          <w:rFonts w:asciiTheme="minorHAnsi" w:hAnsiTheme="minorHAnsi" w:cstheme="minorHAnsi"/>
          <w:b/>
          <w:iCs/>
          <w:sz w:val="22"/>
          <w:szCs w:val="22"/>
        </w:rPr>
        <w:t>jornada de 44 horas</w:t>
      </w:r>
      <w:r>
        <w:rPr>
          <w:rFonts w:asciiTheme="minorHAnsi" w:hAnsiTheme="minorHAnsi" w:cstheme="minorHAnsi"/>
          <w:iCs/>
          <w:sz w:val="22"/>
          <w:szCs w:val="22"/>
        </w:rPr>
        <w:t>:</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sz w:val="22"/>
          <w:szCs w:val="22"/>
        </w:rPr>
        <w:t xml:space="preserve">Fórmula 44h = </w:t>
      </w:r>
      <w:r>
        <w:rPr>
          <w:rFonts w:asciiTheme="minorHAnsi" w:hAnsiTheme="minorHAnsi" w:cstheme="minorHAnsi"/>
          <w:b/>
          <w:sz w:val="22"/>
          <w:szCs w:val="22"/>
        </w:rPr>
        <w:t>valor do transporte x nº de passagens por dia x nº de dias trabalhados – (6% x valor salário base)</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                                              R$ 5,80 x 2 x </w:t>
      </w:r>
      <w:r>
        <w:rPr>
          <w:rFonts w:asciiTheme="minorHAnsi" w:hAnsiTheme="minorHAnsi" w:cstheme="minorHAnsi"/>
          <w:b/>
          <w:iCs/>
          <w:sz w:val="22"/>
          <w:szCs w:val="22"/>
        </w:rPr>
        <w:t>25,11</w:t>
      </w:r>
      <w:r>
        <w:rPr>
          <w:rFonts w:asciiTheme="minorHAnsi" w:hAnsiTheme="minorHAnsi" w:cstheme="minorHAnsi"/>
          <w:iCs/>
          <w:sz w:val="22"/>
          <w:szCs w:val="22"/>
        </w:rPr>
        <w:t xml:space="preserve"> </w:t>
      </w:r>
      <w:r>
        <w:rPr>
          <w:rFonts w:asciiTheme="minorHAnsi" w:hAnsiTheme="minorHAnsi" w:cstheme="minorHAnsi"/>
          <w:sz w:val="22"/>
          <w:szCs w:val="22"/>
        </w:rPr>
        <w:t>– (6% x valor salário base)</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iCs/>
          <w:sz w:val="22"/>
          <w:szCs w:val="22"/>
        </w:rPr>
      </w:pP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color w:val="FF0000"/>
          <w:sz w:val="22"/>
          <w:szCs w:val="22"/>
        </w:rPr>
        <w:t xml:space="preserve">                                          </w:t>
      </w: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 xml:space="preserve">B) Auxílio-alimentação </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u w:val="single"/>
          <w:lang w:val="pt-PT"/>
        </w:rPr>
      </w:pPr>
      <w:r>
        <w:rPr>
          <w:rFonts w:asciiTheme="minorHAnsi" w:hAnsiTheme="minorHAnsi" w:cstheme="minorHAnsi"/>
          <w:b/>
          <w:sz w:val="22"/>
          <w:szCs w:val="22"/>
          <w:u w:val="single"/>
          <w:lang w:val="pt-PT"/>
        </w:rPr>
        <w:t>Asseio</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44h - Valor referente ao determinado em CCT, cláusula 15ª, R$19,82 (dezenove reais e oitenta e dois centavos) x nº de dias trabalhados (MMDT), descontado 10% do valor do total do benefício.</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=((R$19,82*20,88)-(19,82*20,88*10%))</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C) Seguro de Vida</w:t>
      </w:r>
    </w:p>
    <w:p>
      <w:pPr>
        <w:jc w:val="both"/>
        <w:rPr>
          <w:rFonts w:asciiTheme="minorHAnsi" w:hAnsiTheme="minorHAnsi" w:cstheme="minorHAnsi"/>
          <w:sz w:val="22"/>
          <w:szCs w:val="22"/>
        </w:rPr>
      </w:pPr>
      <w:r>
        <w:rPr>
          <w:rFonts w:asciiTheme="minorHAnsi" w:hAnsiTheme="minorHAnsi" w:cstheme="minorHAnsi"/>
          <w:sz w:val="22"/>
          <w:szCs w:val="22"/>
        </w:rPr>
        <w:t>Para a CCT de Asseio, cláusula 17ª no valor de R$ 6,00 (seis reais) da licitante. (descontado o valor R$ 6,00 paga pelo empregado).</w:t>
      </w:r>
    </w:p>
    <w:p>
      <w:pPr>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D) Outros</w:t>
      </w:r>
    </w:p>
    <w:p>
      <w:pPr>
        <w:jc w:val="both"/>
        <w:rPr>
          <w:rFonts w:asciiTheme="minorHAnsi" w:hAnsiTheme="minorHAnsi" w:cstheme="minorHAnsi"/>
          <w:sz w:val="22"/>
          <w:szCs w:val="22"/>
        </w:rPr>
      </w:pPr>
      <w:r>
        <w:rPr>
          <w:rFonts w:asciiTheme="minorHAnsi" w:hAnsiTheme="minorHAnsi" w:cstheme="minorHAnsi"/>
          <w:sz w:val="22"/>
          <w:szCs w:val="22"/>
        </w:rPr>
        <w:t>Plano de Assistência Pessoal – Cláusula 48ª da CCT  no valor de R$19,90 (dezenove reais e noventa centavos pagos por empregado.</w:t>
      </w:r>
    </w:p>
    <w:p>
      <w:pPr>
        <w:jc w:val="both"/>
        <w:rPr>
          <w:rFonts w:asciiTheme="minorHAnsi" w:hAnsiTheme="minorHAnsi" w:cstheme="minorHAnsi"/>
          <w:sz w:val="22"/>
          <w:szCs w:val="22"/>
        </w:rPr>
      </w:pPr>
    </w:p>
    <w:p>
      <w:pPr>
        <w:jc w:val="both"/>
        <w:rPr>
          <w:rFonts w:asciiTheme="minorHAnsi" w:hAnsiTheme="minorHAnsi" w:cstheme="minorHAnsi"/>
          <w:b/>
          <w:sz w:val="22"/>
          <w:szCs w:val="22"/>
          <w:u w:val="single"/>
        </w:rPr>
      </w:pPr>
      <w:r>
        <w:rPr>
          <w:rFonts w:asciiTheme="minorHAnsi" w:hAnsiTheme="minorHAnsi" w:cstheme="minorHAnsi"/>
          <w:b/>
          <w:sz w:val="22"/>
          <w:szCs w:val="22"/>
          <w:u w:val="single"/>
        </w:rPr>
        <w:t>Módulo 3 – Provisão para Rescisão</w:t>
      </w:r>
    </w:p>
    <w:p>
      <w:pPr>
        <w:jc w:val="both"/>
        <w:rPr>
          <w:rFonts w:asciiTheme="minorHAnsi" w:hAnsiTheme="minorHAnsi" w:cstheme="minorHAnsi"/>
          <w:sz w:val="22"/>
          <w:szCs w:val="22"/>
          <w:u w:val="single"/>
          <w:lang w:val="pt-PT"/>
        </w:rPr>
      </w:pPr>
    </w:p>
    <w:tbl>
      <w:tblPr>
        <w:tblStyle w:val="7"/>
        <w:tblW w:w="7938" w:type="dxa"/>
        <w:jc w:val="center"/>
        <w:tblLayout w:type="autofit"/>
        <w:tblCellMar>
          <w:top w:w="0" w:type="dxa"/>
          <w:left w:w="70" w:type="dxa"/>
          <w:bottom w:w="0" w:type="dxa"/>
          <w:right w:w="70" w:type="dxa"/>
        </w:tblCellMar>
      </w:tblPr>
      <w:tblGrid>
        <w:gridCol w:w="850"/>
        <w:gridCol w:w="2125"/>
        <w:gridCol w:w="3119"/>
        <w:gridCol w:w="1844"/>
      </w:tblGrid>
      <w:tr>
        <w:tblPrEx>
          <w:tblCellMar>
            <w:top w:w="0" w:type="dxa"/>
            <w:left w:w="70" w:type="dxa"/>
            <w:bottom w:w="0" w:type="dxa"/>
            <w:right w:w="70" w:type="dxa"/>
          </w:tblCellMar>
        </w:tblPrEx>
        <w:trPr>
          <w:trHeight w:val="51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3</w:t>
            </w:r>
          </w:p>
        </w:tc>
        <w:tc>
          <w:tcPr>
            <w:tcW w:w="2125"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PROVISÃO PARA RESCISÃO</w:t>
            </w:r>
          </w:p>
        </w:tc>
        <w:tc>
          <w:tcPr>
            <w:tcW w:w="3119"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MEMÓRIA DE CÁLCULO </w:t>
            </w:r>
          </w:p>
        </w:tc>
        <w:tc>
          <w:tcPr>
            <w:tcW w:w="1843"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FUNDAMENTO</w:t>
            </w:r>
          </w:p>
        </w:tc>
      </w:tr>
      <w:tr>
        <w:tblPrEx>
          <w:tblCellMar>
            <w:top w:w="0" w:type="dxa"/>
            <w:left w:w="70" w:type="dxa"/>
            <w:bottom w:w="0" w:type="dxa"/>
            <w:right w:w="70" w:type="dxa"/>
          </w:tblCellMar>
        </w:tblPrEx>
        <w:trPr>
          <w:trHeight w:val="534"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Aviso prévio indenizado</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[(Remuneração + 13º + Férias + 1/3 constitucional) / meses do ano] x indicador de rotatividade de dispensa sem justa causa =</w:t>
            </w:r>
            <w:r>
              <w:rPr>
                <w:rFonts w:asciiTheme="minorHAnsi" w:hAnsiTheme="minorHAnsi" w:cstheme="minorHAnsi"/>
                <w:b/>
                <w:color w:val="FF0000"/>
                <w:sz w:val="22"/>
                <w:szCs w:val="22"/>
              </w:rPr>
              <w:t xml:space="preserve"> 5%</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val="en-US" w:eastAsia="en-US"/>
              </w:rPr>
            </w:pPr>
            <w:r>
              <w:rPr>
                <w:rFonts w:asciiTheme="minorHAnsi" w:hAnsiTheme="minorHAnsi" w:eastAsiaTheme="minorHAnsi" w:cstheme="minorHAnsi"/>
                <w:sz w:val="22"/>
                <w:szCs w:val="22"/>
                <w:lang w:val="en-US" w:eastAsia="en-US"/>
              </w:rPr>
              <w:t>Art. 7º, XXI, CF/88,</w:t>
            </w:r>
          </w:p>
          <w:p>
            <w:pPr>
              <w:rPr>
                <w:rFonts w:asciiTheme="minorHAnsi" w:hAnsiTheme="minorHAnsi" w:cstheme="minorHAnsi"/>
                <w:sz w:val="22"/>
                <w:szCs w:val="22"/>
                <w:lang w:val="en-US"/>
              </w:rPr>
            </w:pPr>
            <w:r>
              <w:rPr>
                <w:rFonts w:asciiTheme="minorHAnsi" w:hAnsiTheme="minorHAnsi" w:eastAsiaTheme="minorHAnsi" w:cstheme="minorHAnsi"/>
                <w:sz w:val="22"/>
                <w:szCs w:val="22"/>
                <w:lang w:val="en-US" w:eastAsia="en-US"/>
              </w:rPr>
              <w:t>477, 487 e 491 CLT</w:t>
            </w:r>
          </w:p>
        </w:tc>
      </w:tr>
      <w:tr>
        <w:tblPrEx>
          <w:tblCellMar>
            <w:top w:w="0" w:type="dxa"/>
            <w:left w:w="70" w:type="dxa"/>
            <w:bottom w:w="0" w:type="dxa"/>
            <w:right w:w="70" w:type="dxa"/>
          </w:tblCellMar>
        </w:tblPrEx>
        <w:trPr>
          <w:trHeight w:val="556"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B</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eastAsiaTheme="minorHAnsi" w:cstheme="minorHAnsi"/>
                <w:sz w:val="22"/>
                <w:szCs w:val="22"/>
                <w:lang w:eastAsia="en-US"/>
              </w:rPr>
              <w:t>Incidência do FGTS sobre o Aviso prévio indenizado.</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[(Remuneração + 13º) / 12)] x 5% x 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Súmula nº 305 do TST</w:t>
            </w:r>
          </w:p>
        </w:tc>
      </w:tr>
      <w:tr>
        <w:tblPrEx>
          <w:tblCellMar>
            <w:top w:w="0" w:type="dxa"/>
            <w:left w:w="70" w:type="dxa"/>
            <w:bottom w:w="0" w:type="dxa"/>
            <w:right w:w="70" w:type="dxa"/>
          </w:tblCellMar>
        </w:tblPrEx>
        <w:trPr>
          <w:trHeight w:val="55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C</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Multa do FGTS e Contribuição Social sobre Aviso Prévio Indenizado - 5%</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Leis n.ºs 8.036/90 e</w:t>
            </w:r>
          </w:p>
          <w:p>
            <w:pPr>
              <w:rPr>
                <w:rFonts w:asciiTheme="minorHAnsi" w:hAnsiTheme="minorHAnsi" w:cstheme="minorHAnsi"/>
                <w:sz w:val="22"/>
                <w:szCs w:val="22"/>
              </w:rPr>
            </w:pPr>
            <w:r>
              <w:rPr>
                <w:rFonts w:asciiTheme="minorHAnsi" w:hAnsiTheme="minorHAnsi" w:eastAsiaTheme="minorHAnsi" w:cstheme="minorHAnsi"/>
                <w:sz w:val="22"/>
                <w:szCs w:val="22"/>
                <w:lang w:eastAsia="en-US"/>
              </w:rPr>
              <w:t>9.491/97</w:t>
            </w:r>
          </w:p>
        </w:tc>
      </w:tr>
      <w:tr>
        <w:tblPrEx>
          <w:tblCellMar>
            <w:top w:w="0" w:type="dxa"/>
            <w:left w:w="70" w:type="dxa"/>
            <w:bottom w:w="0" w:type="dxa"/>
            <w:right w:w="70" w:type="dxa"/>
          </w:tblCellMar>
        </w:tblPrEx>
        <w:trPr>
          <w:trHeight w:val="416"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D</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Aviso Prévio Trabalhado</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[(Remuneração + benefícios mensais e diários não dedutíveis, ex. beneficio social familiar) / dias do mês) / meses do ano] x 7 dias de redução da jornada.</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val="en-US" w:eastAsia="en-US"/>
              </w:rPr>
            </w:pPr>
            <w:r>
              <w:rPr>
                <w:rFonts w:asciiTheme="minorHAnsi" w:hAnsiTheme="minorHAnsi" w:eastAsiaTheme="minorHAnsi" w:cstheme="minorHAnsi"/>
                <w:sz w:val="22"/>
                <w:szCs w:val="22"/>
                <w:lang w:val="en-US" w:eastAsia="en-US"/>
              </w:rPr>
              <w:t>Art. 7º, XXI, CF/88,</w:t>
            </w:r>
          </w:p>
          <w:p>
            <w:pPr>
              <w:rPr>
                <w:rFonts w:asciiTheme="minorHAnsi" w:hAnsiTheme="minorHAnsi" w:cstheme="minorHAnsi"/>
                <w:sz w:val="22"/>
                <w:szCs w:val="22"/>
                <w:lang w:val="en-US"/>
              </w:rPr>
            </w:pPr>
            <w:r>
              <w:rPr>
                <w:rFonts w:asciiTheme="minorHAnsi" w:hAnsiTheme="minorHAnsi" w:eastAsiaTheme="minorHAnsi" w:cstheme="minorHAnsi"/>
                <w:sz w:val="22"/>
                <w:szCs w:val="22"/>
                <w:lang w:val="en-US" w:eastAsia="en-US"/>
              </w:rPr>
              <w:t>477, 487 e 491 CLT.</w:t>
            </w:r>
          </w:p>
        </w:tc>
      </w:tr>
      <w:tr>
        <w:tblPrEx>
          <w:tblCellMar>
            <w:top w:w="0" w:type="dxa"/>
            <w:left w:w="70" w:type="dxa"/>
            <w:bottom w:w="0" w:type="dxa"/>
            <w:right w:w="70" w:type="dxa"/>
          </w:tblCellMar>
        </w:tblPrEx>
        <w:trPr>
          <w:trHeight w:val="56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E</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Incidência dos encargos do Submódulo 2.2 sobre Aviso Prévio Trabalhado.</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[(Remuneração / dias do mês) / meses do ano] x 7 dias de redução da jornada x 8%</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w:t>
            </w:r>
          </w:p>
        </w:tc>
      </w:tr>
      <w:tr>
        <w:tblPrEx>
          <w:tblCellMar>
            <w:top w:w="0" w:type="dxa"/>
            <w:left w:w="70" w:type="dxa"/>
            <w:bottom w:w="0" w:type="dxa"/>
            <w:right w:w="70" w:type="dxa"/>
          </w:tblCellMar>
        </w:tblPrEx>
        <w:trPr>
          <w:trHeight w:val="55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F</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Multa FGTS e Contribuição Social sobre o Aviso Prévio Trabalhado – 100%</w:t>
            </w:r>
          </w:p>
        </w:tc>
        <w:tc>
          <w:tcPr>
            <w:tcW w:w="3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rPr>
              <w:t>Consideramos a tabela de percentual da Conta Vinculada, Anexo XII, devido a ser proposto percentual único para a multa. Independente da quantidade de API e APT e da rotatividade do contrato, a multa, por ser linear, será calculada considerando 100% dos empregados.</w:t>
            </w:r>
          </w:p>
          <w:p>
            <w:pPr>
              <w:rPr>
                <w:rFonts w:asciiTheme="minorHAnsi" w:hAnsiTheme="minorHAnsi" w:cstheme="minorHAnsi"/>
                <w:sz w:val="22"/>
                <w:szCs w:val="22"/>
              </w:rPr>
            </w:pPr>
          </w:p>
          <w:p>
            <w:pPr>
              <w:rPr>
                <w:rFonts w:asciiTheme="minorHAnsi" w:hAnsiTheme="minorHAnsi" w:cstheme="minorHAnsi"/>
                <w:sz w:val="22"/>
                <w:szCs w:val="22"/>
              </w:rPr>
            </w:pPr>
            <w:r>
              <w:rPr>
                <w:rFonts w:asciiTheme="minorHAnsi" w:hAnsiTheme="minorHAnsi" w:cstheme="minorHAnsi"/>
                <w:sz w:val="22"/>
                <w:szCs w:val="22"/>
              </w:rPr>
              <w:t xml:space="preserve">Remuneração x </w:t>
            </w:r>
            <w:r>
              <w:rPr>
                <w:rFonts w:asciiTheme="minorHAnsi" w:hAnsiTheme="minorHAnsi" w:cstheme="minorHAnsi"/>
                <w:b/>
                <w:color w:val="FF0000"/>
                <w:sz w:val="22"/>
                <w:szCs w:val="22"/>
              </w:rPr>
              <w:t xml:space="preserve">4% </w:t>
            </w:r>
            <w:r>
              <w:rPr>
                <w:rFonts w:asciiTheme="minorHAnsi" w:hAnsiTheme="minorHAnsi" w:cstheme="minorHAnsi"/>
                <w:b/>
                <w:sz w:val="22"/>
                <w:szCs w:val="22"/>
              </w:rPr>
              <w:t>(Anexo XII, IN 05/2017)</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val="en-US" w:eastAsia="en-US"/>
              </w:rPr>
            </w:pPr>
            <w:r>
              <w:rPr>
                <w:rFonts w:asciiTheme="minorHAnsi" w:hAnsiTheme="minorHAnsi" w:eastAsiaTheme="minorHAnsi" w:cstheme="minorHAnsi"/>
                <w:sz w:val="22"/>
                <w:szCs w:val="22"/>
                <w:lang w:val="en-US" w:eastAsia="en-US"/>
              </w:rPr>
              <w:t>Art. 7º, XXI, CF/88,</w:t>
            </w:r>
          </w:p>
          <w:p>
            <w:pPr>
              <w:rPr>
                <w:rFonts w:asciiTheme="minorHAnsi" w:hAnsiTheme="minorHAnsi" w:cstheme="minorHAnsi"/>
                <w:sz w:val="22"/>
                <w:szCs w:val="22"/>
                <w:lang w:val="en-US"/>
              </w:rPr>
            </w:pPr>
            <w:r>
              <w:rPr>
                <w:rFonts w:asciiTheme="minorHAnsi" w:hAnsiTheme="minorHAnsi" w:eastAsiaTheme="minorHAnsi" w:cstheme="minorHAnsi"/>
                <w:sz w:val="22"/>
                <w:szCs w:val="22"/>
                <w:lang w:val="en-US" w:eastAsia="en-US"/>
              </w:rPr>
              <w:t>477, 487 e 491 CLT.</w:t>
            </w:r>
          </w:p>
        </w:tc>
      </w:tr>
      <w:tr>
        <w:tblPrEx>
          <w:tblCellMar>
            <w:top w:w="0" w:type="dxa"/>
            <w:left w:w="70" w:type="dxa"/>
            <w:bottom w:w="0" w:type="dxa"/>
            <w:right w:w="70" w:type="dxa"/>
          </w:tblCellMar>
        </w:tblPrEx>
        <w:trPr>
          <w:trHeight w:val="411" w:hRule="atLeast"/>
          <w:jc w:val="center"/>
        </w:trPr>
        <w:tc>
          <w:tcPr>
            <w:tcW w:w="850" w:type="dxa"/>
            <w:tcBorders>
              <w:top w:val="single" w:color="000000" w:sz="4" w:space="0"/>
              <w:left w:val="single" w:color="000000" w:sz="4" w:space="0"/>
              <w:bottom w:val="single" w:color="000000" w:sz="4" w:space="0"/>
            </w:tcBorders>
            <w:shd w:val="clear" w:color="auto" w:fill="EAF1DD" w:themeFill="accent3" w:themeFillTint="33"/>
            <w:vAlign w:val="center"/>
          </w:tcPr>
          <w:p>
            <w:pPr>
              <w:jc w:val="center"/>
              <w:rPr>
                <w:rFonts w:asciiTheme="minorHAnsi" w:hAnsiTheme="minorHAnsi" w:cstheme="minorHAnsi"/>
                <w:sz w:val="22"/>
                <w:szCs w:val="22"/>
                <w:lang w:val="en-US"/>
              </w:rPr>
            </w:pPr>
          </w:p>
        </w:tc>
        <w:tc>
          <w:tcPr>
            <w:tcW w:w="2125" w:type="dxa"/>
            <w:tcBorders>
              <w:top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r>
              <w:rPr>
                <w:rFonts w:asciiTheme="minorHAnsi" w:hAnsiTheme="minorHAnsi" w:cstheme="minorHAnsi"/>
                <w:sz w:val="22"/>
                <w:szCs w:val="22"/>
              </w:rPr>
              <w:t>Total</w:t>
            </w:r>
          </w:p>
        </w:tc>
        <w:tc>
          <w:tcPr>
            <w:tcW w:w="3119"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eastAsiaTheme="minorHAnsi" w:cstheme="minorHAnsi"/>
                <w:sz w:val="22"/>
                <w:szCs w:val="22"/>
                <w:lang w:eastAsia="en-US"/>
              </w:rPr>
            </w:pPr>
          </w:p>
        </w:tc>
        <w:tc>
          <w:tcPr>
            <w:tcW w:w="1843"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eastAsiaTheme="minorHAnsi" w:cstheme="minorHAnsi"/>
                <w:sz w:val="22"/>
                <w:szCs w:val="22"/>
                <w:lang w:eastAsia="en-US"/>
              </w:rPr>
            </w:pPr>
          </w:p>
        </w:tc>
      </w:tr>
    </w:tbl>
    <w:p>
      <w:pPr>
        <w:ind w:left="426"/>
        <w:jc w:val="both"/>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OBSERVAÇÕES: Nota Técnica nº 652/2017 - MP</w:t>
      </w:r>
    </w:p>
    <w:p>
      <w:pPr>
        <w:ind w:left="426"/>
        <w:jc w:val="both"/>
        <w:rPr>
          <w:rFonts w:asciiTheme="minorHAnsi" w:hAnsiTheme="minorHAnsi" w:eastAsiaTheme="minorHAnsi" w:cstheme="minorHAnsi"/>
          <w:sz w:val="22"/>
          <w:szCs w:val="22"/>
          <w:lang w:eastAsia="en-US"/>
        </w:rPr>
      </w:pPr>
    </w:p>
    <w:p>
      <w:pPr>
        <w:ind w:left="426"/>
        <w:jc w:val="both"/>
        <w:rPr>
          <w:rFonts w:asciiTheme="minorHAnsi" w:hAnsiTheme="minorHAnsi" w:eastAsiaTheme="minorHAnsi" w:cstheme="minorHAnsi"/>
          <w:sz w:val="22"/>
          <w:szCs w:val="22"/>
          <w:lang w:eastAsia="en-US"/>
        </w:rPr>
      </w:pPr>
    </w:p>
    <w:p>
      <w:pPr>
        <w:jc w:val="both"/>
        <w:rPr>
          <w:rFonts w:asciiTheme="minorHAnsi" w:hAnsiTheme="minorHAnsi" w:cstheme="minorHAnsi"/>
          <w:b/>
          <w:color w:val="FF0000"/>
          <w:sz w:val="22"/>
          <w:szCs w:val="22"/>
          <w:u w:val="single"/>
        </w:rPr>
      </w:pPr>
      <w:r>
        <w:rPr>
          <w:rFonts w:asciiTheme="minorHAnsi" w:hAnsiTheme="minorHAnsi" w:cstheme="minorHAnsi"/>
          <w:b/>
          <w:sz w:val="22"/>
          <w:szCs w:val="22"/>
          <w:u w:val="single"/>
        </w:rPr>
        <w:t xml:space="preserve">Módulo 4 – Custo de Reposição de Profissional Ausente </w:t>
      </w:r>
    </w:p>
    <w:p>
      <w:pPr>
        <w:rPr>
          <w:rFonts w:asciiTheme="minorHAnsi" w:hAnsiTheme="minorHAnsi" w:cstheme="minorHAnsi"/>
          <w:sz w:val="22"/>
          <w:szCs w:val="22"/>
        </w:rPr>
      </w:pPr>
    </w:p>
    <w:p>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4.1 – Ausências Legais</w:t>
      </w:r>
    </w:p>
    <w:p>
      <w:pPr>
        <w:rPr>
          <w:rFonts w:asciiTheme="minorHAnsi" w:hAnsiTheme="minorHAnsi" w:cstheme="minorHAnsi"/>
          <w:sz w:val="22"/>
          <w:szCs w:val="22"/>
          <w:lang w:val="pt-PT"/>
        </w:rPr>
      </w:pPr>
    </w:p>
    <w:tbl>
      <w:tblPr>
        <w:tblStyle w:val="7"/>
        <w:tblW w:w="10338" w:type="dxa"/>
        <w:jc w:val="center"/>
        <w:tblLayout w:type="autofit"/>
        <w:tblCellMar>
          <w:top w:w="0" w:type="dxa"/>
          <w:left w:w="70" w:type="dxa"/>
          <w:bottom w:w="0" w:type="dxa"/>
          <w:right w:w="70" w:type="dxa"/>
        </w:tblCellMar>
      </w:tblPr>
      <w:tblGrid>
        <w:gridCol w:w="524"/>
        <w:gridCol w:w="1906"/>
        <w:gridCol w:w="3065"/>
        <w:gridCol w:w="4843"/>
      </w:tblGrid>
      <w:tr>
        <w:tblPrEx>
          <w:tblCellMar>
            <w:top w:w="0" w:type="dxa"/>
            <w:left w:w="70" w:type="dxa"/>
            <w:bottom w:w="0" w:type="dxa"/>
            <w:right w:w="70" w:type="dxa"/>
          </w:tblCellMar>
        </w:tblPrEx>
        <w:trPr>
          <w:trHeight w:val="510" w:hRule="atLeast"/>
          <w:tblHeader/>
          <w:jc w:val="center"/>
        </w:trPr>
        <w:tc>
          <w:tcPr>
            <w:tcW w:w="561"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4.1</w:t>
            </w:r>
          </w:p>
        </w:tc>
        <w:tc>
          <w:tcPr>
            <w:tcW w:w="2125"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Ausências Legais</w:t>
            </w:r>
          </w:p>
        </w:tc>
        <w:tc>
          <w:tcPr>
            <w:tcW w:w="3783"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 xml:space="preserve">MEMÓRIA DE CÁLCULO </w:t>
            </w:r>
          </w:p>
        </w:tc>
        <w:tc>
          <w:tcPr>
            <w:tcW w:w="3868"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FUNDAMENTO</w:t>
            </w:r>
          </w:p>
        </w:tc>
      </w:tr>
      <w:tr>
        <w:tblPrEx>
          <w:tblCellMar>
            <w:top w:w="0" w:type="dxa"/>
            <w:left w:w="70" w:type="dxa"/>
            <w:bottom w:w="0" w:type="dxa"/>
            <w:right w:w="70" w:type="dxa"/>
          </w:tblCellMar>
        </w:tblPrEx>
        <w:trPr>
          <w:trHeight w:val="461"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shd w:val="clear" w:color="auto" w:fill="FFFFFF"/>
              </w:rPr>
              <w:t>Substituto na cobertura de Férias</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Esse custo será zerado no primeiro ano.</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asciiTheme="minorHAnsi" w:hAnsiTheme="minorHAnsi" w:cstheme="minorHAnsi"/>
                <w:sz w:val="22"/>
                <w:szCs w:val="22"/>
              </w:rPr>
            </w:pPr>
            <w:r>
              <w:rPr>
                <w:rFonts w:asciiTheme="minorHAnsi" w:hAnsiTheme="minorHAnsi" w:cstheme="minorHAnsi"/>
                <w:sz w:val="22"/>
                <w:szCs w:val="22"/>
              </w:rPr>
              <w:t>-</w:t>
            </w:r>
          </w:p>
          <w:p>
            <w:pPr>
              <w:jc w:val="both"/>
              <w:rPr>
                <w:rFonts w:asciiTheme="minorHAnsi" w:hAnsiTheme="minorHAnsi" w:cstheme="minorHAnsi"/>
                <w:sz w:val="22"/>
                <w:szCs w:val="22"/>
              </w:rPr>
            </w:pPr>
          </w:p>
        </w:tc>
      </w:tr>
      <w:tr>
        <w:tblPrEx>
          <w:tblCellMar>
            <w:top w:w="0" w:type="dxa"/>
            <w:left w:w="70" w:type="dxa"/>
            <w:bottom w:w="0" w:type="dxa"/>
            <w:right w:w="70" w:type="dxa"/>
          </w:tblCellMar>
        </w:tblPrEx>
        <w:trPr>
          <w:trHeight w:val="422"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B</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shd w:val="clear" w:color="auto" w:fill="FFFFFF"/>
              </w:rPr>
              <w:t>Substituto na cobertura de Ausências Legais</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AL= nDR(AL) x CDR / 12</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Art. 473 da CLT / Acórdão TCU 1.753/2008:  Calculado segundo estimativa do MPOG (manual de preenchimento, pg 54).</w:t>
            </w:r>
          </w:p>
          <w:p>
            <w:pPr>
              <w:rPr>
                <w:rFonts w:asciiTheme="minorHAnsi" w:hAnsiTheme="minorHAnsi" w:cstheme="minorHAnsi"/>
                <w:sz w:val="22"/>
                <w:szCs w:val="22"/>
              </w:rPr>
            </w:pPr>
            <w:r>
              <w:rPr>
                <w:rFonts w:asciiTheme="minorHAnsi" w:hAnsiTheme="minorHAnsi" w:cstheme="minorHAnsi"/>
                <w:b/>
                <w:sz w:val="22"/>
                <w:szCs w:val="22"/>
              </w:rPr>
              <w:t>nDR(AL)</w:t>
            </w:r>
            <w:r>
              <w:rPr>
                <w:rFonts w:asciiTheme="minorHAnsi" w:hAnsiTheme="minorHAnsi" w:cstheme="minorHAnsi"/>
                <w:sz w:val="22"/>
                <w:szCs w:val="22"/>
              </w:rPr>
              <w:t xml:space="preserve"> - nº médio anual de dias de ausencias legais por ano = </w:t>
            </w:r>
            <w:r>
              <w:rPr>
                <w:rFonts w:asciiTheme="minorHAnsi" w:hAnsiTheme="minorHAnsi" w:cstheme="minorHAnsi"/>
                <w:b/>
                <w:sz w:val="22"/>
                <w:szCs w:val="22"/>
              </w:rPr>
              <w:t>2,96</w:t>
            </w:r>
          </w:p>
        </w:tc>
      </w:tr>
      <w:tr>
        <w:tblPrEx>
          <w:tblCellMar>
            <w:top w:w="0" w:type="dxa"/>
            <w:left w:w="70" w:type="dxa"/>
            <w:bottom w:w="0" w:type="dxa"/>
            <w:right w:w="70" w:type="dxa"/>
          </w:tblCellMar>
        </w:tblPrEx>
        <w:trPr>
          <w:trHeight w:val="542"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C</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shd w:val="clear" w:color="auto" w:fill="FFFFFF"/>
              </w:rPr>
              <w:t>Substituto na cobertura de Licença-Paternidade</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lang w:val="en-US"/>
              </w:rPr>
            </w:pPr>
            <w:r>
              <w:rPr>
                <w:rFonts w:asciiTheme="minorHAnsi" w:hAnsiTheme="minorHAnsi" w:cstheme="minorHAnsi"/>
                <w:sz w:val="22"/>
                <w:szCs w:val="22"/>
                <w:lang w:val="en-US"/>
              </w:rPr>
              <w:t>LP= nDR(LP) x % LP x CDR/12</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Art. 7º, XIX, CF/88 e</w:t>
            </w:r>
          </w:p>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10, § 1º, da CLT.</w:t>
            </w:r>
          </w:p>
          <w:p>
            <w:pPr>
              <w:rPr>
                <w:rFonts w:asciiTheme="minorHAnsi" w:hAnsiTheme="minorHAnsi" w:cstheme="minorHAnsi"/>
                <w:sz w:val="22"/>
                <w:szCs w:val="22"/>
              </w:rPr>
            </w:pPr>
            <w:r>
              <w:rPr>
                <w:rFonts w:asciiTheme="minorHAnsi" w:hAnsiTheme="minorHAnsi" w:cstheme="minorHAnsi"/>
                <w:sz w:val="22"/>
                <w:szCs w:val="22"/>
              </w:rPr>
              <w:t xml:space="preserve">Manual de Preenchimento de Planilhas do MPOG 2011 (pg 27): </w:t>
            </w:r>
            <w:r>
              <w:rPr>
                <w:rFonts w:asciiTheme="minorHAnsi" w:hAnsiTheme="minorHAnsi" w:cstheme="minorHAnsi"/>
                <w:b/>
                <w:sz w:val="22"/>
                <w:szCs w:val="22"/>
              </w:rPr>
              <w:t>1,5%</w:t>
            </w:r>
            <w:r>
              <w:rPr>
                <w:rFonts w:asciiTheme="minorHAnsi" w:hAnsiTheme="minorHAnsi" w:cstheme="minorHAnsi"/>
                <w:sz w:val="22"/>
                <w:szCs w:val="22"/>
              </w:rPr>
              <w:t xml:space="preserve"> dos trabalhadores tem filhos. Sendo </w:t>
            </w:r>
            <w:r>
              <w:rPr>
                <w:rFonts w:asciiTheme="minorHAnsi" w:hAnsiTheme="minorHAnsi" w:cstheme="minorHAnsi"/>
                <w:b/>
                <w:sz w:val="22"/>
                <w:szCs w:val="22"/>
              </w:rPr>
              <w:t>5 dias (nº de dias corridos de licença).</w:t>
            </w:r>
          </w:p>
        </w:tc>
      </w:tr>
      <w:tr>
        <w:tblPrEx>
          <w:tblCellMar>
            <w:top w:w="0" w:type="dxa"/>
            <w:left w:w="70" w:type="dxa"/>
            <w:bottom w:w="0" w:type="dxa"/>
            <w:right w:w="70" w:type="dxa"/>
          </w:tblCellMar>
        </w:tblPrEx>
        <w:trPr>
          <w:trHeight w:val="422"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D</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shd w:val="clear" w:color="auto" w:fill="FFFFFF"/>
              </w:rPr>
              <w:t>Substituto na cobertura de Ausência por acidente de trabalho</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lang w:val="en-US"/>
              </w:rPr>
            </w:pPr>
            <w:r>
              <w:rPr>
                <w:rFonts w:asciiTheme="minorHAnsi" w:hAnsiTheme="minorHAnsi" w:cstheme="minorHAnsi"/>
                <w:sz w:val="22"/>
                <w:szCs w:val="22"/>
                <w:lang w:val="en-US"/>
              </w:rPr>
              <w:t>AT= nDR(AT) x % AT x CDR/12</w:t>
            </w: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Arts. 19 a 23 c/c § 2º, Art. 43 da Lei 8.213/91.</w:t>
            </w:r>
          </w:p>
          <w:p>
            <w:pPr>
              <w:rPr>
                <w:rFonts w:asciiTheme="minorHAnsi" w:hAnsiTheme="minorHAnsi" w:cstheme="minorHAnsi"/>
                <w:b/>
                <w:sz w:val="22"/>
                <w:szCs w:val="22"/>
              </w:rPr>
            </w:pPr>
            <w:r>
              <w:rPr>
                <w:rFonts w:asciiTheme="minorHAnsi" w:hAnsiTheme="minorHAnsi" w:cstheme="minorHAnsi"/>
                <w:sz w:val="22"/>
                <w:szCs w:val="22"/>
              </w:rPr>
              <w:t xml:space="preserve">Manual de Preenchimento de Planilhas do MPOG 2011 (pg 28): </w:t>
            </w:r>
            <w:r>
              <w:rPr>
                <w:rFonts w:asciiTheme="minorHAnsi" w:hAnsiTheme="minorHAnsi" w:cstheme="minorHAnsi"/>
                <w:b/>
                <w:sz w:val="22"/>
                <w:szCs w:val="22"/>
              </w:rPr>
              <w:t>0,78%</w:t>
            </w:r>
            <w:r>
              <w:rPr>
                <w:rFonts w:asciiTheme="minorHAnsi" w:hAnsiTheme="minorHAnsi" w:cstheme="minorHAnsi"/>
                <w:sz w:val="22"/>
                <w:szCs w:val="22"/>
              </w:rPr>
              <w:t xml:space="preserve"> dos empregados se acidentam</w:t>
            </w:r>
            <w:r>
              <w:rPr>
                <w:rFonts w:asciiTheme="minorHAnsi" w:hAnsiTheme="minorHAnsi" w:cstheme="minorHAnsi"/>
                <w:b/>
                <w:sz w:val="22"/>
                <w:szCs w:val="22"/>
              </w:rPr>
              <w:t xml:space="preserve">; </w:t>
            </w:r>
          </w:p>
          <w:p>
            <w:pPr>
              <w:rPr>
                <w:rFonts w:asciiTheme="minorHAnsi" w:hAnsiTheme="minorHAnsi" w:cstheme="minorHAnsi"/>
                <w:sz w:val="22"/>
                <w:szCs w:val="22"/>
              </w:rPr>
            </w:pPr>
            <w:r>
              <w:rPr>
                <w:rFonts w:asciiTheme="minorHAnsi" w:hAnsiTheme="minorHAnsi" w:cstheme="minorHAnsi"/>
                <w:sz w:val="22"/>
                <w:szCs w:val="22"/>
              </w:rPr>
              <w:t xml:space="preserve">Sendo </w:t>
            </w:r>
            <w:r>
              <w:rPr>
                <w:rFonts w:asciiTheme="minorHAnsi" w:hAnsiTheme="minorHAnsi" w:cstheme="minorHAnsi"/>
                <w:b/>
                <w:sz w:val="22"/>
                <w:szCs w:val="22"/>
              </w:rPr>
              <w:t>15 dias (nº de dias corridos de licença pagos pelo empregador).</w:t>
            </w:r>
          </w:p>
          <w:p>
            <w:pPr>
              <w:rPr>
                <w:rFonts w:asciiTheme="minorHAnsi" w:hAnsiTheme="minorHAnsi" w:cstheme="minorHAnsi"/>
                <w:sz w:val="22"/>
                <w:szCs w:val="22"/>
              </w:rPr>
            </w:pPr>
          </w:p>
        </w:tc>
      </w:tr>
      <w:tr>
        <w:tblPrEx>
          <w:tblCellMar>
            <w:top w:w="0" w:type="dxa"/>
            <w:left w:w="70" w:type="dxa"/>
            <w:bottom w:w="0" w:type="dxa"/>
            <w:right w:w="70" w:type="dxa"/>
          </w:tblCellMar>
        </w:tblPrEx>
        <w:trPr>
          <w:trHeight w:val="416"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E</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sz w:val="22"/>
                <w:szCs w:val="22"/>
                <w:shd w:val="clear" w:color="auto" w:fill="FFFFFF"/>
              </w:rPr>
              <w:t>Substituto na cobertura de Afastamento Maternidade</w:t>
            </w:r>
            <w:r>
              <w:rPr>
                <w:rFonts w:asciiTheme="minorHAnsi" w:hAnsiTheme="minorHAnsi" w:cstheme="minorHAnsi"/>
                <w:sz w:val="22"/>
                <w:szCs w:val="22"/>
              </w:rPr>
              <w:t xml:space="preserve"> </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ind w:left="-70"/>
              <w:jc w:val="both"/>
              <w:rPr>
                <w:rFonts w:asciiTheme="minorHAnsi" w:hAnsiTheme="minorHAnsi" w:eastAsiaTheme="minorHAnsi" w:cstheme="minorHAnsi"/>
                <w:sz w:val="22"/>
                <w:szCs w:val="22"/>
                <w:lang w:val="en-US" w:eastAsia="en-US"/>
              </w:rPr>
            </w:pPr>
            <w:r>
              <w:rPr>
                <w:rFonts w:asciiTheme="minorHAnsi" w:hAnsiTheme="minorHAnsi" w:eastAsiaTheme="minorHAnsi" w:cstheme="minorHAnsi"/>
                <w:sz w:val="22"/>
                <w:szCs w:val="22"/>
                <w:lang w:val="en-US" w:eastAsia="en-US"/>
              </w:rPr>
              <w:t>(*) AMT: FPAM + (BMDND x 3,95 x  % a.a AM) : 12 + IAM</w:t>
            </w:r>
          </w:p>
          <w:p>
            <w:pPr>
              <w:jc w:val="center"/>
              <w:rPr>
                <w:rFonts w:asciiTheme="minorHAnsi" w:hAnsiTheme="minorHAnsi" w:eastAsiaTheme="minorHAnsi" w:cstheme="minorHAnsi"/>
                <w:sz w:val="22"/>
                <w:szCs w:val="22"/>
                <w:lang w:val="en-US" w:eastAsia="en-US"/>
              </w:rPr>
            </w:pP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Style w:val="11"/>
                <w:rFonts w:asciiTheme="minorHAnsi" w:hAnsiTheme="minorHAnsi" w:cstheme="minorHAnsi"/>
                <w:i w:val="0"/>
                <w:sz w:val="22"/>
                <w:szCs w:val="22"/>
                <w:highlight w:val="white"/>
              </w:rPr>
            </w:pPr>
            <w:r>
              <w:rPr>
                <w:rStyle w:val="11"/>
                <w:rFonts w:asciiTheme="minorHAnsi" w:hAnsiTheme="minorHAnsi" w:cstheme="minorHAnsi"/>
                <w:i w:val="0"/>
                <w:sz w:val="22"/>
                <w:szCs w:val="22"/>
                <w:shd w:val="clear" w:color="auto" w:fill="FFFFFF"/>
              </w:rPr>
              <w:t>Art. 6º e 201 da CF, art. 392 da CLT.</w:t>
            </w:r>
          </w:p>
          <w:p>
            <w:pPr>
              <w:rPr>
                <w:rFonts w:asciiTheme="minorHAnsi" w:hAnsiTheme="minorHAnsi" w:cstheme="minorHAnsi"/>
                <w:sz w:val="22"/>
                <w:szCs w:val="22"/>
              </w:rPr>
            </w:pPr>
            <w:r>
              <w:rPr>
                <w:rFonts w:asciiTheme="minorHAnsi" w:hAnsiTheme="minorHAnsi" w:cstheme="minorHAnsi"/>
                <w:b/>
                <w:sz w:val="22"/>
                <w:szCs w:val="22"/>
              </w:rPr>
              <w:t xml:space="preserve">Considerando os dados do IBGE 2019, a taxa de fecundidade no estado do Rio de Janeiro é de 1,73% </w:t>
            </w:r>
            <w:r>
              <w:fldChar w:fldCharType="begin"/>
            </w:r>
            <w:r>
              <w:instrText xml:space="preserve"> HYPERLINK "https://www.ibge.gov.br/apps/populacao/projecao/" </w:instrText>
            </w:r>
            <w:r>
              <w:fldChar w:fldCharType="separate"/>
            </w:r>
            <w:r>
              <w:rPr>
                <w:rStyle w:val="12"/>
                <w:rFonts w:asciiTheme="minorHAnsi" w:hAnsiTheme="minorHAnsi" w:cstheme="minorHAnsi"/>
                <w:sz w:val="22"/>
                <w:szCs w:val="22"/>
              </w:rPr>
              <w:t>https://www.ibge.gov.br/apps/populacao/projecao/</w:t>
            </w:r>
            <w:r>
              <w:rPr>
                <w:rStyle w:val="12"/>
                <w:rFonts w:asciiTheme="minorHAnsi" w:hAnsiTheme="minorHAnsi" w:cstheme="minorHAnsi"/>
                <w:sz w:val="22"/>
                <w:szCs w:val="22"/>
              </w:rPr>
              <w:fldChar w:fldCharType="end"/>
            </w:r>
            <w:r>
              <w:rPr>
                <w:rFonts w:asciiTheme="minorHAnsi" w:hAnsiTheme="minorHAnsi" w:cstheme="minorHAnsi"/>
                <w:sz w:val="22"/>
                <w:szCs w:val="22"/>
              </w:rPr>
              <w:t>. Acesso em 13/02/2020)</w:t>
            </w:r>
            <w:r>
              <w:rPr>
                <w:rFonts w:asciiTheme="minorHAnsi" w:hAnsiTheme="minorHAnsi" w:cstheme="minorHAnsi"/>
                <w:b/>
                <w:sz w:val="22"/>
                <w:szCs w:val="22"/>
              </w:rPr>
              <w:t xml:space="preserve">; </w:t>
            </w:r>
          </w:p>
          <w:p>
            <w:pPr>
              <w:rPr>
                <w:rFonts w:asciiTheme="minorHAnsi" w:hAnsiTheme="minorHAnsi" w:eastAsiaTheme="minorHAnsi" w:cstheme="minorHAnsi"/>
                <w:i/>
                <w:sz w:val="22"/>
                <w:szCs w:val="22"/>
                <w:lang w:eastAsia="en-US"/>
              </w:rPr>
            </w:pPr>
            <w:r>
              <w:rPr>
                <w:rFonts w:asciiTheme="minorHAnsi" w:hAnsiTheme="minorHAnsi" w:cstheme="minorHAnsi"/>
                <w:sz w:val="22"/>
                <w:szCs w:val="22"/>
              </w:rPr>
              <w:t xml:space="preserve">Considerando dados de contratos anteriores com tipo de serviço assemelhado, temos que aproximadamente 59% de mulheres do número total de trabalhadores. Sendo assim, a percentagem de afastamento maternidade é de </w:t>
            </w:r>
            <w:r>
              <w:rPr>
                <w:rFonts w:asciiTheme="minorHAnsi" w:hAnsiTheme="minorHAnsi" w:cstheme="minorHAnsi"/>
                <w:b/>
                <w:sz w:val="22"/>
                <w:szCs w:val="22"/>
              </w:rPr>
              <w:t>59% x 1,73%</w:t>
            </w:r>
            <w:r>
              <w:rPr>
                <w:rFonts w:asciiTheme="minorHAnsi" w:hAnsiTheme="minorHAnsi" w:cstheme="minorHAnsi"/>
                <w:sz w:val="22"/>
                <w:szCs w:val="22"/>
              </w:rPr>
              <w:t xml:space="preserve"> = 1,02</w:t>
            </w:r>
            <w:r>
              <w:rPr>
                <w:rFonts w:asciiTheme="minorHAnsi" w:hAnsiTheme="minorHAnsi" w:cstheme="minorHAnsi"/>
                <w:b/>
                <w:sz w:val="22"/>
                <w:szCs w:val="22"/>
              </w:rPr>
              <w:t>%</w:t>
            </w:r>
          </w:p>
        </w:tc>
      </w:tr>
      <w:tr>
        <w:tblPrEx>
          <w:tblCellMar>
            <w:top w:w="0" w:type="dxa"/>
            <w:left w:w="70" w:type="dxa"/>
            <w:bottom w:w="0" w:type="dxa"/>
            <w:right w:w="70" w:type="dxa"/>
          </w:tblCellMar>
        </w:tblPrEx>
        <w:trPr>
          <w:trHeight w:val="416" w:hRule="atLeast"/>
          <w:jc w:val="center"/>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HAnsi" w:hAnsiTheme="minorHAnsi" w:cstheme="minorHAnsi"/>
                <w:sz w:val="22"/>
                <w:szCs w:val="22"/>
              </w:rPr>
            </w:pPr>
            <w:r>
              <w:rPr>
                <w:rFonts w:asciiTheme="minorHAnsi" w:hAnsiTheme="minorHAnsi" w:cstheme="minorHAnsi"/>
                <w:sz w:val="22"/>
                <w:szCs w:val="22"/>
              </w:rPr>
              <w:t>F</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cstheme="minorHAnsi"/>
                <w:color w:val="000000"/>
                <w:sz w:val="22"/>
                <w:szCs w:val="22"/>
                <w:shd w:val="clear" w:color="auto" w:fill="FFFFFF"/>
              </w:rPr>
              <w:t>Substituto na cobertura de Outras ausências (especificar)</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p>
        </w:tc>
        <w:tc>
          <w:tcPr>
            <w:tcW w:w="38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heme="minorHAnsi" w:hAnsiTheme="minorHAnsi" w:cstheme="minorHAnsi"/>
                <w:sz w:val="22"/>
                <w:szCs w:val="22"/>
              </w:rPr>
            </w:pPr>
            <w:r>
              <w:rPr>
                <w:rFonts w:asciiTheme="minorHAnsi" w:hAnsiTheme="minorHAnsi" w:eastAsiaTheme="minorHAnsi" w:cstheme="minorHAnsi"/>
                <w:sz w:val="22"/>
                <w:szCs w:val="22"/>
                <w:lang w:eastAsia="en-US"/>
              </w:rPr>
              <w:t>-</w:t>
            </w:r>
          </w:p>
        </w:tc>
      </w:tr>
      <w:tr>
        <w:tblPrEx>
          <w:tblCellMar>
            <w:top w:w="0" w:type="dxa"/>
            <w:left w:w="70" w:type="dxa"/>
            <w:bottom w:w="0" w:type="dxa"/>
            <w:right w:w="70" w:type="dxa"/>
          </w:tblCellMar>
        </w:tblPrEx>
        <w:trPr>
          <w:trHeight w:val="420" w:hRule="atLeast"/>
          <w:jc w:val="center"/>
        </w:trPr>
        <w:tc>
          <w:tcPr>
            <w:tcW w:w="561" w:type="dxa"/>
            <w:tcBorders>
              <w:top w:val="single" w:color="000000" w:sz="4" w:space="0"/>
              <w:left w:val="single" w:color="000000" w:sz="4" w:space="0"/>
              <w:bottom w:val="single" w:color="000000" w:sz="4" w:space="0"/>
            </w:tcBorders>
            <w:shd w:val="clear" w:color="auto" w:fill="EAF1DD" w:themeFill="accent3" w:themeFillTint="33"/>
            <w:vAlign w:val="center"/>
          </w:tcPr>
          <w:p>
            <w:pPr>
              <w:jc w:val="center"/>
              <w:rPr>
                <w:rFonts w:asciiTheme="minorHAnsi" w:hAnsiTheme="minorHAnsi" w:cstheme="minorHAnsi"/>
                <w:sz w:val="22"/>
                <w:szCs w:val="22"/>
                <w:lang w:val="en-US"/>
              </w:rPr>
            </w:pPr>
          </w:p>
        </w:tc>
        <w:tc>
          <w:tcPr>
            <w:tcW w:w="2125" w:type="dxa"/>
            <w:tcBorders>
              <w:top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r>
              <w:rPr>
                <w:rFonts w:asciiTheme="minorHAnsi" w:hAnsiTheme="minorHAnsi" w:cstheme="minorHAnsi"/>
                <w:sz w:val="22"/>
                <w:szCs w:val="22"/>
              </w:rPr>
              <w:t>Total</w:t>
            </w:r>
          </w:p>
        </w:tc>
        <w:tc>
          <w:tcPr>
            <w:tcW w:w="3783"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cstheme="minorHAnsi"/>
                <w:sz w:val="22"/>
                <w:szCs w:val="22"/>
              </w:rPr>
            </w:pPr>
          </w:p>
        </w:tc>
        <w:tc>
          <w:tcPr>
            <w:tcW w:w="3868" w:type="dxa"/>
            <w:tcBorders>
              <w:top w:val="single" w:color="000000" w:sz="4" w:space="0"/>
              <w:left w:val="single" w:color="000000" w:sz="4" w:space="0"/>
              <w:bottom w:val="single" w:color="000000" w:sz="4" w:space="0"/>
              <w:right w:val="single" w:color="000000" w:sz="4" w:space="0"/>
            </w:tcBorders>
            <w:shd w:val="clear" w:color="auto" w:fill="EAF1DD" w:themeFill="accent3" w:themeFillTint="33"/>
            <w:vAlign w:val="center"/>
          </w:tcPr>
          <w:p>
            <w:pPr>
              <w:rPr>
                <w:rFonts w:asciiTheme="minorHAnsi" w:hAnsiTheme="minorHAnsi" w:eastAsiaTheme="minorHAnsi" w:cstheme="minorHAnsi"/>
                <w:sz w:val="22"/>
                <w:szCs w:val="22"/>
                <w:lang w:eastAsia="en-US"/>
              </w:rPr>
            </w:pPr>
          </w:p>
        </w:tc>
      </w:tr>
    </w:tbl>
    <w:p>
      <w:pPr>
        <w:ind w:left="426"/>
        <w:jc w:val="both"/>
        <w:rPr>
          <w:rStyle w:val="8"/>
          <w:rFonts w:asciiTheme="minorHAnsi" w:hAnsiTheme="minorHAnsi" w:cstheme="minorHAnsi"/>
          <w:color w:val="000000"/>
          <w:sz w:val="22"/>
          <w:szCs w:val="22"/>
          <w:shd w:val="clear" w:color="auto" w:fill="FFFFFF"/>
        </w:rPr>
      </w:pPr>
      <w:r>
        <w:rPr>
          <w:rFonts w:asciiTheme="minorHAnsi" w:hAnsiTheme="minorHAnsi" w:cstheme="minorHAnsi"/>
          <w:b/>
          <w:bCs/>
          <w:color w:val="000000"/>
          <w:sz w:val="22"/>
          <w:szCs w:val="22"/>
          <w:shd w:val="clear" w:color="auto" w:fill="FFFFFF"/>
        </w:rPr>
        <w:drawing>
          <wp:inline distT="0" distB="0" distL="0" distR="0">
            <wp:extent cx="4769485" cy="2699385"/>
            <wp:effectExtent l="0" t="0" r="0" b="571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769485" cy="2699385"/>
                    </a:xfrm>
                    <a:prstGeom prst="rect">
                      <a:avLst/>
                    </a:prstGeom>
                    <a:noFill/>
                    <a:ln>
                      <a:noFill/>
                    </a:ln>
                  </pic:spPr>
                </pic:pic>
              </a:graphicData>
            </a:graphic>
          </wp:inline>
        </w:drawing>
      </w:r>
    </w:p>
    <w:p>
      <w:pPr>
        <w:ind w:left="426"/>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 </w:t>
      </w:r>
      <w:r>
        <w:rPr>
          <w:rFonts w:asciiTheme="minorHAnsi" w:hAnsiTheme="minorHAnsi" w:cs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pPr>
        <w:ind w:left="426"/>
        <w:jc w:val="both"/>
        <w:rPr>
          <w:rFonts w:asciiTheme="minorHAnsi" w:hAnsiTheme="minorHAnsi" w:eastAsiaTheme="minorHAnsi" w:cstheme="minorHAnsi"/>
          <w:sz w:val="22"/>
          <w:szCs w:val="22"/>
          <w:lang w:eastAsia="en-US"/>
        </w:rPr>
      </w:pPr>
    </w:p>
    <w:p>
      <w:pPr>
        <w:ind w:left="426"/>
        <w:jc w:val="both"/>
        <w:rPr>
          <w:rFonts w:asciiTheme="minorHAnsi" w:hAnsiTheme="minorHAnsi" w:eastAsiaTheme="minorHAnsi" w:cstheme="minorHAnsi"/>
          <w:b/>
          <w:sz w:val="22"/>
          <w:szCs w:val="22"/>
          <w:u w:val="single"/>
          <w:lang w:eastAsia="en-US"/>
        </w:rPr>
      </w:pPr>
      <w:r>
        <w:rPr>
          <w:rFonts w:asciiTheme="minorHAnsi" w:hAnsiTheme="minorHAnsi" w:eastAsiaTheme="minorHAnsi" w:cstheme="minorHAnsi"/>
          <w:b/>
          <w:sz w:val="22"/>
          <w:szCs w:val="22"/>
          <w:u w:val="single"/>
          <w:lang w:eastAsia="en-US"/>
        </w:rPr>
        <w:t>OBSERVAÇÕES:</w:t>
      </w:r>
    </w:p>
    <w:p>
      <w:pPr>
        <w:ind w:left="426"/>
        <w:jc w:val="both"/>
        <w:rPr>
          <w:rFonts w:asciiTheme="minorHAnsi" w:hAnsiTheme="minorHAnsi" w:eastAsiaTheme="minorHAnsi" w:cstheme="minorHAnsi"/>
          <w:b/>
          <w:sz w:val="22"/>
          <w:szCs w:val="22"/>
          <w:u w:val="single"/>
          <w:lang w:eastAsia="en-US"/>
        </w:rPr>
      </w:pPr>
    </w:p>
    <w:p>
      <w:pPr>
        <w:pStyle w:val="58"/>
        <w:numPr>
          <w:ilvl w:val="0"/>
          <w:numId w:val="1"/>
        </w:numPr>
        <w:jc w:val="both"/>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Para o cálculo do custo de reposição do profissional ausente deve-se em primeiro lugar determinar o custo diário daquele que vai fazer a reposição – CDR, que é obtido:</w:t>
      </w:r>
    </w:p>
    <w:p>
      <w:pPr>
        <w:pStyle w:val="58"/>
        <w:ind w:left="786"/>
        <w:jc w:val="both"/>
        <w:rPr>
          <w:rFonts w:asciiTheme="minorHAnsi" w:hAnsiTheme="minorHAnsi" w:eastAsiaTheme="minorHAnsi" w:cstheme="minorHAnsi"/>
          <w:sz w:val="22"/>
          <w:szCs w:val="22"/>
          <w:lang w:eastAsia="en-US"/>
        </w:rPr>
      </w:pPr>
    </w:p>
    <w:p>
      <w:pPr>
        <w:pStyle w:val="58"/>
        <w:ind w:left="786"/>
        <w:jc w:val="cente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 xml:space="preserve">                           Custo mensal do repositor (mód. 1 + mód. 2 + mod. 3 + maternidade + mód. 5 – (transp. – aliment. – equip.  – materiais)</w:t>
      </w:r>
    </w:p>
    <w:p>
      <w:pPr>
        <w:rPr>
          <w:rFonts w:asciiTheme="minorHAnsi" w:hAnsiTheme="minorHAnsi" w:cstheme="minorHAnsi"/>
          <w:sz w:val="22"/>
          <w:szCs w:val="22"/>
        </w:rPr>
      </w:pPr>
      <w:r>
        <w:rPr>
          <w:rFonts w:asciiTheme="minorHAnsi" w:hAnsiTheme="minorHAnsi" w:eastAsiaTheme="minorHAnsi" w:cstheme="minorHAnsi"/>
          <w:b/>
          <w:sz w:val="22"/>
          <w:szCs w:val="22"/>
          <w:lang w:eastAsia="en-US"/>
        </w:rPr>
        <w:t xml:space="preserve">                                               CDR</w:t>
      </w:r>
      <w:r>
        <w:rPr>
          <w:rFonts w:asciiTheme="minorHAnsi" w:hAnsiTheme="minorHAnsi" w:eastAsiaTheme="minorHAnsi" w:cstheme="minorHAnsi"/>
          <w:sz w:val="22"/>
          <w:szCs w:val="22"/>
          <w:lang w:eastAsia="en-US"/>
        </w:rPr>
        <w:t xml:space="preserve"> =                                                 _____________________________________________</w:t>
      </w:r>
    </w:p>
    <w:p>
      <w:pPr>
        <w:pStyle w:val="58"/>
        <w:ind w:left="786"/>
        <w:jc w:val="cente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 xml:space="preserve">                                  Dias do mês (30)</w:t>
      </w:r>
    </w:p>
    <w:p>
      <w:pPr>
        <w:pStyle w:val="58"/>
        <w:ind w:left="786"/>
        <w:jc w:val="center"/>
        <w:rPr>
          <w:rFonts w:asciiTheme="minorHAnsi" w:hAnsiTheme="minorHAnsi" w:eastAsiaTheme="minorHAnsi" w:cstheme="minorHAnsi"/>
          <w:sz w:val="22"/>
          <w:szCs w:val="22"/>
          <w:lang w:eastAsia="en-US"/>
        </w:rPr>
      </w:pPr>
    </w:p>
    <w:p>
      <w:pPr>
        <w:pStyle w:val="58"/>
        <w:numPr>
          <w:ilvl w:val="0"/>
          <w:numId w:val="1"/>
        </w:num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pPr>
        <w:pStyle w:val="58"/>
        <w:ind w:left="786"/>
        <w:rPr>
          <w:rFonts w:asciiTheme="minorHAnsi" w:hAnsiTheme="minorHAnsi" w:eastAsiaTheme="minorHAnsi" w:cstheme="minorHAnsi"/>
          <w:sz w:val="22"/>
          <w:szCs w:val="22"/>
          <w:lang w:eastAsia="en-US"/>
        </w:rPr>
      </w:pPr>
    </w:p>
    <w:p>
      <w:pPr>
        <w:pStyle w:val="58"/>
        <w:numPr>
          <w:ilvl w:val="0"/>
          <w:numId w:val="1"/>
        </w:numPr>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pPr>
        <w:pStyle w:val="58"/>
        <w:rPr>
          <w:rFonts w:asciiTheme="minorHAnsi" w:hAnsiTheme="minorHAnsi" w:eastAsiaTheme="minorHAnsi" w:cstheme="minorHAnsi"/>
          <w:b/>
          <w:sz w:val="22"/>
          <w:szCs w:val="22"/>
          <w:u w:val="single"/>
          <w:lang w:eastAsia="en-US"/>
        </w:rPr>
      </w:pPr>
    </w:p>
    <w:p>
      <w:pPr>
        <w:pStyle w:val="58"/>
        <w:ind w:left="786"/>
        <w:rPr>
          <w:rFonts w:asciiTheme="minorHAnsi" w:hAnsiTheme="minorHAnsi" w:eastAsiaTheme="minorHAnsi" w:cstheme="minorHAnsi"/>
          <w:b/>
          <w:sz w:val="22"/>
          <w:szCs w:val="22"/>
          <w:u w:val="single"/>
          <w:lang w:eastAsia="en-US"/>
        </w:rPr>
      </w:pPr>
      <w:r>
        <w:rPr>
          <w:rFonts w:asciiTheme="minorHAnsi" w:hAnsiTheme="minorHAnsi" w:eastAsiaTheme="minorHAnsi" w:cstheme="minorHAnsi"/>
          <w:b/>
          <w:sz w:val="22"/>
          <w:szCs w:val="22"/>
          <w:u w:val="single"/>
          <w:lang w:eastAsia="en-US"/>
        </w:rPr>
        <w:t xml:space="preserve">CÁLCULO DO </w:t>
      </w:r>
      <w:r>
        <w:rPr>
          <w:rFonts w:asciiTheme="minorHAnsi" w:hAnsiTheme="minorHAnsi" w:cstheme="minorHAnsi"/>
          <w:b/>
          <w:color w:val="FF0000"/>
          <w:sz w:val="22"/>
          <w:szCs w:val="22"/>
          <w:shd w:val="clear" w:color="auto" w:fill="FFFFFF"/>
        </w:rPr>
        <w:t>SUBSTITUTO NA COBERTURA DE AFASTAMENTO MATERNIDADE</w:t>
      </w:r>
      <w:r>
        <w:rPr>
          <w:rFonts w:asciiTheme="minorHAnsi" w:hAnsiTheme="minorHAnsi" w:cstheme="minorHAnsi"/>
          <w:color w:val="FF0000"/>
          <w:sz w:val="22"/>
          <w:szCs w:val="22"/>
        </w:rPr>
        <w:t xml:space="preserve"> </w:t>
      </w:r>
      <w:r>
        <w:rPr>
          <w:rFonts w:asciiTheme="minorHAnsi" w:hAnsiTheme="minorHAnsi" w:cstheme="minorHAnsi"/>
          <w:sz w:val="22"/>
          <w:szCs w:val="22"/>
        </w:rPr>
        <w:t>(*)</w:t>
      </w:r>
    </w:p>
    <w:p>
      <w:pPr>
        <w:pStyle w:val="58"/>
        <w:ind w:left="786"/>
        <w:rPr>
          <w:rFonts w:asciiTheme="minorHAnsi" w:hAnsiTheme="minorHAnsi" w:eastAsiaTheme="minorHAnsi" w:cstheme="minorHAnsi"/>
          <w:b/>
          <w:sz w:val="22"/>
          <w:szCs w:val="22"/>
          <w:u w:val="single"/>
          <w:lang w:eastAsia="en-US"/>
        </w:rPr>
      </w:pPr>
    </w:p>
    <w:p>
      <w:pPr>
        <w:pStyle w:val="58"/>
        <w:ind w:left="786"/>
        <w:rPr>
          <w:rFonts w:asciiTheme="minorHAnsi" w:hAnsiTheme="minorHAnsi" w:eastAsiaTheme="minorHAnsi" w:cstheme="minorHAnsi"/>
          <w:sz w:val="22"/>
          <w:szCs w:val="22"/>
          <w:lang w:val="en-US" w:eastAsia="en-US"/>
        </w:rPr>
      </w:pPr>
      <w:r>
        <w:rPr>
          <w:rFonts w:asciiTheme="minorHAnsi" w:hAnsiTheme="minorHAnsi" w:eastAsiaTheme="minorHAnsi" w:cstheme="minorHAnsi"/>
          <w:sz w:val="22"/>
          <w:szCs w:val="22"/>
          <w:lang w:val="en-US" w:eastAsia="en-US"/>
        </w:rPr>
        <w:t>AMT: FPAM + (BMDND x 3,95 x  % a.a AM) : 12 + IAM</w:t>
      </w:r>
    </w:p>
    <w:p>
      <w:pPr>
        <w:pStyle w:val="58"/>
        <w:ind w:left="786"/>
        <w:rPr>
          <w:rFonts w:asciiTheme="minorHAnsi" w:hAnsiTheme="minorHAnsi" w:eastAsiaTheme="minorHAnsi" w:cstheme="minorHAnsi"/>
          <w:sz w:val="22"/>
          <w:szCs w:val="22"/>
          <w:lang w:val="en-US" w:eastAsia="en-US"/>
        </w:rPr>
      </w:pPr>
    </w:p>
    <w:p>
      <w:pPr>
        <w:pStyle w:val="58"/>
        <w:ind w:left="786"/>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FPAM (</w:t>
      </w:r>
      <w:r>
        <w:rPr>
          <w:rFonts w:asciiTheme="minorHAnsi" w:hAnsiTheme="minorHAnsi" w:eastAsiaTheme="minorHAnsi" w:cstheme="minorHAnsi"/>
          <w:i/>
          <w:sz w:val="22"/>
          <w:szCs w:val="22"/>
          <w:lang w:eastAsia="en-US"/>
        </w:rPr>
        <w:t>Ferias proporcionais sobre o afastamento maternidade</w:t>
      </w:r>
      <w:r>
        <w:rPr>
          <w:rFonts w:asciiTheme="minorHAnsi" w:hAnsiTheme="minorHAnsi" w:eastAsiaTheme="minorHAnsi" w:cstheme="minorHAnsi"/>
          <w:sz w:val="22"/>
          <w:szCs w:val="22"/>
          <w:lang w:eastAsia="en-US"/>
        </w:rPr>
        <w:t>) = [(F + AF) x 3,95/12)]</w:t>
      </w:r>
    </w:p>
    <w:p>
      <w:pPr>
        <w:pStyle w:val="58"/>
        <w:ind w:left="786"/>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IAM (</w:t>
      </w:r>
      <w:r>
        <w:rPr>
          <w:rFonts w:asciiTheme="minorHAnsi" w:hAnsiTheme="minorHAnsi" w:eastAsiaTheme="minorHAnsi" w:cstheme="minorHAnsi"/>
          <w:i/>
          <w:sz w:val="22"/>
          <w:szCs w:val="22"/>
          <w:lang w:eastAsia="en-US"/>
        </w:rPr>
        <w:t>Incidência do submódulo 2.2 sobre o afastamento maternidade</w:t>
      </w:r>
      <w:r>
        <w:rPr>
          <w:rFonts w:asciiTheme="minorHAnsi" w:hAnsiTheme="minorHAnsi" w:eastAsiaTheme="minorHAnsi" w:cstheme="minorHAnsi"/>
          <w:sz w:val="22"/>
          <w:szCs w:val="22"/>
          <w:lang w:eastAsia="en-US"/>
        </w:rPr>
        <w:t>) = [(R + 13º) x %TE (alíquota encargos) x 3,95)] x %AM : 12</w:t>
      </w:r>
    </w:p>
    <w:p>
      <w:pPr>
        <w:pStyle w:val="58"/>
        <w:ind w:left="786"/>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rPr>
        <mc:AlternateContent>
          <mc:Choice Requires="wps">
            <w:drawing>
              <wp:anchor distT="0" distB="0" distL="0" distR="0" simplePos="0" relativeHeight="251659264"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59264;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pPr>
        <w:pStyle w:val="58"/>
        <w:ind w:left="786"/>
        <w:jc w:val="center"/>
        <w:rPr>
          <w:rFonts w:asciiTheme="minorHAnsi" w:hAnsiTheme="minorHAnsi" w:eastAsiaTheme="minorHAnsi" w:cstheme="minorHAnsi"/>
          <w:sz w:val="22"/>
          <w:szCs w:val="22"/>
          <w:lang w:eastAsia="en-US"/>
        </w:rPr>
      </w:pPr>
    </w:p>
    <w:p>
      <w:pPr>
        <w:jc w:val="center"/>
        <w:rPr>
          <w:rFonts w:asciiTheme="minorHAnsi" w:hAnsiTheme="minorHAnsi" w:cstheme="minorHAnsi"/>
          <w:sz w:val="22"/>
          <w:szCs w:val="22"/>
        </w:rPr>
      </w:pPr>
    </w:p>
    <w:p>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 xml:space="preserve">Submódulo 4.2 – </w:t>
      </w:r>
      <w:r>
        <w:rPr>
          <w:rStyle w:val="8"/>
          <w:rFonts w:asciiTheme="minorHAnsi" w:hAnsiTheme="minorHAnsi" w:cstheme="minorHAnsi"/>
          <w:b w:val="0"/>
          <w:color w:val="000000"/>
          <w:sz w:val="22"/>
          <w:szCs w:val="22"/>
          <w:u w:val="single"/>
          <w:shd w:val="clear" w:color="auto" w:fill="FFFFFF"/>
        </w:rPr>
        <w:t>Substituto na Intrajornada</w:t>
      </w:r>
    </w:p>
    <w:p>
      <w:pPr>
        <w:jc w:val="both"/>
        <w:rPr>
          <w:rFonts w:asciiTheme="minorHAnsi" w:hAnsiTheme="minorHAnsi" w:cstheme="minorHAnsi"/>
          <w:b/>
          <w:sz w:val="22"/>
          <w:szCs w:val="22"/>
        </w:rPr>
      </w:pPr>
      <w:r>
        <w:rPr>
          <w:rFonts w:asciiTheme="minorHAnsi" w:hAnsiTheme="minorHAnsi" w:cstheme="minorHAnsi"/>
          <w:b/>
          <w:sz w:val="22"/>
          <w:szCs w:val="22"/>
        </w:rPr>
        <w:t>Não foi previsto na planilha, portanto, esse custo será zerado.</w:t>
      </w:r>
    </w:p>
    <w:p>
      <w:pPr>
        <w:jc w:val="both"/>
        <w:rPr>
          <w:rFonts w:asciiTheme="minorHAnsi" w:hAnsiTheme="minorHAnsi" w:cstheme="minorHAnsi"/>
          <w:sz w:val="22"/>
          <w:szCs w:val="22"/>
        </w:rPr>
      </w:pPr>
    </w:p>
    <w:p>
      <w:pPr>
        <w:jc w:val="both"/>
        <w:rPr>
          <w:rFonts w:asciiTheme="minorHAnsi" w:hAnsiTheme="minorHAnsi" w:cstheme="minorHAnsi"/>
          <w:b/>
          <w:sz w:val="22"/>
          <w:szCs w:val="22"/>
          <w:u w:val="single"/>
        </w:rPr>
      </w:pPr>
    </w:p>
    <w:p>
      <w:pPr>
        <w:jc w:val="both"/>
        <w:rPr>
          <w:rFonts w:asciiTheme="minorHAnsi" w:hAnsiTheme="minorHAnsi" w:cstheme="minorHAnsi"/>
          <w:b/>
          <w:sz w:val="22"/>
          <w:szCs w:val="22"/>
          <w:u w:val="single"/>
        </w:rPr>
      </w:pPr>
      <w:r>
        <w:rPr>
          <w:rFonts w:asciiTheme="minorHAnsi" w:hAnsiTheme="minorHAnsi" w:cstheme="minorHAnsi"/>
          <w:b/>
          <w:sz w:val="22"/>
          <w:szCs w:val="22"/>
          <w:u w:val="single"/>
        </w:rPr>
        <w:t>Módulo 5 – Insumos Diversos</w:t>
      </w:r>
    </w:p>
    <w:p>
      <w:pPr>
        <w:jc w:val="both"/>
        <w:rPr>
          <w:rFonts w:asciiTheme="minorHAnsi" w:hAnsiTheme="minorHAnsi" w:cstheme="minorHAnsi"/>
          <w:b/>
          <w:sz w:val="22"/>
          <w:szCs w:val="22"/>
          <w:u w:val="single"/>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A) Uniformes</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É considerado os valores praticados no mercado para uniforme e EPIS .</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Quantidade estimada por ano, sendo 3 (três) conjuntos na admissão e mais 1 (um) conjunto a cada 6 (seis) meses, conforme Cláusula 31ª da CCT 2021/2022.</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sz w:val="22"/>
          <w:szCs w:val="22"/>
        </w:rPr>
        <w:t>O Caderno de Logísticas do Ministério do Planejamento Orçamento e Gestão, define a porcentagem de custos de Uniformes, com base no posto a ser contratado, mantendo o percentual de 1,45% de Servente, 1,27% Servente de Fachada, 1,23% para os Encarregados, e 1,15% para os Encarregados de Fachada utilizando  Base de Cálculo Módulos 1, 2, 3 e 4 da Planilha de Composição de Custos.</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sz w:val="22"/>
          <w:szCs w:val="22"/>
        </w:rPr>
        <w:t>Base de cálculo: Módulo 1+ Módulo 2 + Módulo 3 + Módulo 4</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sz w:val="22"/>
          <w:szCs w:val="22"/>
        </w:rPr>
        <w:t>O Detalhamento dos uniformes encontra-se no Anexo II-B do Edital.</w:t>
      </w:r>
    </w:p>
    <w:p>
      <w:pPr>
        <w:spacing w:line="276" w:lineRule="auto"/>
        <w:jc w:val="center"/>
        <w:rPr>
          <w:rFonts w:asciiTheme="minorHAnsi" w:hAnsiTheme="minorHAnsi" w:cstheme="minorHAnsi"/>
          <w:sz w:val="22"/>
          <w:szCs w:val="22"/>
        </w:rPr>
      </w:pPr>
    </w:p>
    <w:p>
      <w:pPr>
        <w:rPr>
          <w:rFonts w:asciiTheme="minorHAnsi" w:hAnsiTheme="minorHAnsi" w:cstheme="minorHAnsi"/>
          <w:b/>
          <w:sz w:val="22"/>
          <w:szCs w:val="22"/>
        </w:rPr>
      </w:pPr>
    </w:p>
    <w:p>
      <w:pPr>
        <w:rPr>
          <w:rFonts w:asciiTheme="minorHAnsi" w:hAnsiTheme="minorHAnsi" w:cstheme="minorHAnsi"/>
          <w:b/>
          <w:sz w:val="22"/>
          <w:szCs w:val="22"/>
          <w:lang w:val="pt-PT"/>
        </w:rPr>
      </w:pPr>
      <w:r>
        <w:rPr>
          <w:rFonts w:asciiTheme="minorHAnsi" w:hAnsiTheme="minorHAnsi" w:cstheme="minorHAnsi"/>
          <w:b/>
          <w:sz w:val="22"/>
          <w:szCs w:val="22"/>
          <w:lang w:val="pt-PT"/>
        </w:rPr>
        <w:t>B) MATERIAIS</w:t>
      </w:r>
    </w:p>
    <w:p>
      <w:pPr>
        <w:spacing w:line="360" w:lineRule="auto"/>
        <w:jc w:val="both"/>
        <w:rPr>
          <w:rFonts w:asciiTheme="minorHAnsi" w:hAnsiTheme="minorHAnsi" w:cstheme="minorHAnsi"/>
          <w:sz w:val="22"/>
          <w:szCs w:val="22"/>
          <w:lang w:val="pt-PT"/>
        </w:rPr>
      </w:pPr>
      <w:r>
        <w:rPr>
          <w:rFonts w:asciiTheme="minorHAnsi" w:hAnsiTheme="minorHAnsi" w:cstheme="minorHAnsi"/>
          <w:sz w:val="22"/>
          <w:szCs w:val="22"/>
          <w:lang w:val="pt-PT"/>
        </w:rPr>
        <w:t>A quantidade de material é meramente estimativa e sugestiva, podendo haver variações no quantitativo e no descritivo a ser consumido. É obrigação da Contratada o fornecimento dos mesmos para completa execução dos serviços de limpeza, podendo ser de acordo com a tecnologia e treinamentos utilizados pela mesma.</w:t>
      </w:r>
    </w:p>
    <w:p>
      <w:pPr>
        <w:spacing w:line="360" w:lineRule="auto"/>
        <w:jc w:val="both"/>
        <w:rPr>
          <w:rFonts w:asciiTheme="minorHAnsi" w:hAnsiTheme="minorHAnsi" w:cstheme="minorHAnsi"/>
          <w:sz w:val="22"/>
          <w:szCs w:val="22"/>
          <w:lang w:val="pt-PT"/>
        </w:rPr>
      </w:pPr>
      <w:r>
        <w:rPr>
          <w:rFonts w:asciiTheme="minorHAnsi" w:hAnsiTheme="minorHAnsi" w:cstheme="minorHAnsi"/>
          <w:sz w:val="22"/>
          <w:szCs w:val="22"/>
          <w:lang w:val="pt-PT"/>
        </w:rPr>
        <w:t>O Caderno de Logísticas do Ministério do Planejamento Orçamento e Gestão, define a porcentagem de custos de Uniformes, com base no posto de servente, mantendo o percentual de 12%, utilizando  a Base de Cálculo Módulo 1, Módulo 2, Módulo 3, Módulo 4 e SubMódulo 5.A (Uniformes), menos 9,25% incidente do COFINS, evitando assim bitributação da Planilha de Composição de Custos.</w:t>
      </w:r>
    </w:p>
    <w:p>
      <w:pPr>
        <w:spacing w:line="360" w:lineRule="auto"/>
        <w:jc w:val="both"/>
        <w:rPr>
          <w:rFonts w:asciiTheme="minorHAnsi" w:hAnsiTheme="minorHAnsi" w:cstheme="minorHAnsi"/>
          <w:sz w:val="22"/>
          <w:szCs w:val="22"/>
        </w:rPr>
      </w:pPr>
      <w:r>
        <w:rPr>
          <w:rFonts w:asciiTheme="minorHAnsi" w:hAnsiTheme="minorHAnsi" w:cstheme="minorHAnsi"/>
          <w:sz w:val="22"/>
          <w:szCs w:val="22"/>
        </w:rPr>
        <w:t>O Detalhamento dos materiais encontra-se no Anexo II-B do Edital.</w:t>
      </w:r>
    </w:p>
    <w:p>
      <w:pPr>
        <w:jc w:val="center"/>
        <w:rPr>
          <w:rFonts w:asciiTheme="minorHAnsi" w:hAnsiTheme="minorHAnsi" w:cstheme="minorHAnsi"/>
          <w:b/>
          <w:sz w:val="22"/>
          <w:szCs w:val="22"/>
          <w:lang w:val="pt-PT"/>
        </w:rPr>
      </w:pPr>
    </w:p>
    <w:p>
      <w:pPr>
        <w:rPr>
          <w:rFonts w:asciiTheme="minorHAnsi" w:hAnsiTheme="minorHAnsi" w:cstheme="minorHAnsi"/>
          <w:b/>
          <w:sz w:val="22"/>
          <w:szCs w:val="22"/>
          <w:lang w:val="pt-PT"/>
        </w:rPr>
      </w:pPr>
    </w:p>
    <w:p>
      <w:pPr>
        <w:rPr>
          <w:rFonts w:asciiTheme="minorHAnsi" w:hAnsiTheme="minorHAnsi" w:eastAsiaTheme="minorHAnsi" w:cstheme="minorHAnsi"/>
          <w:b/>
          <w:sz w:val="22"/>
          <w:szCs w:val="22"/>
          <w:u w:val="single"/>
          <w:lang w:eastAsia="en-US"/>
        </w:rPr>
      </w:pPr>
      <w:r>
        <w:rPr>
          <w:rFonts w:asciiTheme="minorHAnsi" w:hAnsiTheme="minorHAnsi" w:eastAsiaTheme="minorHAnsi" w:cstheme="minorHAnsi"/>
          <w:b/>
          <w:sz w:val="22"/>
          <w:szCs w:val="22"/>
          <w:u w:val="single"/>
          <w:lang w:eastAsia="en-US"/>
        </w:rPr>
        <w:t>Módulo 6 – Custos Indiretos, Lucro e Tributos</w:t>
      </w:r>
    </w:p>
    <w:p>
      <w:pPr>
        <w:rPr>
          <w:rFonts w:asciiTheme="minorHAnsi" w:hAnsiTheme="minorHAnsi" w:eastAsiaTheme="minorHAnsi" w:cstheme="minorHAnsi"/>
          <w:b/>
          <w:sz w:val="22"/>
          <w:szCs w:val="22"/>
          <w:u w:val="single"/>
          <w:lang w:eastAsia="en-US"/>
        </w:rPr>
      </w:pPr>
    </w:p>
    <w:tbl>
      <w:tblPr>
        <w:tblStyle w:val="70"/>
        <w:tblW w:w="765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3114"/>
        <w:gridCol w:w="3686"/>
      </w:tblGrid>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6</w:t>
            </w:r>
          </w:p>
        </w:tc>
        <w:tc>
          <w:tcPr>
            <w:tcW w:w="31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CUSTOS INDIRETOS, TRIBUTOS E LUCRO REAL</w:t>
            </w:r>
          </w:p>
        </w:tc>
        <w:tc>
          <w:tcPr>
            <w:tcW w:w="368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 xml:space="preserve">MEMÓRIA DE CÁLCULO </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pPr>
              <w:jc w:val="center"/>
              <w:rPr>
                <w:rFonts w:asciiTheme="minorHAnsi" w:hAnsiTheme="minorHAnsi" w:cstheme="minorHAnsi"/>
                <w:b/>
                <w:bCs/>
                <w:sz w:val="22"/>
                <w:szCs w:val="22"/>
              </w:rPr>
            </w:pPr>
            <w:r>
              <w:rPr>
                <w:rFonts w:asciiTheme="minorHAnsi" w:hAnsiTheme="minorHAnsi" w:cstheme="minorHAnsi"/>
                <w:b/>
                <w:bCs/>
                <w:sz w:val="22"/>
                <w:szCs w:val="22"/>
              </w:rPr>
              <w:t>A</w:t>
            </w: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Custos Indiretos</w:t>
            </w:r>
          </w:p>
        </w:tc>
        <w:tc>
          <w:tcPr>
            <w:tcW w:w="3686" w:type="dxa"/>
            <w:shd w:val="clear" w:color="auto" w:fill="DBE5F1" w:themeFill="accent1" w:themeFillTint="33"/>
          </w:tcPr>
          <w:p>
            <w:pPr>
              <w:jc w:val="both"/>
              <w:rPr>
                <w:rFonts w:asciiTheme="minorHAnsi" w:hAnsiTheme="minorHAnsi" w:cstheme="minorHAnsi"/>
                <w:sz w:val="22"/>
                <w:szCs w:val="22"/>
              </w:rPr>
            </w:pPr>
            <w:r>
              <w:rPr>
                <w:rFonts w:asciiTheme="minorHAnsi" w:hAnsiTheme="minorHAnsi" w:cstheme="minorHAnsi"/>
                <w:sz w:val="22"/>
                <w:szCs w:val="22"/>
              </w:rPr>
              <w:t xml:space="preserve">Conforme valor pesquisado, será considerado a alíquota </w:t>
            </w:r>
            <w:r>
              <w:rPr>
                <w:rFonts w:asciiTheme="minorHAnsi" w:hAnsiTheme="minorHAnsi" w:cstheme="minorHAnsi"/>
                <w:b/>
                <w:sz w:val="22"/>
                <w:szCs w:val="22"/>
              </w:rPr>
              <w:t>4,47%</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pPr>
              <w:jc w:val="center"/>
              <w:rPr>
                <w:rFonts w:asciiTheme="minorHAnsi" w:hAnsiTheme="minorHAnsi" w:cstheme="minorHAnsi"/>
                <w:b/>
                <w:bCs/>
                <w:sz w:val="22"/>
                <w:szCs w:val="22"/>
              </w:rPr>
            </w:pPr>
            <w:r>
              <w:rPr>
                <w:rFonts w:asciiTheme="minorHAnsi" w:hAnsiTheme="minorHAnsi" w:cstheme="minorHAnsi"/>
                <w:b/>
                <w:bCs/>
                <w:sz w:val="22"/>
                <w:szCs w:val="22"/>
              </w:rPr>
              <w:t>B</w:t>
            </w:r>
          </w:p>
        </w:tc>
        <w:tc>
          <w:tcPr>
            <w:tcW w:w="3114" w:type="dxa"/>
          </w:tcPr>
          <w:p>
            <w:pPr>
              <w:rPr>
                <w:rFonts w:asciiTheme="minorHAnsi" w:hAnsiTheme="minorHAnsi" w:cstheme="minorHAnsi"/>
                <w:sz w:val="22"/>
                <w:szCs w:val="22"/>
              </w:rPr>
            </w:pPr>
            <w:r>
              <w:rPr>
                <w:rFonts w:asciiTheme="minorHAnsi" w:hAnsiTheme="minorHAnsi" w:cstheme="minorHAnsi"/>
                <w:sz w:val="22"/>
                <w:szCs w:val="22"/>
              </w:rPr>
              <w:t>Lucro</w:t>
            </w:r>
          </w:p>
        </w:tc>
        <w:tc>
          <w:tcPr>
            <w:tcW w:w="3686" w:type="dxa"/>
          </w:tcPr>
          <w:p>
            <w:pPr>
              <w:jc w:val="both"/>
              <w:rPr>
                <w:rFonts w:asciiTheme="minorHAnsi" w:hAnsiTheme="minorHAnsi" w:cstheme="minorHAnsi"/>
                <w:sz w:val="22"/>
                <w:szCs w:val="22"/>
              </w:rPr>
            </w:pPr>
            <w:r>
              <w:rPr>
                <w:rFonts w:asciiTheme="minorHAnsi" w:hAnsiTheme="minorHAnsi" w:cstheme="minorHAnsi"/>
                <w:sz w:val="22"/>
                <w:szCs w:val="22"/>
              </w:rPr>
              <w:t xml:space="preserve">Conforme valor pesquisado, será considerado a alíquota </w:t>
            </w:r>
            <w:r>
              <w:rPr>
                <w:rFonts w:asciiTheme="minorHAnsi" w:hAnsiTheme="minorHAnsi" w:cstheme="minorHAnsi"/>
                <w:b/>
                <w:sz w:val="22"/>
                <w:szCs w:val="22"/>
              </w:rPr>
              <w:t>3,06%</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pPr>
              <w:jc w:val="center"/>
              <w:rPr>
                <w:rFonts w:asciiTheme="minorHAnsi" w:hAnsiTheme="minorHAnsi" w:cstheme="minorHAnsi"/>
                <w:b/>
                <w:bCs/>
                <w:sz w:val="22"/>
                <w:szCs w:val="22"/>
              </w:rPr>
            </w:pPr>
            <w:r>
              <w:rPr>
                <w:rFonts w:asciiTheme="minorHAnsi" w:hAnsiTheme="minorHAnsi" w:cstheme="minorHAnsi"/>
                <w:b/>
                <w:bCs/>
                <w:sz w:val="22"/>
                <w:szCs w:val="22"/>
              </w:rPr>
              <w:t>C</w:t>
            </w: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Tributos</w:t>
            </w:r>
          </w:p>
        </w:tc>
        <w:tc>
          <w:tcPr>
            <w:tcW w:w="3686" w:type="dxa"/>
            <w:shd w:val="clear" w:color="auto" w:fill="DBE5F1" w:themeFill="accent1" w:themeFillTint="33"/>
          </w:tcPr>
          <w:p>
            <w:pPr>
              <w:rPr>
                <w:rFonts w:asciiTheme="minorHAnsi" w:hAnsiTheme="minorHAnsi" w:cstheme="minorHAnsi"/>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pPr>
              <w:jc w:val="center"/>
              <w:rPr>
                <w:rFonts w:asciiTheme="minorHAnsi" w:hAnsiTheme="minorHAnsi" w:cstheme="minorHAnsi"/>
                <w:b/>
                <w:bCs/>
                <w:sz w:val="22"/>
                <w:szCs w:val="22"/>
              </w:rPr>
            </w:pPr>
          </w:p>
        </w:tc>
        <w:tc>
          <w:tcPr>
            <w:tcW w:w="3114" w:type="dxa"/>
          </w:tcPr>
          <w:p>
            <w:pPr>
              <w:rPr>
                <w:rFonts w:asciiTheme="minorHAnsi" w:hAnsiTheme="minorHAnsi" w:cstheme="minorHAnsi"/>
                <w:sz w:val="22"/>
                <w:szCs w:val="22"/>
              </w:rPr>
            </w:pPr>
            <w:r>
              <w:rPr>
                <w:rFonts w:asciiTheme="minorHAnsi" w:hAnsiTheme="minorHAnsi" w:cstheme="minorHAnsi"/>
                <w:sz w:val="22"/>
                <w:szCs w:val="22"/>
              </w:rPr>
              <w:t xml:space="preserve">C.1. Tributos federais </w:t>
            </w:r>
          </w:p>
        </w:tc>
        <w:tc>
          <w:tcPr>
            <w:tcW w:w="3686" w:type="dxa"/>
          </w:tcPr>
          <w:p>
            <w:pPr>
              <w:rPr>
                <w:rFonts w:asciiTheme="minorHAnsi" w:hAnsiTheme="minorHAnsi" w:cstheme="minorHAnsi"/>
                <w:sz w:val="22"/>
                <w:szCs w:val="22"/>
              </w:rPr>
            </w:pPr>
            <w:r>
              <w:rPr>
                <w:rFonts w:asciiTheme="minorHAnsi" w:hAnsiTheme="minorHAnsi" w:cstheme="minorHAnsi"/>
                <w:sz w:val="22"/>
                <w:szCs w:val="22"/>
              </w:rPr>
              <w:t>(PIS = 1,65% e COFINS = 7,65%)</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pPr>
              <w:jc w:val="center"/>
              <w:rPr>
                <w:rFonts w:asciiTheme="minorHAnsi" w:hAnsiTheme="minorHAnsi" w:cstheme="minorHAnsi"/>
                <w:b/>
                <w:bCs/>
                <w:sz w:val="22"/>
                <w:szCs w:val="22"/>
              </w:rPr>
            </w:pP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C.2. Tributos estaduais</w:t>
            </w:r>
          </w:p>
        </w:tc>
        <w:tc>
          <w:tcPr>
            <w:tcW w:w="3686"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(ESPECIFICAR)</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pPr>
              <w:jc w:val="center"/>
              <w:rPr>
                <w:rFonts w:asciiTheme="minorHAnsi" w:hAnsiTheme="minorHAnsi" w:cstheme="minorHAnsi"/>
                <w:b/>
                <w:bCs/>
                <w:sz w:val="22"/>
                <w:szCs w:val="22"/>
              </w:rPr>
            </w:pPr>
          </w:p>
        </w:tc>
        <w:tc>
          <w:tcPr>
            <w:tcW w:w="3114" w:type="dxa"/>
          </w:tcPr>
          <w:p>
            <w:pPr>
              <w:rPr>
                <w:rFonts w:asciiTheme="minorHAnsi" w:hAnsiTheme="minorHAnsi" w:cstheme="minorHAnsi"/>
                <w:sz w:val="22"/>
                <w:szCs w:val="22"/>
              </w:rPr>
            </w:pPr>
            <w:r>
              <w:rPr>
                <w:rFonts w:asciiTheme="minorHAnsi" w:hAnsiTheme="minorHAnsi" w:cstheme="minorHAnsi"/>
                <w:sz w:val="22"/>
                <w:szCs w:val="22"/>
              </w:rPr>
              <w:t>C.3 Tributos municipais</w:t>
            </w:r>
          </w:p>
        </w:tc>
        <w:tc>
          <w:tcPr>
            <w:tcW w:w="3686" w:type="dxa"/>
          </w:tcPr>
          <w:p>
            <w:pPr>
              <w:rPr>
                <w:rFonts w:asciiTheme="minorHAnsi" w:hAnsiTheme="minorHAnsi" w:cstheme="minorHAnsi"/>
                <w:sz w:val="22"/>
                <w:szCs w:val="22"/>
              </w:rPr>
            </w:pPr>
            <w:r>
              <w:rPr>
                <w:rFonts w:asciiTheme="minorHAnsi" w:hAnsiTheme="minorHAnsi" w:cstheme="minorHAnsi"/>
                <w:sz w:val="22"/>
                <w:szCs w:val="22"/>
              </w:rPr>
              <w:t>(ISS = 5,00%)</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pPr>
              <w:jc w:val="center"/>
              <w:rPr>
                <w:rFonts w:asciiTheme="minorHAnsi" w:hAnsiTheme="minorHAnsi" w:cstheme="minorHAnsi"/>
                <w:b/>
                <w:bCs/>
                <w:sz w:val="22"/>
                <w:szCs w:val="22"/>
              </w:rPr>
            </w:pP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Total</w:t>
            </w:r>
          </w:p>
        </w:tc>
        <w:tc>
          <w:tcPr>
            <w:tcW w:w="3686" w:type="dxa"/>
            <w:shd w:val="clear" w:color="auto" w:fill="DBE5F1" w:themeFill="accent1" w:themeFillTint="33"/>
          </w:tcPr>
          <w:p>
            <w:pPr>
              <w:rPr>
                <w:rFonts w:asciiTheme="minorHAnsi" w:hAnsiTheme="minorHAnsi" w:cstheme="minorHAnsi"/>
                <w:sz w:val="22"/>
                <w:szCs w:val="22"/>
              </w:rPr>
            </w:pPr>
          </w:p>
        </w:tc>
      </w:tr>
    </w:tbl>
    <w:p>
      <w:pPr>
        <w:rPr>
          <w:rFonts w:asciiTheme="minorHAnsi" w:hAnsiTheme="minorHAnsi" w:eastAsiaTheme="minorHAnsi" w:cstheme="minorHAnsi"/>
          <w:b/>
          <w:sz w:val="22"/>
          <w:szCs w:val="22"/>
          <w:u w:val="single"/>
          <w:lang w:eastAsia="en-US"/>
        </w:rPr>
      </w:pPr>
    </w:p>
    <w:tbl>
      <w:tblPr>
        <w:tblStyle w:val="70"/>
        <w:tblW w:w="765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3114"/>
        <w:gridCol w:w="3686"/>
      </w:tblGrid>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6</w:t>
            </w:r>
          </w:p>
        </w:tc>
        <w:tc>
          <w:tcPr>
            <w:tcW w:w="31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CUSTOS INDIRETOS, TRIBUTOS E LUCRO PRESUMIDO</w:t>
            </w:r>
          </w:p>
        </w:tc>
        <w:tc>
          <w:tcPr>
            <w:tcW w:w="368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pPr>
              <w:jc w:val="center"/>
              <w:rPr>
                <w:rFonts w:asciiTheme="minorHAnsi" w:hAnsiTheme="minorHAnsi" w:cstheme="minorHAnsi"/>
                <w:b w:val="0"/>
                <w:bCs w:val="0"/>
                <w:color w:val="000000"/>
                <w:sz w:val="22"/>
                <w:szCs w:val="22"/>
              </w:rPr>
            </w:pPr>
            <w:r>
              <w:rPr>
                <w:rFonts w:asciiTheme="minorHAnsi" w:hAnsiTheme="minorHAnsi" w:cstheme="minorHAnsi"/>
                <w:b/>
                <w:bCs/>
                <w:color w:val="000000"/>
                <w:sz w:val="22"/>
                <w:szCs w:val="22"/>
              </w:rPr>
              <w:t xml:space="preserve">MEMÓRIA DE CÁLCULO </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pPr>
              <w:jc w:val="center"/>
              <w:rPr>
                <w:rFonts w:asciiTheme="minorHAnsi" w:hAnsiTheme="minorHAnsi" w:cstheme="minorHAnsi"/>
                <w:b/>
                <w:bCs/>
                <w:sz w:val="22"/>
                <w:szCs w:val="22"/>
              </w:rPr>
            </w:pPr>
            <w:r>
              <w:rPr>
                <w:rFonts w:asciiTheme="minorHAnsi" w:hAnsiTheme="minorHAnsi" w:cstheme="minorHAnsi"/>
                <w:b/>
                <w:bCs/>
                <w:sz w:val="22"/>
                <w:szCs w:val="22"/>
              </w:rPr>
              <w:t>A</w:t>
            </w: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Custos Indiretos</w:t>
            </w:r>
          </w:p>
        </w:tc>
        <w:tc>
          <w:tcPr>
            <w:tcW w:w="3686" w:type="dxa"/>
            <w:shd w:val="clear" w:color="auto" w:fill="DBE5F1" w:themeFill="accent1" w:themeFillTint="33"/>
          </w:tcPr>
          <w:p>
            <w:pPr>
              <w:jc w:val="both"/>
              <w:rPr>
                <w:rFonts w:asciiTheme="minorHAnsi" w:hAnsiTheme="minorHAnsi" w:cstheme="minorHAnsi"/>
                <w:sz w:val="22"/>
                <w:szCs w:val="22"/>
              </w:rPr>
            </w:pPr>
            <w:r>
              <w:rPr>
                <w:rFonts w:asciiTheme="minorHAnsi" w:hAnsiTheme="minorHAnsi" w:cstheme="minorHAnsi"/>
                <w:sz w:val="22"/>
                <w:szCs w:val="22"/>
              </w:rPr>
              <w:t xml:space="preserve">Conforme valor pesquisado, será considerado a alíquota </w:t>
            </w:r>
            <w:r>
              <w:rPr>
                <w:rFonts w:asciiTheme="minorHAnsi" w:hAnsiTheme="minorHAnsi" w:cstheme="minorHAnsi"/>
                <w:b/>
                <w:sz w:val="22"/>
                <w:szCs w:val="22"/>
              </w:rPr>
              <w:t>4,47%</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pPr>
              <w:jc w:val="center"/>
              <w:rPr>
                <w:rFonts w:asciiTheme="minorHAnsi" w:hAnsiTheme="minorHAnsi" w:cstheme="minorHAnsi"/>
                <w:b/>
                <w:bCs/>
                <w:sz w:val="22"/>
                <w:szCs w:val="22"/>
              </w:rPr>
            </w:pPr>
            <w:r>
              <w:rPr>
                <w:rFonts w:asciiTheme="minorHAnsi" w:hAnsiTheme="minorHAnsi" w:cstheme="minorHAnsi"/>
                <w:b/>
                <w:bCs/>
                <w:sz w:val="22"/>
                <w:szCs w:val="22"/>
              </w:rPr>
              <w:t>B</w:t>
            </w:r>
          </w:p>
        </w:tc>
        <w:tc>
          <w:tcPr>
            <w:tcW w:w="3114" w:type="dxa"/>
          </w:tcPr>
          <w:p>
            <w:pPr>
              <w:rPr>
                <w:rFonts w:asciiTheme="minorHAnsi" w:hAnsiTheme="minorHAnsi" w:cstheme="minorHAnsi"/>
                <w:sz w:val="22"/>
                <w:szCs w:val="22"/>
              </w:rPr>
            </w:pPr>
            <w:r>
              <w:rPr>
                <w:rFonts w:asciiTheme="minorHAnsi" w:hAnsiTheme="minorHAnsi" w:cstheme="minorHAnsi"/>
                <w:sz w:val="22"/>
                <w:szCs w:val="22"/>
              </w:rPr>
              <w:t>Lucro</w:t>
            </w:r>
          </w:p>
        </w:tc>
        <w:tc>
          <w:tcPr>
            <w:tcW w:w="3686" w:type="dxa"/>
          </w:tcPr>
          <w:p>
            <w:pPr>
              <w:jc w:val="both"/>
              <w:rPr>
                <w:rFonts w:asciiTheme="minorHAnsi" w:hAnsiTheme="minorHAnsi" w:cstheme="minorHAnsi"/>
                <w:sz w:val="22"/>
                <w:szCs w:val="22"/>
              </w:rPr>
            </w:pPr>
            <w:r>
              <w:rPr>
                <w:rFonts w:asciiTheme="minorHAnsi" w:hAnsiTheme="minorHAnsi" w:cstheme="minorHAnsi"/>
                <w:sz w:val="22"/>
                <w:szCs w:val="22"/>
              </w:rPr>
              <w:t xml:space="preserve">Conforme valor pesquisado, será considerado a alíquota </w:t>
            </w:r>
            <w:r>
              <w:rPr>
                <w:rFonts w:asciiTheme="minorHAnsi" w:hAnsiTheme="minorHAnsi" w:cstheme="minorHAnsi"/>
                <w:b/>
                <w:sz w:val="22"/>
                <w:szCs w:val="22"/>
              </w:rPr>
              <w:t>3,06%</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pPr>
              <w:jc w:val="center"/>
              <w:rPr>
                <w:rFonts w:asciiTheme="minorHAnsi" w:hAnsiTheme="minorHAnsi" w:cstheme="minorHAnsi"/>
                <w:b/>
                <w:bCs/>
                <w:sz w:val="22"/>
                <w:szCs w:val="22"/>
              </w:rPr>
            </w:pPr>
            <w:r>
              <w:rPr>
                <w:rFonts w:asciiTheme="minorHAnsi" w:hAnsiTheme="minorHAnsi" w:cstheme="minorHAnsi"/>
                <w:b/>
                <w:bCs/>
                <w:sz w:val="22"/>
                <w:szCs w:val="22"/>
              </w:rPr>
              <w:t>C</w:t>
            </w: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Tributos</w:t>
            </w:r>
          </w:p>
        </w:tc>
        <w:tc>
          <w:tcPr>
            <w:tcW w:w="3686" w:type="dxa"/>
            <w:shd w:val="clear" w:color="auto" w:fill="DBE5F1" w:themeFill="accent1" w:themeFillTint="33"/>
          </w:tcPr>
          <w:p>
            <w:pPr>
              <w:rPr>
                <w:rFonts w:asciiTheme="minorHAnsi" w:hAnsiTheme="minorHAnsi" w:cstheme="minorHAnsi"/>
                <w:sz w:val="22"/>
                <w:szCs w:val="22"/>
              </w:rPr>
            </w:pP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pPr>
              <w:jc w:val="center"/>
              <w:rPr>
                <w:rFonts w:asciiTheme="minorHAnsi" w:hAnsiTheme="minorHAnsi" w:cstheme="minorHAnsi"/>
                <w:b/>
                <w:bCs/>
                <w:sz w:val="22"/>
                <w:szCs w:val="22"/>
              </w:rPr>
            </w:pPr>
          </w:p>
        </w:tc>
        <w:tc>
          <w:tcPr>
            <w:tcW w:w="3114" w:type="dxa"/>
          </w:tcPr>
          <w:p>
            <w:pPr>
              <w:rPr>
                <w:rFonts w:asciiTheme="minorHAnsi" w:hAnsiTheme="minorHAnsi" w:cstheme="minorHAnsi"/>
                <w:sz w:val="22"/>
                <w:szCs w:val="22"/>
              </w:rPr>
            </w:pPr>
            <w:r>
              <w:rPr>
                <w:rFonts w:asciiTheme="minorHAnsi" w:hAnsiTheme="minorHAnsi" w:cstheme="minorHAnsi"/>
                <w:sz w:val="22"/>
                <w:szCs w:val="22"/>
              </w:rPr>
              <w:t xml:space="preserve">C.1. Tributos federais </w:t>
            </w:r>
          </w:p>
        </w:tc>
        <w:tc>
          <w:tcPr>
            <w:tcW w:w="3686" w:type="dxa"/>
          </w:tcPr>
          <w:p>
            <w:pPr>
              <w:rPr>
                <w:rFonts w:asciiTheme="minorHAnsi" w:hAnsiTheme="minorHAnsi" w:cstheme="minorHAnsi"/>
                <w:sz w:val="22"/>
                <w:szCs w:val="22"/>
              </w:rPr>
            </w:pPr>
            <w:r>
              <w:rPr>
                <w:rFonts w:asciiTheme="minorHAnsi" w:hAnsiTheme="minorHAnsi" w:cstheme="minorHAnsi"/>
                <w:sz w:val="22"/>
                <w:szCs w:val="22"/>
              </w:rPr>
              <w:t>(PIS = 0,65% e COFINS = 3,00%)</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pPr>
              <w:jc w:val="center"/>
              <w:rPr>
                <w:rFonts w:asciiTheme="minorHAnsi" w:hAnsiTheme="minorHAnsi" w:cstheme="minorHAnsi"/>
                <w:b/>
                <w:bCs/>
                <w:sz w:val="22"/>
                <w:szCs w:val="22"/>
              </w:rPr>
            </w:pP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C.2. Tributos estaduais</w:t>
            </w:r>
          </w:p>
        </w:tc>
        <w:tc>
          <w:tcPr>
            <w:tcW w:w="3686"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(ESPECIFICAR)</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pPr>
              <w:jc w:val="center"/>
              <w:rPr>
                <w:rFonts w:asciiTheme="minorHAnsi" w:hAnsiTheme="minorHAnsi" w:cstheme="minorHAnsi"/>
                <w:b/>
                <w:bCs/>
                <w:sz w:val="22"/>
                <w:szCs w:val="22"/>
              </w:rPr>
            </w:pPr>
          </w:p>
        </w:tc>
        <w:tc>
          <w:tcPr>
            <w:tcW w:w="3114" w:type="dxa"/>
          </w:tcPr>
          <w:p>
            <w:pPr>
              <w:rPr>
                <w:rFonts w:asciiTheme="minorHAnsi" w:hAnsiTheme="minorHAnsi" w:cstheme="minorHAnsi"/>
                <w:sz w:val="22"/>
                <w:szCs w:val="22"/>
              </w:rPr>
            </w:pPr>
            <w:r>
              <w:rPr>
                <w:rFonts w:asciiTheme="minorHAnsi" w:hAnsiTheme="minorHAnsi" w:cstheme="minorHAnsi"/>
                <w:sz w:val="22"/>
                <w:szCs w:val="22"/>
              </w:rPr>
              <w:t>C.3 Tributos municipais</w:t>
            </w:r>
          </w:p>
        </w:tc>
        <w:tc>
          <w:tcPr>
            <w:tcW w:w="3686" w:type="dxa"/>
          </w:tcPr>
          <w:p>
            <w:pPr>
              <w:rPr>
                <w:rFonts w:asciiTheme="minorHAnsi" w:hAnsiTheme="minorHAnsi" w:cstheme="minorHAnsi"/>
                <w:sz w:val="22"/>
                <w:szCs w:val="22"/>
              </w:rPr>
            </w:pPr>
            <w:r>
              <w:rPr>
                <w:rFonts w:asciiTheme="minorHAnsi" w:hAnsiTheme="minorHAnsi" w:cstheme="minorHAnsi"/>
                <w:sz w:val="22"/>
                <w:szCs w:val="22"/>
              </w:rPr>
              <w:t>(ISS = 5,00%)</w:t>
            </w:r>
          </w:p>
        </w:tc>
      </w:tr>
      <w:tr>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pPr>
              <w:jc w:val="center"/>
              <w:rPr>
                <w:rFonts w:asciiTheme="minorHAnsi" w:hAnsiTheme="minorHAnsi" w:cstheme="minorHAnsi"/>
                <w:b/>
                <w:bCs/>
                <w:sz w:val="22"/>
                <w:szCs w:val="22"/>
              </w:rPr>
            </w:pPr>
          </w:p>
        </w:tc>
        <w:tc>
          <w:tcPr>
            <w:tcW w:w="3114" w:type="dxa"/>
            <w:shd w:val="clear" w:color="auto" w:fill="DBE5F1" w:themeFill="accent1" w:themeFillTint="33"/>
          </w:tcPr>
          <w:p>
            <w:pPr>
              <w:rPr>
                <w:rFonts w:asciiTheme="minorHAnsi" w:hAnsiTheme="minorHAnsi" w:cstheme="minorHAnsi"/>
                <w:sz w:val="22"/>
                <w:szCs w:val="22"/>
              </w:rPr>
            </w:pPr>
            <w:r>
              <w:rPr>
                <w:rFonts w:asciiTheme="minorHAnsi" w:hAnsiTheme="minorHAnsi" w:cstheme="minorHAnsi"/>
                <w:sz w:val="22"/>
                <w:szCs w:val="22"/>
              </w:rPr>
              <w:t>Total</w:t>
            </w:r>
          </w:p>
        </w:tc>
        <w:tc>
          <w:tcPr>
            <w:tcW w:w="3686" w:type="dxa"/>
            <w:shd w:val="clear" w:color="auto" w:fill="DBE5F1" w:themeFill="accent1" w:themeFillTint="33"/>
          </w:tcPr>
          <w:p>
            <w:pPr>
              <w:rPr>
                <w:rFonts w:asciiTheme="minorHAnsi" w:hAnsiTheme="minorHAnsi" w:cstheme="minorHAnsi"/>
                <w:sz w:val="22"/>
                <w:szCs w:val="22"/>
              </w:rPr>
            </w:pPr>
          </w:p>
        </w:tc>
      </w:tr>
    </w:tbl>
    <w:p>
      <w:pPr>
        <w:rPr>
          <w:rFonts w:asciiTheme="minorHAnsi" w:hAnsiTheme="minorHAnsi" w:eastAsiaTheme="minorHAnsi" w:cstheme="minorHAnsi"/>
          <w:sz w:val="22"/>
          <w:szCs w:val="22"/>
          <w:lang w:eastAsia="en-US"/>
        </w:rPr>
      </w:pPr>
    </w:p>
    <w:p>
      <w:pPr>
        <w:jc w:val="both"/>
        <w:rPr>
          <w:rFonts w:asciiTheme="minorHAnsi" w:hAnsiTheme="minorHAnsi" w:eastAsiaTheme="minorHAnsi" w:cstheme="minorHAnsi"/>
          <w:sz w:val="22"/>
          <w:szCs w:val="22"/>
          <w:lang w:eastAsia="en-US"/>
        </w:rPr>
      </w:pPr>
      <w:r>
        <w:rPr>
          <w:rFonts w:asciiTheme="minorHAnsi" w:hAnsiTheme="minorHAnsi" w:eastAsiaTheme="minorHAnsi" w:cstheme="minorHAnsi"/>
          <w:sz w:val="22"/>
          <w:szCs w:val="22"/>
          <w:lang w:eastAsia="en-US"/>
        </w:rPr>
        <w:t>Para fins de estimativa, os percentuais médios de lucro e custos indiretos foram baseados nos valores praticados nas planilhas de custos por empresas do mesmo ramo de atuação.</w:t>
      </w:r>
    </w:p>
    <w:p>
      <w:pPr>
        <w:jc w:val="both"/>
        <w:rPr>
          <w:rFonts w:asciiTheme="minorHAnsi" w:hAnsiTheme="minorHAnsi" w:eastAsiaTheme="minorHAnsi" w:cstheme="minorHAnsi"/>
          <w:sz w:val="22"/>
          <w:szCs w:val="22"/>
          <w:lang w:eastAsia="en-US"/>
        </w:rPr>
      </w:pPr>
    </w:p>
    <w:p>
      <w:pPr>
        <w:spacing w:line="276" w:lineRule="auto"/>
        <w:jc w:val="both"/>
        <w:rPr>
          <w:rFonts w:asciiTheme="minorHAnsi" w:hAnsiTheme="minorHAnsi" w:cstheme="minorHAnsi"/>
          <w:b/>
          <w:sz w:val="22"/>
          <w:szCs w:val="22"/>
          <w:u w:val="single"/>
        </w:rPr>
      </w:pPr>
      <w:bookmarkStart w:id="0" w:name="_Hlk33226609"/>
      <w:r>
        <w:rPr>
          <w:rFonts w:asciiTheme="minorHAnsi" w:hAnsiTheme="minorHAnsi" w:cstheme="minorHAnsi"/>
          <w:b/>
          <w:sz w:val="22"/>
          <w:szCs w:val="22"/>
          <w:u w:val="single"/>
        </w:rPr>
        <w:t>CÁLCULO CUSTOS INDIRETOS:</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sz w:val="22"/>
          <w:szCs w:val="22"/>
        </w:rPr>
        <w:t>Cálculo: (Módulo 1 + Módulo 2 + Módulo 3 + Módulo 4 + Módulo 5) x % custos indiretos (média praticada pelas empresas do setor)</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bookmarkStart w:id="1" w:name="_Hlk34141936"/>
      <w:r>
        <w:rPr>
          <w:rFonts w:asciiTheme="minorHAnsi" w:hAnsiTheme="minorHAnsi" w:cstheme="minorHAnsi"/>
          <w:sz w:val="22"/>
          <w:szCs w:val="22"/>
        </w:rPr>
        <w:t>Proposta 1 (Pregão Eletrônico 11/2020 – UASG 150182) – Ctesa = 4,11%</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6/2020 – UASG 150182) – Orbenk = 5%</w:t>
      </w: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4,47%</w:t>
      </w:r>
    </w:p>
    <w:bookmarkEnd w:id="1"/>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u w:val="single"/>
        </w:rPr>
      </w:pPr>
      <w:r>
        <w:rPr>
          <w:rFonts w:asciiTheme="minorHAnsi" w:hAnsiTheme="minorHAnsi" w:cstheme="minorHAnsi"/>
          <w:b/>
          <w:sz w:val="22"/>
          <w:szCs w:val="22"/>
          <w:u w:val="single"/>
        </w:rPr>
        <w:t>CÁLCULO LUCRO:</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sz w:val="22"/>
          <w:szCs w:val="22"/>
        </w:rPr>
        <w:t>Cálculo: (Módulo 1 + Módulo 2 + Módulo 3 + Módulo 4 + Módulo 5 + Módulo 6-A) x % lucro (média praticada pelas empresas do setor)</w:t>
      </w:r>
    </w:p>
    <w:p>
      <w:pPr>
        <w:spacing w:line="276" w:lineRule="auto"/>
        <w:jc w:val="both"/>
        <w:rPr>
          <w:rFonts w:asciiTheme="minorHAnsi" w:hAnsiTheme="minorHAnsi" w:cstheme="minorHAnsi"/>
          <w:sz w:val="22"/>
          <w:szCs w:val="22"/>
        </w:rPr>
      </w:pPr>
    </w:p>
    <w:bookmarkEnd w:id="0"/>
    <w:p>
      <w:pPr>
        <w:spacing w:line="276" w:lineRule="auto"/>
        <w:jc w:val="both"/>
        <w:rPr>
          <w:rFonts w:asciiTheme="minorHAnsi" w:hAnsiTheme="minorHAnsi" w:cstheme="minorHAnsi"/>
          <w:sz w:val="22"/>
          <w:szCs w:val="22"/>
        </w:rPr>
      </w:pPr>
      <w:bookmarkStart w:id="2" w:name="_Hlk34141943"/>
      <w:r>
        <w:rPr>
          <w:rFonts w:asciiTheme="minorHAnsi" w:hAnsiTheme="minorHAnsi" w:cstheme="minorHAnsi"/>
          <w:sz w:val="22"/>
          <w:szCs w:val="22"/>
        </w:rPr>
        <w:t>Proposta 1 (Pregão Eletrônico 11/2020 – UASG 150182) – Ctesa = 2,00%</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6/2020 – UASG 150182) – Orbenk = 2,43%</w:t>
      </w:r>
    </w:p>
    <w:p>
      <w:pPr>
        <w:spacing w:line="276" w:lineRule="auto"/>
        <w:jc w:val="both"/>
        <w:rPr>
          <w:rFonts w:asciiTheme="minorHAnsi" w:hAnsiTheme="minorHAnsi" w:cstheme="minorHAnsi"/>
          <w:b/>
          <w:sz w:val="22"/>
          <w:szCs w:val="22"/>
        </w:rPr>
      </w:pPr>
    </w:p>
    <w:p>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3,06%</w:t>
      </w:r>
    </w:p>
    <w:bookmarkEnd w:id="2"/>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b/>
          <w:sz w:val="22"/>
          <w:szCs w:val="22"/>
          <w:u w:val="single"/>
        </w:rPr>
      </w:pPr>
      <w:r>
        <w:rPr>
          <w:rFonts w:asciiTheme="minorHAnsi" w:hAnsiTheme="minorHAnsi" w:cstheme="minorHAnsi"/>
          <w:b/>
          <w:sz w:val="22"/>
          <w:szCs w:val="22"/>
          <w:u w:val="single"/>
        </w:rPr>
        <w:t>CÁLCULO TRIBUTOS:</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i/>
          <w:sz w:val="22"/>
          <w:szCs w:val="22"/>
        </w:rPr>
        <w:t>Fator de divisão</w:t>
      </w:r>
      <w:r>
        <w:rPr>
          <w:rFonts w:asciiTheme="minorHAnsi" w:hAnsiTheme="minorHAnsi" w:cstheme="minorHAnsi"/>
          <w:sz w:val="22"/>
          <w:szCs w:val="22"/>
        </w:rPr>
        <w:t>: 1 – (Alíquota do PIS + Alíquota da COFINS + Alíquota do ISS) : 100</w:t>
      </w:r>
    </w:p>
    <w:p>
      <w:pPr>
        <w:spacing w:line="276" w:lineRule="auto"/>
        <w:jc w:val="both"/>
        <w:rPr>
          <w:rFonts w:asciiTheme="minorHAnsi" w:hAnsiTheme="minorHAnsi" w:cstheme="minorHAnsi"/>
          <w:sz w:val="22"/>
          <w:szCs w:val="22"/>
        </w:rPr>
      </w:pPr>
    </w:p>
    <w:p>
      <w:pPr>
        <w:spacing w:line="276" w:lineRule="auto"/>
        <w:jc w:val="both"/>
        <w:rPr>
          <w:rFonts w:asciiTheme="minorHAnsi" w:hAnsiTheme="minorHAnsi" w:cstheme="minorHAnsi"/>
          <w:sz w:val="22"/>
          <w:szCs w:val="22"/>
        </w:rPr>
      </w:pPr>
      <w:r>
        <w:rPr>
          <w:rFonts w:asciiTheme="minorHAnsi" w:hAnsiTheme="minorHAnsi" w:cstheme="minorHAnsi"/>
          <w:b/>
          <w:color w:val="FF0000"/>
          <w:sz w:val="22"/>
          <w:szCs w:val="22"/>
        </w:rPr>
        <w:t>Base de Cálculo:</w:t>
      </w:r>
      <w:r>
        <w:rPr>
          <w:rFonts w:asciiTheme="minorHAnsi" w:hAnsiTheme="minorHAnsi" w:cstheme="minorHAnsi"/>
          <w:color w:val="FF0000"/>
          <w:sz w:val="22"/>
          <w:szCs w:val="22"/>
        </w:rPr>
        <w:t xml:space="preserve"> </w:t>
      </w:r>
      <w:r>
        <w:rPr>
          <w:rFonts w:asciiTheme="minorHAnsi" w:hAnsiTheme="minorHAnsi" w:cstheme="minorHAnsi"/>
          <w:sz w:val="22"/>
          <w:szCs w:val="22"/>
        </w:rPr>
        <w:t>(Módulo 1 + Módulo 2 + Módulo 3 + Módulo 4 + Módulo 5 + Módulo 6-A + Modulo 6-B) : Fator de Divisão</w:t>
      </w:r>
    </w:p>
    <w:p>
      <w:pPr>
        <w:spacing w:line="276" w:lineRule="auto"/>
        <w:jc w:val="both"/>
        <w:rPr>
          <w:rFonts w:asciiTheme="minorHAnsi" w:hAnsiTheme="minorHAnsi" w:eastAsiaTheme="minorHAnsi" w:cstheme="minorHAnsi"/>
          <w:sz w:val="22"/>
          <w:szCs w:val="22"/>
          <w:highlight w:val="yellow"/>
          <w:lang w:eastAsia="en-US"/>
        </w:rPr>
      </w:pPr>
    </w:p>
    <w:p>
      <w:pPr>
        <w:jc w:val="center"/>
        <w:rPr>
          <w:rFonts w:asciiTheme="minorHAnsi" w:hAnsiTheme="minorHAnsi" w:cstheme="minorHAnsi"/>
          <w:b/>
          <w:sz w:val="22"/>
          <w:szCs w:val="22"/>
        </w:rPr>
      </w:pPr>
      <w:r>
        <w:rPr>
          <w:rFonts w:asciiTheme="minorHAnsi" w:hAnsiTheme="minorHAnsi" w:cstheme="minorHAnsi"/>
          <w:b/>
          <w:sz w:val="22"/>
          <w:szCs w:val="22"/>
        </w:rPr>
        <w:t>Cálculo tributos federais: Base de cálculo x alíquota (PIS e COFINS)</w:t>
      </w:r>
    </w:p>
    <w:p>
      <w:pPr>
        <w:jc w:val="center"/>
        <w:rPr>
          <w:rFonts w:asciiTheme="minorHAnsi" w:hAnsiTheme="minorHAnsi" w:cstheme="minorHAnsi"/>
          <w:b/>
          <w:sz w:val="22"/>
          <w:szCs w:val="22"/>
        </w:rPr>
      </w:pPr>
      <w:r>
        <w:rPr>
          <w:rFonts w:asciiTheme="minorHAnsi" w:hAnsiTheme="minorHAnsi" w:cstheme="minorHAnsi"/>
          <w:b/>
          <w:sz w:val="22"/>
          <w:szCs w:val="22"/>
        </w:rPr>
        <w:t>Cálculo tributos municipais: Base de cálculo x alíquota (ISS)</w:t>
      </w:r>
    </w:p>
    <w:p>
      <w:pPr>
        <w:jc w:val="center"/>
        <w:rPr>
          <w:rFonts w:asciiTheme="minorHAnsi" w:hAnsiTheme="minorHAnsi" w:eastAsiaTheme="minorHAnsi" w:cstheme="minorHAnsi"/>
          <w:b/>
          <w:sz w:val="22"/>
          <w:szCs w:val="22"/>
          <w:lang w:eastAsia="en-US"/>
        </w:rPr>
      </w:pPr>
    </w:p>
    <w:p>
      <w:pPr>
        <w:jc w:val="both"/>
        <w:rPr>
          <w:rFonts w:asciiTheme="minorHAnsi" w:hAnsiTheme="minorHAnsi" w:eastAsiaTheme="minorHAnsi" w:cstheme="minorHAnsi"/>
          <w:sz w:val="22"/>
          <w:szCs w:val="22"/>
          <w:lang w:eastAsia="en-US"/>
        </w:rPr>
      </w:pPr>
    </w:p>
    <w:p>
      <w:pPr>
        <w:spacing w:line="276" w:lineRule="auto"/>
        <w:jc w:val="both"/>
        <w:rPr>
          <w:rFonts w:asciiTheme="minorHAnsi" w:hAnsiTheme="minorHAnsi" w:eastAsiaTheme="minorHAnsi" w:cstheme="minorHAnsi"/>
          <w:b/>
          <w:sz w:val="22"/>
          <w:szCs w:val="22"/>
          <w:u w:val="single"/>
          <w:lang w:eastAsia="en-US"/>
        </w:rPr>
      </w:pPr>
      <w:r>
        <w:rPr>
          <w:rFonts w:asciiTheme="minorHAnsi" w:hAnsiTheme="minorHAnsi" w:eastAsiaTheme="minorHAnsi" w:cstheme="minorHAnsi"/>
          <w:b/>
          <w:sz w:val="22"/>
          <w:szCs w:val="22"/>
          <w:u w:val="single"/>
          <w:lang w:eastAsia="en-US"/>
        </w:rPr>
        <w:t>Tributação</w:t>
      </w:r>
    </w:p>
    <w:p>
      <w:pPr>
        <w:spacing w:line="276" w:lineRule="auto"/>
        <w:jc w:val="both"/>
        <w:rPr>
          <w:rFonts w:ascii="Calibri" w:hAnsi="Calibri" w:cs="Arial" w:eastAsiaTheme="minorHAnsi"/>
          <w:sz w:val="22"/>
          <w:szCs w:val="22"/>
          <w:lang w:eastAsia="en-US"/>
        </w:rPr>
      </w:pPr>
    </w:p>
    <w:p>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pPr>
        <w:spacing w:line="276" w:lineRule="auto"/>
        <w:jc w:val="both"/>
        <w:rPr>
          <w:rFonts w:cs="Arial" w:asciiTheme="minorHAnsi" w:hAnsiTheme="minorHAnsi" w:eastAsiaTheme="minorHAnsi"/>
          <w:sz w:val="22"/>
          <w:szCs w:val="22"/>
          <w:lang w:eastAsia="en-US"/>
        </w:rPr>
      </w:pPr>
    </w:p>
    <w:p>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pPr>
        <w:spacing w:line="276" w:lineRule="auto"/>
        <w:jc w:val="both"/>
        <w:rPr>
          <w:rFonts w:cs="Arial" w:asciiTheme="minorHAnsi" w:hAnsiTheme="minorHAnsi"/>
          <w:b/>
          <w:sz w:val="22"/>
          <w:szCs w:val="22"/>
        </w:rPr>
      </w:pPr>
    </w:p>
    <w:p>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pPr>
        <w:spacing w:line="276" w:lineRule="auto"/>
        <w:jc w:val="both"/>
        <w:rPr>
          <w:rFonts w:cs="Arial" w:asciiTheme="minorHAnsi" w:hAnsiTheme="minorHAnsi"/>
          <w:sz w:val="22"/>
          <w:szCs w:val="22"/>
        </w:rPr>
      </w:pPr>
    </w:p>
    <w:p>
      <w:pPr>
        <w:shd w:val="clear" w:color="auto" w:fill="FFFFFF"/>
        <w:spacing w:line="276" w:lineRule="auto"/>
        <w:jc w:val="both"/>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pPr>
        <w:widowControl w:val="0"/>
        <w:tabs>
          <w:tab w:val="left" w:pos="1560"/>
        </w:tabs>
        <w:spacing w:line="276" w:lineRule="auto"/>
        <w:ind w:left="1224"/>
        <w:jc w:val="both"/>
        <w:rPr>
          <w:rFonts w:ascii="Calibri" w:hAnsi="Calibri" w:eastAsia="Lucida Sans Unicode"/>
          <w:kern w:val="2"/>
          <w:sz w:val="22"/>
          <w:szCs w:val="22"/>
        </w:rPr>
      </w:pPr>
    </w:p>
    <w:p>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pPr>
        <w:widowControl w:val="0"/>
        <w:spacing w:line="276" w:lineRule="auto"/>
        <w:ind w:left="708"/>
        <w:jc w:val="both"/>
        <w:rPr>
          <w:rFonts w:ascii="Calibri" w:hAnsi="Calibri" w:eastAsia="Lucida Sans Unicode"/>
          <w:kern w:val="2"/>
          <w:sz w:val="22"/>
          <w:szCs w:val="22"/>
        </w:rPr>
      </w:pPr>
    </w:p>
    <w:p>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panose1 w:val="02040503050203030202"/>
    <w:charset w:val="00"/>
    <w:family w:val="roman"/>
    <w:pitch w:val="default"/>
    <w:sig w:usb0="00008003"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t>____________________________________________________________________</w:t>
    </w:r>
  </w:p>
  <w:p>
    <w:pPr>
      <w:pStyle w:val="22"/>
      <w:jc w:val="center"/>
      <w:rPr>
        <w:i/>
      </w:rPr>
    </w:pPr>
    <w:r>
      <w:rPr>
        <w:sz w:val="12"/>
        <w:szCs w:val="12"/>
      </w:rPr>
      <w:t>Anexo IX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fldChar w:fldCharType="begin"/>
    </w:r>
    <w:r>
      <w:rPr>
        <w:rStyle w:val="13"/>
        <w:rFonts w:ascii="Verdana" w:hAnsi="Verdana" w:eastAsia="MS Gothic"/>
        <w:sz w:val="16"/>
        <w:szCs w:val="16"/>
      </w:rPr>
      <w:instrText xml:space="preserve"> PAGE </w:instrText>
    </w:r>
    <w:r>
      <w:rPr>
        <w:rStyle w:val="13"/>
        <w:rFonts w:ascii="Verdana" w:hAnsi="Verdana" w:eastAsia="MS Gothic"/>
        <w:sz w:val="16"/>
        <w:szCs w:val="16"/>
      </w:rPr>
      <w:fldChar w:fldCharType="separate"/>
    </w:r>
    <w:r>
      <w:rPr>
        <w:rStyle w:val="13"/>
        <w:rFonts w:ascii="Verdana" w:hAnsi="Verdana" w:eastAsia="MS Gothic"/>
        <w:sz w:val="16"/>
        <w:szCs w:val="16"/>
      </w:rPr>
      <w:t>1</w:t>
    </w:r>
    <w:r>
      <w:rPr>
        <w:rStyle w:val="13"/>
        <w:rFonts w:ascii="Verdana" w:hAnsi="Verdana" w:eastAsia="MS Gothic"/>
        <w:sz w:val="16"/>
        <w:szCs w:val="16"/>
      </w:rPr>
      <w:fldChar w:fldCharType="end"/>
    </w:r>
    <w:r>
      <w:rPr>
        <w:rStyle w:val="13"/>
        <w:rFonts w:ascii="Verdana" w:hAnsi="Verdana" w:eastAsia="MS Gothic"/>
        <w:sz w:val="16"/>
        <w:szCs w:val="16"/>
      </w:rPr>
      <w:t>/</w:t>
    </w:r>
    <w:r>
      <w:rPr>
        <w:rStyle w:val="13"/>
        <w:rFonts w:ascii="Verdana" w:hAnsi="Verdana" w:eastAsia="MS Gothic"/>
        <w:sz w:val="16"/>
        <w:szCs w:val="16"/>
      </w:rPr>
      <w:fldChar w:fldCharType="begin"/>
    </w:r>
    <w:r>
      <w:rPr>
        <w:rStyle w:val="13"/>
        <w:rFonts w:ascii="Verdana" w:hAnsi="Verdana" w:eastAsia="MS Gothic"/>
        <w:sz w:val="16"/>
        <w:szCs w:val="16"/>
      </w:rPr>
      <w:instrText xml:space="preserve"> NUMPAGES </w:instrText>
    </w:r>
    <w:r>
      <w:rPr>
        <w:rStyle w:val="13"/>
        <w:rFonts w:ascii="Verdana" w:hAnsi="Verdana" w:eastAsia="MS Gothic"/>
        <w:sz w:val="16"/>
        <w:szCs w:val="16"/>
      </w:rPr>
      <w:fldChar w:fldCharType="separate"/>
    </w:r>
    <w:r>
      <w:rPr>
        <w:rStyle w:val="13"/>
        <w:rFonts w:ascii="Verdana" w:hAnsi="Verdana" w:eastAsia="MS Gothic"/>
        <w:sz w:val="16"/>
        <w:szCs w:val="16"/>
      </w:rPr>
      <w:t>48</w:t>
    </w:r>
    <w:r>
      <w:rPr>
        <w:rStyle w:val="13"/>
        <w:rFonts w:ascii="Verdana" w:hAnsi="Verdana" w:eastAsia="MS Gothic"/>
        <w:sz w:val="16"/>
        <w:szCs w:val="16"/>
      </w:rPr>
      <w:fldChar w:fldCharType="end"/>
    </w:r>
  </w:p>
  <w:p>
    <w:pPr>
      <w:pStyle w:val="22"/>
      <w:rPr>
        <w:sz w:val="12"/>
        <w:szCs w:val="12"/>
      </w:rPr>
    </w:pPr>
  </w:p>
  <w:p>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rFonts w:asciiTheme="minorHAnsi" w:hAnsiTheme="minorHAnsi"/>
        <w:sz w:val="16"/>
        <w:szCs w:val="16"/>
      </w:rPr>
    </w:pPr>
    <w:r>
      <w:drawing>
        <wp:anchor distT="0" distB="0" distL="0" distR="0" simplePos="0" relativeHeight="251659264"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23069.154035/2022-92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5F14"/>
    <w:rsid w:val="0007091C"/>
    <w:rsid w:val="00081D06"/>
    <w:rsid w:val="000904BD"/>
    <w:rsid w:val="00096953"/>
    <w:rsid w:val="000D4F19"/>
    <w:rsid w:val="000E60C1"/>
    <w:rsid w:val="00123C6D"/>
    <w:rsid w:val="00133CD1"/>
    <w:rsid w:val="0014616A"/>
    <w:rsid w:val="00150333"/>
    <w:rsid w:val="00150365"/>
    <w:rsid w:val="001776C1"/>
    <w:rsid w:val="001A0C8E"/>
    <w:rsid w:val="001E2FC4"/>
    <w:rsid w:val="00215289"/>
    <w:rsid w:val="0022215B"/>
    <w:rsid w:val="00240C8D"/>
    <w:rsid w:val="002A026D"/>
    <w:rsid w:val="002B5411"/>
    <w:rsid w:val="002D642D"/>
    <w:rsid w:val="002F73F4"/>
    <w:rsid w:val="00305EF4"/>
    <w:rsid w:val="003150FF"/>
    <w:rsid w:val="00327BF6"/>
    <w:rsid w:val="0035251D"/>
    <w:rsid w:val="0036420B"/>
    <w:rsid w:val="003D2A1B"/>
    <w:rsid w:val="003D49C1"/>
    <w:rsid w:val="003F53BE"/>
    <w:rsid w:val="0043494E"/>
    <w:rsid w:val="00453329"/>
    <w:rsid w:val="00481D1C"/>
    <w:rsid w:val="004933EB"/>
    <w:rsid w:val="004970A7"/>
    <w:rsid w:val="00497457"/>
    <w:rsid w:val="00497757"/>
    <w:rsid w:val="00553468"/>
    <w:rsid w:val="005E5BE8"/>
    <w:rsid w:val="00620058"/>
    <w:rsid w:val="00664443"/>
    <w:rsid w:val="00694321"/>
    <w:rsid w:val="006B3F03"/>
    <w:rsid w:val="006C0732"/>
    <w:rsid w:val="007217B8"/>
    <w:rsid w:val="00757BF8"/>
    <w:rsid w:val="007643DE"/>
    <w:rsid w:val="007B0AD0"/>
    <w:rsid w:val="007F4CE0"/>
    <w:rsid w:val="0084079B"/>
    <w:rsid w:val="0087146E"/>
    <w:rsid w:val="008777D9"/>
    <w:rsid w:val="008A6FF3"/>
    <w:rsid w:val="008C1B2B"/>
    <w:rsid w:val="008C7275"/>
    <w:rsid w:val="008F098C"/>
    <w:rsid w:val="00971AE6"/>
    <w:rsid w:val="009C11A6"/>
    <w:rsid w:val="00A3710D"/>
    <w:rsid w:val="00AB4C79"/>
    <w:rsid w:val="00AC0F0D"/>
    <w:rsid w:val="00AD06CA"/>
    <w:rsid w:val="00B826A4"/>
    <w:rsid w:val="00BC1110"/>
    <w:rsid w:val="00BE1D75"/>
    <w:rsid w:val="00BF761A"/>
    <w:rsid w:val="00C85F08"/>
    <w:rsid w:val="00C86FD7"/>
    <w:rsid w:val="00CC4061"/>
    <w:rsid w:val="00CD5693"/>
    <w:rsid w:val="00CE38FA"/>
    <w:rsid w:val="00CE6594"/>
    <w:rsid w:val="00CF30B1"/>
    <w:rsid w:val="00DA53E7"/>
    <w:rsid w:val="00E16A83"/>
    <w:rsid w:val="00E81338"/>
    <w:rsid w:val="00E86285"/>
    <w:rsid w:val="00E97BDA"/>
    <w:rsid w:val="00F136AD"/>
    <w:rsid w:val="00F20F4E"/>
    <w:rsid w:val="00F6782F"/>
    <w:rsid w:val="00F74944"/>
    <w:rsid w:val="00F94D2F"/>
    <w:rsid w:val="00F95B53"/>
    <w:rsid w:val="00FA021E"/>
    <w:rsid w:val="4FA150C4"/>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Cs w:val="20"/>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semiHidden/>
    <w:unhideWhenUsed/>
    <w:uiPriority w:val="99"/>
    <w:rPr>
      <w:color w:val="0000FF"/>
      <w:u w:val="single"/>
    </w:rPr>
  </w:style>
  <w:style w:type="character" w:styleId="13">
    <w:name w:val="page number"/>
    <w:uiPriority w:val="0"/>
  </w:style>
  <w:style w:type="paragraph" w:styleId="14">
    <w:name w:val="List"/>
    <w:basedOn w:val="15"/>
    <w:uiPriority w:val="0"/>
    <w:rPr>
      <w:rFonts w:cs="Arial"/>
    </w:rPr>
  </w:style>
  <w:style w:type="paragraph" w:styleId="15">
    <w:name w:val="Body Text"/>
    <w:basedOn w:val="1"/>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uiPriority w:val="99"/>
  </w:style>
  <w:style w:type="paragraph" w:styleId="26">
    <w:name w:val="Body Text Indent"/>
    <w:basedOn w:val="1"/>
    <w:link w:val="29"/>
    <w:uiPriority w:val="0"/>
    <w:pPr>
      <w:ind w:left="426" w:hanging="426"/>
    </w:pPr>
  </w:style>
  <w:style w:type="table" w:styleId="27">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szCs w:val="2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Grid Table 4 Accent 1"/>
    <w:basedOn w:val="7"/>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7D3BF1-7DA1-43AD-976B-C78E5832B02B}">
  <ds:schemaRefs/>
</ds:datastoreItem>
</file>

<file path=docProps/app.xml><?xml version="1.0" encoding="utf-8"?>
<Properties xmlns="http://schemas.openxmlformats.org/officeDocument/2006/extended-properties" xmlns:vt="http://schemas.openxmlformats.org/officeDocument/2006/docPropsVTypes">
  <Template>Normal</Template>
  <Pages>10</Pages>
  <Words>3017</Words>
  <Characters>16294</Characters>
  <Lines>135</Lines>
  <Paragraphs>38</Paragraphs>
  <TotalTime>4</TotalTime>
  <ScaleCrop>false</ScaleCrop>
  <LinksUpToDate>false</LinksUpToDate>
  <CharactersWithSpaces>19273</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2022-03-13T04:32:00Z</dcterms:created>
  <dc:creator>bteixeira</dc:creator>
  <cp:lastModifiedBy>Juliana Borsoi</cp:lastModifiedBy>
  <cp:lastPrinted>2022-03-13T04:48:00Z</cp:lastPrinted>
  <dcterms:modified xsi:type="dcterms:W3CDTF">2022-05-04T12:58:09Z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1046-11.2.0.11074</vt:lpwstr>
  </property>
  <property fmtid="{D5CDD505-2E9C-101B-9397-08002B2CF9AE}" pid="9" name="ICV">
    <vt:lpwstr>540E76FC2A004F849CD128D2EC0E8773</vt:lpwstr>
  </property>
</Properties>
</file>