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pPr>
        <w:keepNext/>
        <w:keepLine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pPr>
        <w:pStyle w:val="2"/>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pPr>
        <w:keepNext/>
        <w:keepLine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pPr>
        <w:keepNext/>
        <w:keepLines/>
        <w:spacing w:after="120" w:line="276" w:lineRule="auto"/>
        <w:ind w:left="567" w:right="-15" w:hanging="567"/>
        <w:contextualSpacing/>
        <w:rPr>
          <w:rFonts w:asciiTheme="minorHAnsi" w:hAnsiTheme="minorHAnsi" w:cstheme="minorHAnsi"/>
          <w:b/>
          <w:bCs/>
          <w:sz w:val="22"/>
          <w:szCs w:val="22"/>
        </w:rPr>
      </w:pPr>
    </w:p>
    <w:p>
      <w:pPr>
        <w:pStyle w:val="29"/>
        <w:keepNext/>
        <w:keepLines/>
        <w:ind w:left="567" w:hanging="567"/>
        <w:contextualSpacing/>
        <w:rPr>
          <w:rFonts w:asciiTheme="minorHAnsi" w:hAnsiTheme="minorHAnsi" w:cstheme="minorHAnsi"/>
          <w:b/>
          <w:bCs/>
          <w:sz w:val="22"/>
          <w:szCs w:val="22"/>
        </w:rPr>
      </w:pPr>
    </w:p>
    <w:p>
      <w:pPr>
        <w:keepNext/>
        <w:keepLine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VII – PE. </w:t>
      </w:r>
      <w:r>
        <w:rPr>
          <w:rFonts w:hint="default" w:asciiTheme="minorHAnsi" w:hAnsiTheme="minorHAnsi" w:cstheme="minorHAnsi"/>
          <w:b/>
          <w:bCs/>
          <w:color w:val="FF0000"/>
          <w:sz w:val="22"/>
          <w:szCs w:val="22"/>
          <w:lang w:val="pt-BR"/>
        </w:rPr>
        <w:t>32</w:t>
      </w:r>
      <w:r>
        <w:rPr>
          <w:rFonts w:asciiTheme="minorHAnsi" w:hAnsiTheme="minorHAnsi" w:cstheme="minorHAnsi"/>
          <w:b/>
          <w:bCs/>
          <w:color w:val="FF0000"/>
          <w:sz w:val="22"/>
          <w:szCs w:val="22"/>
        </w:rPr>
        <w:t>/2023 – MINUTA DO TERMO DE CONTRATO</w:t>
      </w:r>
    </w:p>
    <w:p>
      <w:pPr>
        <w:keepNext/>
        <w:keepLine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t>23069.152636/2023-41</w:t>
      </w:r>
      <w:r>
        <w:rPr>
          <w:rFonts w:asciiTheme="minorHAnsi" w:hAnsiTheme="minorHAnsi" w:cstheme="minorHAnsi"/>
          <w:bCs/>
          <w:sz w:val="22"/>
          <w:szCs w:val="22"/>
        </w:rPr>
        <w:t>)</w:t>
      </w:r>
    </w:p>
    <w:p>
      <w:pPr>
        <w:pStyle w:val="504"/>
        <w:keepNext/>
        <w:keepLine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pPr>
        <w:keepNext/>
        <w:keepLine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t xml:space="preserve">23069.152636/2023-41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32</w:t>
      </w:r>
      <w:bookmarkStart w:id="9" w:name="_GoBack"/>
      <w:bookmarkEnd w:id="9"/>
      <w:r>
        <w:rPr>
          <w:rFonts w:eastAsia="Arial" w:asciiTheme="minorHAnsi" w:hAnsiTheme="minorHAnsi" w:cstheme="minorHAnsi"/>
          <w:i/>
          <w:iCs/>
          <w:sz w:val="22"/>
          <w:szCs w:val="22"/>
        </w:rPr>
        <w:t>/2023,</w:t>
      </w:r>
      <w:r>
        <w:rPr>
          <w:rFonts w:eastAsia="Arial" w:asciiTheme="minorHAnsi" w:hAnsiTheme="minorHAnsi" w:cstheme="minorHAnsi"/>
          <w:sz w:val="22"/>
          <w:szCs w:val="22"/>
        </w:rPr>
        <w:t xml:space="preserve"> mediante as cláusulas e condições a seguir enunciadas.</w:t>
      </w:r>
    </w:p>
    <w:p>
      <w:pPr>
        <w:pStyle w:val="78"/>
        <w:keepNext/>
        <w:keepLines/>
        <w:numPr>
          <w:ilvl w:val="0"/>
          <w:numId w:val="8"/>
        </w:numPr>
        <w:spacing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pPr>
        <w:keepNext/>
        <w:keepLines/>
        <w:numPr>
          <w:ilvl w:val="1"/>
          <w:numId w:val="8"/>
        </w:numPr>
        <w:pBdr>
          <w:top w:val="none" w:color="auto" w:sz="0" w:space="0"/>
          <w:left w:val="none" w:color="auto" w:sz="0" w:space="0"/>
          <w:bottom w:val="none" w:color="auto" w:sz="0" w:space="0"/>
          <w:right w:val="none" w:color="auto" w:sz="0" w:space="0"/>
          <w:between w:val="none" w:color="auto" w:sz="0" w:space="0"/>
        </w:pBdr>
        <w:tabs>
          <w:tab w:val="left" w:pos="851"/>
          <w:tab w:val="left" w:pos="1276"/>
        </w:tabs>
        <w:suppressAutoHyphens w:val="0"/>
        <w:spacing w:after="288" w:afterLines="120" w:line="312" w:lineRule="auto"/>
        <w:ind w:left="567" w:right="53" w:hanging="567"/>
        <w:contextualSpacing/>
        <w:jc w:val="both"/>
        <w:rPr>
          <w:rFonts w:asciiTheme="minorHAnsi" w:hAnsiTheme="minorHAnsi" w:cstheme="minorHAnsi"/>
          <w:sz w:val="22"/>
          <w:szCs w:val="22"/>
        </w:rPr>
      </w:pPr>
      <w:r>
        <w:rPr>
          <w:rFonts w:eastAsia="Arial" w:asciiTheme="minorHAnsi" w:hAnsiTheme="minorHAnsi" w:cstheme="minorHAnsi"/>
          <w:sz w:val="22"/>
          <w:szCs w:val="22"/>
        </w:rPr>
        <w:t>Contratação de empresa especializada em serviço de mão de obra em alimentação coletiva, com dedicação exclusiva e de forma continuada, por meio de operacionalização e desenvolvimento das atividades de apoio envolvidas na produção e distribuição de refeições do Restaurante Universitário (RU) e seus refeitórios externos, vinculados à Pró-Reitoria de Assuntos Estudantis (PROAES) da Universidade Federal Fluminense (UFF), bem como das dependências das Unidades de Alimentação e Nutrição do Colégio Universitário Geraldo Reis (Unidade sede e subunidade Educação Infantil) a serem prestados em imóveis da UFF, situados no Município de Niterói, no Estado do Rio de Janeiro, conforme condições, quantidades e exigências estabelecidas neste instrumento.</w:t>
      </w:r>
    </w:p>
    <w:p>
      <w:pPr>
        <w:keepNext/>
        <w:keepLines/>
        <w:contextualSpacing/>
        <w:rPr>
          <w:rFonts w:asciiTheme="minorHAnsi" w:hAnsiTheme="minorHAnsi" w:cstheme="minorHAnsi"/>
          <w:color w:val="000000"/>
          <w:sz w:val="22"/>
          <w:szCs w:val="22"/>
        </w:rPr>
      </w:pPr>
      <w:r>
        <w:rPr>
          <w:rFonts w:asciiTheme="minorHAnsi" w:hAnsiTheme="minorHAnsi" w:cstheme="minorHAnsi"/>
          <w:sz w:val="22"/>
          <w:szCs w:val="22"/>
        </w:rPr>
        <w:br w:type="page"/>
      </w:r>
    </w:p>
    <w:p>
      <w:pPr>
        <w:pStyle w:val="99"/>
        <w:keepNext/>
        <w:keepLines/>
        <w:numPr>
          <w:ilvl w:val="1"/>
          <w:numId w:val="8"/>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Objeto da contratação:</w:t>
      </w:r>
    </w:p>
    <w:p>
      <w:pPr>
        <w:pStyle w:val="99"/>
        <w:keepNext/>
        <w:keepLines/>
        <w:numPr>
          <w:ilvl w:val="0"/>
          <w:numId w:val="0"/>
        </w:numPr>
        <w:spacing w:before="0" w:after="288" w:afterLines="120" w:line="312" w:lineRule="auto"/>
        <w:ind w:left="858" w:hanging="432"/>
        <w:contextualSpacing/>
        <w:rPr>
          <w:rFonts w:asciiTheme="minorHAnsi" w:hAnsiTheme="minorHAnsi" w:cstheme="minorHAnsi"/>
          <w:sz w:val="22"/>
          <w:szCs w:val="22"/>
        </w:rPr>
      </w:pPr>
    </w:p>
    <w:tbl>
      <w:tblPr>
        <w:tblStyle w:val="485"/>
        <w:tblW w:w="9225"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282"/>
        <w:gridCol w:w="948"/>
        <w:gridCol w:w="1643"/>
        <w:gridCol w:w="1722"/>
        <w:gridCol w:w="991"/>
        <w:gridCol w:w="955"/>
      </w:tblGrid>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08"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pPr>
              <w:keepNext/>
              <w:keepLines/>
              <w:suppressAutoHyphens w:val="0"/>
              <w:contextualSpacing/>
              <w:jc w:val="center"/>
              <w:rPr>
                <w:rFonts w:ascii="Calibri" w:hAnsi="Calibri" w:cs="Calibri" w:eastAsiaTheme="minorEastAsia"/>
                <w:b/>
                <w:bCs/>
                <w:color w:val="FFFFFF" w:themeColor="background1"/>
                <w:sz w:val="22"/>
                <w:szCs w:val="22"/>
                <w14:textFill>
                  <w14:solidFill>
                    <w14:schemeClr w14:val="bg1"/>
                  </w14:solidFill>
                </w14:textFill>
              </w:rPr>
            </w:pPr>
            <w:r>
              <w:rPr>
                <w:rFonts w:ascii="Calibri" w:hAnsi="Calibri" w:cs="Calibri" w:eastAsiaTheme="minorEastAsia"/>
                <w:b/>
                <w:bCs/>
                <w:color w:val="FFFFFF" w:themeColor="background1"/>
                <w:sz w:val="22"/>
                <w:szCs w:val="22"/>
                <w14:textFill>
                  <w14:solidFill>
                    <w14:schemeClr w14:val="bg1"/>
                  </w14:solidFill>
                </w14:textFill>
              </w:rPr>
              <w:t>ITEM</w:t>
            </w:r>
          </w:p>
        </w:tc>
        <w:tc>
          <w:tcPr>
            <w:tcW w:w="250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keepNext/>
              <w:keepLines/>
              <w:suppressAutoHyphens w:val="0"/>
              <w:contextualSpacing/>
              <w:jc w:val="center"/>
              <w:rPr>
                <w:rFonts w:ascii="Calibri" w:hAnsi="Calibri" w:cs="Calibri" w:eastAsiaTheme="minorEastAsia"/>
                <w:b/>
                <w:bCs/>
                <w:color w:val="FFFFFF" w:themeColor="background1"/>
                <w:sz w:val="22"/>
                <w:szCs w:val="22"/>
                <w14:textFill>
                  <w14:solidFill>
                    <w14:schemeClr w14:val="bg1"/>
                  </w14:solidFill>
                </w14:textFill>
              </w:rPr>
            </w:pPr>
            <w:r>
              <w:rPr>
                <w:rFonts w:ascii="Calibri" w:hAnsi="Calibri" w:cs="Calibri" w:eastAsiaTheme="minorEastAsia"/>
                <w:b/>
                <w:bCs/>
                <w:color w:val="FFFFFF" w:themeColor="background1"/>
                <w:sz w:val="22"/>
                <w:szCs w:val="22"/>
                <w14:textFill>
                  <w14:solidFill>
                    <w14:schemeClr w14:val="bg1"/>
                  </w14:solidFill>
                </w14:textFill>
              </w:rPr>
              <w:t>DISCRIMINAÇÃO DO POSTO</w:t>
            </w:r>
          </w:p>
        </w:tc>
        <w:tc>
          <w:tcPr>
            <w:tcW w:w="87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keepNext/>
              <w:keepLines/>
              <w:suppressAutoHyphens w:val="0"/>
              <w:contextualSpacing/>
              <w:jc w:val="center"/>
              <w:rPr>
                <w:rFonts w:ascii="Calibri" w:hAnsi="Calibri" w:cs="Calibri" w:eastAsiaTheme="minorEastAsia"/>
                <w:b/>
                <w:bCs/>
                <w:color w:val="FFFFFF" w:themeColor="background1"/>
                <w:sz w:val="22"/>
                <w:szCs w:val="22"/>
                <w14:textFill>
                  <w14:solidFill>
                    <w14:schemeClr w14:val="bg1"/>
                  </w14:solidFill>
                </w14:textFill>
              </w:rPr>
            </w:pPr>
            <w:r>
              <w:rPr>
                <w:rFonts w:ascii="Calibri" w:hAnsi="Calibri" w:cs="Calibri" w:eastAsiaTheme="minorEastAsia"/>
                <w:b/>
                <w:bCs/>
                <w:color w:val="FFFFFF" w:themeColor="background1"/>
                <w:sz w:val="22"/>
                <w:szCs w:val="22"/>
                <w14:textFill>
                  <w14:solidFill>
                    <w14:schemeClr w14:val="bg1"/>
                  </w14:solidFill>
                </w14:textFill>
              </w:rPr>
              <w:t>POSTOS</w:t>
            </w:r>
          </w:p>
        </w:tc>
        <w:tc>
          <w:tcPr>
            <w:tcW w:w="156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keepNext/>
              <w:keepLines/>
              <w:suppressAutoHyphens w:val="0"/>
              <w:contextualSpacing/>
              <w:jc w:val="center"/>
              <w:rPr>
                <w:rFonts w:ascii="Calibri" w:hAnsi="Calibri" w:cs="Calibri" w:eastAsiaTheme="minorEastAsia"/>
                <w:b/>
                <w:bCs/>
                <w:color w:val="FFFFFF" w:themeColor="background1"/>
                <w:sz w:val="22"/>
                <w:szCs w:val="22"/>
                <w14:textFill>
                  <w14:solidFill>
                    <w14:schemeClr w14:val="bg1"/>
                  </w14:solidFill>
                </w14:textFill>
              </w:rPr>
            </w:pPr>
            <w:r>
              <w:rPr>
                <w:rFonts w:ascii="Calibri" w:hAnsi="Calibri" w:cs="Calibri" w:eastAsiaTheme="minorEastAsia"/>
                <w:b/>
                <w:bCs/>
                <w:color w:val="FFFFFF" w:themeColor="background1"/>
                <w:sz w:val="22"/>
                <w:szCs w:val="22"/>
                <w14:textFill>
                  <w14:solidFill>
                    <w14:schemeClr w14:val="bg1"/>
                  </w14:solidFill>
                </w14:textFill>
              </w:rPr>
              <w:t>FUNCIONÁRIOS</w:t>
            </w:r>
          </w:p>
        </w:tc>
        <w:tc>
          <w:tcPr>
            <w:tcW w:w="172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keepNext/>
              <w:keepLines/>
              <w:suppressAutoHyphens w:val="0"/>
              <w:contextualSpacing/>
              <w:jc w:val="center"/>
              <w:rPr>
                <w:rFonts w:ascii="Calibri" w:hAnsi="Calibri" w:cs="Calibri" w:eastAsiaTheme="minorEastAsia"/>
                <w:b/>
                <w:bCs/>
                <w:color w:val="FFFFFF" w:themeColor="background1"/>
                <w:sz w:val="22"/>
                <w:szCs w:val="22"/>
                <w14:textFill>
                  <w14:solidFill>
                    <w14:schemeClr w14:val="bg1"/>
                  </w14:solidFill>
                </w14:textFill>
              </w:rPr>
            </w:pPr>
            <w:r>
              <w:rPr>
                <w:rFonts w:ascii="Calibri" w:hAnsi="Calibri" w:cs="Calibri" w:eastAsiaTheme="minorEastAsia"/>
                <w:b/>
                <w:bCs/>
                <w:color w:val="FFFFFF" w:themeColor="background1"/>
                <w:sz w:val="22"/>
                <w:szCs w:val="22"/>
                <w14:textFill>
                  <w14:solidFill>
                    <w14:schemeClr w14:val="bg1"/>
                  </w14:solidFill>
                </w14:textFill>
              </w:rPr>
              <w:t>VALOR MENSAL POR POSTO</w:t>
            </w:r>
          </w:p>
        </w:tc>
        <w:tc>
          <w:tcPr>
            <w:tcW w:w="9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keepNext/>
              <w:keepLines/>
              <w:suppressAutoHyphens w:val="0"/>
              <w:contextualSpacing/>
              <w:jc w:val="center"/>
              <w:rPr>
                <w:rFonts w:ascii="Calibri" w:hAnsi="Calibri" w:cs="Calibri" w:eastAsiaTheme="minorEastAsia"/>
                <w:b/>
                <w:bCs/>
                <w:color w:val="FFFFFF" w:themeColor="background1"/>
                <w:sz w:val="22"/>
                <w:szCs w:val="22"/>
                <w14:textFill>
                  <w14:solidFill>
                    <w14:schemeClr w14:val="bg1"/>
                  </w14:solidFill>
                </w14:textFill>
              </w:rPr>
            </w:pPr>
            <w:r>
              <w:rPr>
                <w:rFonts w:ascii="Calibri" w:hAnsi="Calibri" w:cs="Calibri" w:eastAsiaTheme="minorEastAsia"/>
                <w:b/>
                <w:bCs/>
                <w:color w:val="FFFFFF" w:themeColor="background1"/>
                <w:sz w:val="22"/>
                <w:szCs w:val="22"/>
                <w14:textFill>
                  <w14:solidFill>
                    <w14:schemeClr w14:val="bg1"/>
                  </w14:solidFill>
                </w14:textFill>
              </w:rPr>
              <w:t>TOTAL MENSAL</w:t>
            </w:r>
          </w:p>
        </w:tc>
        <w:tc>
          <w:tcPr>
            <w:tcW w:w="992"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pPr>
              <w:keepNext/>
              <w:keepLines/>
              <w:suppressAutoHyphens w:val="0"/>
              <w:contextualSpacing/>
              <w:jc w:val="center"/>
              <w:rPr>
                <w:rFonts w:ascii="Calibri" w:hAnsi="Calibri" w:cs="Calibri" w:eastAsiaTheme="minorEastAsia"/>
                <w:b/>
                <w:bCs/>
                <w:color w:val="FFFFFF" w:themeColor="background1"/>
                <w:sz w:val="22"/>
                <w:szCs w:val="22"/>
                <w14:textFill>
                  <w14:solidFill>
                    <w14:schemeClr w14:val="bg1"/>
                  </w14:solidFill>
                </w14:textFill>
              </w:rPr>
            </w:pPr>
            <w:r>
              <w:rPr>
                <w:rFonts w:ascii="Calibri" w:hAnsi="Calibri" w:cs="Calibri" w:eastAsiaTheme="minorEastAsia"/>
                <w:b/>
                <w:bCs/>
                <w:color w:val="FFFFFF" w:themeColor="background1"/>
                <w:sz w:val="22"/>
                <w:szCs w:val="22"/>
                <w14:textFill>
                  <w14:solidFill>
                    <w14:schemeClr w14:val="bg1"/>
                  </w14:solidFill>
                </w14:textFill>
              </w:rPr>
              <w:t>TOTAL ANUAL</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1</w:t>
            </w:r>
          </w:p>
        </w:tc>
        <w:tc>
          <w:tcPr>
            <w:tcW w:w="2506" w:type="dxa"/>
            <w:shd w:val="clear" w:color="auto" w:fill="DBE5F1" w:themeFill="accent1" w:themeFillTint="33"/>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Almoxarife</w:t>
            </w:r>
          </w:p>
        </w:tc>
        <w:tc>
          <w:tcPr>
            <w:tcW w:w="87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2</w:t>
            </w:r>
          </w:p>
        </w:tc>
        <w:tc>
          <w:tcPr>
            <w:tcW w:w="1567"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2</w:t>
            </w:r>
          </w:p>
        </w:tc>
        <w:tc>
          <w:tcPr>
            <w:tcW w:w="172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c>
          <w:tcPr>
            <w:tcW w:w="958"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c>
          <w:tcPr>
            <w:tcW w:w="99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2</w:t>
            </w:r>
          </w:p>
        </w:tc>
        <w:tc>
          <w:tcPr>
            <w:tcW w:w="2506" w:type="dxa"/>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Auxiliar de Almoxarife</w:t>
            </w:r>
          </w:p>
        </w:tc>
        <w:tc>
          <w:tcPr>
            <w:tcW w:w="872" w:type="dxa"/>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7</w:t>
            </w:r>
          </w:p>
        </w:tc>
        <w:tc>
          <w:tcPr>
            <w:tcW w:w="1567" w:type="dxa"/>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7</w:t>
            </w:r>
          </w:p>
        </w:tc>
        <w:tc>
          <w:tcPr>
            <w:tcW w:w="1722" w:type="dxa"/>
          </w:tcPr>
          <w:p>
            <w:pPr>
              <w:keepNext/>
              <w:keepLines/>
              <w:suppressAutoHyphens w:val="0"/>
              <w:contextualSpacing/>
              <w:jc w:val="center"/>
              <w:rPr>
                <w:rFonts w:ascii="Calibri" w:hAnsi="Calibri" w:cs="Calibri" w:eastAsiaTheme="minorEastAsia"/>
                <w:sz w:val="22"/>
                <w:szCs w:val="22"/>
              </w:rPr>
            </w:pPr>
          </w:p>
        </w:tc>
        <w:tc>
          <w:tcPr>
            <w:tcW w:w="958" w:type="dxa"/>
          </w:tcPr>
          <w:p>
            <w:pPr>
              <w:keepNext/>
              <w:keepLines/>
              <w:suppressAutoHyphens w:val="0"/>
              <w:contextualSpacing/>
              <w:jc w:val="center"/>
              <w:rPr>
                <w:rFonts w:ascii="Calibri" w:hAnsi="Calibri" w:cs="Calibri" w:eastAsiaTheme="minorEastAsia"/>
                <w:sz w:val="22"/>
                <w:szCs w:val="22"/>
              </w:rPr>
            </w:pPr>
          </w:p>
        </w:tc>
        <w:tc>
          <w:tcPr>
            <w:tcW w:w="992" w:type="dxa"/>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3</w:t>
            </w:r>
          </w:p>
        </w:tc>
        <w:tc>
          <w:tcPr>
            <w:tcW w:w="2506" w:type="dxa"/>
            <w:shd w:val="clear" w:color="auto" w:fill="DBE5F1" w:themeFill="accent1" w:themeFillTint="33"/>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Gerente de Restaurante</w:t>
            </w:r>
          </w:p>
        </w:tc>
        <w:tc>
          <w:tcPr>
            <w:tcW w:w="87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9</w:t>
            </w:r>
          </w:p>
        </w:tc>
        <w:tc>
          <w:tcPr>
            <w:tcW w:w="1567"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9</w:t>
            </w:r>
          </w:p>
        </w:tc>
        <w:tc>
          <w:tcPr>
            <w:tcW w:w="172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c>
          <w:tcPr>
            <w:tcW w:w="958"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c>
          <w:tcPr>
            <w:tcW w:w="99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4</w:t>
            </w:r>
          </w:p>
        </w:tc>
        <w:tc>
          <w:tcPr>
            <w:tcW w:w="2506" w:type="dxa"/>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Magarefe</w:t>
            </w:r>
          </w:p>
        </w:tc>
        <w:tc>
          <w:tcPr>
            <w:tcW w:w="872" w:type="dxa"/>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3</w:t>
            </w:r>
          </w:p>
        </w:tc>
        <w:tc>
          <w:tcPr>
            <w:tcW w:w="1567" w:type="dxa"/>
            <w:noWrap/>
          </w:tcPr>
          <w:p>
            <w:pPr>
              <w:keepNext/>
              <w:keepLines/>
              <w:suppressAutoHyphens w:val="0"/>
              <w:contextualSpacing/>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722" w:type="dxa"/>
            <w:noWrap/>
          </w:tcPr>
          <w:p>
            <w:pPr>
              <w:keepNext/>
              <w:keepLines/>
              <w:suppressAutoHyphens w:val="0"/>
              <w:contextualSpacing/>
              <w:jc w:val="center"/>
              <w:rPr>
                <w:rFonts w:ascii="Calibri" w:hAnsi="Calibri" w:cs="Calibri" w:eastAsiaTheme="minorEastAsia"/>
                <w:color w:val="000000"/>
                <w:sz w:val="22"/>
                <w:szCs w:val="22"/>
              </w:rPr>
            </w:pPr>
          </w:p>
        </w:tc>
        <w:tc>
          <w:tcPr>
            <w:tcW w:w="958" w:type="dxa"/>
          </w:tcPr>
          <w:p>
            <w:pPr>
              <w:keepNext/>
              <w:keepLines/>
              <w:suppressAutoHyphens w:val="0"/>
              <w:contextualSpacing/>
              <w:jc w:val="center"/>
              <w:rPr>
                <w:rFonts w:ascii="Calibri" w:hAnsi="Calibri" w:cs="Calibri" w:eastAsiaTheme="minorEastAsia"/>
                <w:sz w:val="22"/>
                <w:szCs w:val="22"/>
              </w:rPr>
            </w:pPr>
          </w:p>
        </w:tc>
        <w:tc>
          <w:tcPr>
            <w:tcW w:w="992" w:type="dxa"/>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5</w:t>
            </w:r>
          </w:p>
        </w:tc>
        <w:tc>
          <w:tcPr>
            <w:tcW w:w="2506" w:type="dxa"/>
            <w:shd w:val="clear" w:color="auto" w:fill="DBE5F1" w:themeFill="accent1" w:themeFillTint="33"/>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Auxiliar de Magarefe</w:t>
            </w:r>
          </w:p>
        </w:tc>
        <w:tc>
          <w:tcPr>
            <w:tcW w:w="87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5</w:t>
            </w:r>
          </w:p>
        </w:tc>
        <w:tc>
          <w:tcPr>
            <w:tcW w:w="1567" w:type="dxa"/>
            <w:shd w:val="clear" w:color="auto" w:fill="DBE5F1" w:themeFill="accent1" w:themeFillTint="33"/>
            <w:noWrap/>
          </w:tcPr>
          <w:p>
            <w:pPr>
              <w:keepNext/>
              <w:keepLines/>
              <w:suppressAutoHyphens w:val="0"/>
              <w:contextualSpacing/>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5</w:t>
            </w:r>
          </w:p>
        </w:tc>
        <w:tc>
          <w:tcPr>
            <w:tcW w:w="1722" w:type="dxa"/>
            <w:shd w:val="clear" w:color="auto" w:fill="DBE5F1" w:themeFill="accent1" w:themeFillTint="33"/>
            <w:noWrap/>
          </w:tcPr>
          <w:p>
            <w:pPr>
              <w:keepNext/>
              <w:keepLines/>
              <w:suppressAutoHyphens w:val="0"/>
              <w:contextualSpacing/>
              <w:jc w:val="center"/>
              <w:rPr>
                <w:rFonts w:ascii="Calibri" w:hAnsi="Calibri" w:cs="Calibri" w:eastAsiaTheme="minorEastAsia"/>
                <w:color w:val="000000"/>
                <w:sz w:val="22"/>
                <w:szCs w:val="22"/>
              </w:rPr>
            </w:pPr>
          </w:p>
        </w:tc>
        <w:tc>
          <w:tcPr>
            <w:tcW w:w="958"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c>
          <w:tcPr>
            <w:tcW w:w="99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6</w:t>
            </w:r>
          </w:p>
        </w:tc>
        <w:tc>
          <w:tcPr>
            <w:tcW w:w="2506" w:type="dxa"/>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Cozinheiro Industrial</w:t>
            </w:r>
          </w:p>
        </w:tc>
        <w:tc>
          <w:tcPr>
            <w:tcW w:w="872" w:type="dxa"/>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8</w:t>
            </w:r>
          </w:p>
        </w:tc>
        <w:tc>
          <w:tcPr>
            <w:tcW w:w="1567" w:type="dxa"/>
            <w:noWrap/>
          </w:tcPr>
          <w:p>
            <w:pPr>
              <w:keepNext/>
              <w:keepLines/>
              <w:suppressAutoHyphens w:val="0"/>
              <w:contextualSpacing/>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8</w:t>
            </w:r>
          </w:p>
        </w:tc>
        <w:tc>
          <w:tcPr>
            <w:tcW w:w="1722" w:type="dxa"/>
            <w:noWrap/>
          </w:tcPr>
          <w:p>
            <w:pPr>
              <w:keepNext/>
              <w:keepLines/>
              <w:suppressAutoHyphens w:val="0"/>
              <w:contextualSpacing/>
              <w:jc w:val="center"/>
              <w:rPr>
                <w:rFonts w:ascii="Calibri" w:hAnsi="Calibri" w:cs="Calibri" w:eastAsiaTheme="minorEastAsia"/>
                <w:color w:val="000000"/>
                <w:sz w:val="22"/>
                <w:szCs w:val="22"/>
              </w:rPr>
            </w:pPr>
          </w:p>
        </w:tc>
        <w:tc>
          <w:tcPr>
            <w:tcW w:w="958" w:type="dxa"/>
          </w:tcPr>
          <w:p>
            <w:pPr>
              <w:keepNext/>
              <w:keepLines/>
              <w:suppressAutoHyphens w:val="0"/>
              <w:contextualSpacing/>
              <w:jc w:val="center"/>
              <w:rPr>
                <w:rFonts w:ascii="Calibri" w:hAnsi="Calibri" w:cs="Calibri" w:eastAsiaTheme="minorEastAsia"/>
                <w:sz w:val="22"/>
                <w:szCs w:val="22"/>
              </w:rPr>
            </w:pPr>
          </w:p>
        </w:tc>
        <w:tc>
          <w:tcPr>
            <w:tcW w:w="992" w:type="dxa"/>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7</w:t>
            </w:r>
          </w:p>
        </w:tc>
        <w:tc>
          <w:tcPr>
            <w:tcW w:w="2506" w:type="dxa"/>
            <w:shd w:val="clear" w:color="auto" w:fill="DBE5F1" w:themeFill="accent1" w:themeFillTint="33"/>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Auxiliar de Cozinha</w:t>
            </w:r>
          </w:p>
        </w:tc>
        <w:tc>
          <w:tcPr>
            <w:tcW w:w="87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76</w:t>
            </w:r>
          </w:p>
        </w:tc>
        <w:tc>
          <w:tcPr>
            <w:tcW w:w="1567" w:type="dxa"/>
            <w:shd w:val="clear" w:color="auto" w:fill="DBE5F1" w:themeFill="accent1" w:themeFillTint="33"/>
            <w:noWrap/>
          </w:tcPr>
          <w:p>
            <w:pPr>
              <w:keepNext/>
              <w:keepLines/>
              <w:suppressAutoHyphens w:val="0"/>
              <w:contextualSpacing/>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76</w:t>
            </w:r>
          </w:p>
        </w:tc>
        <w:tc>
          <w:tcPr>
            <w:tcW w:w="1722" w:type="dxa"/>
            <w:shd w:val="clear" w:color="auto" w:fill="DBE5F1" w:themeFill="accent1" w:themeFillTint="33"/>
            <w:noWrap/>
          </w:tcPr>
          <w:p>
            <w:pPr>
              <w:keepNext/>
              <w:keepLines/>
              <w:suppressAutoHyphens w:val="0"/>
              <w:contextualSpacing/>
              <w:jc w:val="center"/>
              <w:rPr>
                <w:rFonts w:ascii="Calibri" w:hAnsi="Calibri" w:cs="Calibri" w:eastAsiaTheme="minorEastAsia"/>
                <w:color w:val="000000"/>
                <w:sz w:val="22"/>
                <w:szCs w:val="22"/>
              </w:rPr>
            </w:pPr>
          </w:p>
        </w:tc>
        <w:tc>
          <w:tcPr>
            <w:tcW w:w="958"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c>
          <w:tcPr>
            <w:tcW w:w="99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8</w:t>
            </w:r>
          </w:p>
        </w:tc>
        <w:tc>
          <w:tcPr>
            <w:tcW w:w="2506" w:type="dxa"/>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Auxiliar de Serviços Gerais</w:t>
            </w:r>
          </w:p>
        </w:tc>
        <w:tc>
          <w:tcPr>
            <w:tcW w:w="872" w:type="dxa"/>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28</w:t>
            </w:r>
          </w:p>
        </w:tc>
        <w:tc>
          <w:tcPr>
            <w:tcW w:w="1567" w:type="dxa"/>
            <w:noWrap/>
          </w:tcPr>
          <w:p>
            <w:pPr>
              <w:keepNext/>
              <w:keepLines/>
              <w:suppressAutoHyphens w:val="0"/>
              <w:contextualSpacing/>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28</w:t>
            </w:r>
          </w:p>
        </w:tc>
        <w:tc>
          <w:tcPr>
            <w:tcW w:w="1722" w:type="dxa"/>
            <w:noWrap/>
          </w:tcPr>
          <w:p>
            <w:pPr>
              <w:keepNext/>
              <w:keepLines/>
              <w:suppressAutoHyphens w:val="0"/>
              <w:contextualSpacing/>
              <w:jc w:val="center"/>
              <w:rPr>
                <w:rFonts w:ascii="Calibri" w:hAnsi="Calibri" w:cs="Calibri" w:eastAsiaTheme="minorEastAsia"/>
                <w:color w:val="000000"/>
                <w:sz w:val="22"/>
                <w:szCs w:val="22"/>
              </w:rPr>
            </w:pPr>
          </w:p>
        </w:tc>
        <w:tc>
          <w:tcPr>
            <w:tcW w:w="958" w:type="dxa"/>
          </w:tcPr>
          <w:p>
            <w:pPr>
              <w:keepNext/>
              <w:keepLines/>
              <w:suppressAutoHyphens w:val="0"/>
              <w:contextualSpacing/>
              <w:jc w:val="center"/>
              <w:rPr>
                <w:rFonts w:ascii="Calibri" w:hAnsi="Calibri" w:cs="Calibri" w:eastAsiaTheme="minorEastAsia"/>
                <w:sz w:val="22"/>
                <w:szCs w:val="22"/>
              </w:rPr>
            </w:pPr>
          </w:p>
        </w:tc>
        <w:tc>
          <w:tcPr>
            <w:tcW w:w="992" w:type="dxa"/>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9</w:t>
            </w:r>
          </w:p>
        </w:tc>
        <w:tc>
          <w:tcPr>
            <w:tcW w:w="2506" w:type="dxa"/>
            <w:shd w:val="clear" w:color="auto" w:fill="DBE5F1" w:themeFill="accent1" w:themeFillTint="33"/>
          </w:tcPr>
          <w:p>
            <w:pPr>
              <w:keepNext/>
              <w:keepLines/>
              <w:suppressAutoHyphens w:val="0"/>
              <w:contextualSpacing/>
              <w:rPr>
                <w:rFonts w:ascii="Calibri" w:hAnsi="Calibri" w:cs="Calibri" w:eastAsiaTheme="minorEastAsia"/>
                <w:sz w:val="22"/>
                <w:szCs w:val="22"/>
              </w:rPr>
            </w:pPr>
            <w:r>
              <w:rPr>
                <w:rFonts w:ascii="Calibri" w:hAnsi="Calibri" w:cs="Calibri" w:eastAsiaTheme="minorEastAsia"/>
                <w:sz w:val="22"/>
                <w:szCs w:val="22"/>
              </w:rPr>
              <w:t>Operador de Caixa</w:t>
            </w:r>
          </w:p>
        </w:tc>
        <w:tc>
          <w:tcPr>
            <w:tcW w:w="87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r>
              <w:rPr>
                <w:rFonts w:ascii="Calibri" w:hAnsi="Calibri" w:cs="Calibri" w:eastAsiaTheme="minorEastAsia"/>
                <w:sz w:val="22"/>
                <w:szCs w:val="22"/>
              </w:rPr>
              <w:t>2</w:t>
            </w:r>
          </w:p>
        </w:tc>
        <w:tc>
          <w:tcPr>
            <w:tcW w:w="1567" w:type="dxa"/>
            <w:shd w:val="clear" w:color="auto" w:fill="DBE5F1" w:themeFill="accent1" w:themeFillTint="33"/>
            <w:noWrap/>
          </w:tcPr>
          <w:p>
            <w:pPr>
              <w:keepNext/>
              <w:keepLines/>
              <w:suppressAutoHyphens w:val="0"/>
              <w:contextualSpacing/>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722" w:type="dxa"/>
            <w:shd w:val="clear" w:color="auto" w:fill="DBE5F1" w:themeFill="accent1" w:themeFillTint="33"/>
            <w:noWrap/>
          </w:tcPr>
          <w:p>
            <w:pPr>
              <w:keepNext/>
              <w:keepLines/>
              <w:suppressAutoHyphens w:val="0"/>
              <w:contextualSpacing/>
              <w:jc w:val="center"/>
              <w:rPr>
                <w:rFonts w:ascii="Calibri" w:hAnsi="Calibri" w:cs="Calibri" w:eastAsiaTheme="minorEastAsia"/>
                <w:color w:val="000000"/>
                <w:sz w:val="22"/>
                <w:szCs w:val="22"/>
              </w:rPr>
            </w:pPr>
          </w:p>
        </w:tc>
        <w:tc>
          <w:tcPr>
            <w:tcW w:w="958"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c>
          <w:tcPr>
            <w:tcW w:w="992" w:type="dxa"/>
            <w:shd w:val="clear" w:color="auto" w:fill="DBE5F1" w:themeFill="accent1" w:themeFillTint="33"/>
          </w:tcPr>
          <w:p>
            <w:pPr>
              <w:keepNext/>
              <w:keepLines/>
              <w:suppressAutoHyphens w:val="0"/>
              <w:contextualSpacing/>
              <w:jc w:val="center"/>
              <w:rPr>
                <w:rFonts w:ascii="Calibri" w:hAnsi="Calibri" w:cs="Calibri" w:eastAsiaTheme="minorEastAsia"/>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3114" w:type="dxa"/>
            <w:gridSpan w:val="2"/>
          </w:tcPr>
          <w:p>
            <w:pPr>
              <w:keepNext/>
              <w:keepLines/>
              <w:suppressAutoHyphens w:val="0"/>
              <w:contextualSpacing/>
              <w:rPr>
                <w:rFonts w:ascii="Calibri" w:hAnsi="Calibri" w:cs="Calibri" w:eastAsiaTheme="minorEastAsia"/>
                <w:b/>
                <w:bCs/>
                <w:sz w:val="22"/>
                <w:szCs w:val="22"/>
              </w:rPr>
            </w:pPr>
            <w:r>
              <w:rPr>
                <w:rFonts w:ascii="Calibri" w:hAnsi="Calibri" w:cs="Calibri" w:eastAsiaTheme="minorEastAsia"/>
                <w:b/>
                <w:bCs/>
                <w:sz w:val="22"/>
                <w:szCs w:val="22"/>
              </w:rPr>
              <w:t>TOTAL</w:t>
            </w:r>
          </w:p>
        </w:tc>
        <w:tc>
          <w:tcPr>
            <w:tcW w:w="872" w:type="dxa"/>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140</w:t>
            </w:r>
          </w:p>
        </w:tc>
        <w:tc>
          <w:tcPr>
            <w:tcW w:w="1567" w:type="dxa"/>
          </w:tcPr>
          <w:p>
            <w:pPr>
              <w:keepNext/>
              <w:keepLines/>
              <w:suppressAutoHyphens w:val="0"/>
              <w:contextualSpacing/>
              <w:jc w:val="center"/>
              <w:rPr>
                <w:rFonts w:ascii="Calibri" w:hAnsi="Calibri" w:cs="Calibri" w:eastAsiaTheme="minorEastAsia"/>
                <w:b/>
                <w:bCs/>
                <w:sz w:val="22"/>
                <w:szCs w:val="22"/>
              </w:rPr>
            </w:pPr>
            <w:r>
              <w:rPr>
                <w:rFonts w:ascii="Calibri" w:hAnsi="Calibri" w:cs="Calibri" w:eastAsiaTheme="minorEastAsia"/>
                <w:b/>
                <w:bCs/>
                <w:sz w:val="22"/>
                <w:szCs w:val="22"/>
              </w:rPr>
              <w:t>140</w:t>
            </w:r>
          </w:p>
        </w:tc>
        <w:tc>
          <w:tcPr>
            <w:tcW w:w="1722" w:type="dxa"/>
          </w:tcPr>
          <w:p>
            <w:pPr>
              <w:keepNext/>
              <w:keepLines/>
              <w:suppressAutoHyphens w:val="0"/>
              <w:contextualSpacing/>
              <w:jc w:val="center"/>
              <w:rPr>
                <w:rFonts w:ascii="Calibri" w:hAnsi="Calibri" w:cs="Calibri" w:eastAsiaTheme="minorEastAsia"/>
                <w:b/>
                <w:bCs/>
                <w:sz w:val="22"/>
                <w:szCs w:val="22"/>
              </w:rPr>
            </w:pPr>
          </w:p>
        </w:tc>
        <w:tc>
          <w:tcPr>
            <w:tcW w:w="958" w:type="dxa"/>
          </w:tcPr>
          <w:p>
            <w:pPr>
              <w:keepNext/>
              <w:keepLines/>
              <w:suppressAutoHyphens w:val="0"/>
              <w:contextualSpacing/>
              <w:jc w:val="center"/>
              <w:rPr>
                <w:rFonts w:ascii="Calibri" w:hAnsi="Calibri" w:cs="Calibri" w:eastAsiaTheme="minorEastAsia"/>
                <w:b/>
                <w:bCs/>
                <w:sz w:val="22"/>
                <w:szCs w:val="22"/>
              </w:rPr>
            </w:pPr>
          </w:p>
        </w:tc>
        <w:tc>
          <w:tcPr>
            <w:tcW w:w="992" w:type="dxa"/>
          </w:tcPr>
          <w:p>
            <w:pPr>
              <w:keepNext/>
              <w:keepLines/>
              <w:suppressAutoHyphens w:val="0"/>
              <w:contextualSpacing/>
              <w:jc w:val="center"/>
              <w:rPr>
                <w:rFonts w:ascii="Calibri" w:hAnsi="Calibri" w:cs="Calibri" w:eastAsiaTheme="minorEastAsia"/>
                <w:b/>
                <w:bCs/>
                <w:sz w:val="22"/>
                <w:szCs w:val="22"/>
              </w:rPr>
            </w:pPr>
          </w:p>
        </w:tc>
      </w:tr>
    </w:tbl>
    <w:p>
      <w:pPr>
        <w:pStyle w:val="99"/>
        <w:keepNext/>
        <w:keepLines/>
        <w:numPr>
          <w:ilvl w:val="1"/>
          <w:numId w:val="8"/>
        </w:numPr>
        <w:spacing w:before="0" w:after="288" w:afterLines="120" w:line="312"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pPr>
        <w:pStyle w:val="101"/>
        <w:keepNext/>
        <w:keepLines/>
        <w:numPr>
          <w:ilvl w:val="2"/>
          <w:numId w:val="8"/>
        </w:numPr>
        <w:spacing w:before="0" w:after="288" w:afterLines="120" w:line="312"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O Termo de Referência;</w:t>
      </w:r>
    </w:p>
    <w:p>
      <w:pPr>
        <w:pStyle w:val="101"/>
        <w:keepNext/>
        <w:keepLines/>
        <w:numPr>
          <w:ilvl w:val="2"/>
          <w:numId w:val="8"/>
        </w:numPr>
        <w:spacing w:before="0" w:after="288" w:afterLines="120" w:line="312"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O Edital da Licitação;</w:t>
      </w:r>
    </w:p>
    <w:p>
      <w:pPr>
        <w:pStyle w:val="101"/>
        <w:keepNext/>
        <w:keepLines/>
        <w:numPr>
          <w:ilvl w:val="2"/>
          <w:numId w:val="8"/>
        </w:numPr>
        <w:spacing w:before="0" w:after="288" w:afterLines="120" w:line="312"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A Proposta do contratado;</w:t>
      </w:r>
    </w:p>
    <w:p>
      <w:pPr>
        <w:pStyle w:val="101"/>
        <w:keepNext/>
        <w:keepLines/>
        <w:numPr>
          <w:ilvl w:val="2"/>
          <w:numId w:val="8"/>
        </w:numPr>
        <w:spacing w:before="0" w:after="288" w:afterLines="120" w:line="312"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pPr>
        <w:pStyle w:val="101"/>
        <w:keepNext/>
        <w:keepLines/>
        <w:numPr>
          <w:ilvl w:val="0"/>
          <w:numId w:val="0"/>
        </w:numPr>
        <w:spacing w:before="0" w:after="288" w:afterLines="120" w:line="312" w:lineRule="auto"/>
        <w:ind w:left="2160" w:hanging="180"/>
        <w:contextualSpacing/>
        <w:rPr>
          <w:rFonts w:asciiTheme="minorHAnsi" w:hAnsiTheme="minorHAnsi" w:cstheme="minorHAnsi"/>
          <w:sz w:val="22"/>
          <w:szCs w:val="22"/>
          <w:lang w:val="zh-CN"/>
        </w:rPr>
      </w:pPr>
    </w:p>
    <w:p>
      <w:pPr>
        <w:pStyle w:val="101"/>
        <w:keepNext/>
        <w:keepLines/>
        <w:numPr>
          <w:ilvl w:val="0"/>
          <w:numId w:val="8"/>
        </w:numPr>
        <w:spacing w:before="0" w:after="288" w:afterLines="120" w:line="312" w:lineRule="auto"/>
        <w:contextualSpacing/>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pPr>
        <w:pStyle w:val="99"/>
        <w:keepNext/>
        <w:keepLines/>
        <w:numPr>
          <w:ilvl w:val="1"/>
          <w:numId w:val="8"/>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pPr>
        <w:pStyle w:val="99"/>
        <w:keepNext/>
        <w:keepLines/>
        <w:numPr>
          <w:ilvl w:val="1"/>
          <w:numId w:val="8"/>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pPr>
        <w:pStyle w:val="99"/>
        <w:keepNext/>
        <w:keepLines/>
        <w:numPr>
          <w:ilvl w:val="1"/>
          <w:numId w:val="9"/>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pPr>
        <w:pStyle w:val="99"/>
        <w:keepNext/>
        <w:keepLines/>
        <w:numPr>
          <w:ilvl w:val="1"/>
          <w:numId w:val="9"/>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pPr>
        <w:pStyle w:val="99"/>
        <w:keepNext/>
        <w:keepLines/>
        <w:numPr>
          <w:ilvl w:val="1"/>
          <w:numId w:val="9"/>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pPr>
        <w:pStyle w:val="99"/>
        <w:keepNext/>
        <w:keepLines/>
        <w:numPr>
          <w:ilvl w:val="1"/>
          <w:numId w:val="9"/>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pPr>
        <w:pStyle w:val="99"/>
        <w:keepNext/>
        <w:keepLines/>
        <w:numPr>
          <w:ilvl w:val="1"/>
          <w:numId w:val="9"/>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pPr>
        <w:pStyle w:val="99"/>
        <w:keepNext/>
        <w:keepLines/>
        <w:numPr>
          <w:ilvl w:val="1"/>
          <w:numId w:val="8"/>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pPr>
        <w:pStyle w:val="99"/>
        <w:keepNext/>
        <w:keepLines/>
        <w:numPr>
          <w:ilvl w:val="1"/>
          <w:numId w:val="8"/>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pPr>
        <w:pStyle w:val="99"/>
        <w:keepNext/>
        <w:keepLines/>
        <w:numPr>
          <w:ilvl w:val="1"/>
          <w:numId w:val="8"/>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pPr>
        <w:pStyle w:val="99"/>
        <w:keepNext/>
        <w:keepLines/>
        <w:numPr>
          <w:ilvl w:val="1"/>
          <w:numId w:val="8"/>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02"/>
      <w:bookmarkEnd w:id="0"/>
      <w:bookmarkStart w:id="1" w:name="_Hlk114497577"/>
      <w:bookmarkEnd w:id="1"/>
    </w:p>
    <w:p>
      <w:pPr>
        <w:pStyle w:val="99"/>
        <w:keepNext/>
        <w:keepLines/>
        <w:numPr>
          <w:ilvl w:val="0"/>
          <w:numId w:val="0"/>
        </w:numPr>
        <w:spacing w:before="0"/>
        <w:ind w:left="567"/>
        <w:contextualSpacing/>
        <w:rPr>
          <w:rFonts w:asciiTheme="minorHAnsi" w:hAnsiTheme="minorHAnsi" w:cstheme="minorHAnsi"/>
          <w:sz w:val="22"/>
          <w:szCs w:val="22"/>
        </w:rPr>
      </w:pPr>
    </w:p>
    <w:p>
      <w:pPr>
        <w:pStyle w:val="99"/>
        <w:keepNext/>
        <w:keepLines/>
        <w:numPr>
          <w:ilvl w:val="0"/>
          <w:numId w:val="8"/>
        </w:numPr>
        <w:spacing w:before="0"/>
        <w:contextualSpacing/>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pPr>
        <w:pStyle w:val="99"/>
        <w:keepNext/>
        <w:keepLines/>
        <w:numPr>
          <w:ilvl w:val="1"/>
          <w:numId w:val="10"/>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pPr>
        <w:pStyle w:val="99"/>
        <w:keepNext/>
        <w:keepLines/>
        <w:numPr>
          <w:ilvl w:val="0"/>
          <w:numId w:val="0"/>
        </w:numPr>
        <w:spacing w:before="0" w:after="288" w:afterLines="120" w:line="312" w:lineRule="auto"/>
        <w:ind w:left="858" w:hanging="432"/>
        <w:contextualSpacing/>
        <w:rPr>
          <w:rFonts w:asciiTheme="minorHAnsi" w:hAnsiTheme="minorHAnsi" w:cstheme="minorHAnsi"/>
          <w:sz w:val="22"/>
          <w:szCs w:val="22"/>
        </w:rPr>
      </w:pPr>
    </w:p>
    <w:p>
      <w:pPr>
        <w:pStyle w:val="99"/>
        <w:keepNext/>
        <w:keepLines/>
        <w:numPr>
          <w:ilvl w:val="0"/>
          <w:numId w:val="10"/>
        </w:numPr>
        <w:spacing w:before="0" w:after="288" w:afterLines="120" w:line="312"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pPr>
        <w:pStyle w:val="482"/>
        <w:keepNext/>
        <w:keepLines/>
        <w:spacing w:before="0" w:beforeAutospacing="0" w:after="120" w:afterAutospacing="0"/>
        <w:ind w:right="120"/>
        <w:contextualSpacing/>
        <w:jc w:val="both"/>
        <w:rPr>
          <w:rFonts w:ascii="Calibri" w:hAnsi="Calibri" w:cs="Calibri"/>
          <w:color w:val="000000"/>
          <w:sz w:val="22"/>
          <w:szCs w:val="22"/>
        </w:rPr>
      </w:pPr>
    </w:p>
    <w:p>
      <w:pPr>
        <w:pStyle w:val="482"/>
        <w:keepNext/>
        <w:keepLines/>
        <w:numPr>
          <w:ilvl w:val="0"/>
          <w:numId w:val="11"/>
        </w:numPr>
        <w:spacing w:before="0" w:beforeAutospacing="0" w:after="120" w:afterAutospacing="0"/>
        <w:ind w:right="120"/>
        <w:contextualSpacing/>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pPr>
        <w:pStyle w:val="99"/>
        <w:keepNext/>
        <w:keepLines/>
        <w:numPr>
          <w:ilvl w:val="1"/>
          <w:numId w:val="11"/>
        </w:numPr>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pPr>
        <w:pStyle w:val="99"/>
        <w:keepNext/>
        <w:keepLines/>
        <w:numPr>
          <w:ilvl w:val="1"/>
          <w:numId w:val="11"/>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pPr>
        <w:pStyle w:val="99"/>
        <w:keepNext/>
        <w:keepLines/>
        <w:numPr>
          <w:ilvl w:val="1"/>
          <w:numId w:val="11"/>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pPr>
        <w:pStyle w:val="99"/>
        <w:keepNext/>
        <w:keepLines/>
        <w:numPr>
          <w:ilvl w:val="0"/>
          <w:numId w:val="0"/>
        </w:numPr>
        <w:spacing w:before="0" w:after="288" w:afterLines="120" w:line="312" w:lineRule="auto"/>
        <w:ind w:left="858" w:hanging="432"/>
        <w:contextualSpacing/>
        <w:rPr>
          <w:rFonts w:asciiTheme="minorHAnsi" w:hAnsiTheme="minorHAnsi" w:cstheme="minorHAnsi"/>
          <w:sz w:val="22"/>
          <w:szCs w:val="22"/>
        </w:rPr>
      </w:pPr>
    </w:p>
    <w:p>
      <w:pPr>
        <w:pStyle w:val="99"/>
        <w:keepNext/>
        <w:keepLines/>
        <w:numPr>
          <w:ilvl w:val="0"/>
          <w:numId w:val="11"/>
        </w:numPr>
        <w:spacing w:before="0" w:after="288" w:afterLines="120" w:line="312"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pPr>
        <w:pStyle w:val="99"/>
        <w:keepNext/>
        <w:keepLines/>
        <w:numPr>
          <w:ilvl w:val="1"/>
          <w:numId w:val="11"/>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ou do pagamento pelo fato gerador, encontram-se definidos no Termo de Referência, anexo a este Contrato.</w:t>
      </w:r>
    </w:p>
    <w:p>
      <w:pPr>
        <w:pStyle w:val="99"/>
        <w:keepNext/>
        <w:keepLines/>
        <w:numPr>
          <w:ilvl w:val="0"/>
          <w:numId w:val="0"/>
        </w:numPr>
        <w:spacing w:before="0"/>
        <w:ind w:left="567"/>
        <w:contextualSpacing/>
        <w:rPr>
          <w:rFonts w:asciiTheme="minorHAnsi" w:hAnsiTheme="minorHAnsi" w:cstheme="minorHAnsi"/>
          <w:sz w:val="22"/>
          <w:szCs w:val="22"/>
        </w:rPr>
      </w:pPr>
    </w:p>
    <w:p>
      <w:pPr>
        <w:pStyle w:val="99"/>
        <w:keepNext/>
        <w:keepLines/>
        <w:numPr>
          <w:ilvl w:val="0"/>
          <w:numId w:val="11"/>
        </w:numPr>
        <w:spacing w:before="0"/>
        <w:contextualSpacing/>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pPr>
        <w:pStyle w:val="78"/>
        <w:keepNext/>
        <w:keepLines/>
        <w:numPr>
          <w:ilvl w:val="0"/>
          <w:numId w:val="4"/>
        </w:numPr>
        <w:suppressAutoHyphens w:val="0"/>
        <w:spacing w:after="100" w:afterAutospacing="1"/>
        <w:ind w:left="567" w:hanging="567"/>
        <w:rPr>
          <w:rFonts w:asciiTheme="minorHAnsi" w:hAnsiTheme="minorHAnsi" w:cstheme="minorHAnsi"/>
          <w:vanish/>
          <w:sz w:val="22"/>
          <w:szCs w:val="22"/>
        </w:rPr>
      </w:pPr>
    </w:p>
    <w:p>
      <w:pPr>
        <w:pStyle w:val="78"/>
        <w:keepNext/>
        <w:keepLines/>
        <w:numPr>
          <w:ilvl w:val="0"/>
          <w:numId w:val="4"/>
        </w:numPr>
        <w:suppressAutoHyphens w:val="0"/>
        <w:spacing w:after="100" w:afterAutospacing="1"/>
        <w:ind w:left="567" w:hanging="567"/>
        <w:rPr>
          <w:rFonts w:asciiTheme="minorHAnsi" w:hAnsiTheme="minorHAnsi" w:cstheme="minorHAnsi"/>
          <w:vanish/>
          <w:sz w:val="22"/>
          <w:szCs w:val="22"/>
        </w:rPr>
      </w:pPr>
    </w:p>
    <w:p>
      <w:pPr>
        <w:pStyle w:val="78"/>
        <w:keepNext/>
        <w:keepLines/>
        <w:numPr>
          <w:ilvl w:val="0"/>
          <w:numId w:val="4"/>
        </w:numPr>
        <w:suppressAutoHyphens w:val="0"/>
        <w:spacing w:after="100" w:afterAutospacing="1"/>
        <w:ind w:left="567" w:hanging="567"/>
        <w:rPr>
          <w:rFonts w:asciiTheme="minorHAnsi" w:hAnsiTheme="minorHAnsi" w:cstheme="minorHAnsi"/>
          <w:vanish/>
          <w:sz w:val="22"/>
          <w:szCs w:val="22"/>
        </w:rPr>
      </w:pPr>
    </w:p>
    <w:p>
      <w:pPr>
        <w:pStyle w:val="78"/>
        <w:keepNext/>
        <w:keepLines/>
        <w:numPr>
          <w:ilvl w:val="0"/>
          <w:numId w:val="4"/>
        </w:numPr>
        <w:suppressAutoHyphens w:val="0"/>
        <w:spacing w:after="100" w:afterAutospacing="1"/>
        <w:ind w:left="567" w:hanging="567"/>
        <w:rPr>
          <w:rFonts w:asciiTheme="minorHAnsi" w:hAnsiTheme="minorHAnsi" w:cstheme="minorHAnsi"/>
          <w:vanish/>
          <w:sz w:val="22"/>
          <w:szCs w:val="22"/>
        </w:rPr>
      </w:pPr>
    </w:p>
    <w:p>
      <w:pPr>
        <w:pStyle w:val="78"/>
        <w:keepNext/>
        <w:keepLines/>
        <w:numPr>
          <w:ilvl w:val="0"/>
          <w:numId w:val="4"/>
        </w:numPr>
        <w:suppressAutoHyphens w:val="0"/>
        <w:spacing w:after="100" w:afterAutospacing="1"/>
        <w:ind w:left="567" w:hanging="567"/>
        <w:rPr>
          <w:rFonts w:asciiTheme="minorHAnsi" w:hAnsiTheme="minorHAnsi" w:cstheme="minorHAnsi"/>
          <w:vanish/>
          <w:sz w:val="22"/>
          <w:szCs w:val="22"/>
        </w:rPr>
      </w:pPr>
    </w:p>
    <w:p>
      <w:pPr>
        <w:pStyle w:val="78"/>
        <w:keepNext/>
        <w:keepLines/>
        <w:numPr>
          <w:ilvl w:val="0"/>
          <w:numId w:val="4"/>
        </w:numPr>
        <w:suppressAutoHyphens w:val="0"/>
        <w:spacing w:after="100" w:afterAutospacing="1"/>
        <w:ind w:left="567" w:hanging="567"/>
        <w:rPr>
          <w:rFonts w:asciiTheme="minorHAnsi" w:hAnsiTheme="minorHAnsi" w:cstheme="minorHAnsi"/>
          <w:vanish/>
          <w:sz w:val="22"/>
          <w:szCs w:val="22"/>
        </w:rPr>
      </w:pPr>
    </w:p>
    <w:p>
      <w:pPr>
        <w:pStyle w:val="78"/>
        <w:keepNext/>
        <w:keepLines/>
        <w:numPr>
          <w:ilvl w:val="0"/>
          <w:numId w:val="4"/>
        </w:numPr>
        <w:suppressAutoHyphens w:val="0"/>
        <w:spacing w:after="100" w:afterAutospacing="1"/>
        <w:ind w:left="567" w:hanging="567"/>
        <w:rPr>
          <w:rFonts w:asciiTheme="minorHAnsi" w:hAnsiTheme="minorHAnsi" w:cstheme="minorHAnsi"/>
          <w:vanish/>
          <w:sz w:val="22"/>
          <w:szCs w:val="22"/>
        </w:rPr>
      </w:pPr>
    </w:p>
    <w:p>
      <w:pPr>
        <w:pStyle w:val="78"/>
        <w:keepNext/>
        <w:keepLines/>
        <w:numPr>
          <w:ilvl w:val="0"/>
          <w:numId w:val="11"/>
        </w:numPr>
        <w:tabs>
          <w:tab w:val="left" w:pos="567"/>
        </w:tabs>
        <w:suppressAutoHyphens w:val="0"/>
        <w:ind w:left="567" w:hanging="567"/>
        <w:jc w:val="both"/>
        <w:outlineLvl w:val="0"/>
        <w:rPr>
          <w:rFonts w:asciiTheme="minorHAnsi" w:hAnsiTheme="minorHAnsi" w:eastAsiaTheme="majorEastAsia" w:cstheme="minorHAnsi"/>
          <w:b/>
          <w:bCs/>
          <w:vanish/>
          <w:sz w:val="22"/>
          <w:szCs w:val="22"/>
        </w:rPr>
      </w:pPr>
    </w:p>
    <w:p>
      <w:pPr>
        <w:pStyle w:val="99"/>
        <w:keepNext/>
        <w:keepLines/>
        <w:numPr>
          <w:ilvl w:val="1"/>
          <w:numId w:val="4"/>
        </w:numPr>
        <w:spacing w:before="0"/>
        <w:contextualSpacing/>
        <w:rPr>
          <w:rFonts w:asciiTheme="minorHAnsi" w:hAnsiTheme="minorHAnsi" w:cstheme="minorHAnsi"/>
          <w:sz w:val="22"/>
          <w:szCs w:val="22"/>
        </w:rPr>
      </w:pPr>
      <w:r>
        <w:rPr>
          <w:rFonts w:asciiTheme="minorHAnsi" w:hAnsiTheme="minorHAnsi" w:cstheme="minorHAnsi"/>
          <w:sz w:val="22"/>
          <w:szCs w:val="22"/>
        </w:rPr>
        <w:t>Os preços contratados serão repactuados para manutenção do equilíbrio econômico-financeiro, após o interregno de um ano, mediante solicitação do contratado.</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O interregno mínimo de 1 (</w:t>
      </w:r>
      <w:r>
        <w:rPr>
          <w:rFonts w:asciiTheme="minorHAnsi" w:hAnsiTheme="minorHAnsi" w:cstheme="minorHAnsi"/>
          <w:sz w:val="22"/>
          <w:szCs w:val="22"/>
        </w:rPr>
        <w:t>um</w:t>
      </w:r>
      <w:r>
        <w:rPr>
          <w:rFonts w:eastAsia="Times New Roman" w:asciiTheme="minorHAnsi" w:hAnsiTheme="minorHAnsi" w:cstheme="minorHAnsi"/>
          <w:sz w:val="22"/>
          <w:szCs w:val="22"/>
        </w:rPr>
        <w:t>) ano para a primeira repactuação será contado:</w:t>
      </w:r>
    </w:p>
    <w:p>
      <w:pPr>
        <w:keepNext/>
        <w:keepLines/>
        <w:numPr>
          <w:ilvl w:val="0"/>
          <w:numId w:val="12"/>
        </w:numPr>
        <w:suppressAutoHyphens w:val="0"/>
        <w:spacing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 xml:space="preserve">Para os custos relativos à mão de obra, vinculados à data-base da categoria profissional: a partir da data de início dos efeitos financeiros do acordo, convenção ou dissídio coletivo de trabalho </w:t>
      </w:r>
      <w:r>
        <w:rPr>
          <w:rFonts w:asciiTheme="minorHAnsi" w:hAnsiTheme="minorHAnsi" w:cstheme="minorHAnsi"/>
          <w:color w:val="000000"/>
          <w:sz w:val="22"/>
          <w:szCs w:val="22"/>
        </w:rPr>
        <w:t>ao qual a proposta estiver vinculada</w:t>
      </w:r>
      <w:r>
        <w:rPr>
          <w:rFonts w:asciiTheme="minorHAnsi" w:hAnsiTheme="minorHAnsi" w:cstheme="minorHAnsi"/>
          <w:sz w:val="22"/>
          <w:szCs w:val="22"/>
        </w:rPr>
        <w:t xml:space="preserve">, relativo a cada categoria profissional abrangida pelo contrato; </w:t>
      </w:r>
    </w:p>
    <w:p>
      <w:pPr>
        <w:keepNext/>
        <w:keepLines/>
        <w:numPr>
          <w:ilvl w:val="0"/>
          <w:numId w:val="12"/>
        </w:numPr>
        <w:suppressAutoHyphens w:val="0"/>
        <w:spacing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Para</w:t>
      </w:r>
      <w:r>
        <w:rPr>
          <w:rFonts w:asciiTheme="minorHAnsi" w:hAnsiTheme="minorHAnsi" w:cstheme="minorHAnsi"/>
          <w:color w:val="000000"/>
          <w:sz w:val="22"/>
          <w:szCs w:val="22"/>
        </w:rPr>
        <w:t> os custos decorrentes do mercado</w:t>
      </w:r>
      <w:r>
        <w:rPr>
          <w:rFonts w:asciiTheme="minorHAnsi" w:hAnsiTheme="minorHAnsi" w:cstheme="minorHAnsi"/>
          <w:sz w:val="22"/>
          <w:szCs w:val="22"/>
        </w:rPr>
        <w:t>: a partir da apresentação da proposta.</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Nas repactuações subsequentes à primeira, o interregno mínimo 1 (um) ano será contado a partir da data da última repactuação correspondente à mesma parcela objeto da nova solicitação.</w:t>
      </w:r>
    </w:p>
    <w:p>
      <w:pPr>
        <w:pStyle w:val="78"/>
        <w:keepNext/>
        <w:keepLines/>
        <w:numPr>
          <w:ilvl w:val="0"/>
          <w:numId w:val="13"/>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0"/>
          <w:numId w:val="13"/>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1"/>
          <w:numId w:val="13"/>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2"/>
          <w:numId w:val="4"/>
        </w:numPr>
        <w:suppressAutoHyphens w:val="0"/>
        <w:spacing w:after="120" w:line="276" w:lineRule="auto"/>
        <w:jc w:val="both"/>
        <w:rPr>
          <w:rFonts w:asciiTheme="minorHAnsi" w:hAnsiTheme="minorHAnsi" w:cstheme="minorHAnsi"/>
          <w:sz w:val="22"/>
          <w:szCs w:val="22"/>
        </w:rPr>
      </w:pPr>
      <w:r>
        <w:rPr>
          <w:rFonts w:asciiTheme="minorHAnsi" w:hAnsiTheme="minorHAnsi" w:cstheme="minorHAnsi"/>
          <w:sz w:val="22"/>
          <w:szCs w:val="22"/>
        </w:rPr>
        <w:t>Entende-se como última repactuação a data em que iniciados seus efeitos financeiros, independentemente daquela em que apostilada.</w:t>
      </w:r>
    </w:p>
    <w:p>
      <w:pPr>
        <w:pStyle w:val="99"/>
        <w:keepNext/>
        <w:keepLines/>
        <w:numPr>
          <w:ilvl w:val="1"/>
          <w:numId w:val="4"/>
        </w:numPr>
        <w:spacing w:before="0"/>
        <w:ind w:left="567" w:hanging="567"/>
        <w:contextualSpacing/>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A repactuação poderá ser dividida em tantas parcelas quantas forem necessárias, </w:t>
      </w:r>
      <w:r>
        <w:rPr>
          <w:rFonts w:eastAsia="Times New Roman" w:asciiTheme="minorHAnsi" w:hAnsiTheme="minorHAnsi" w:cstheme="minorHAnsi"/>
          <w:sz w:val="22"/>
          <w:szCs w:val="22"/>
        </w:rPr>
        <w:t>observado</w:t>
      </w:r>
      <w:r>
        <w:rPr>
          <w:rFonts w:eastAsia="Calibri" w:asciiTheme="minorHAnsi" w:hAnsiTheme="minorHAnsi" w:cstheme="minorHAnsi"/>
          <w:sz w:val="22"/>
          <w:szCs w:val="22"/>
          <w:lang w:eastAsia="en-US"/>
        </w:rPr>
        <w:t xml:space="preserve"> o princípio da anualidade do reajuste de preços da contratação, podendo ser </w:t>
      </w:r>
      <w:r>
        <w:rPr>
          <w:rFonts w:eastAsia="Times New Roman" w:asciiTheme="minorHAnsi" w:hAnsiTheme="minorHAnsi" w:cstheme="minorHAnsi"/>
          <w:sz w:val="22"/>
          <w:szCs w:val="22"/>
        </w:rPr>
        <w:t>realizada</w:t>
      </w:r>
      <w:r>
        <w:rPr>
          <w:rFonts w:eastAsia="Calibri" w:asciiTheme="minorHAnsi" w:hAnsiTheme="minorHAnsi" w:cstheme="minorHAnsi"/>
          <w:sz w:val="22"/>
          <w:szCs w:val="22"/>
          <w:lang w:eastAsia="en-US"/>
        </w:rPr>
        <w:t xml:space="preserve"> em momentos distintos para discutir a variação de custos que tenham sua anualidade </w:t>
      </w:r>
      <w:r>
        <w:rPr>
          <w:rFonts w:eastAsia="Times New Roman" w:asciiTheme="minorHAnsi" w:hAnsiTheme="minorHAnsi" w:cstheme="minorHAnsi"/>
          <w:sz w:val="22"/>
          <w:szCs w:val="22"/>
        </w:rPr>
        <w:t>resultante</w:t>
      </w:r>
      <w:r>
        <w:rPr>
          <w:rFonts w:eastAsia="Calibri" w:asciiTheme="minorHAnsi" w:hAnsiTheme="minorHAnsi" w:cstheme="minorHAnsi"/>
          <w:sz w:val="22"/>
          <w:szCs w:val="22"/>
          <w:lang w:eastAsia="en-US"/>
        </w:rPr>
        <w:t xml:space="preserve"> em datas diferenciadas, como os decorrentes de mão de obra e os decorrentes dos insumos necessários à execução dos serviços.</w:t>
      </w:r>
      <w:r>
        <w:rPr>
          <w:rFonts w:eastAsia="Times New Roman" w:asciiTheme="minorHAnsi" w:hAnsiTheme="minorHAnsi" w:cstheme="minorHAnsi"/>
          <w:sz w:val="22"/>
          <w:szCs w:val="22"/>
        </w:rPr>
        <w:t xml:space="preserve"> (</w:t>
      </w:r>
      <w:r>
        <w:fldChar w:fldCharType="begin"/>
      </w:r>
      <w:r>
        <w:instrText xml:space="preserve"> HYPERLINK "http://www.planalto.gov.br/ccivil_03/_ato2019-2022/2021/lei/L14133.htm" \l "art135§4" </w:instrText>
      </w:r>
      <w:r>
        <w:fldChar w:fldCharType="separate"/>
      </w:r>
      <w:r>
        <w:rPr>
          <w:rStyle w:val="18"/>
          <w:rFonts w:eastAsia="Times New Roman" w:asciiTheme="minorHAnsi" w:hAnsiTheme="minorHAnsi" w:cstheme="minorHAnsi"/>
          <w:sz w:val="22"/>
          <w:szCs w:val="22"/>
        </w:rPr>
        <w:t>art. 135, § 4º,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r>
        <w:rPr>
          <w:rFonts w:eastAsia="Calibri" w:asciiTheme="minorHAnsi" w:hAnsiTheme="minorHAnsi" w:cstheme="minorHAnsi"/>
          <w:sz w:val="22"/>
          <w:szCs w:val="22"/>
          <w:lang w:eastAsia="en-US"/>
        </w:rPr>
        <w:t xml:space="preserve">. </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contratação envolver mais de uma categoria profissional, a repactuação dos custos contratuais decorrentes da mão de obra poderá ser dividida em tantos quantos forem os acordos, convenções ou dissídios coletivos de trabalho das respectivas categorias. (</w:t>
      </w:r>
      <w:r>
        <w:fldChar w:fldCharType="begin"/>
      </w:r>
      <w:r>
        <w:instrText xml:space="preserve"> HYPERLINK "http://www.planalto.gov.br/ccivil_03/_ato2019-2022/2021/lei/L14133.htm" \l "art135§5" </w:instrText>
      </w:r>
      <w:r>
        <w:fldChar w:fldCharType="separate"/>
      </w:r>
      <w:r>
        <w:rPr>
          <w:rStyle w:val="18"/>
          <w:rFonts w:eastAsia="Times New Roman" w:asciiTheme="minorHAnsi" w:hAnsiTheme="minorHAnsi" w:cstheme="minorHAnsi"/>
          <w:sz w:val="22"/>
          <w:szCs w:val="22"/>
        </w:rPr>
        <w:t>art. 135, § 5º,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É vedada a inclusão, por ocasião da repactuação, de benefícios não previstos na proposta inicial, exceto quando se tornarem obrigatórios por força de lei, acordo, convenção ou dissídio coletivo de trabalho.  </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sociais ou previdenciários, bem como de preços para os insumos relacionados ao exercício da atividade.(</w:t>
      </w:r>
      <w:r>
        <w:fldChar w:fldCharType="begin"/>
      </w:r>
      <w:r>
        <w:instrText xml:space="preserve"> HYPERLINK "http://www.planalto.gov.br/ccivil_03/_ato2019-2022/2021/lei/L14133.htm" \l "art135§1" </w:instrText>
      </w:r>
      <w:r>
        <w:fldChar w:fldCharType="separate"/>
      </w:r>
      <w:r>
        <w:rPr>
          <w:rStyle w:val="18"/>
          <w:rFonts w:eastAsia="Times New Roman" w:asciiTheme="minorHAnsi" w:hAnsiTheme="minorHAnsi" w:cstheme="minorHAnsi"/>
          <w:sz w:val="22"/>
          <w:szCs w:val="22"/>
        </w:rPr>
        <w:t>art. 135, §§ 1º e 2º,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w:t>
      </w:r>
    </w:p>
    <w:p>
      <w:pPr>
        <w:pStyle w:val="78"/>
        <w:keepNext/>
        <w:keepLines/>
        <w:numPr>
          <w:ilvl w:val="1"/>
          <w:numId w:val="4"/>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1"/>
          <w:numId w:val="4"/>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1"/>
          <w:numId w:val="4"/>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1"/>
          <w:numId w:val="4"/>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1"/>
          <w:numId w:val="4"/>
        </w:numPr>
        <w:suppressAutoHyphens w:val="0"/>
        <w:spacing w:after="120" w:line="276" w:lineRule="auto"/>
        <w:ind w:left="567" w:hanging="567"/>
        <w:jc w:val="both"/>
        <w:rPr>
          <w:rFonts w:asciiTheme="minorHAnsi" w:hAnsiTheme="minorHAnsi" w:cstheme="minorHAnsi"/>
          <w:vanish/>
          <w:sz w:val="22"/>
          <w:szCs w:val="22"/>
        </w:rPr>
      </w:pPr>
    </w:p>
    <w:p>
      <w:pPr>
        <w:pStyle w:val="78"/>
        <w:keepNext/>
        <w:keepLines/>
        <w:numPr>
          <w:ilvl w:val="2"/>
          <w:numId w:val="4"/>
        </w:numPr>
        <w:suppressAutoHyphens w:val="0"/>
        <w:spacing w:after="120" w:line="276" w:lineRule="auto"/>
        <w:ind w:hanging="567"/>
        <w:jc w:val="both"/>
        <w:rPr>
          <w:rFonts w:asciiTheme="minorHAnsi" w:hAnsiTheme="minorHAnsi" w:cstheme="minorHAnsi"/>
          <w:sz w:val="22"/>
          <w:szCs w:val="22"/>
        </w:rPr>
      </w:pPr>
      <w:r>
        <w:rPr>
          <w:rFonts w:asciiTheme="minorHAnsi" w:hAnsiTheme="minorHAnsi" w:cstheme="minorHAnsi"/>
          <w:sz w:val="22"/>
          <w:szCs w:val="22"/>
        </w:rPr>
        <w:t>A repactuação para reajustamento do contrato em razão de novo Acordo, Convenção ou Dissídio Coletivo de Trabalho deve repassar integralmente o aumento de custos da mão de obra decorrente desses instrumentos.</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repactuação solicitada pelo contratado se referir aos custos decorrentes do mercado, o respectivo aumento será apurado mediante a aplicação do índice de reajustamento IPCA</w:t>
      </w:r>
      <w:r>
        <w:rPr>
          <w:rFonts w:eastAsia="Times New Roman" w:asciiTheme="minorHAnsi" w:hAnsiTheme="minorHAnsi" w:cstheme="minorHAnsi"/>
          <w:i/>
          <w:iCs/>
          <w:color w:val="FF0000"/>
          <w:sz w:val="22"/>
          <w:szCs w:val="22"/>
        </w:rPr>
        <w:t>,</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 xml:space="preserve">com base na seguinte fórmula: </w:t>
      </w:r>
    </w:p>
    <w:p>
      <w:pPr>
        <w:keepNext/>
        <w:keepLines/>
        <w:spacing w:after="120" w:line="276" w:lineRule="auto"/>
        <w:ind w:left="567" w:hanging="567"/>
        <w:contextualSpacing/>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 (I – Iº) / Iº, onde:</w:t>
      </w:r>
    </w:p>
    <w:p>
      <w:pPr>
        <w:keepNext/>
        <w:keepLines/>
        <w:spacing w:after="120" w:line="276" w:lineRule="auto"/>
        <w:ind w:left="567" w:hanging="567"/>
        <w:contextualSpacing/>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Valor do reajustamento procurado;</w:t>
      </w:r>
    </w:p>
    <w:p>
      <w:pPr>
        <w:keepNext/>
        <w:keepLines/>
        <w:spacing w:after="120" w:line="276" w:lineRule="auto"/>
        <w:ind w:left="567" w:hanging="567"/>
        <w:contextualSpacing/>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V = Valor contratual correspondente à parcela dos </w:t>
      </w:r>
      <w:r>
        <w:rPr>
          <w:rFonts w:asciiTheme="minorHAnsi" w:hAnsiTheme="minorHAnsi" w:cstheme="minorHAnsi"/>
          <w:sz w:val="22"/>
          <w:szCs w:val="22"/>
        </w:rPr>
        <w:t>custos decorrentes do mercado</w:t>
      </w:r>
      <w:r>
        <w:rPr>
          <w:rFonts w:eastAsia="Calibri" w:asciiTheme="minorHAnsi" w:hAnsiTheme="minorHAnsi" w:cstheme="minorHAnsi"/>
          <w:sz w:val="22"/>
          <w:szCs w:val="22"/>
          <w:lang w:eastAsia="en-US"/>
        </w:rPr>
        <w:t xml:space="preserve"> a ser reajustada;</w:t>
      </w:r>
    </w:p>
    <w:p>
      <w:pPr>
        <w:keepNext/>
        <w:keepLines/>
        <w:spacing w:after="120" w:line="276" w:lineRule="auto"/>
        <w:ind w:left="567" w:hanging="567"/>
        <w:contextualSpacing/>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shd w:val="clear" w:color="auto" w:fill="FFFFFF"/>
          <w:lang w:eastAsia="en-US"/>
        </w:rPr>
        <w:t>Iº = índice inicial - refere-se ao índice de custos ou de preços correspondente à data de apresentação da proposta;</w:t>
      </w:r>
    </w:p>
    <w:p>
      <w:pPr>
        <w:keepNext/>
        <w:keepLines/>
        <w:spacing w:after="120" w:line="276" w:lineRule="auto"/>
        <w:ind w:left="567" w:hanging="567"/>
        <w:contextualSpacing/>
        <w:jc w:val="both"/>
        <w:rPr>
          <w:rFonts w:eastAsia="Calibri" w:asciiTheme="minorHAnsi" w:hAnsiTheme="minorHAnsi" w:cstheme="minorHAnsi"/>
          <w:sz w:val="22"/>
          <w:szCs w:val="22"/>
          <w:shd w:val="clear" w:color="auto" w:fill="FFFFFF"/>
          <w:lang w:eastAsia="en-US"/>
        </w:rPr>
      </w:pPr>
      <w:r>
        <w:rPr>
          <w:rFonts w:eastAsia="Calibri" w:asciiTheme="minorHAnsi" w:hAnsiTheme="minorHAnsi" w:cstheme="minorHAnsi"/>
          <w:sz w:val="22"/>
          <w:szCs w:val="22"/>
          <w:shd w:val="clear" w:color="auto" w:fill="FFFFFF"/>
          <w:lang w:eastAsia="en-US"/>
        </w:rPr>
        <w:t>I = Índice relativo ao mês do reajustamento</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No caso de atraso ou não divulgação do índice de reajustamento, o contratante pagará ao contratado a importância calculada pela última variação conhecida, liquidando a diferença correspondente tão logo seja divulgado o índice definitivo; fica o contratado obrigado a apresentar memória de cálculo referente ao reajustamento de preços do valor remanescente, sempre que este ocorrer.</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Nas aferições finais, o índice utilizado para a repactuação dos custos decorrentes do mercado será, obrigatoriamente, o definitivo. </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Caso o índice estabelecido venha a ser extinto ou de qualquer forma não possa mais ser utilizado, será adotado, em substituição, o que vier a ser determinado pela legislação então em vigor. </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Na ausência de previsão legal quanto ao índice substituto, as partes elegerão novo índice oficial, para reajustamento do preço do valor remanescente dos custos decorrentes do mercado, por meio de termo aditivo.</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Independentemente do requerimento de repactuação dos custos decorrentes do mercado, o contratante verificará, a cada anualidade, se houve deflação do índice adotado que justifique o recálculo dos custos em valor menor, promovendo, em caso positivo, a redução dos valores correspondentes da planilha contratual.</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decorrente da variação dos custos contratuais de mão de obra vinculados aos acordos, às convenções ou aos dissídios coletivos de trabalho retroagirão, quando for o caso, à data do início dos efeitos financeiros do novo acordo, convenção ou sentença normativa que fundamenta a repactuação.</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Os novos valores contratuais decorrentes das repactuações poderão se iniciar em data futura, desde que assim acordado entre as partes, sem prejuízo da contagem da anualidade para concessão das repactuações futuras.</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ficarão restritos exclusivamente aos itens que a motivaram, e apenas em relação à diferença porventura existente.</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O pedido de repactuação deverá ser formulado durante a vigência do contrato e antes de eventual prorrogação ou encerramento contratual, sob pena de preclusão.</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Caso, na data da prorrogação contratual, ainda não tenha sido celebrado o novo acordo, convenção ou dissídio coletivo da categoria, ou ainda não tenha sido possível ao contratante ou ao contratado proceder aos cálculos devidos, deverá ser inserida cláusula no termo aditivo de prorrogação para resguardar o direito futuro à repactuação, a ser exercido tão logo se disponha dos valores reajustados, sob pena de preclusão.</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A extinção do contrato não configurará óbice para o deferimento da repactuação solicitada tempestivamente, hipótese em que será concedida por meio de termo indenizatório.</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O contratante decidirá sobre o pedido de repactuação de preços em até </w:t>
      </w:r>
      <w:r>
        <w:rPr>
          <w:rFonts w:eastAsia="Times New Roman" w:asciiTheme="minorHAnsi" w:hAnsiTheme="minorHAnsi" w:cstheme="minorHAnsi"/>
          <w:iCs/>
          <w:sz w:val="22"/>
          <w:szCs w:val="22"/>
        </w:rPr>
        <w:t>30 (trinta dias),</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contado da data do fornecimento, pelo contratado, da documentação comprobatória da variação dos custos a serem repactuados. (</w:t>
      </w:r>
      <w:r>
        <w:fldChar w:fldCharType="begin"/>
      </w:r>
      <w:r>
        <w:instrText xml:space="preserve"> HYPERLINK "http://www.planalto.gov.br/ccivil_03/_ato2019-2022/2021/lei/L14133.htm" \l "art92§6" </w:instrText>
      </w:r>
      <w:r>
        <w:fldChar w:fldCharType="separate"/>
      </w:r>
      <w:r>
        <w:rPr>
          <w:rStyle w:val="18"/>
          <w:rFonts w:eastAsia="Times New Roman" w:asciiTheme="minorHAnsi" w:hAnsiTheme="minorHAnsi" w:cstheme="minorHAnsi"/>
          <w:sz w:val="22"/>
          <w:szCs w:val="22"/>
        </w:rPr>
        <w:t>art. 92,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c/c o </w:t>
      </w:r>
      <w:r>
        <w:fldChar w:fldCharType="begin"/>
      </w:r>
      <w:r>
        <w:instrText xml:space="preserve"> HYPERLINK "http://www.planalto.gov.br/ccivil_03/_ato2019-2022/2021/lei/L14133.htm" \l "art135§6" </w:instrText>
      </w:r>
      <w:r>
        <w:fldChar w:fldCharType="separate"/>
      </w:r>
      <w:r>
        <w:rPr>
          <w:rStyle w:val="18"/>
          <w:rFonts w:eastAsia="Times New Roman" w:asciiTheme="minorHAnsi" w:hAnsiTheme="minorHAnsi" w:cstheme="minorHAnsi"/>
          <w:sz w:val="22"/>
          <w:szCs w:val="22"/>
        </w:rPr>
        <w:t>art. 135,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O prazo referido no subitem anterior ficará suspenso enquanto o contratado não cumprir os atos ou apresentar a documentação solicitada pelo contratante para a comprovação da variação dos custos.</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A repactuação de preços será formalizada por apostilamento.</w:t>
      </w:r>
      <w:r>
        <w:rPr>
          <w:rFonts w:eastAsia="Times New Roman" w:asciiTheme="minorHAnsi" w:hAnsiTheme="minorHAnsi" w:cstheme="minorHAnsi"/>
          <w:color w:val="FF0000"/>
          <w:sz w:val="22"/>
          <w:szCs w:val="22"/>
        </w:rPr>
        <w:t xml:space="preserve"> </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As repactuações não interferem no direito das partes de solicitar, a qualquer momento, a manutenção do equilíbrio econômico dos contratos com base no disposto no </w:t>
      </w:r>
      <w:r>
        <w:fldChar w:fldCharType="begin"/>
      </w:r>
      <w:r>
        <w:instrText xml:space="preserve"> HYPERLINK "http://www.planalto.gov.br/ccivil_03/_ato2019-2022/2021/lei/L14133.htm" \l "art124" </w:instrText>
      </w:r>
      <w:r>
        <w:fldChar w:fldCharType="separate"/>
      </w:r>
      <w:r>
        <w:rPr>
          <w:rStyle w:val="18"/>
          <w:rFonts w:eastAsia="Times New Roman" w:asciiTheme="minorHAnsi" w:hAnsiTheme="minorHAnsi" w:cstheme="minorHAnsi"/>
          <w:sz w:val="22"/>
          <w:szCs w:val="22"/>
        </w:rPr>
        <w:t>art. 124, inciso II, alínea “d”, da Lei nº 14.133, de 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pPr>
        <w:pStyle w:val="99"/>
        <w:keepNext/>
        <w:keepLines/>
        <w:numPr>
          <w:ilvl w:val="1"/>
          <w:numId w:val="4"/>
        </w:numPr>
        <w:spacing w:before="0"/>
        <w:ind w:left="567" w:hanging="567"/>
        <w:contextualSpacing/>
        <w:rPr>
          <w:rFonts w:eastAsia="Calibri" w:asciiTheme="minorHAnsi" w:hAnsiTheme="minorHAnsi" w:cstheme="minorHAnsi"/>
          <w:bCs/>
          <w:i/>
          <w:sz w:val="22"/>
          <w:szCs w:val="22"/>
          <w:lang w:eastAsia="en-US"/>
        </w:rPr>
      </w:pPr>
      <w:r>
        <w:rPr>
          <w:rFonts w:eastAsia="Times New Roman" w:asciiTheme="minorHAnsi" w:hAnsiTheme="minorHAnsi" w:cstheme="minorHAnsi"/>
          <w:iCs/>
          <w:sz w:val="22"/>
          <w:szCs w:val="22"/>
        </w:rPr>
        <w:t>O contratado deverá complementar a garantia contratual anteriormente prestada, de modo que se mantenha a proporção inicial em relação ao valor contratado.</w:t>
      </w:r>
      <w:r>
        <w:rPr>
          <w:rFonts w:eastAsia="Times New Roman" w:asciiTheme="minorHAnsi" w:hAnsiTheme="minorHAnsi" w:cstheme="minorHAnsi"/>
          <w:iCs/>
          <w:strike/>
          <w:sz w:val="22"/>
          <w:szCs w:val="22"/>
        </w:rPr>
        <w:t xml:space="preserve"> </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pPr>
        <w:pStyle w:val="99"/>
        <w:keepNext/>
        <w:keepLines/>
        <w:numPr>
          <w:ilvl w:val="1"/>
          <w:numId w:val="4"/>
        </w:numPr>
        <w:spacing w:before="0"/>
        <w:ind w:left="567" w:hanging="567"/>
        <w:contextualSpacing/>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 revisão dos custos relativos ao vale-transporte será formalizada por apostilamento. </w:t>
      </w:r>
    </w:p>
    <w:p>
      <w:pPr>
        <w:pStyle w:val="90"/>
        <w:numPr>
          <w:ilvl w:val="0"/>
          <w:numId w:val="0"/>
        </w:numPr>
        <w:contextualSpacing/>
        <w:rPr>
          <w:rFonts w:eastAsia="Times New Roman"/>
        </w:rPr>
      </w:pPr>
    </w:p>
    <w:p>
      <w:pPr>
        <w:pStyle w:val="90"/>
        <w:spacing w:before="0"/>
        <w:contextualSpacing/>
        <w:rPr>
          <w:rFonts w:eastAsia="Times New Roman" w:asciiTheme="minorHAnsi" w:hAnsiTheme="minorHAnsi" w:cstheme="minorHAnsi"/>
          <w:sz w:val="22"/>
          <w:szCs w:val="22"/>
        </w:rPr>
      </w:pPr>
      <w:r>
        <w:rPr>
          <w:rFonts w:asciiTheme="minorHAnsi" w:hAnsiTheme="minorHAnsi" w:cstheme="minorHAnsi"/>
          <w:sz w:val="22"/>
          <w:szCs w:val="22"/>
        </w:rPr>
        <w:t xml:space="preserve"> 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rPr>
        <w:t>São obrigações do Contratante:</w:t>
      </w:r>
    </w:p>
    <w:p>
      <w:pPr>
        <w:pStyle w:val="99"/>
        <w:keepNext/>
        <w:keepLines/>
        <w:numPr>
          <w:ilvl w:val="1"/>
          <w:numId w:val="4"/>
        </w:numPr>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pPr>
        <w:pStyle w:val="99"/>
        <w:keepNext/>
        <w:keepLines/>
        <w:numPr>
          <w:ilvl w:val="1"/>
          <w:numId w:val="4"/>
        </w:numPr>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pPr>
        <w:pStyle w:val="99"/>
        <w:keepNext/>
        <w:keepLines/>
        <w:numPr>
          <w:ilvl w:val="1"/>
          <w:numId w:val="4"/>
        </w:numPr>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2"/>
          <w:numId w:val="14"/>
        </w:numPr>
        <w:spacing w:before="0" w:after="288" w:afterLines="120" w:line="312" w:lineRule="auto"/>
        <w:ind w:left="567" w:hanging="567"/>
        <w:contextualSpacing/>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pPr>
        <w:pStyle w:val="99"/>
        <w:keepNext/>
        <w:keepLines/>
        <w:numPr>
          <w:ilvl w:val="2"/>
          <w:numId w:val="14"/>
        </w:numPr>
        <w:spacing w:before="0" w:after="288" w:afterLines="120" w:line="312" w:lineRule="auto"/>
        <w:ind w:left="567" w:hanging="567"/>
        <w:contextualSpacing/>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pPr>
        <w:pStyle w:val="99"/>
        <w:keepNext/>
        <w:keepLines/>
        <w:numPr>
          <w:ilvl w:val="2"/>
          <w:numId w:val="14"/>
        </w:numPr>
        <w:spacing w:before="0" w:after="288" w:afterLines="120" w:line="312" w:lineRule="auto"/>
        <w:ind w:left="567" w:hanging="567"/>
        <w:contextualSpacing/>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pPr>
        <w:pStyle w:val="99"/>
        <w:keepNext/>
        <w:keepLines/>
        <w:numPr>
          <w:ilvl w:val="2"/>
          <w:numId w:val="14"/>
        </w:numPr>
        <w:spacing w:before="0" w:after="288" w:afterLines="120" w:line="312" w:lineRule="auto"/>
        <w:ind w:left="567" w:hanging="567"/>
        <w:contextualSpacing/>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pPr>
        <w:pStyle w:val="99"/>
        <w:keepNext/>
        <w:keepLines/>
        <w:numPr>
          <w:ilvl w:val="2"/>
          <w:numId w:val="14"/>
        </w:numPr>
        <w:spacing w:before="0" w:after="288" w:afterLines="120" w:line="312" w:lineRule="auto"/>
        <w:ind w:left="567" w:hanging="567"/>
        <w:contextualSpacing/>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pPr>
        <w:pStyle w:val="99"/>
        <w:keepNext/>
        <w:keepLines/>
        <w:numPr>
          <w:ilvl w:val="2"/>
          <w:numId w:val="14"/>
        </w:numPr>
        <w:spacing w:before="0" w:after="288" w:afterLines="120" w:line="312" w:lineRule="auto"/>
        <w:ind w:left="567" w:hanging="567"/>
        <w:contextualSpacing/>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pPr>
        <w:pStyle w:val="101"/>
        <w:keepNext/>
        <w:keepLines/>
        <w:numPr>
          <w:ilvl w:val="2"/>
          <w:numId w:val="4"/>
        </w:numPr>
        <w:spacing w:before="0" w:after="288" w:afterLines="120" w:line="312" w:lineRule="auto"/>
        <w:ind w:hanging="567"/>
        <w:contextualSpacing/>
        <w:rPr>
          <w:rFonts w:asciiTheme="minorHAnsi" w:hAnsiTheme="minorHAnsi" w:cstheme="minorHAnsi"/>
          <w:b/>
          <w:bCs/>
          <w:sz w:val="22"/>
          <w:szCs w:val="22"/>
        </w:rPr>
      </w:pPr>
      <w:r>
        <w:rPr>
          <w:rFonts w:asciiTheme="minorHAnsi" w:hAnsiTheme="minorHAnsi" w:cstheme="minorHAnsi"/>
          <w:sz w:val="22"/>
          <w:szCs w:val="22"/>
        </w:rPr>
        <w:t xml:space="preserve"> </w:t>
      </w:r>
      <w:bookmarkStart w:id="2"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2"/>
    </w:p>
    <w:p>
      <w:pPr>
        <w:pStyle w:val="99"/>
        <w:keepNext/>
        <w:keepLines/>
        <w:numPr>
          <w:ilvl w:val="1"/>
          <w:numId w:val="4"/>
        </w:numPr>
        <w:spacing w:before="0" w:after="288" w:afterLines="120" w:line="312" w:lineRule="auto"/>
        <w:ind w:left="567" w:hanging="567"/>
        <w:contextualSpacing/>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color w:val="auto"/>
          <w:sz w:val="22"/>
          <w:szCs w:val="22"/>
        </w:rPr>
      </w:pPr>
      <w:bookmarkStart w:id="3" w:name="_Hlk114499841"/>
      <w:bookmarkEnd w:id="3"/>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pPr>
        <w:pStyle w:val="99"/>
        <w:keepNext/>
        <w:keepLines/>
        <w:numPr>
          <w:ilvl w:val="0"/>
          <w:numId w:val="0"/>
        </w:numPr>
        <w:spacing w:before="0" w:after="288" w:afterLines="120" w:line="312" w:lineRule="auto"/>
        <w:ind w:left="567"/>
        <w:contextualSpacing/>
        <w:rPr>
          <w:rFonts w:asciiTheme="minorHAnsi" w:hAnsiTheme="minorHAnsi" w:cstheme="minorHAnsi"/>
          <w:sz w:val="22"/>
          <w:szCs w:val="22"/>
        </w:rPr>
      </w:pPr>
    </w:p>
    <w:p>
      <w:pPr>
        <w:pStyle w:val="90"/>
        <w:tabs>
          <w:tab w:val="clear" w:pos="360"/>
        </w:tabs>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pPr>
        <w:pStyle w:val="99"/>
        <w:keepNext/>
        <w:keepLines/>
        <w:numPr>
          <w:ilvl w:val="1"/>
          <w:numId w:val="4"/>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Orientar os seus empregados nos seguintes pontos: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pPr>
        <w:pStyle w:val="101"/>
        <w:keepNext/>
        <w:keepLines/>
        <w:numPr>
          <w:ilvl w:val="2"/>
          <w:numId w:val="4"/>
        </w:numPr>
        <w:spacing w:before="0" w:after="288" w:afterLines="120" w:line="312" w:lineRule="auto"/>
        <w:ind w:hanging="567"/>
        <w:contextualSpacing/>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pPr>
        <w:pStyle w:val="101"/>
        <w:keepNext/>
        <w:keepLines/>
        <w:numPr>
          <w:ilvl w:val="0"/>
          <w:numId w:val="0"/>
        </w:numPr>
        <w:spacing w:before="0" w:after="288" w:afterLines="120" w:line="312" w:lineRule="auto"/>
        <w:ind w:left="567"/>
        <w:contextualSpacing/>
        <w:rPr>
          <w:rFonts w:asciiTheme="minorHAnsi" w:hAnsiTheme="minorHAnsi" w:cstheme="minorHAnsi"/>
          <w:sz w:val="22"/>
          <w:szCs w:val="22"/>
        </w:rPr>
      </w:pPr>
    </w:p>
    <w:p>
      <w:pPr>
        <w:pStyle w:val="90"/>
        <w:tabs>
          <w:tab w:val="clear" w:pos="360"/>
        </w:tabs>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pPr>
        <w:pStyle w:val="500"/>
        <w:keepNext/>
        <w:keepLines/>
        <w:numPr>
          <w:ilvl w:val="2"/>
          <w:numId w:val="4"/>
        </w:numPr>
        <w:spacing w:before="0" w:after="288" w:afterLines="120" w:line="312" w:lineRule="auto"/>
        <w:ind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pPr>
        <w:pStyle w:val="90"/>
        <w:tabs>
          <w:tab w:val="clear" w:pos="360"/>
        </w:tabs>
        <w:spacing w:before="0" w:after="288" w:afterLines="120" w:line="312" w:lineRule="auto"/>
        <w:contextualSpacing/>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498"/>
        <w:keepNext/>
        <w:keepLines/>
        <w:numPr>
          <w:ilvl w:val="1"/>
          <w:numId w:val="4"/>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total/anual do contrato, limitada ao equivalente a 2 (dois) meses do custo da folha de pagamento dos empregados da contratada que venham a participar da execução dos serviços contratados. </w:t>
      </w:r>
    </w:p>
    <w:p>
      <w:pPr>
        <w:pStyle w:val="500"/>
        <w:keepNext/>
        <w:keepLines/>
        <w:numPr>
          <w:ilvl w:val="2"/>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inobservância do prazo fixado para apresentação da garantia acarretará a aplicação de multa de 0,07% (sete centésimos por cento) do valor total do contrato por dia de atraso, até o máximo de 2% (dois por cento).  </w:t>
      </w:r>
    </w:p>
    <w:p>
      <w:pPr>
        <w:pStyle w:val="500"/>
        <w:keepNext/>
        <w:keepLines/>
        <w:numPr>
          <w:ilvl w:val="2"/>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i w:val="0"/>
          <w:iCs w:val="0"/>
          <w:color w:val="auto"/>
          <w:sz w:val="22"/>
          <w:szCs w:val="22"/>
        </w:rPr>
        <w:t>inciso I do art. 137 da Lei n.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pPr>
        <w:pStyle w:val="498"/>
        <w:keepNext/>
        <w:keepLines/>
        <w:numPr>
          <w:ilvl w:val="1"/>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Style w:val="510"/>
          <w:rFonts w:asciiTheme="minorHAnsi" w:hAnsiTheme="minorHAnsi" w:cstheme="minorHAnsi"/>
          <w:i w:val="0"/>
          <w:iCs w:val="0"/>
          <w:color w:val="auto"/>
          <w:sz w:val="22"/>
          <w:szCs w:val="22"/>
          <w:shd w:val="clear" w:color="auto" w:fill="FFFFFF"/>
        </w:rPr>
        <w:t xml:space="preserve"> </w:t>
      </w:r>
      <w:r>
        <w:rPr>
          <w:rFonts w:asciiTheme="minorHAnsi" w:hAnsiTheme="minorHAnsi" w:cstheme="minorHAnsi"/>
          <w:i w:val="0"/>
          <w:iCs w:val="0"/>
          <w:color w:val="auto"/>
          <w:sz w:val="22"/>
          <w:szCs w:val="22"/>
        </w:rPr>
        <w:t>A garantia, qualquer que seja a modalidade escolhida, terá validade durante a vigência do contrato e por mais 90 (noventa) dias após término deste prazo de vigência.  </w:t>
      </w:r>
    </w:p>
    <w:p>
      <w:pPr>
        <w:pStyle w:val="498"/>
        <w:keepNext/>
        <w:keepLines/>
        <w:numPr>
          <w:ilvl w:val="1"/>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w:t>
      </w:r>
      <w:r>
        <w:rPr>
          <w:rFonts w:asciiTheme="minorHAnsi" w:hAnsiTheme="minorHAnsi" w:cstheme="minorHAnsi"/>
          <w:i w:val="0"/>
          <w:iCs w:val="0"/>
          <w:color w:val="auto"/>
          <w:sz w:val="22"/>
          <w:szCs w:val="22"/>
          <w:lang w:eastAsia="en-US"/>
        </w:rPr>
        <w:t xml:space="preserve">zada a modalidade </w:t>
      </w:r>
      <w:r>
        <w:rPr>
          <w:rFonts w:asciiTheme="minorHAnsi" w:hAnsiTheme="minorHAnsi" w:cstheme="minorHAnsi"/>
          <w:i w:val="0"/>
          <w:iCs w:val="0"/>
          <w:color w:val="auto"/>
          <w:sz w:val="22"/>
          <w:szCs w:val="22"/>
        </w:rPr>
        <w:t>de seguro-garantia, a apólice permanecerá em vigor mesmo que o contratado não pague o prêmio nas datas convencionadas.</w:t>
      </w:r>
    </w:p>
    <w:p>
      <w:pPr>
        <w:pStyle w:val="498"/>
        <w:keepNext/>
        <w:keepLines/>
        <w:numPr>
          <w:ilvl w:val="1"/>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_Ref125984616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11.6</w:t>
      </w:r>
      <w:r>
        <w:rPr>
          <w:rFonts w:asciiTheme="minorHAnsi" w:hAnsiTheme="minorHAnsi" w:cstheme="minorHAnsi"/>
          <w:sz w:val="22"/>
          <w:szCs w:val="22"/>
        </w:rPr>
        <w:fldChar w:fldCharType="end"/>
      </w:r>
      <w:r>
        <w:rPr>
          <w:rFonts w:asciiTheme="minorHAnsi" w:hAnsiTheme="minorHAnsi" w:cstheme="minorHAnsi"/>
          <w:sz w:val="22"/>
          <w:szCs w:val="22"/>
        </w:rPr>
        <w:t xml:space="preserve"> deste contrato.</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bookmarkStart w:id="4" w:name="_Ref118297051"/>
      <w:bookmarkStart w:id="5" w:name="_Ref125984616"/>
      <w:r>
        <w:rPr>
          <w:rFonts w:asciiTheme="minorHAnsi" w:hAnsiTheme="minorHAnsi" w:cstheme="minorHAnsi"/>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4"/>
      <w:bookmarkEnd w:id="5"/>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bookmarkStart w:id="6" w:name="_Ref118297166"/>
      <w:r>
        <w:rPr>
          <w:rFonts w:asciiTheme="minorHAnsi" w:hAnsiTheme="minorHAnsi" w:cstheme="minorHAnsi"/>
          <w:sz w:val="22"/>
          <w:szCs w:val="22"/>
        </w:rPr>
        <w:t>A garantia assegurará, qualquer que seja a modalidade escolhida, o pagamento de:</w:t>
      </w:r>
      <w:bookmarkEnd w:id="6"/>
      <w:r>
        <w:rPr>
          <w:rFonts w:asciiTheme="minorHAnsi" w:hAnsiTheme="minorHAnsi" w:cstheme="minorHAnsi"/>
          <w:sz w:val="22"/>
          <w:szCs w:val="22"/>
        </w:rPr>
        <w:t xml:space="preserve"> </w:t>
      </w:r>
    </w:p>
    <w:p>
      <w:pPr>
        <w:pStyle w:val="500"/>
        <w:keepNext/>
        <w:keepLines/>
        <w:numPr>
          <w:ilvl w:val="2"/>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pPr>
        <w:pStyle w:val="500"/>
        <w:keepNext/>
        <w:keepLines/>
        <w:numPr>
          <w:ilvl w:val="2"/>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ao contratado; e  </w:t>
      </w:r>
    </w:p>
    <w:p>
      <w:pPr>
        <w:pStyle w:val="500"/>
        <w:keepNext/>
        <w:keepLines/>
        <w:numPr>
          <w:ilvl w:val="2"/>
          <w:numId w:val="15"/>
        </w:numPr>
        <w:spacing w:before="0" w:after="288" w:afterLines="120" w:line="312"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bCs/>
          <w:i w:val="0"/>
          <w:iCs w:val="0"/>
          <w:color w:val="auto"/>
          <w:sz w:val="22"/>
          <w:szCs w:val="22"/>
        </w:rPr>
        <w:t xml:space="preserve">obrigações trabalhistas e previdenciárias </w:t>
      </w:r>
      <w:r>
        <w:rPr>
          <w:rFonts w:asciiTheme="minorHAnsi" w:hAnsiTheme="minorHAnsi" w:cstheme="minorHAnsi"/>
          <w:i w:val="0"/>
          <w:iCs w:val="0"/>
          <w:color w:val="auto"/>
          <w:sz w:val="22"/>
          <w:szCs w:val="22"/>
        </w:rPr>
        <w:t>de qualquer natureza e para com o FGTS, não adimplidas pelo contratado, quando couber.</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modalidade seguro-garantia somente será aceita se contemplar todos os eventos indicados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_Ref118297166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11.7</w:t>
      </w:r>
      <w:r>
        <w:rPr>
          <w:rFonts w:asciiTheme="minorHAnsi" w:hAnsiTheme="minorHAnsi" w:cstheme="minorHAnsi"/>
          <w:sz w:val="22"/>
          <w:szCs w:val="22"/>
        </w:rPr>
        <w:fldChar w:fldCharType="end"/>
      </w:r>
      <w:r>
        <w:rPr>
          <w:rFonts w:asciiTheme="minorHAnsi" w:hAnsiTheme="minorHAnsi" w:cstheme="minorHAnsi"/>
          <w:sz w:val="22"/>
          <w:szCs w:val="22"/>
        </w:rPr>
        <w:t xml:space="preserve">, observada a legislação que rege a matéria.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garantia em dinheiro deverá ser efetuada em favor do contratante, em conta específica na Caixa Econômica Federal, com correção monetária.</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color w:val="auto"/>
          <w:sz w:val="22"/>
          <w:szCs w:val="22"/>
        </w:rPr>
        <w:t>artigo 827 do Código Civil.</w:t>
      </w:r>
      <w:r>
        <w:rPr>
          <w:rStyle w:val="18"/>
          <w:rFonts w:asciiTheme="minorHAnsi" w:hAnsiTheme="minorHAnsi" w:cstheme="minorHAnsi"/>
          <w:color w:val="auto"/>
          <w:sz w:val="22"/>
          <w:szCs w:val="22"/>
        </w:rPr>
        <w:fldChar w:fldCharType="end"/>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No caso de alteração do valor do contrato, ou prorrogação de sua vigência, a garantia deverá ser ajustada ou renovada, seguindo os mesmos parâmetros utilizados quando da contratação.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 o valor da garantia for utilizado total ou parcialmente em pagamento de qualquer obrigação, o Contratado obriga-se a fazer a respectiva reposição no prazo máximo de 10 (dez) dias úteis, contados da data em que for notificada.</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Contratante executará a garantia na forma prevista na legislação que rege a matéria.</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color w:val="auto"/>
          <w:sz w:val="22"/>
          <w:szCs w:val="22"/>
        </w:rPr>
        <w:t>art. 137, § 4º, da Lei n.º 14.133, de 2021</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color w:val="auto"/>
          <w:sz w:val="22"/>
          <w:szCs w:val="22"/>
        </w:rPr>
        <w:t>art. 20 da Circular Susep n° 662, de 11 de abril de 2022</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garantia somente será liberada ou restituída após a fiel execução do contrato ou após a sua extinção por culpa exclusiva da Administração e, quando em dinheiro, será atualizada monetariamente.</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Também poderá haver liberação da garantia se a empresa comprovar que os empregados serão realocados em outra atividade de prestação de serviços, sem que ocorra a interrupção do contrato de trabalho;</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garantidor não é parte para figurar em processo administrativo instaurado pelo contratante com o objetivo de apurar prejuízos e/ou aplicar sanções ao contratado.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contratado autoriza o contratante a reter, a qualquer tempo, a garantia, na forma prevista no Edital e neste Contrato.</w:t>
      </w:r>
    </w:p>
    <w:p>
      <w:pPr>
        <w:pStyle w:val="492"/>
        <w:numPr>
          <w:ilvl w:val="0"/>
          <w:numId w:val="15"/>
        </w:numPr>
        <w:tabs>
          <w:tab w:val="left" w:pos="360"/>
        </w:tabs>
        <w:spacing w:before="0" w:after="288" w:afterLines="120" w:line="312" w:lineRule="auto"/>
        <w:ind w:left="567" w:hanging="567"/>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pPr>
        <w:keepNext/>
        <w:keepLines/>
        <w:numPr>
          <w:ilvl w:val="2"/>
          <w:numId w:val="16"/>
        </w:numPr>
        <w:spacing w:after="288" w:afterLines="120"/>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pPr>
        <w:keepNext/>
        <w:keepLines/>
        <w:numPr>
          <w:ilvl w:val="2"/>
          <w:numId w:val="17"/>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7" w:name="_Hlk114504069"/>
      <w:r>
        <w:rPr>
          <w:rStyle w:val="18"/>
          <w:rFonts w:eastAsia="Arial" w:asciiTheme="minorHAnsi" w:hAnsiTheme="minorHAnsi" w:cstheme="minorHAnsi"/>
          <w:sz w:val="22"/>
          <w:szCs w:val="22"/>
        </w:rPr>
        <w:t>Lei nº 14.133, de 2021</w:t>
      </w:r>
      <w:bookmarkEnd w:id="7"/>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keepNext/>
        <w:keepLines/>
        <w:numPr>
          <w:ilvl w:val="2"/>
          <w:numId w:val="17"/>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keepNext/>
        <w:keepLines/>
        <w:numPr>
          <w:ilvl w:val="2"/>
          <w:numId w:val="17"/>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keepNext/>
        <w:keepLines/>
        <w:numPr>
          <w:ilvl w:val="2"/>
          <w:numId w:val="17"/>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pPr>
        <w:keepNext/>
        <w:keepLines/>
        <w:numPr>
          <w:ilvl w:val="3"/>
          <w:numId w:val="17"/>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5% (cinco por cento) por dia de atraso injustificado sobre o valor da parcela inadimplida, até o limite de 30 (trinta) dias;</w:t>
      </w:r>
    </w:p>
    <w:p>
      <w:pPr>
        <w:keepNext/>
        <w:keepLines/>
        <w:numPr>
          <w:ilvl w:val="7"/>
          <w:numId w:val="17"/>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30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pPr>
        <w:keepNext/>
        <w:keepLines/>
        <w:numPr>
          <w:ilvl w:val="3"/>
          <w:numId w:val="17"/>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de 20% (vinte por cento) sobre o valor total do contrato, no caso de inexecução total do objeto;</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color w:val="auto"/>
          <w:sz w:val="22"/>
          <w:szCs w:val="22"/>
        </w:rPr>
        <w:t>10 (dez)</w:t>
      </w:r>
      <w:r>
        <w:rPr>
          <w:rFonts w:asciiTheme="minorHAnsi" w:hAnsiTheme="minorHAnsi" w:cstheme="minorHAnsi"/>
          <w:i/>
          <w:iCs/>
          <w:color w:val="FF0000"/>
          <w:sz w:val="22"/>
          <w:szCs w:val="22"/>
        </w:rPr>
        <w:t xml:space="preserve"> </w:t>
      </w:r>
      <w:r>
        <w:rPr>
          <w:rFonts w:asciiTheme="minorHAnsi" w:hAnsiTheme="minorHAnsi" w:cstheme="minorHAnsi"/>
          <w:sz w:val="22"/>
          <w:szCs w:val="22"/>
        </w:rPr>
        <w:t>dias, a contar da data do recebimento da comunicação enviada pela autoridade competente.</w:t>
      </w:r>
      <w:bookmarkStart w:id="8" w:name="_Hlk78351618"/>
      <w:bookmarkEnd w:id="8"/>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keepNext/>
        <w:keepLines/>
        <w:numPr>
          <w:ilvl w:val="0"/>
          <w:numId w:val="18"/>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pPr>
        <w:keepNext/>
        <w:keepLines/>
        <w:numPr>
          <w:ilvl w:val="0"/>
          <w:numId w:val="18"/>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pPr>
        <w:keepNext/>
        <w:keepLines/>
        <w:numPr>
          <w:ilvl w:val="0"/>
          <w:numId w:val="18"/>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pPr>
        <w:keepNext/>
        <w:keepLines/>
        <w:numPr>
          <w:ilvl w:val="0"/>
          <w:numId w:val="18"/>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pPr>
        <w:keepNext/>
        <w:keepLines/>
        <w:numPr>
          <w:ilvl w:val="0"/>
          <w:numId w:val="18"/>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492"/>
        <w:numPr>
          <w:ilvl w:val="0"/>
          <w:numId w:val="15"/>
        </w:numPr>
        <w:tabs>
          <w:tab w:val="left" w:pos="360"/>
        </w:tabs>
        <w:spacing w:before="0" w:after="288" w:afterLines="120" w:line="312" w:lineRule="auto"/>
        <w:ind w:left="567" w:hanging="567"/>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pPr>
        <w:pStyle w:val="99"/>
        <w:keepNext/>
        <w:keepLines/>
        <w:numPr>
          <w:ilvl w:val="2"/>
          <w:numId w:val="19"/>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pPr>
        <w:pStyle w:val="99"/>
        <w:keepNext/>
        <w:keepLines/>
        <w:numPr>
          <w:ilvl w:val="2"/>
          <w:numId w:val="19"/>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color w:val="000000" w:themeColor="text1"/>
          <w:sz w:val="22"/>
          <w:szCs w:val="22"/>
          <w14:textFill>
            <w14:solidFill>
              <w14:schemeClr w14:val="tx1"/>
            </w14:solidFill>
          </w14:textFill>
        </w:rPr>
        <w:t>alteração social ou a modificação da finalidade ou da estrutura da empresa</w:t>
      </w:r>
      <w:r>
        <w:rPr>
          <w:rFonts w:asciiTheme="minorHAnsi" w:hAnsiTheme="minorHAnsi" w:cstheme="minorHAnsi"/>
          <w:sz w:val="22"/>
          <w:szCs w:val="22"/>
        </w:rPr>
        <w:t xml:space="preserve"> não ensejará a extinção se não </w:t>
      </w:r>
      <w:r>
        <w:rPr>
          <w:rFonts w:asciiTheme="minorHAnsi" w:hAnsiTheme="minorHAnsi" w:cstheme="minorHAnsi"/>
          <w:color w:val="000000" w:themeColor="text1"/>
          <w:sz w:val="22"/>
          <w:szCs w:val="22"/>
          <w14:textFill>
            <w14:solidFill>
              <w14:schemeClr w14:val="tx1"/>
            </w14:solidFill>
          </w14:textFill>
        </w:rPr>
        <w:t>restringir sua capacidade de concluir o contrato.</w:t>
      </w:r>
    </w:p>
    <w:p>
      <w:pPr>
        <w:pStyle w:val="102"/>
        <w:keepNext/>
        <w:keepLines/>
        <w:numPr>
          <w:ilvl w:val="3"/>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pPr>
        <w:pStyle w:val="101"/>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Indenizações e multas.</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pPr>
        <w:pStyle w:val="99"/>
        <w:keepNext/>
        <w:keepLines/>
        <w:numPr>
          <w:ilvl w:val="2"/>
          <w:numId w:val="20"/>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 3º, 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b</w:t>
      </w:r>
      <w:r>
        <w:rPr>
          <w:rStyle w:val="18"/>
          <w:rFonts w:asciiTheme="minorHAnsi" w:hAnsiTheme="minorHAnsi" w:cstheme="minorHAnsi"/>
          <w:sz w:val="22"/>
          <w:szCs w:val="22"/>
        </w:rPr>
        <w:fldChar w:fldCharType="end"/>
      </w:r>
      <w:r>
        <w:rPr>
          <w:rFonts w:asciiTheme="minorHAnsi" w:hAnsiTheme="minorHAnsi" w:cstheme="minorHAnsi"/>
          <w:sz w:val="22"/>
          <w:szCs w:val="22"/>
        </w:rPr>
        <w:t>, da Lei n.º 14.133/2021); e </w:t>
      </w:r>
    </w:p>
    <w:p>
      <w:pPr>
        <w:pStyle w:val="99"/>
        <w:keepNext/>
        <w:keepLines/>
        <w:numPr>
          <w:ilvl w:val="2"/>
          <w:numId w:val="20"/>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os valores das Notas fiscais ou Faturas correspondentes em valor proporcional ao inadimplemento, até que a situação seja regularizada.</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obrigações por parte do contratado no prazo de </w:t>
      </w:r>
      <w:r>
        <w:rPr>
          <w:rFonts w:asciiTheme="minorHAnsi" w:hAnsiTheme="minorHAnsi" w:cstheme="minorHAnsi"/>
          <w:iCs/>
          <w:color w:val="000000" w:themeColor="text1"/>
          <w:sz w:val="22"/>
          <w:szCs w:val="22"/>
          <w14:textFill>
            <w14:solidFill>
              <w14:schemeClr w14:val="tx1"/>
            </w14:solidFill>
          </w14:textFill>
        </w:rPr>
        <w:t>15 (quinze)</w:t>
      </w:r>
      <w:r>
        <w:rPr>
          <w:rFonts w:asciiTheme="minorHAnsi" w:hAnsiTheme="minorHAnsi" w:cstheme="minorHAnsi"/>
          <w:color w:val="000000" w:themeColor="text1"/>
          <w:sz w:val="22"/>
          <w:szCs w:val="22"/>
          <w14:textFill>
            <w14:solidFill>
              <w14:schemeClr w14:val="tx1"/>
            </w14:solidFill>
          </w14:textFill>
        </w:rPr>
        <w:t xml:space="preserve"> </w:t>
      </w:r>
      <w:r>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§3º, inciso II,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contratante poderá ainda:</w:t>
      </w:r>
    </w:p>
    <w:p>
      <w:pPr>
        <w:pStyle w:val="99"/>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 nos casos de obrigação de pagamento de multa pelo contratado, reter a garantia prestada a ser executada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“c”,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 conforme legislação que rege a matéria; e</w:t>
      </w:r>
    </w:p>
    <w:p>
      <w:pPr>
        <w:pStyle w:val="99"/>
        <w:keepNext/>
        <w:keepLines/>
        <w:numPr>
          <w:ilvl w:val="2"/>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nos casos em que houver necessidade de ressarcimento de prejuízos causados à Administração, nos termos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do inciso IV do art. 139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reter os eventuais créditos existentes em favor do contratado decorrentes do contrato.</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r>
        <w:fldChar w:fldCharType="begin"/>
      </w:r>
      <w:r>
        <w:instrText xml:space="preserve"> HYPERLINK "http://www.planalto.gov.br/ccivil_03/_ato2019-2022/2021/lei/L14133.htm" \l "art14" </w:instrText>
      </w:r>
      <w:r>
        <w:fldChar w:fldCharType="separate"/>
      </w:r>
      <w:r>
        <w:rPr>
          <w:rStyle w:val="18"/>
          <w:rFonts w:asciiTheme="minorHAnsi" w:hAnsiTheme="minorHAnsi" w:cstheme="minorHAnsi"/>
          <w:sz w:val="22"/>
          <w:szCs w:val="22"/>
        </w:rPr>
        <w:t>art. 14, inciso IV,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492"/>
        <w:numPr>
          <w:ilvl w:val="0"/>
          <w:numId w:val="15"/>
        </w:numPr>
        <w:tabs>
          <w:tab w:val="left" w:pos="360"/>
        </w:tabs>
        <w:spacing w:before="0" w:after="288" w:afterLines="120" w:line="312" w:lineRule="auto"/>
        <w:ind w:left="567" w:hanging="567"/>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pPr>
        <w:pStyle w:val="99"/>
        <w:keepNext/>
        <w:keepLines/>
        <w:numPr>
          <w:ilvl w:val="1"/>
          <w:numId w:val="15"/>
        </w:numPr>
        <w:spacing w:before="0"/>
        <w:ind w:left="567" w:hanging="567"/>
        <w:contextualSpacing/>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r>
        <w:fldChar w:fldCharType="begin"/>
      </w:r>
      <w:r>
        <w:instrText xml:space="preserve"> HYPERLINK "http://www.planalto.gov.br/ccivil_03/_ato2019-2022/2021/lei/L14133.htm" \l "art132" </w:instrText>
      </w:r>
      <w:r>
        <w:fldChar w:fldCharType="separate"/>
      </w:r>
      <w:r>
        <w:rPr>
          <w:rStyle w:val="18"/>
          <w:rFonts w:asciiTheme="minorHAnsi" w:hAnsiTheme="minorHAnsi" w:cstheme="minorHAnsi"/>
          <w:sz w:val="22"/>
          <w:szCs w:val="22"/>
        </w:rPr>
        <w:t>art. 132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492"/>
        <w:numPr>
          <w:ilvl w:val="0"/>
          <w:numId w:val="15"/>
        </w:numPr>
        <w:tabs>
          <w:tab w:val="left" w:pos="360"/>
        </w:tabs>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pPr>
        <w:keepNext/>
        <w:keepLines/>
        <w:numPr>
          <w:ilvl w:val="1"/>
          <w:numId w:val="21"/>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pPr>
        <w:keepNext/>
        <w:keepLines/>
        <w:numPr>
          <w:ilvl w:val="1"/>
          <w:numId w:val="21"/>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pPr>
        <w:keepNext/>
        <w:keepLines/>
        <w:numPr>
          <w:ilvl w:val="1"/>
          <w:numId w:val="21"/>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pPr>
        <w:keepNext/>
        <w:keepLines/>
        <w:numPr>
          <w:ilvl w:val="1"/>
          <w:numId w:val="21"/>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pPr>
        <w:keepNext/>
        <w:keepLines/>
        <w:numPr>
          <w:ilvl w:val="1"/>
          <w:numId w:val="21"/>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pPr>
        <w:keepNext/>
        <w:keepLines/>
        <w:numPr>
          <w:ilvl w:val="1"/>
          <w:numId w:val="21"/>
        </w:numPr>
        <w:spacing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pPr>
        <w:pStyle w:val="498"/>
        <w:keepNext/>
        <w:keepLines/>
        <w:numPr>
          <w:ilvl w:val="1"/>
          <w:numId w:val="15"/>
        </w:numPr>
        <w:spacing w:before="0" w:after="288" w:afterLines="120" w:line="312" w:lineRule="auto"/>
        <w:ind w:left="567" w:hanging="567"/>
        <w:contextualSpacing/>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pPr>
        <w:pStyle w:val="492"/>
        <w:numPr>
          <w:ilvl w:val="0"/>
          <w:numId w:val="15"/>
        </w:numPr>
        <w:tabs>
          <w:tab w:val="left" w:pos="360"/>
        </w:tabs>
        <w:spacing w:before="0" w:after="288" w:afterLines="120" w:line="312" w:lineRule="auto"/>
        <w:ind w:left="567" w:hanging="567"/>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pPr>
        <w:pStyle w:val="492"/>
        <w:numPr>
          <w:ilvl w:val="0"/>
          <w:numId w:val="15"/>
        </w:numPr>
        <w:tabs>
          <w:tab w:val="left" w:pos="360"/>
        </w:tabs>
        <w:spacing w:before="0" w:after="288" w:afterLines="120" w:line="312" w:lineRule="auto"/>
        <w:ind w:left="567" w:hanging="567"/>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pPr>
        <w:pStyle w:val="99"/>
        <w:keepNext/>
        <w:keepLines/>
        <w:numPr>
          <w:ilvl w:val="1"/>
          <w:numId w:val="15"/>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99"/>
        <w:keepNext/>
        <w:keepLines/>
        <w:numPr>
          <w:ilvl w:val="0"/>
          <w:numId w:val="0"/>
        </w:numPr>
        <w:spacing w:before="0" w:after="288" w:afterLines="120" w:line="312" w:lineRule="auto"/>
        <w:ind w:left="858" w:hanging="432"/>
        <w:contextualSpacing/>
        <w:rPr>
          <w:rFonts w:asciiTheme="minorHAnsi" w:hAnsiTheme="minorHAnsi" w:cstheme="minorHAnsi"/>
          <w:sz w:val="22"/>
          <w:szCs w:val="22"/>
        </w:rPr>
      </w:pPr>
    </w:p>
    <w:p>
      <w:pPr>
        <w:pStyle w:val="99"/>
        <w:keepNext/>
        <w:keepLines/>
        <w:numPr>
          <w:ilvl w:val="0"/>
          <w:numId w:val="15"/>
        </w:numPr>
        <w:spacing w:before="0" w:after="288" w:afterLines="120" w:line="312"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pPr>
        <w:pStyle w:val="99"/>
        <w:keepNext/>
        <w:keepLines/>
        <w:numPr>
          <w:ilvl w:val="1"/>
          <w:numId w:val="22"/>
        </w:numPr>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pPr>
        <w:pStyle w:val="99"/>
        <w:keepNext/>
        <w:keepLines/>
        <w:numPr>
          <w:ilvl w:val="0"/>
          <w:numId w:val="0"/>
        </w:numPr>
        <w:spacing w:before="0" w:after="288" w:afterLines="120" w:line="312" w:lineRule="auto"/>
        <w:ind w:hanging="6"/>
        <w:contextualSpacing/>
        <w:rPr>
          <w:rFonts w:asciiTheme="minorHAnsi" w:hAnsiTheme="minorHAnsi" w:cstheme="minorHAnsi"/>
          <w:sz w:val="22"/>
          <w:szCs w:val="22"/>
        </w:rPr>
      </w:pPr>
    </w:p>
    <w:p>
      <w:pPr>
        <w:pStyle w:val="99"/>
        <w:keepNext/>
        <w:keepLines/>
        <w:numPr>
          <w:ilvl w:val="0"/>
          <w:numId w:val="0"/>
        </w:numPr>
        <w:spacing w:before="0" w:after="288" w:afterLines="120" w:line="312"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pPr>
        <w:keepNext/>
        <w:keepLine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Nirmala UI"/>
    <w:panose1 w:val="00000400000000000000"/>
    <w:charset w:val="00"/>
    <w:family w:val="roman"/>
    <w:pitch w:val="default"/>
    <w:sig w:usb0="00000000" w:usb1="00000000" w:usb2="00000000" w:usb3="00000000" w:csb0="00000001" w:csb1="00000000"/>
  </w:font>
  <w:font w:name="Nirmala UI">
    <w:panose1 w:val="020B0502040204020203"/>
    <w:charset w:val="00"/>
    <w:family w:val="auto"/>
    <w:pitch w:val="default"/>
    <w:sig w:usb0="80FF8023" w:usb1="0200004A" w:usb2="00000200" w:usb3="00040000" w:csb0="00000001" w:csb1="0000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Narrow">
    <w:altName w:val="Arial"/>
    <w:panose1 w:val="020B0606020202030204"/>
    <w:charset w:val="00"/>
    <w:family w:val="swiss"/>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83" w:usb1="288F0000" w:usb2="00000006" w:usb3="00000000" w:csb0="00040001" w:csb1="00000000"/>
  </w:font>
  <w:font w:name="Lucida Sans">
    <w:altName w:val="Lucida Sans Unicode"/>
    <w:panose1 w:val="020B0602030504020204"/>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ascii="Times New Roman" w:hAnsi="Times New Roman" w:cs="Times New Roman"/>
      </w:rPr>
    </w:pPr>
    <w:r>
      <w:rPr>
        <w:rFonts w:ascii="Times New Roman" w:hAnsi="Times New Roman" w:cs="Times New Roman"/>
      </w:rPr>
      <w:t>____________________________________________________________________</w:t>
    </w:r>
  </w:p>
  <w:p>
    <w:pPr>
      <w:pStyle w:val="33"/>
      <w:rPr>
        <w:rFonts w:cs="Arial"/>
        <w:sz w:val="14"/>
        <w:szCs w:val="14"/>
      </w:rPr>
    </w:pPr>
    <w:r>
      <w:rPr>
        <w:rFonts w:cs="Arial"/>
        <w:sz w:val="14"/>
        <w:szCs w:val="14"/>
      </w:rPr>
      <w:t>Câmara Nacional de Modelos de Licitações e Contratos da Consultoria-Geral da União</w:t>
    </w:r>
  </w:p>
  <w:p>
    <w:pPr>
      <w:pStyle w:val="33"/>
      <w:rPr>
        <w:rFonts w:cs="Arial"/>
        <w:sz w:val="14"/>
        <w:szCs w:val="14"/>
      </w:rPr>
    </w:pPr>
    <w:r>
      <w:rPr>
        <w:rFonts w:cs="Arial"/>
        <w:sz w:val="14"/>
        <w:szCs w:val="14"/>
      </w:rPr>
      <w:t>Atualização: fevereiro/2023</w:t>
    </w:r>
  </w:p>
  <w:p>
    <w:pPr>
      <w:pStyle w:val="33"/>
      <w:rPr>
        <w:rFonts w:cs="Arial"/>
        <w:sz w:val="14"/>
        <w:szCs w:val="14"/>
      </w:rPr>
    </w:pPr>
    <w:r>
      <w:rPr>
        <w:rFonts w:cs="Arial"/>
        <w:sz w:val="14"/>
        <w:szCs w:val="14"/>
      </w:rPr>
      <w:t>Termo de contrato modelo para Pregão Eletrônico - Serviços</w:t>
    </w:r>
    <w:r>
      <w:rPr>
        <w:sz w:val="14"/>
        <w:szCs w:val="14"/>
      </w:rPr>
      <w:t xml:space="preserve"> </w:t>
    </w:r>
    <w:r>
      <w:rPr>
        <w:rFonts w:cs="Arial"/>
        <w:sz w:val="14"/>
        <w:szCs w:val="14"/>
      </w:rPr>
      <w:t>contínuos com regime de dedicação exclusiva de mão de obra - Lei nº 14.133, de 2021.</w:t>
    </w:r>
  </w:p>
  <w:p>
    <w:pPr>
      <w:pStyle w:val="33"/>
      <w:rPr>
        <w:rFonts w:cs="Arial"/>
        <w:sz w:val="14"/>
        <w:szCs w:val="14"/>
      </w:rPr>
    </w:pPr>
    <w:r>
      <w:rPr>
        <w:rFonts w:cs="Arial"/>
        <w:sz w:val="14"/>
        <w:szCs w:val="14"/>
      </w:rPr>
      <w:t>Revisado pela Secretaria de Gestão e Inovação.</w:t>
    </w:r>
  </w:p>
  <w:p>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pPr>
      <w:pStyle w:val="31"/>
      <w:jc w:val="right"/>
      <w:rPr>
        <w:rFonts w:ascii="Verdana" w:hAnsi="Verdana"/>
        <w:sz w:val="16"/>
        <w:szCs w:val="16"/>
      </w:rPr>
    </w:pPr>
  </w:p>
  <w:p>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24C43E61"/>
    <w:multiLevelType w:val="multilevel"/>
    <w:tmpl w:val="24C43E61"/>
    <w:lvl w:ilvl="0" w:tentative="0">
      <w:start w:val="11"/>
      <w:numFmt w:val="decimal"/>
      <w:lvlText w:val="%1"/>
      <w:lvlJc w:val="left"/>
      <w:pPr>
        <w:ind w:left="390" w:hanging="390"/>
      </w:pPr>
      <w:rPr>
        <w:rFonts w:hint="default"/>
        <w:i w:val="0"/>
        <w:iCs/>
        <w:color w:val="auto"/>
      </w:rPr>
    </w:lvl>
    <w:lvl w:ilvl="1" w:tentative="0">
      <w:start w:val="1"/>
      <w:numFmt w:val="decimal"/>
      <w:lvlText w:val="%1.%2"/>
      <w:lvlJc w:val="left"/>
      <w:pPr>
        <w:ind w:left="957" w:hanging="390"/>
      </w:pPr>
      <w:rPr>
        <w:rFonts w:hint="default"/>
        <w:i w:val="0"/>
        <w:color w:val="000000" w:themeColor="text1"/>
        <w14:textFill>
          <w14:solidFill>
            <w14:schemeClr w14:val="tx1"/>
          </w14:solidFill>
        </w14:textFill>
      </w:rPr>
    </w:lvl>
    <w:lvl w:ilvl="2" w:tentative="0">
      <w:start w:val="1"/>
      <w:numFmt w:val="decimal"/>
      <w:lvlText w:val="%1.%2.%3"/>
      <w:lvlJc w:val="left"/>
      <w:pPr>
        <w:ind w:left="1854" w:hanging="720"/>
      </w:pPr>
      <w:rPr>
        <w:rFonts w:hint="default"/>
        <w:i/>
        <w:color w:val="auto"/>
      </w:rPr>
    </w:lvl>
    <w:lvl w:ilvl="3" w:tentative="0">
      <w:start w:val="1"/>
      <w:numFmt w:val="decimal"/>
      <w:lvlText w:val="%1.%2.%3.%4"/>
      <w:lvlJc w:val="left"/>
      <w:pPr>
        <w:ind w:left="2421" w:hanging="720"/>
      </w:pPr>
      <w:rPr>
        <w:rFonts w:hint="default"/>
        <w:i/>
        <w:color w:val="auto"/>
      </w:rPr>
    </w:lvl>
    <w:lvl w:ilvl="4" w:tentative="0">
      <w:start w:val="1"/>
      <w:numFmt w:val="decimal"/>
      <w:lvlText w:val="%1.%2.%3.%4.%5"/>
      <w:lvlJc w:val="left"/>
      <w:pPr>
        <w:ind w:left="3348" w:hanging="1080"/>
      </w:pPr>
      <w:rPr>
        <w:rFonts w:hint="default"/>
        <w:i/>
        <w:color w:val="FF0000"/>
      </w:rPr>
    </w:lvl>
    <w:lvl w:ilvl="5" w:tentative="0">
      <w:start w:val="1"/>
      <w:numFmt w:val="decimal"/>
      <w:lvlText w:val="%1.%2.%3.%4.%5.%6"/>
      <w:lvlJc w:val="left"/>
      <w:pPr>
        <w:ind w:left="3915" w:hanging="1080"/>
      </w:pPr>
      <w:rPr>
        <w:rFonts w:hint="default"/>
        <w:i/>
        <w:color w:val="FF0000"/>
      </w:rPr>
    </w:lvl>
    <w:lvl w:ilvl="6" w:tentative="0">
      <w:start w:val="1"/>
      <w:numFmt w:val="decimal"/>
      <w:lvlText w:val="%1.%2.%3.%4.%5.%6.%7"/>
      <w:lvlJc w:val="left"/>
      <w:pPr>
        <w:ind w:left="4842" w:hanging="1440"/>
      </w:pPr>
      <w:rPr>
        <w:rFonts w:hint="default"/>
        <w:i/>
        <w:color w:val="FF0000"/>
      </w:rPr>
    </w:lvl>
    <w:lvl w:ilvl="7" w:tentative="0">
      <w:start w:val="1"/>
      <w:numFmt w:val="decimal"/>
      <w:lvlText w:val="%1.%2.%3.%4.%5.%6.%7.%8"/>
      <w:lvlJc w:val="left"/>
      <w:pPr>
        <w:ind w:left="5409" w:hanging="1440"/>
      </w:pPr>
      <w:rPr>
        <w:rFonts w:hint="default"/>
        <w:i/>
        <w:color w:val="FF0000"/>
      </w:rPr>
    </w:lvl>
    <w:lvl w:ilvl="8" w:tentative="0">
      <w:start w:val="1"/>
      <w:numFmt w:val="decimal"/>
      <w:lvlText w:val="%1.%2.%3.%4.%5.%6.%7.%8.%9"/>
      <w:lvlJc w:val="left"/>
      <w:pPr>
        <w:ind w:left="6336" w:hanging="1800"/>
      </w:pPr>
      <w:rPr>
        <w:rFonts w:hint="default"/>
        <w:i/>
        <w:color w:val="FF0000"/>
      </w:rPr>
    </w:lvl>
  </w:abstractNum>
  <w:abstractNum w:abstractNumId="6">
    <w:nsid w:val="25B95E92"/>
    <w:multiLevelType w:val="multilevel"/>
    <w:tmpl w:val="25B95E92"/>
    <w:lvl w:ilvl="0" w:tentative="0">
      <w:start w:val="1"/>
      <w:numFmt w:val="lowerLetter"/>
      <w:lvlText w:val="%1."/>
      <w:lvlJc w:val="left"/>
      <w:pPr>
        <w:ind w:left="1004" w:hanging="360"/>
      </w:p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7">
    <w:nsid w:val="2928118C"/>
    <w:multiLevelType w:val="multilevel"/>
    <w:tmpl w:val="2928118C"/>
    <w:lvl w:ilvl="0" w:tentative="0">
      <w:start w:val="13"/>
      <w:numFmt w:val="decimal"/>
      <w:lvlText w:val="%1"/>
      <w:lvlJc w:val="left"/>
      <w:pPr>
        <w:ind w:left="560" w:hanging="560"/>
      </w:pPr>
      <w:rPr>
        <w:rFonts w:hint="default"/>
      </w:rPr>
    </w:lvl>
    <w:lvl w:ilvl="1" w:tentative="0">
      <w:start w:val="2"/>
      <w:numFmt w:val="decimal"/>
      <w:lvlText w:val="%1.%2"/>
      <w:lvlJc w:val="left"/>
      <w:pPr>
        <w:ind w:left="914" w:hanging="56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8">
    <w:nsid w:val="29542377"/>
    <w:multiLevelType w:val="multilevel"/>
    <w:tmpl w:val="29542377"/>
    <w:lvl w:ilvl="0" w:tentative="0">
      <w:start w:val="13"/>
      <w:numFmt w:val="decimal"/>
      <w:lvlText w:val="%1"/>
      <w:lvlJc w:val="left"/>
      <w:pPr>
        <w:ind w:left="670" w:hanging="670"/>
      </w:pPr>
      <w:rPr>
        <w:rFonts w:hint="default"/>
      </w:rPr>
    </w:lvl>
    <w:lvl w:ilvl="1" w:tentative="0">
      <w:start w:val="11"/>
      <w:numFmt w:val="decimal"/>
      <w:lvlText w:val="%1.%2"/>
      <w:lvlJc w:val="left"/>
      <w:pPr>
        <w:ind w:left="1024" w:hanging="67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9">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0">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11">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12">
    <w:nsid w:val="50290C0B"/>
    <w:multiLevelType w:val="multilevel"/>
    <w:tmpl w:val="50290C0B"/>
    <w:lvl w:ilvl="0" w:tentative="0">
      <w:start w:val="7"/>
      <w:numFmt w:val="decimal"/>
      <w:lvlText w:val="%1"/>
      <w:lvlJc w:val="left"/>
      <w:pPr>
        <w:ind w:left="450" w:hanging="450"/>
      </w:pPr>
      <w:rPr>
        <w:rFonts w:hint="default"/>
      </w:rPr>
    </w:lvl>
    <w:lvl w:ilvl="1" w:tentative="0">
      <w:start w:val="3"/>
      <w:numFmt w:val="decimal"/>
      <w:lvlText w:val="%1.%2"/>
      <w:lvlJc w:val="left"/>
      <w:pPr>
        <w:ind w:left="1022" w:hanging="450"/>
      </w:pPr>
      <w:rPr>
        <w:rFonts w:hint="default"/>
      </w:rPr>
    </w:lvl>
    <w:lvl w:ilvl="2" w:tentative="0">
      <w:start w:val="1"/>
      <w:numFmt w:val="decimal"/>
      <w:lvlText w:val="%1.%2.%3"/>
      <w:lvlJc w:val="left"/>
      <w:pPr>
        <w:ind w:left="1864" w:hanging="720"/>
      </w:pPr>
      <w:rPr>
        <w:rFonts w:hint="default"/>
      </w:rPr>
    </w:lvl>
    <w:lvl w:ilvl="3" w:tentative="0">
      <w:start w:val="1"/>
      <w:numFmt w:val="decimal"/>
      <w:lvlText w:val="%1.%2.%3.%4"/>
      <w:lvlJc w:val="left"/>
      <w:pPr>
        <w:ind w:left="2436" w:hanging="720"/>
      </w:pPr>
      <w:rPr>
        <w:rFonts w:hint="default"/>
      </w:rPr>
    </w:lvl>
    <w:lvl w:ilvl="4" w:tentative="0">
      <w:start w:val="1"/>
      <w:numFmt w:val="decimal"/>
      <w:lvlText w:val="%1.%2.%3.%4.%5"/>
      <w:lvlJc w:val="left"/>
      <w:pPr>
        <w:ind w:left="3368" w:hanging="1080"/>
      </w:pPr>
      <w:rPr>
        <w:rFonts w:hint="default"/>
      </w:rPr>
    </w:lvl>
    <w:lvl w:ilvl="5" w:tentative="0">
      <w:start w:val="1"/>
      <w:numFmt w:val="decimal"/>
      <w:lvlText w:val="%1.%2.%3.%4.%5.%6"/>
      <w:lvlJc w:val="left"/>
      <w:pPr>
        <w:ind w:left="3940" w:hanging="1080"/>
      </w:pPr>
      <w:rPr>
        <w:rFonts w:hint="default"/>
      </w:rPr>
    </w:lvl>
    <w:lvl w:ilvl="6" w:tentative="0">
      <w:start w:val="1"/>
      <w:numFmt w:val="decimal"/>
      <w:lvlText w:val="%1.%2.%3.%4.%5.%6.%7"/>
      <w:lvlJc w:val="left"/>
      <w:pPr>
        <w:ind w:left="4872" w:hanging="1440"/>
      </w:pPr>
      <w:rPr>
        <w:rFonts w:hint="default"/>
      </w:rPr>
    </w:lvl>
    <w:lvl w:ilvl="7" w:tentative="0">
      <w:start w:val="1"/>
      <w:numFmt w:val="decimal"/>
      <w:lvlText w:val="%1.%2.%3.%4.%5.%6.%7.%8"/>
      <w:lvlJc w:val="left"/>
      <w:pPr>
        <w:ind w:left="5444" w:hanging="1440"/>
      </w:pPr>
      <w:rPr>
        <w:rFonts w:hint="default"/>
      </w:rPr>
    </w:lvl>
    <w:lvl w:ilvl="8" w:tentative="0">
      <w:start w:val="1"/>
      <w:numFmt w:val="decimal"/>
      <w:lvlText w:val="%1.%2.%3.%4.%5.%6.%7.%8.%9"/>
      <w:lvlJc w:val="left"/>
      <w:pPr>
        <w:ind w:left="6376" w:hanging="1800"/>
      </w:pPr>
      <w:rPr>
        <w:rFonts w:hint="default"/>
      </w:rPr>
    </w:lvl>
  </w:abstractNum>
  <w:abstractNum w:abstractNumId="13">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4">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5">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6">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7">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8">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19">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0">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10"/>
  </w:num>
  <w:num w:numId="2">
    <w:abstractNumId w:val="15"/>
  </w:num>
  <w:num w:numId="3">
    <w:abstractNumId w:val="16"/>
  </w:num>
  <w:num w:numId="4">
    <w:abstractNumId w:val="17"/>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4"/>
  </w:num>
  <w:num w:numId="8">
    <w:abstractNumId w:val="3"/>
  </w:num>
  <w:num w:numId="9">
    <w:abstractNumId w:val="19"/>
  </w:num>
  <w:num w:numId="10">
    <w:abstractNumId w:val="11"/>
  </w:num>
  <w:num w:numId="11">
    <w:abstractNumId w:val="2"/>
  </w:num>
  <w:num w:numId="12">
    <w:abstractNumId w:val="6"/>
  </w:num>
  <w:num w:numId="13">
    <w:abstractNumId w:val="12"/>
  </w:num>
  <w:num w:numId="14">
    <w:abstractNumId w:val="18"/>
  </w:num>
  <w:num w:numId="15">
    <w:abstractNumId w:val="5"/>
  </w:num>
  <w:num w:numId="16">
    <w:abstractNumId w:val="20"/>
  </w:num>
  <w:num w:numId="17">
    <w:abstractNumId w:val="13"/>
  </w:num>
  <w:num w:numId="18">
    <w:abstractNumId w:val="0"/>
  </w:num>
  <w:num w:numId="19">
    <w:abstractNumId w:val="7"/>
  </w:num>
  <w:num w:numId="20">
    <w:abstractNumId w:val="8"/>
  </w:num>
  <w:num w:numId="21">
    <w:abstractNumId w:val="1"/>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C23FF"/>
    <w:rsid w:val="008C54E4"/>
    <w:rsid w:val="008C63D1"/>
    <w:rsid w:val="008C6744"/>
    <w:rsid w:val="008D2CD5"/>
    <w:rsid w:val="008E166E"/>
    <w:rsid w:val="008F3BD8"/>
    <w:rsid w:val="0090037C"/>
    <w:rsid w:val="00912689"/>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21E8F"/>
    <w:rsid w:val="00A23D08"/>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82EC1"/>
    <w:rsid w:val="00B8510A"/>
    <w:rsid w:val="00B85C8F"/>
    <w:rsid w:val="00B90BA6"/>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3629"/>
    <w:rsid w:val="00E44B0C"/>
    <w:rsid w:val="00E52524"/>
    <w:rsid w:val="00E578A6"/>
    <w:rsid w:val="00E67DCF"/>
    <w:rsid w:val="00E726A9"/>
    <w:rsid w:val="00EA06C5"/>
    <w:rsid w:val="00EB556D"/>
    <w:rsid w:val="00EB6AF5"/>
    <w:rsid w:val="00EB7F69"/>
    <w:rsid w:val="00ED4EB4"/>
    <w:rsid w:val="00ED7983"/>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48E37C7C"/>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qFormat="1"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next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next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qFormat/>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qFormat/>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qFormat/>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qFormat/>
    <w:uiPriority w:val="0"/>
  </w:style>
  <w:style w:type="character" w:customStyle="1" w:styleId="145">
    <w:name w:val="WW8Num13z3"/>
    <w:uiPriority w:val="0"/>
  </w:style>
  <w:style w:type="character" w:customStyle="1" w:styleId="146">
    <w:name w:val="WW8Num13z4"/>
    <w:qFormat/>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qFormat/>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uiPriority w:val="0"/>
  </w:style>
  <w:style w:type="character" w:customStyle="1" w:styleId="198">
    <w:name w:val="WW8Num17z3"/>
    <w:qFormat/>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qFormat/>
    <w:uiPriority w:val="0"/>
  </w:style>
  <w:style w:type="character" w:customStyle="1" w:styleId="202">
    <w:name w:val="WW8Num17z7"/>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qFormat/>
    <w:uiPriority w:val="0"/>
  </w:style>
  <w:style w:type="character" w:customStyle="1" w:styleId="217">
    <w:name w:val="WW8Num22z4"/>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qFormat/>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qFormat/>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qFormat/>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uiPriority w:val="0"/>
  </w:style>
  <w:style w:type="character" w:customStyle="1" w:styleId="277">
    <w:name w:val="WW8Num18z5"/>
    <w:qFormat/>
    <w:uiPriority w:val="0"/>
  </w:style>
  <w:style w:type="character" w:customStyle="1" w:styleId="278">
    <w:name w:val="WW8Num18z6"/>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uiPriority w:val="0"/>
    <w:rPr>
      <w:b/>
      <w:sz w:val="20"/>
      <w:szCs w:val="20"/>
    </w:rPr>
  </w:style>
  <w:style w:type="character" w:customStyle="1" w:styleId="314">
    <w:name w:val="WW8Num4z6"/>
    <w:qFormat/>
    <w:uiPriority w:val="0"/>
  </w:style>
  <w:style w:type="character" w:customStyle="1" w:styleId="315">
    <w:name w:val="WW8Num4z7"/>
    <w:uiPriority w:val="0"/>
  </w:style>
  <w:style w:type="character" w:customStyle="1" w:styleId="316">
    <w:name w:val="WW8Num4z8"/>
    <w:qFormat/>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qFormat/>
    <w:uiPriority w:val="0"/>
  </w:style>
  <w:style w:type="character" w:customStyle="1" w:styleId="330">
    <w:name w:val="WW8Num21z6"/>
    <w:uiPriority w:val="0"/>
  </w:style>
  <w:style w:type="character" w:customStyle="1" w:styleId="331">
    <w:name w:val="WW8Num21z7"/>
    <w:qFormat/>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qFormat/>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qFormat/>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uiPriority w:val="0"/>
  </w:style>
  <w:style w:type="character" w:customStyle="1" w:styleId="374">
    <w:name w:val="WW8Num32z7"/>
    <w:qFormat/>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qFormat/>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22</Pages>
  <Words>8659</Words>
  <Characters>49055</Characters>
  <Lines>462</Lines>
  <Paragraphs>131</Paragraphs>
  <TotalTime>14</TotalTime>
  <ScaleCrop>false</ScaleCrop>
  <LinksUpToDate>false</LinksUpToDate>
  <CharactersWithSpaces>57434</CharactersWithSpaces>
  <Application>WPS Office_11.2.0.11516_F1E327BC-269C-435d-A152-05C5408002CA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2023-03-26T00:52:00Z</dcterms:created>
  <dc:creator>Adriano</dc:creator>
  <cp:lastModifiedBy>JULY</cp:lastModifiedBy>
  <cp:lastPrinted>2023-04-02T03:50:00Z</cp:lastPrinted>
  <dcterms:modified xsi:type="dcterms:W3CDTF">2023-04-11T20:01:33Z</dcterms:modified>
  <dc:title>NOTAS EXPLICATIVAS</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1046-11.2.0.11516</vt:lpwstr>
  </property>
  <property fmtid="{D5CDD505-2E9C-101B-9397-08002B2CF9AE}" pid="3" name="ICV">
    <vt:lpwstr>C95F5C4A2ED84DE3BD8B4104CB0D5ECB</vt:lpwstr>
  </property>
</Properties>
</file>