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uppressLineNumbers/>
        <w:spacing w:before="0" w:line="276"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pPr>
        <w:keepNext/>
        <w:keepLines/>
        <w:suppressLineNumbers/>
        <w:tabs>
          <w:tab w:val="left" w:pos="6284"/>
        </w:tabs>
        <w:ind w:left="567" w:hanging="567"/>
        <w:contextualSpacing/>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pPr>
        <w:pStyle w:val="2"/>
        <w:suppressLineNumbers/>
        <w:spacing w:before="0"/>
        <w:ind w:left="567" w:hanging="567"/>
        <w:contextualSpacing/>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pPr>
        <w:keepNext/>
        <w:keepLines/>
        <w:suppressLineNumbers/>
        <w:ind w:left="567" w:hanging="567"/>
        <w:contextualSpacing/>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pPr>
        <w:keepNext/>
        <w:keepLines/>
        <w:suppressLineNumbers/>
        <w:spacing w:after="120" w:line="276" w:lineRule="auto"/>
        <w:ind w:left="567" w:right="-15" w:hanging="567"/>
        <w:contextualSpacing/>
        <w:rPr>
          <w:rFonts w:asciiTheme="minorHAnsi" w:hAnsiTheme="minorHAnsi" w:cstheme="minorHAnsi"/>
          <w:b/>
          <w:bCs/>
          <w:sz w:val="22"/>
          <w:szCs w:val="22"/>
        </w:rPr>
      </w:pPr>
    </w:p>
    <w:p>
      <w:pPr>
        <w:pStyle w:val="29"/>
        <w:keepNext/>
        <w:keepLines/>
        <w:suppressLineNumbers/>
        <w:suppressAutoHyphens/>
        <w:ind w:left="567" w:hanging="567"/>
        <w:contextualSpacing/>
        <w:rPr>
          <w:rFonts w:asciiTheme="minorHAnsi" w:hAnsiTheme="minorHAnsi" w:cstheme="minorHAnsi"/>
          <w:b/>
          <w:bCs/>
          <w:sz w:val="22"/>
          <w:szCs w:val="22"/>
        </w:rPr>
      </w:pPr>
    </w:p>
    <w:p>
      <w:pPr>
        <w:keepNext/>
        <w:keepLines/>
        <w:suppressLineNumbers/>
        <w:spacing w:after="288" w:afterLines="120" w:line="312" w:lineRule="auto"/>
        <w:ind w:left="567" w:hanging="567"/>
        <w:contextualSpacing/>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VI – PE. </w:t>
      </w:r>
      <w:r>
        <w:rPr>
          <w:rFonts w:hint="default" w:asciiTheme="minorHAnsi" w:hAnsiTheme="minorHAnsi" w:cstheme="minorHAnsi"/>
          <w:b/>
          <w:bCs/>
          <w:color w:val="FF0000"/>
          <w:sz w:val="22"/>
          <w:szCs w:val="22"/>
          <w:lang w:val="pt-BR"/>
        </w:rPr>
        <w:t>69</w:t>
      </w:r>
      <w:bookmarkStart w:id="5" w:name="_GoBack"/>
      <w:bookmarkEnd w:id="5"/>
      <w:r>
        <w:rPr>
          <w:rFonts w:asciiTheme="minorHAnsi" w:hAnsiTheme="minorHAnsi" w:cstheme="minorHAnsi"/>
          <w:b/>
          <w:bCs/>
          <w:color w:val="FF0000"/>
          <w:sz w:val="22"/>
          <w:szCs w:val="22"/>
        </w:rPr>
        <w:t>/2023 – MINUTA DO TERMO DE CONTRATO</w:t>
      </w:r>
    </w:p>
    <w:p>
      <w:pPr>
        <w:keepNext/>
        <w:keepLines/>
        <w:suppressLineNumbers/>
        <w:spacing w:after="288" w:afterLines="120" w:line="312" w:lineRule="auto"/>
        <w:ind w:left="567" w:hanging="567"/>
        <w:contextualSpacing/>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23069.166083/2023-12)</w:t>
      </w:r>
    </w:p>
    <w:p>
      <w:pPr>
        <w:pStyle w:val="504"/>
        <w:keepNext/>
        <w:keepLines/>
        <w:suppressLineNumbers/>
        <w:suppressAutoHyphens/>
        <w:spacing w:before="0" w:after="288" w:afterLines="120" w:line="312" w:lineRule="auto"/>
        <w:ind w:left="5670" w:hanging="6"/>
        <w:contextualSpacing/>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pPr>
        <w:keepNext/>
        <w:keepLines/>
        <w:suppressLineNumbers/>
        <w:spacing w:after="288" w:afterLines="120" w:line="312" w:lineRule="auto"/>
        <w:ind w:left="284"/>
        <w:contextualSpacing/>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Magnífico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sz w:val="22"/>
          <w:szCs w:val="22"/>
        </w:rPr>
        <w:t xml:space="preserve">23069.166083/2023-12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do Pregão Eletrônico n. 54/2023,</w:t>
      </w:r>
      <w:r>
        <w:rPr>
          <w:rFonts w:eastAsia="Arial" w:asciiTheme="minorHAnsi" w:hAnsiTheme="minorHAnsi" w:cstheme="minorHAnsi"/>
          <w:sz w:val="22"/>
          <w:szCs w:val="22"/>
        </w:rPr>
        <w:t xml:space="preserve"> mediante as cláusulas e condições a seguir enunciadas.</w:t>
      </w:r>
    </w:p>
    <w:p>
      <w:pPr>
        <w:pStyle w:val="78"/>
        <w:keepNext/>
        <w:keepLines/>
        <w:numPr>
          <w:ilvl w:val="0"/>
          <w:numId w:val="8"/>
        </w:numPr>
        <w:suppressLineNumbers/>
        <w:spacing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pPr>
        <w:pStyle w:val="78"/>
        <w:keepNext/>
        <w:keepLines/>
        <w:numPr>
          <w:ilvl w:val="1"/>
          <w:numId w:val="8"/>
        </w:numPr>
        <w:suppressLineNumbers/>
        <w:spacing w:after="288" w:afterLines="120" w:line="312" w:lineRule="auto"/>
        <w:ind w:left="567" w:hanging="567"/>
        <w:jc w:val="both"/>
        <w:rPr>
          <w:rFonts w:asciiTheme="minorHAnsi" w:hAnsiTheme="minorHAnsi" w:cstheme="minorHAnsi"/>
          <w:sz w:val="22"/>
          <w:szCs w:val="22"/>
        </w:rPr>
      </w:pPr>
      <w:bookmarkStart w:id="0" w:name="_Hlk131972239"/>
      <w:r>
        <w:rPr>
          <w:rFonts w:ascii="Calibri" w:hAnsi="Calibri" w:cs="Calibri"/>
          <w:color w:val="000000"/>
          <w:sz w:val="22"/>
          <w:szCs w:val="22"/>
        </w:rPr>
        <w:t>Contratação de empresa para a prestação de serviços de reforma de móveis e estofados com fornecimento de materiais, à medida em que houver necessidade, na Universidade Federal Fluminense - UFF</w:t>
      </w:r>
      <w:bookmarkEnd w:id="0"/>
      <w:r>
        <w:rPr>
          <w:rFonts w:ascii="Calibri" w:hAnsi="Calibri" w:cs="Calibri"/>
          <w:color w:val="000000"/>
          <w:sz w:val="22"/>
          <w:szCs w:val="22"/>
        </w:rPr>
        <w:t>, conforme condições, quantidades e exigências estabelecidas neste instrumento e seus anexos</w:t>
      </w:r>
      <w:r>
        <w:rPr>
          <w:rFonts w:asciiTheme="minorHAnsi" w:hAnsiTheme="minorHAnsi" w:cstheme="minorHAnsi"/>
          <w:color w:val="000000"/>
          <w:sz w:val="22"/>
          <w:szCs w:val="22"/>
        </w:rPr>
        <w:t>.</w:t>
      </w:r>
    </w:p>
    <w:p>
      <w:pPr>
        <w:pStyle w:val="78"/>
        <w:keepNext/>
        <w:keepLines/>
        <w:numPr>
          <w:ilvl w:val="1"/>
          <w:numId w:val="8"/>
        </w:numPr>
        <w:suppressLineNumbers/>
        <w:spacing w:after="288" w:afterLines="120" w:line="312" w:lineRule="auto"/>
        <w:ind w:left="567" w:hanging="567"/>
        <w:jc w:val="both"/>
        <w:rPr>
          <w:rFonts w:asciiTheme="minorHAnsi" w:hAnsiTheme="minorHAnsi" w:cstheme="minorHAnsi"/>
          <w:sz w:val="22"/>
          <w:szCs w:val="22"/>
        </w:rPr>
      </w:pPr>
      <w:r>
        <w:rPr>
          <w:rFonts w:asciiTheme="minorHAnsi" w:hAnsiTheme="minorHAnsi" w:cstheme="minorHAnsi"/>
          <w:sz w:val="22"/>
          <w:szCs w:val="22"/>
        </w:rPr>
        <w:t>Objeto da contratação:</w:t>
      </w:r>
    </w:p>
    <w:tbl>
      <w:tblPr>
        <w:tblStyle w:val="12"/>
        <w:tblW w:w="9099" w:type="dxa"/>
        <w:tblInd w:w="0" w:type="dxa"/>
        <w:tblLayout w:type="autofit"/>
        <w:tblCellMar>
          <w:top w:w="0" w:type="dxa"/>
          <w:left w:w="70" w:type="dxa"/>
          <w:bottom w:w="0" w:type="dxa"/>
          <w:right w:w="70" w:type="dxa"/>
        </w:tblCellMar>
      </w:tblPr>
      <w:tblGrid>
        <w:gridCol w:w="608"/>
        <w:gridCol w:w="2903"/>
        <w:gridCol w:w="960"/>
        <w:gridCol w:w="1399"/>
        <w:gridCol w:w="1780"/>
        <w:gridCol w:w="1852"/>
        <w:gridCol w:w="7"/>
      </w:tblGrid>
      <w:tr>
        <w:tblPrEx>
          <w:tblCellMar>
            <w:top w:w="0" w:type="dxa"/>
            <w:left w:w="70" w:type="dxa"/>
            <w:bottom w:w="0" w:type="dxa"/>
            <w:right w:w="70" w:type="dxa"/>
          </w:tblCellMar>
        </w:tblPrEx>
        <w:trPr>
          <w:trHeight w:val="600" w:hRule="atLeast"/>
        </w:trPr>
        <w:tc>
          <w:tcPr>
            <w:tcW w:w="608" w:type="dxa"/>
            <w:tcBorders>
              <w:top w:val="single" w:color="auto" w:sz="8" w:space="0"/>
              <w:left w:val="single" w:color="auto" w:sz="4" w:space="0"/>
              <w:bottom w:val="single" w:color="auto" w:sz="4" w:space="0"/>
              <w:right w:val="single" w:color="auto" w:sz="4" w:space="0"/>
            </w:tcBorders>
            <w:shd w:val="clear" w:color="000000" w:fill="B4C6E7"/>
            <w:noWrap/>
            <w:vAlign w:val="center"/>
          </w:tcPr>
          <w:p>
            <w:pPr>
              <w:suppressAutoHyphens w:val="0"/>
              <w:jc w:val="center"/>
              <w:rPr>
                <w:rFonts w:ascii="Calibri" w:hAnsi="Calibri" w:cs="Calibri"/>
                <w:b/>
                <w:bCs/>
                <w:color w:val="000000"/>
                <w:sz w:val="22"/>
                <w:szCs w:val="22"/>
              </w:rPr>
            </w:pPr>
            <w:r>
              <w:rPr>
                <w:rFonts w:ascii="Calibri" w:hAnsi="Calibri" w:cs="Calibri"/>
                <w:b/>
                <w:bCs/>
                <w:color w:val="000000"/>
                <w:sz w:val="22"/>
                <w:szCs w:val="22"/>
              </w:rPr>
              <w:t>ITEM</w:t>
            </w:r>
          </w:p>
        </w:tc>
        <w:tc>
          <w:tcPr>
            <w:tcW w:w="3215" w:type="dxa"/>
            <w:tcBorders>
              <w:top w:val="single" w:color="auto" w:sz="8" w:space="0"/>
              <w:left w:val="nil"/>
              <w:bottom w:val="single" w:color="auto" w:sz="4" w:space="0"/>
              <w:right w:val="single" w:color="auto" w:sz="4" w:space="0"/>
            </w:tcBorders>
            <w:shd w:val="clear" w:color="000000" w:fill="B4C6E7"/>
            <w:vAlign w:val="center"/>
          </w:tcPr>
          <w:p>
            <w:pPr>
              <w:suppressAutoHyphens w:val="0"/>
              <w:jc w:val="center"/>
              <w:rPr>
                <w:rFonts w:ascii="Calibri" w:hAnsi="Calibri" w:cs="Calibri"/>
                <w:b/>
                <w:bCs/>
                <w:color w:val="000000"/>
                <w:sz w:val="22"/>
                <w:szCs w:val="22"/>
              </w:rPr>
            </w:pPr>
            <w:r>
              <w:rPr>
                <w:rFonts w:ascii="Calibri" w:hAnsi="Calibri" w:cs="Calibri"/>
                <w:b/>
                <w:bCs/>
                <w:color w:val="000000"/>
                <w:sz w:val="22"/>
                <w:szCs w:val="22"/>
              </w:rPr>
              <w:t>DESCRIÇÃO</w:t>
            </w:r>
          </w:p>
        </w:tc>
        <w:tc>
          <w:tcPr>
            <w:tcW w:w="960" w:type="dxa"/>
            <w:tcBorders>
              <w:top w:val="single" w:color="auto" w:sz="8" w:space="0"/>
              <w:left w:val="nil"/>
              <w:bottom w:val="single" w:color="auto" w:sz="4" w:space="0"/>
              <w:right w:val="single" w:color="auto" w:sz="4" w:space="0"/>
            </w:tcBorders>
            <w:shd w:val="clear" w:color="000000" w:fill="B4C6E7"/>
            <w:vAlign w:val="center"/>
          </w:tcPr>
          <w:p>
            <w:pPr>
              <w:suppressAutoHyphens w:val="0"/>
              <w:jc w:val="center"/>
              <w:rPr>
                <w:rFonts w:ascii="Calibri" w:hAnsi="Calibri" w:cs="Calibri"/>
                <w:b/>
                <w:bCs/>
                <w:color w:val="000000"/>
                <w:sz w:val="22"/>
                <w:szCs w:val="22"/>
              </w:rPr>
            </w:pPr>
            <w:r>
              <w:rPr>
                <w:rFonts w:ascii="Calibri" w:hAnsi="Calibri" w:cs="Calibri"/>
                <w:b/>
                <w:bCs/>
                <w:color w:val="000000"/>
                <w:sz w:val="22"/>
                <w:szCs w:val="22"/>
              </w:rPr>
              <w:t>UNID. MEDIDA</w:t>
            </w:r>
          </w:p>
        </w:tc>
        <w:tc>
          <w:tcPr>
            <w:tcW w:w="1399" w:type="dxa"/>
            <w:tcBorders>
              <w:top w:val="single" w:color="auto" w:sz="8" w:space="0"/>
              <w:left w:val="nil"/>
              <w:bottom w:val="single" w:color="auto" w:sz="4" w:space="0"/>
              <w:right w:val="single" w:color="auto" w:sz="4" w:space="0"/>
            </w:tcBorders>
            <w:shd w:val="clear" w:color="000000" w:fill="B4C6E7"/>
            <w:noWrap/>
            <w:vAlign w:val="center"/>
          </w:tcPr>
          <w:p>
            <w:pPr>
              <w:suppressAutoHyphens w:val="0"/>
              <w:jc w:val="center"/>
              <w:rPr>
                <w:rFonts w:ascii="Calibri" w:hAnsi="Calibri" w:cs="Calibri"/>
                <w:b/>
                <w:bCs/>
                <w:color w:val="000000"/>
                <w:sz w:val="22"/>
                <w:szCs w:val="22"/>
              </w:rPr>
            </w:pPr>
            <w:r>
              <w:rPr>
                <w:rFonts w:ascii="Calibri" w:hAnsi="Calibri" w:cs="Calibri"/>
                <w:b/>
                <w:bCs/>
                <w:color w:val="000000"/>
                <w:sz w:val="22"/>
                <w:szCs w:val="22"/>
              </w:rPr>
              <w:t>QUANTIDADE</w:t>
            </w:r>
          </w:p>
        </w:tc>
        <w:tc>
          <w:tcPr>
            <w:tcW w:w="1468" w:type="dxa"/>
            <w:tcBorders>
              <w:top w:val="single" w:color="auto" w:sz="8" w:space="0"/>
              <w:left w:val="nil"/>
              <w:bottom w:val="single" w:color="auto" w:sz="4" w:space="0"/>
              <w:right w:val="single" w:color="auto" w:sz="4" w:space="0"/>
            </w:tcBorders>
            <w:shd w:val="clear" w:color="000000" w:fill="B4C6E7"/>
            <w:vAlign w:val="center"/>
          </w:tcPr>
          <w:p>
            <w:pPr>
              <w:suppressAutoHyphens w:val="0"/>
              <w:jc w:val="center"/>
              <w:rPr>
                <w:rFonts w:ascii="Calibri" w:hAnsi="Calibri" w:cs="Calibri"/>
                <w:b/>
                <w:bCs/>
                <w:color w:val="000000"/>
                <w:sz w:val="22"/>
                <w:szCs w:val="22"/>
              </w:rPr>
            </w:pPr>
            <w:r>
              <w:rPr>
                <w:rFonts w:ascii="Calibri" w:hAnsi="Calibri" w:cs="Calibri"/>
                <w:b/>
                <w:bCs/>
                <w:color w:val="000000"/>
                <w:sz w:val="22"/>
                <w:szCs w:val="22"/>
              </w:rPr>
              <w:t>VALOR UNITÁRIO  (R$)</w:t>
            </w:r>
          </w:p>
        </w:tc>
        <w:tc>
          <w:tcPr>
            <w:tcW w:w="1449" w:type="dxa"/>
            <w:gridSpan w:val="2"/>
            <w:tcBorders>
              <w:top w:val="single" w:color="auto" w:sz="8" w:space="0"/>
              <w:left w:val="nil"/>
              <w:bottom w:val="single" w:color="auto" w:sz="4" w:space="0"/>
              <w:right w:val="single" w:color="auto" w:sz="8" w:space="0"/>
            </w:tcBorders>
            <w:shd w:val="clear" w:color="000000" w:fill="B4C6E7"/>
            <w:vAlign w:val="center"/>
          </w:tcPr>
          <w:p>
            <w:pPr>
              <w:suppressAutoHyphens w:val="0"/>
              <w:jc w:val="center"/>
              <w:rPr>
                <w:rFonts w:ascii="Calibri" w:hAnsi="Calibri" w:cs="Calibri"/>
                <w:b/>
                <w:bCs/>
                <w:color w:val="000000"/>
                <w:sz w:val="22"/>
                <w:szCs w:val="22"/>
              </w:rPr>
            </w:pPr>
            <w:r>
              <w:rPr>
                <w:rFonts w:ascii="Calibri" w:hAnsi="Calibri" w:cs="Calibri"/>
                <w:b/>
                <w:bCs/>
                <w:color w:val="000000"/>
                <w:sz w:val="22"/>
                <w:szCs w:val="22"/>
              </w:rPr>
              <w:t>VALOR TOTAL (R$)</w:t>
            </w:r>
          </w:p>
        </w:tc>
      </w:tr>
      <w:tr>
        <w:tblPrEx>
          <w:tblCellMar>
            <w:top w:w="0" w:type="dxa"/>
            <w:left w:w="70" w:type="dxa"/>
            <w:bottom w:w="0" w:type="dxa"/>
            <w:right w:w="70" w:type="dxa"/>
          </w:tblCellMar>
        </w:tblPrEx>
        <w:trPr>
          <w:gridAfter w:val="1"/>
          <w:wAfter w:w="21" w:type="dxa"/>
          <w:trHeight w:val="300" w:hRule="atLeast"/>
        </w:trPr>
        <w:tc>
          <w:tcPr>
            <w:tcW w:w="7650" w:type="dxa"/>
            <w:gridSpan w:val="5"/>
            <w:tcBorders>
              <w:top w:val="single" w:color="auto" w:sz="4" w:space="0"/>
              <w:left w:val="single" w:color="auto" w:sz="4" w:space="0"/>
              <w:bottom w:val="single" w:color="auto" w:sz="4" w:space="0"/>
              <w:right w:val="single" w:color="auto" w:sz="4" w:space="0"/>
            </w:tcBorders>
            <w:shd w:val="clear" w:color="000000" w:fill="D6DCE4"/>
            <w:noWrap/>
            <w:vAlign w:val="center"/>
          </w:tcPr>
          <w:p>
            <w:pPr>
              <w:suppressAutoHyphens w:val="0"/>
              <w:rPr>
                <w:rFonts w:ascii="Calibri" w:hAnsi="Calibri" w:cs="Calibri"/>
                <w:b/>
                <w:bCs/>
                <w:color w:val="000000"/>
                <w:sz w:val="22"/>
                <w:szCs w:val="22"/>
              </w:rPr>
            </w:pPr>
            <w:r>
              <w:rPr>
                <w:rFonts w:ascii="Calibri" w:hAnsi="Calibri" w:cs="Calibri"/>
                <w:b/>
                <w:bCs/>
                <w:color w:val="000000"/>
                <w:sz w:val="22"/>
                <w:szCs w:val="22"/>
              </w:rPr>
              <w:t>REFORMA E CONSERTO DE CADEIRA E CARTEIRAS E POLTRONAS</w:t>
            </w:r>
          </w:p>
        </w:tc>
        <w:tc>
          <w:tcPr>
            <w:tcW w:w="1428" w:type="dxa"/>
            <w:tcBorders>
              <w:top w:val="nil"/>
              <w:left w:val="nil"/>
              <w:bottom w:val="single" w:color="auto" w:sz="4" w:space="0"/>
              <w:right w:val="single" w:color="auto" w:sz="8" w:space="0"/>
            </w:tcBorders>
            <w:shd w:val="clear" w:color="000000" w:fill="D6DCE4"/>
            <w:noWrap/>
            <w:vAlign w:val="center"/>
          </w:tcPr>
          <w:p>
            <w:pPr>
              <w:suppressAutoHyphens w:val="0"/>
              <w:rPr>
                <w:rFonts w:ascii="Calibri" w:hAnsi="Calibri" w:cs="Calibri"/>
                <w:b/>
                <w:bCs/>
                <w:color w:val="000000"/>
                <w:sz w:val="22"/>
                <w:szCs w:val="22"/>
              </w:rPr>
            </w:pPr>
            <w:r>
              <w:rPr>
                <w:rFonts w:ascii="Calibri" w:hAnsi="Calibri" w:cs="Calibri"/>
                <w:b/>
                <w:bCs/>
                <w:color w:val="000000"/>
                <w:sz w:val="22"/>
                <w:szCs w:val="22"/>
              </w:rPr>
              <w:t xml:space="preserve"> R$      1.510.145,00 </w:t>
            </w:r>
          </w:p>
        </w:tc>
      </w:tr>
      <w:tr>
        <w:trPr>
          <w:trHeight w:val="300" w:hRule="atLeast"/>
        </w:trPr>
        <w:tc>
          <w:tcPr>
            <w:tcW w:w="608" w:type="dxa"/>
            <w:tcBorders>
              <w:top w:val="nil"/>
              <w:left w:val="single" w:color="auto" w:sz="4" w:space="0"/>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1</w:t>
            </w:r>
          </w:p>
        </w:tc>
        <w:tc>
          <w:tcPr>
            <w:tcW w:w="3215" w:type="dxa"/>
            <w:tcBorders>
              <w:top w:val="nil"/>
              <w:left w:val="nil"/>
              <w:bottom w:val="single" w:color="auto" w:sz="4" w:space="0"/>
              <w:right w:val="single" w:color="auto" w:sz="4" w:space="0"/>
            </w:tcBorders>
            <w:shd w:val="clear" w:color="auto" w:fill="auto"/>
            <w:vAlign w:val="bottom"/>
          </w:tcPr>
          <w:p>
            <w:pPr>
              <w:suppressAutoHyphens w:val="0"/>
              <w:rPr>
                <w:rFonts w:ascii="Calibri" w:hAnsi="Calibri" w:cs="Calibri"/>
                <w:color w:val="000000"/>
                <w:sz w:val="22"/>
                <w:szCs w:val="22"/>
              </w:rPr>
            </w:pPr>
            <w:r>
              <w:rPr>
                <w:rFonts w:ascii="Calibri" w:hAnsi="Calibri" w:cs="Calibri"/>
                <w:color w:val="000000"/>
                <w:sz w:val="22"/>
                <w:szCs w:val="22"/>
              </w:rPr>
              <w:t xml:space="preserve">Substituição do assento de cadeira, poltrona ou carteira. </w:t>
            </w:r>
          </w:p>
        </w:tc>
        <w:tc>
          <w:tcPr>
            <w:tcW w:w="960"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unidade</w:t>
            </w:r>
          </w:p>
        </w:tc>
        <w:tc>
          <w:tcPr>
            <w:tcW w:w="1399"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sz w:val="22"/>
                <w:szCs w:val="22"/>
              </w:rPr>
            </w:pPr>
            <w:r>
              <w:rPr>
                <w:rFonts w:ascii="Calibri" w:hAnsi="Calibri" w:cs="Calibri"/>
                <w:sz w:val="22"/>
                <w:szCs w:val="22"/>
              </w:rPr>
              <w:t>5000</w:t>
            </w:r>
          </w:p>
        </w:tc>
        <w:tc>
          <w:tcPr>
            <w:tcW w:w="1468"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 xml:space="preserve"> R$                127,33 </w:t>
            </w:r>
          </w:p>
        </w:tc>
        <w:tc>
          <w:tcPr>
            <w:tcW w:w="1449" w:type="dxa"/>
            <w:gridSpan w:val="2"/>
            <w:tcBorders>
              <w:top w:val="nil"/>
              <w:left w:val="nil"/>
              <w:bottom w:val="single" w:color="auto" w:sz="4" w:space="0"/>
              <w:right w:val="single" w:color="auto" w:sz="8"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 xml:space="preserve"> R$         636.650,00 </w:t>
            </w:r>
          </w:p>
        </w:tc>
      </w:tr>
      <w:tr>
        <w:tblPrEx>
          <w:tblCellMar>
            <w:top w:w="0" w:type="dxa"/>
            <w:left w:w="70" w:type="dxa"/>
            <w:bottom w:w="0" w:type="dxa"/>
            <w:right w:w="70" w:type="dxa"/>
          </w:tblCellMar>
        </w:tblPrEx>
        <w:trPr>
          <w:trHeight w:val="300" w:hRule="atLeast"/>
        </w:trPr>
        <w:tc>
          <w:tcPr>
            <w:tcW w:w="608" w:type="dxa"/>
            <w:tcBorders>
              <w:top w:val="nil"/>
              <w:left w:val="single" w:color="auto" w:sz="4" w:space="0"/>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2</w:t>
            </w:r>
          </w:p>
        </w:tc>
        <w:tc>
          <w:tcPr>
            <w:tcW w:w="3215" w:type="dxa"/>
            <w:tcBorders>
              <w:top w:val="nil"/>
              <w:left w:val="nil"/>
              <w:bottom w:val="single" w:color="auto" w:sz="4" w:space="0"/>
              <w:right w:val="single" w:color="auto" w:sz="4" w:space="0"/>
            </w:tcBorders>
            <w:shd w:val="clear" w:color="auto" w:fill="auto"/>
            <w:vAlign w:val="bottom"/>
          </w:tcPr>
          <w:p>
            <w:pPr>
              <w:suppressAutoHyphens w:val="0"/>
              <w:rPr>
                <w:rFonts w:ascii="Calibri" w:hAnsi="Calibri" w:cs="Calibri"/>
                <w:color w:val="000000"/>
                <w:sz w:val="22"/>
                <w:szCs w:val="22"/>
              </w:rPr>
            </w:pPr>
            <w:r>
              <w:rPr>
                <w:rFonts w:ascii="Calibri" w:hAnsi="Calibri" w:cs="Calibri"/>
                <w:color w:val="000000"/>
                <w:sz w:val="22"/>
                <w:szCs w:val="22"/>
              </w:rPr>
              <w:t xml:space="preserve">Substituição do encosto de cadeira, poltrona ou carteira. </w:t>
            </w:r>
          </w:p>
        </w:tc>
        <w:tc>
          <w:tcPr>
            <w:tcW w:w="960"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unidade</w:t>
            </w:r>
          </w:p>
        </w:tc>
        <w:tc>
          <w:tcPr>
            <w:tcW w:w="1399"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sz w:val="22"/>
                <w:szCs w:val="22"/>
              </w:rPr>
            </w:pPr>
            <w:r>
              <w:rPr>
                <w:rFonts w:ascii="Calibri" w:hAnsi="Calibri" w:cs="Calibri"/>
                <w:sz w:val="22"/>
                <w:szCs w:val="22"/>
              </w:rPr>
              <w:t>5000</w:t>
            </w:r>
          </w:p>
        </w:tc>
        <w:tc>
          <w:tcPr>
            <w:tcW w:w="1468"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 xml:space="preserve"> R$                111,96 </w:t>
            </w:r>
          </w:p>
        </w:tc>
        <w:tc>
          <w:tcPr>
            <w:tcW w:w="1449" w:type="dxa"/>
            <w:gridSpan w:val="2"/>
            <w:tcBorders>
              <w:top w:val="nil"/>
              <w:left w:val="nil"/>
              <w:bottom w:val="single" w:color="auto" w:sz="4" w:space="0"/>
              <w:right w:val="single" w:color="auto" w:sz="8"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 xml:space="preserve"> R$         559.800,00 </w:t>
            </w:r>
          </w:p>
        </w:tc>
      </w:tr>
      <w:tr>
        <w:tblPrEx>
          <w:tblCellMar>
            <w:top w:w="0" w:type="dxa"/>
            <w:left w:w="70" w:type="dxa"/>
            <w:bottom w:w="0" w:type="dxa"/>
            <w:right w:w="70" w:type="dxa"/>
          </w:tblCellMar>
        </w:tblPrEx>
        <w:trPr>
          <w:trHeight w:val="300" w:hRule="atLeast"/>
        </w:trPr>
        <w:tc>
          <w:tcPr>
            <w:tcW w:w="608" w:type="dxa"/>
            <w:tcBorders>
              <w:top w:val="nil"/>
              <w:left w:val="single" w:color="auto" w:sz="4" w:space="0"/>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3</w:t>
            </w:r>
          </w:p>
        </w:tc>
        <w:tc>
          <w:tcPr>
            <w:tcW w:w="3215" w:type="dxa"/>
            <w:tcBorders>
              <w:top w:val="nil"/>
              <w:left w:val="nil"/>
              <w:bottom w:val="single" w:color="auto" w:sz="4" w:space="0"/>
              <w:right w:val="single" w:color="auto" w:sz="4" w:space="0"/>
            </w:tcBorders>
            <w:shd w:val="clear" w:color="auto" w:fill="auto"/>
            <w:vAlign w:val="bottom"/>
          </w:tcPr>
          <w:p>
            <w:pPr>
              <w:suppressAutoHyphens w:val="0"/>
              <w:rPr>
                <w:rFonts w:ascii="Calibri" w:hAnsi="Calibri" w:cs="Calibri"/>
                <w:color w:val="000000"/>
                <w:sz w:val="22"/>
                <w:szCs w:val="22"/>
              </w:rPr>
            </w:pPr>
            <w:r>
              <w:rPr>
                <w:rFonts w:ascii="Calibri" w:hAnsi="Calibri" w:cs="Calibri"/>
                <w:color w:val="000000"/>
                <w:sz w:val="22"/>
                <w:szCs w:val="22"/>
              </w:rPr>
              <w:t>Substituição dos braços de cadeira (par).</w:t>
            </w:r>
          </w:p>
        </w:tc>
        <w:tc>
          <w:tcPr>
            <w:tcW w:w="960"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unidade</w:t>
            </w:r>
          </w:p>
        </w:tc>
        <w:tc>
          <w:tcPr>
            <w:tcW w:w="1399"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sz w:val="22"/>
                <w:szCs w:val="22"/>
              </w:rPr>
            </w:pPr>
            <w:r>
              <w:rPr>
                <w:rFonts w:ascii="Calibri" w:hAnsi="Calibri" w:cs="Calibri"/>
                <w:sz w:val="22"/>
                <w:szCs w:val="22"/>
              </w:rPr>
              <w:t>2500</w:t>
            </w:r>
          </w:p>
        </w:tc>
        <w:tc>
          <w:tcPr>
            <w:tcW w:w="1468"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 xml:space="preserve"> R$                108,67 </w:t>
            </w:r>
          </w:p>
        </w:tc>
        <w:tc>
          <w:tcPr>
            <w:tcW w:w="1449" w:type="dxa"/>
            <w:gridSpan w:val="2"/>
            <w:tcBorders>
              <w:top w:val="nil"/>
              <w:left w:val="nil"/>
              <w:bottom w:val="single" w:color="auto" w:sz="4" w:space="0"/>
              <w:right w:val="single" w:color="auto" w:sz="8"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 xml:space="preserve"> R$         271.675,00 </w:t>
            </w:r>
          </w:p>
        </w:tc>
      </w:tr>
      <w:tr>
        <w:tblPrEx>
          <w:tblCellMar>
            <w:top w:w="0" w:type="dxa"/>
            <w:left w:w="70" w:type="dxa"/>
            <w:bottom w:w="0" w:type="dxa"/>
            <w:right w:w="70" w:type="dxa"/>
          </w:tblCellMar>
        </w:tblPrEx>
        <w:trPr>
          <w:trHeight w:val="300" w:hRule="atLeast"/>
        </w:trPr>
        <w:tc>
          <w:tcPr>
            <w:tcW w:w="608" w:type="dxa"/>
            <w:tcBorders>
              <w:top w:val="nil"/>
              <w:left w:val="single" w:color="auto" w:sz="4" w:space="0"/>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4</w:t>
            </w:r>
          </w:p>
        </w:tc>
        <w:tc>
          <w:tcPr>
            <w:tcW w:w="3215" w:type="dxa"/>
            <w:tcBorders>
              <w:top w:val="nil"/>
              <w:left w:val="nil"/>
              <w:bottom w:val="single" w:color="auto" w:sz="4" w:space="0"/>
              <w:right w:val="single" w:color="auto" w:sz="4" w:space="0"/>
            </w:tcBorders>
            <w:shd w:val="clear" w:color="auto" w:fill="auto"/>
            <w:vAlign w:val="bottom"/>
          </w:tcPr>
          <w:p>
            <w:pPr>
              <w:suppressAutoHyphens w:val="0"/>
              <w:rPr>
                <w:rFonts w:ascii="Calibri" w:hAnsi="Calibri" w:cs="Calibri"/>
                <w:color w:val="000000"/>
                <w:sz w:val="22"/>
                <w:szCs w:val="22"/>
              </w:rPr>
            </w:pPr>
            <w:r>
              <w:rPr>
                <w:rFonts w:ascii="Calibri" w:hAnsi="Calibri" w:cs="Calibri"/>
                <w:color w:val="000000"/>
                <w:sz w:val="22"/>
                <w:szCs w:val="22"/>
              </w:rPr>
              <w:t>Substituição do pistão da base a gás.</w:t>
            </w:r>
          </w:p>
        </w:tc>
        <w:tc>
          <w:tcPr>
            <w:tcW w:w="960"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unidade</w:t>
            </w:r>
          </w:p>
        </w:tc>
        <w:tc>
          <w:tcPr>
            <w:tcW w:w="1399"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sz w:val="22"/>
                <w:szCs w:val="22"/>
              </w:rPr>
            </w:pPr>
            <w:r>
              <w:rPr>
                <w:rFonts w:ascii="Calibri" w:hAnsi="Calibri" w:cs="Calibri"/>
                <w:sz w:val="22"/>
                <w:szCs w:val="22"/>
              </w:rPr>
              <w:t>500</w:t>
            </w:r>
          </w:p>
        </w:tc>
        <w:tc>
          <w:tcPr>
            <w:tcW w:w="1468"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 xml:space="preserve"> R$                  84,04 </w:t>
            </w:r>
          </w:p>
        </w:tc>
        <w:tc>
          <w:tcPr>
            <w:tcW w:w="1449" w:type="dxa"/>
            <w:gridSpan w:val="2"/>
            <w:tcBorders>
              <w:top w:val="nil"/>
              <w:left w:val="nil"/>
              <w:bottom w:val="single" w:color="auto" w:sz="4" w:space="0"/>
              <w:right w:val="single" w:color="auto" w:sz="8" w:space="0"/>
            </w:tcBorders>
            <w:shd w:val="clear" w:color="auto" w:fill="auto"/>
            <w:noWrap/>
            <w:vAlign w:val="center"/>
          </w:tcPr>
          <w:p>
            <w:pPr>
              <w:suppressAutoHyphens w:val="0"/>
              <w:jc w:val="center"/>
              <w:rPr>
                <w:rFonts w:ascii="Calibri" w:hAnsi="Calibri" w:cs="Calibri"/>
                <w:color w:val="000000"/>
                <w:sz w:val="22"/>
                <w:szCs w:val="22"/>
              </w:rPr>
            </w:pPr>
            <w:r>
              <w:rPr>
                <w:rFonts w:ascii="Calibri" w:hAnsi="Calibri" w:cs="Calibri"/>
                <w:color w:val="000000"/>
                <w:sz w:val="22"/>
                <w:szCs w:val="22"/>
              </w:rPr>
              <w:t xml:space="preserve"> R$            42.020,00 </w:t>
            </w:r>
          </w:p>
        </w:tc>
      </w:tr>
    </w:tbl>
    <w:p>
      <w:pPr>
        <w:pStyle w:val="99"/>
        <w:keepNext/>
        <w:keepLines/>
        <w:numPr>
          <w:ilvl w:val="1"/>
          <w:numId w:val="8"/>
        </w:numPr>
        <w:suppressLineNumbers/>
        <w:suppressAutoHyphens/>
        <w:spacing w:before="0" w:after="288" w:afterLines="120" w:line="360"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pPr>
        <w:pStyle w:val="101"/>
        <w:keepNext/>
        <w:keepLines/>
        <w:numPr>
          <w:ilvl w:val="2"/>
          <w:numId w:val="8"/>
        </w:numPr>
        <w:suppressLineNumbers/>
        <w:suppressAutoHyphens/>
        <w:spacing w:before="0" w:after="288" w:afterLines="120" w:line="360"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O Termo de Referência;</w:t>
      </w:r>
    </w:p>
    <w:p>
      <w:pPr>
        <w:pStyle w:val="101"/>
        <w:keepNext/>
        <w:keepLines/>
        <w:numPr>
          <w:ilvl w:val="2"/>
          <w:numId w:val="8"/>
        </w:numPr>
        <w:suppressLineNumbers/>
        <w:suppressAutoHyphens/>
        <w:spacing w:before="0" w:after="288" w:afterLines="120" w:line="360"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O Edital da Licitação;</w:t>
      </w:r>
    </w:p>
    <w:p>
      <w:pPr>
        <w:pStyle w:val="101"/>
        <w:keepNext/>
        <w:keepLines/>
        <w:numPr>
          <w:ilvl w:val="2"/>
          <w:numId w:val="8"/>
        </w:numPr>
        <w:suppressLineNumbers/>
        <w:suppressAutoHyphens/>
        <w:spacing w:before="0" w:after="288" w:afterLines="120" w:line="360"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A Proposta do contratado;</w:t>
      </w:r>
    </w:p>
    <w:p>
      <w:pPr>
        <w:pStyle w:val="101"/>
        <w:keepNext/>
        <w:keepLines/>
        <w:numPr>
          <w:ilvl w:val="2"/>
          <w:numId w:val="8"/>
        </w:numPr>
        <w:suppressLineNumbers/>
        <w:suppressAutoHyphens/>
        <w:spacing w:before="0" w:after="288" w:afterLines="120" w:line="360" w:lineRule="auto"/>
        <w:ind w:left="567" w:hanging="567"/>
        <w:contextualSpacing/>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pPr>
        <w:pStyle w:val="101"/>
        <w:keepNext/>
        <w:keepLines/>
        <w:numPr>
          <w:ilvl w:val="0"/>
          <w:numId w:val="0"/>
        </w:numPr>
        <w:suppressLineNumbers/>
        <w:suppressAutoHyphens/>
        <w:spacing w:before="0" w:after="288" w:afterLines="120" w:line="360" w:lineRule="auto"/>
        <w:ind w:left="2160" w:hanging="180"/>
        <w:contextualSpacing/>
        <w:rPr>
          <w:rFonts w:asciiTheme="minorHAnsi" w:hAnsiTheme="minorHAnsi" w:cstheme="minorHAnsi"/>
          <w:sz w:val="22"/>
          <w:szCs w:val="22"/>
          <w:lang w:val="zh-CN"/>
        </w:rPr>
      </w:pPr>
    </w:p>
    <w:p>
      <w:pPr>
        <w:pStyle w:val="101"/>
        <w:keepNext/>
        <w:keepLines/>
        <w:numPr>
          <w:ilvl w:val="0"/>
          <w:numId w:val="8"/>
        </w:numPr>
        <w:suppressLineNumbers/>
        <w:suppressAutoHyphens/>
        <w:spacing w:before="0" w:after="288" w:afterLines="120" w:line="360" w:lineRule="auto"/>
        <w:contextualSpacing/>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pPr>
        <w:pStyle w:val="78"/>
        <w:keepNext/>
        <w:keepLines/>
        <w:numPr>
          <w:ilvl w:val="1"/>
          <w:numId w:val="9"/>
        </w:numPr>
        <w:suppressLineNumbers/>
        <w:spacing w:beforeAutospacing="1" w:after="288" w:afterLines="120" w:line="360" w:lineRule="auto"/>
        <w:ind w:left="567" w:hanging="567"/>
        <w:jc w:val="both"/>
        <w:rPr>
          <w:rFonts w:asciiTheme="minorHAnsi" w:hAnsiTheme="minorHAnsi" w:cstheme="minorHAnsi"/>
          <w:sz w:val="22"/>
          <w:szCs w:val="22"/>
        </w:rPr>
      </w:pPr>
      <w:r>
        <w:rPr>
          <w:rFonts w:asciiTheme="minorHAnsi" w:hAnsiTheme="minorHAnsi" w:cstheme="minorHAnsi"/>
          <w:color w:val="000000"/>
          <w:sz w:val="22"/>
          <w:szCs w:val="22"/>
        </w:rPr>
        <w:t>O prazo de vigência da contratação é de 12 (doze) meses contados da assinatura das partes, prorrogável para até 10 anos, na forma dos artigos 106 e 107 da Lei n° 14.133, de 2021.</w:t>
      </w:r>
    </w:p>
    <w:p>
      <w:pPr>
        <w:pStyle w:val="78"/>
        <w:keepNext/>
        <w:keepLines/>
        <w:suppressLineNumbers/>
        <w:spacing w:beforeAutospacing="1" w:after="288" w:afterLines="120" w:line="360" w:lineRule="auto"/>
        <w:ind w:left="567"/>
        <w:jc w:val="both"/>
        <w:rPr>
          <w:rFonts w:asciiTheme="minorHAnsi" w:hAnsiTheme="minorHAnsi" w:cstheme="minorHAnsi"/>
          <w:sz w:val="22"/>
          <w:szCs w:val="22"/>
        </w:rPr>
      </w:pPr>
    </w:p>
    <w:p>
      <w:pPr>
        <w:pStyle w:val="78"/>
        <w:keepNext/>
        <w:keepLines/>
        <w:numPr>
          <w:ilvl w:val="1"/>
          <w:numId w:val="9"/>
        </w:numPr>
        <w:suppressLineNumbers/>
        <w:spacing w:beforeAutospacing="1" w:after="288" w:afterLines="120" w:line="360" w:lineRule="auto"/>
        <w:ind w:left="567" w:hanging="567"/>
        <w:jc w:val="both"/>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pPr>
        <w:pStyle w:val="99"/>
        <w:keepNext/>
        <w:keepLines/>
        <w:numPr>
          <w:ilvl w:val="1"/>
          <w:numId w:val="10"/>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pPr>
        <w:pStyle w:val="99"/>
        <w:keepNext/>
        <w:keepLines/>
        <w:numPr>
          <w:ilvl w:val="1"/>
          <w:numId w:val="10"/>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pPr>
        <w:pStyle w:val="99"/>
        <w:keepNext/>
        <w:keepLines/>
        <w:numPr>
          <w:ilvl w:val="1"/>
          <w:numId w:val="10"/>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pPr>
        <w:pStyle w:val="99"/>
        <w:keepNext/>
        <w:keepLines/>
        <w:numPr>
          <w:ilvl w:val="1"/>
          <w:numId w:val="10"/>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pPr>
        <w:pStyle w:val="99"/>
        <w:keepNext/>
        <w:keepLines/>
        <w:numPr>
          <w:ilvl w:val="1"/>
          <w:numId w:val="10"/>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pPr>
        <w:pStyle w:val="99"/>
        <w:keepNext/>
        <w:keepLines/>
        <w:numPr>
          <w:ilvl w:val="1"/>
          <w:numId w:val="9"/>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pPr>
        <w:pStyle w:val="99"/>
        <w:keepNext/>
        <w:keepLines/>
        <w:numPr>
          <w:ilvl w:val="1"/>
          <w:numId w:val="9"/>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pPr>
        <w:pStyle w:val="99"/>
        <w:keepNext/>
        <w:keepLines/>
        <w:numPr>
          <w:ilvl w:val="1"/>
          <w:numId w:val="9"/>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pPr>
        <w:pStyle w:val="99"/>
        <w:keepNext/>
        <w:keepLines/>
        <w:numPr>
          <w:ilvl w:val="1"/>
          <w:numId w:val="9"/>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1" w:name="_Hlk114497577"/>
      <w:bookmarkEnd w:id="1"/>
      <w:bookmarkStart w:id="2" w:name="_Hlk114497502"/>
      <w:bookmarkEnd w:id="2"/>
    </w:p>
    <w:p>
      <w:pPr>
        <w:pStyle w:val="99"/>
        <w:keepNext/>
        <w:keepLines/>
        <w:numPr>
          <w:ilvl w:val="0"/>
          <w:numId w:val="0"/>
        </w:numPr>
        <w:suppressLineNumbers/>
        <w:suppressAutoHyphens/>
        <w:spacing w:before="0" w:after="0" w:line="360" w:lineRule="auto"/>
        <w:ind w:left="567"/>
        <w:contextualSpacing/>
        <w:rPr>
          <w:rFonts w:asciiTheme="minorHAnsi" w:hAnsiTheme="minorHAnsi" w:cstheme="minorHAnsi"/>
          <w:sz w:val="22"/>
          <w:szCs w:val="22"/>
        </w:rPr>
      </w:pPr>
    </w:p>
    <w:p>
      <w:pPr>
        <w:pStyle w:val="99"/>
        <w:keepNext/>
        <w:keepLines/>
        <w:numPr>
          <w:ilvl w:val="0"/>
          <w:numId w:val="9"/>
        </w:numPr>
        <w:suppressLineNumbers/>
        <w:suppressAutoHyphens/>
        <w:spacing w:before="0" w:after="0" w:line="360" w:lineRule="auto"/>
        <w:contextualSpacing/>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pPr>
        <w:pStyle w:val="99"/>
        <w:keepNext/>
        <w:keepLines/>
        <w:numPr>
          <w:ilvl w:val="1"/>
          <w:numId w:val="11"/>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pPr>
        <w:pStyle w:val="99"/>
        <w:keepNext/>
        <w:keepLines/>
        <w:numPr>
          <w:ilvl w:val="0"/>
          <w:numId w:val="11"/>
        </w:numPr>
        <w:suppressLineNumbers/>
        <w:suppressAutoHyphens/>
        <w:spacing w:before="0" w:after="288" w:afterLines="120" w:line="360" w:lineRule="auto"/>
        <w:contextualSpacing/>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pPr>
        <w:pStyle w:val="78"/>
        <w:keepNext/>
        <w:keepLines/>
        <w:numPr>
          <w:ilvl w:val="1"/>
          <w:numId w:val="12"/>
        </w:numPr>
        <w:suppressLineNumbers/>
        <w:spacing w:before="100" w:beforeAutospacing="1" w:line="360" w:lineRule="auto"/>
        <w:jc w:val="both"/>
        <w:rPr>
          <w:rFonts w:asciiTheme="minorHAnsi" w:hAnsiTheme="minorHAnsi" w:cstheme="minorHAnsi"/>
          <w:color w:val="000000"/>
          <w:sz w:val="22"/>
          <w:szCs w:val="22"/>
        </w:rPr>
      </w:pPr>
      <w:r>
        <w:rPr>
          <w:rFonts w:asciiTheme="minorHAnsi" w:hAnsiTheme="minorHAnsi" w:cstheme="minorHAnsi"/>
          <w:color w:val="000000"/>
          <w:sz w:val="22"/>
          <w:szCs w:val="22"/>
        </w:rPr>
        <w:t>Não será admitida a subcontratação do objeto contratual.</w:t>
      </w:r>
    </w:p>
    <w:p>
      <w:pPr>
        <w:pStyle w:val="482"/>
        <w:keepNext/>
        <w:keepLines/>
        <w:suppressLineNumbers/>
        <w:suppressAutoHyphens/>
        <w:spacing w:before="0" w:beforeAutospacing="0" w:after="0" w:afterAutospacing="0" w:line="360" w:lineRule="auto"/>
        <w:ind w:right="120"/>
        <w:contextualSpacing/>
        <w:jc w:val="both"/>
        <w:rPr>
          <w:rFonts w:asciiTheme="minorHAnsi" w:hAnsiTheme="minorHAnsi" w:cstheme="minorHAnsi"/>
          <w:color w:val="000000"/>
          <w:sz w:val="22"/>
          <w:szCs w:val="22"/>
        </w:rPr>
      </w:pPr>
    </w:p>
    <w:p>
      <w:pPr>
        <w:pStyle w:val="482"/>
        <w:keepNext/>
        <w:keepLines/>
        <w:numPr>
          <w:ilvl w:val="0"/>
          <w:numId w:val="13"/>
        </w:numPr>
        <w:suppressLineNumbers/>
        <w:suppressAutoHyphens/>
        <w:spacing w:before="0" w:beforeAutospacing="0" w:after="0" w:afterAutospacing="0" w:line="360" w:lineRule="auto"/>
        <w:ind w:right="120"/>
        <w:contextualSpacing/>
        <w:jc w:val="both"/>
        <w:rPr>
          <w:rFonts w:asciiTheme="minorHAnsi" w:hAnsiTheme="minorHAnsi" w:cstheme="minorHAnsi"/>
          <w:b/>
          <w:bCs/>
          <w:color w:val="000000"/>
          <w:sz w:val="22"/>
          <w:szCs w:val="22"/>
        </w:rPr>
      </w:pPr>
      <w:r>
        <w:rPr>
          <w:rFonts w:asciiTheme="minorHAnsi" w:hAnsiTheme="minorHAnsi" w:cstheme="minorHAnsi"/>
          <w:b/>
          <w:bCs/>
          <w:sz w:val="22"/>
          <w:szCs w:val="22"/>
        </w:rPr>
        <w:t>CLÁUSULA QUINTA - PREÇO</w:t>
      </w:r>
    </w:p>
    <w:p>
      <w:pPr>
        <w:pStyle w:val="99"/>
        <w:keepNext/>
        <w:keepLines/>
        <w:numPr>
          <w:ilvl w:val="1"/>
          <w:numId w:val="13"/>
        </w:numPr>
        <w:suppressLineNumbers/>
        <w:suppressAutoHyphens/>
        <w:spacing w:before="0"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pPr>
        <w:pStyle w:val="99"/>
        <w:keepNext/>
        <w:keepLines/>
        <w:numPr>
          <w:ilvl w:val="1"/>
          <w:numId w:val="13"/>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pPr>
        <w:pStyle w:val="99"/>
        <w:keepNext/>
        <w:keepLines/>
        <w:numPr>
          <w:ilvl w:val="1"/>
          <w:numId w:val="13"/>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pPr>
        <w:pStyle w:val="99"/>
        <w:keepNext/>
        <w:keepLines/>
        <w:numPr>
          <w:ilvl w:val="0"/>
          <w:numId w:val="13"/>
        </w:numPr>
        <w:suppressLineNumbers/>
        <w:suppressAutoHyphens/>
        <w:spacing w:before="0" w:after="288" w:afterLines="120" w:line="360" w:lineRule="auto"/>
        <w:contextualSpacing/>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pPr>
        <w:pStyle w:val="99"/>
        <w:keepNext/>
        <w:keepLines/>
        <w:numPr>
          <w:ilvl w:val="1"/>
          <w:numId w:val="13"/>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color w:val="000000"/>
          <w:sz w:val="22"/>
          <w:szCs w:val="22"/>
        </w:rPr>
        <w:t>O prazo para pagamento ao contratado e demais condições a ele referentes encontram-se definidos no Termo de Referência, anexo a este Contrato.</w:t>
      </w:r>
    </w:p>
    <w:p>
      <w:pPr>
        <w:pStyle w:val="99"/>
        <w:keepNext/>
        <w:keepLines/>
        <w:numPr>
          <w:ilvl w:val="0"/>
          <w:numId w:val="0"/>
        </w:numPr>
        <w:suppressLineNumbers/>
        <w:suppressAutoHyphens/>
        <w:spacing w:before="0" w:after="0" w:line="360" w:lineRule="auto"/>
        <w:ind w:left="567"/>
        <w:contextualSpacing/>
        <w:rPr>
          <w:rFonts w:asciiTheme="minorHAnsi" w:hAnsiTheme="minorHAnsi" w:cstheme="minorHAnsi"/>
          <w:sz w:val="22"/>
          <w:szCs w:val="22"/>
        </w:rPr>
      </w:pPr>
    </w:p>
    <w:p>
      <w:pPr>
        <w:keepNext/>
        <w:keepLines/>
        <w:suppressLineNumbers/>
        <w:spacing w:before="100" w:beforeAutospacing="1" w:line="360" w:lineRule="auto"/>
        <w:contextualSpacing/>
        <w:jc w:val="both"/>
        <w:rPr>
          <w:rFonts w:asciiTheme="minorHAnsi" w:hAnsiTheme="minorHAnsi" w:cstheme="minorHAnsi"/>
          <w:b/>
          <w:bCs/>
          <w:color w:val="000000"/>
          <w:sz w:val="22"/>
          <w:szCs w:val="22"/>
        </w:rPr>
      </w:pPr>
      <w:r>
        <w:rPr>
          <w:rFonts w:asciiTheme="minorHAnsi" w:hAnsiTheme="minorHAnsi" w:cstheme="minorHAnsi"/>
          <w:b/>
          <w:bCs/>
          <w:color w:val="000000"/>
          <w:sz w:val="22"/>
          <w:szCs w:val="22"/>
        </w:rPr>
        <w:t>7. CLÁUSULA SÉTIMA - REAJUSTE (art. 92, V)</w:t>
      </w:r>
    </w:p>
    <w:p>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7.1. Os preços inicialmente contratados são fixos e irreajustáveis no prazo de um ano contado da data do orçamento estimado, em __/__/__ (DD/MM/AAAA). </w:t>
      </w:r>
    </w:p>
    <w:p>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7.2. Após o interregno de um ano, e independentemente de pedido do contratado, os preços iniciais serão reajustados, mediante a aplicação, pelo contratante, do índice IPCA, exclusivamente para as obrigações iniciadas e concluídas após a ocorrência da anualidade.</w:t>
      </w:r>
    </w:p>
    <w:p>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7.3. Nos reajustes subsequentes ao primeiro, o interregno mínimo de um ano será contado a partir dos efeitos financeiros do último reajuste.</w:t>
      </w:r>
    </w:p>
    <w:p>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7.4. No caso de atraso ou não divulgação do(s) índice (s) de reajustamento, o contratante pagará ao contratado a importância calculada pela última variação conhecida, liquidando a diferença correspondente tão logo seja(m) divulgado(s) o(s) índice(s) definitivo(s).</w:t>
      </w:r>
    </w:p>
    <w:p>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7.5. Nas aferições finais, o(s) índice(s) utilizado(s) para reajuste será(ão), obrigatoriamente, o(s) definitivo(s).</w:t>
      </w:r>
    </w:p>
    <w:p>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7.6. Caso o(s) índice(s) estabelecido(s) para reajustamento venha(m) a ser extinto(s) ou de qualquer forma não possa(m) mais ser utilizado(s), será(ão) adotado(s), em substituição, o(s) que vier(em) a ser determinado(s) pela legislação então em vigor.</w:t>
      </w:r>
    </w:p>
    <w:p>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7.7. Na ausência de previsão legal quanto ao índice substituto, as partes elegerão novo índice oficial, para reajustamento do preço do valor remanescente, por meio de termo aditivo.</w:t>
      </w:r>
    </w:p>
    <w:p>
      <w:pPr>
        <w:keepNext/>
        <w:keepLines/>
        <w:suppressLineNumbers/>
        <w:spacing w:before="100" w:beforeAutospacing="1" w:line="360" w:lineRule="auto"/>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7.8. O reajuste será realizado por apostilamento.</w:t>
      </w:r>
    </w:p>
    <w:p>
      <w:pPr>
        <w:keepNext/>
        <w:keepLines/>
        <w:suppressLineNumbers/>
        <w:spacing w:before="100" w:beforeAutospacing="1" w:line="360" w:lineRule="auto"/>
        <w:contextualSpacing/>
        <w:jc w:val="both"/>
        <w:rPr>
          <w:rFonts w:asciiTheme="minorHAnsi" w:hAnsiTheme="minorHAnsi" w:cstheme="minorHAnsi"/>
          <w:color w:val="000000"/>
          <w:sz w:val="22"/>
          <w:szCs w:val="22"/>
        </w:rPr>
      </w:pPr>
    </w:p>
    <w:p>
      <w:pPr>
        <w:pStyle w:val="90"/>
        <w:numPr>
          <w:ilvl w:val="0"/>
          <w:numId w:val="14"/>
        </w:numPr>
        <w:suppressLineNumbers/>
        <w:suppressAutoHyphens/>
        <w:spacing w:before="0" w:line="360" w:lineRule="auto"/>
        <w:contextualSpacing/>
        <w:rPr>
          <w:rFonts w:eastAsia="Times New Roman" w:asciiTheme="minorHAnsi" w:hAnsiTheme="minorHAnsi" w:cstheme="minorHAnsi"/>
          <w:sz w:val="22"/>
          <w:szCs w:val="22"/>
        </w:rPr>
      </w:pPr>
      <w:r>
        <w:rPr>
          <w:rFonts w:asciiTheme="minorHAnsi" w:hAnsiTheme="minorHAnsi" w:cstheme="minorHAnsi"/>
          <w:sz w:val="22"/>
          <w:szCs w:val="22"/>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São obrigações do Contratante:</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Exigir o cumprimento de todas as obrigações assumidas pelo Contratado, de acordo com o contrato e seus anexos;</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Receber o objeto no prazo e condições estabelecidas no Termo de Referência;</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Notificar o Contratado, por escrito, sobre vícios, defeitos ou incorreções verificadas no objeto fornecido, para que seja por ele substituído, reparado ou corrigido, no total ou em parte, às suas expensas;</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Acompanhar e fiscalizar a execução do contrato e o cumprimento das obrigações pelo Contratado;</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Comunicar a empresa para emissão de Nota Fiscal no que pertine à parcela incontroversa da execução do objeto, para efeito de liquidação e pagamento, quando houver controvérsia sobre a execução do objeto, quanto à dimensão, qualidade e quantidade, conforme o art. 143 da Lei nº 14.133, de 2021;</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Efetuar o pagamento ao Contratado do valor correspondente à execução do objeto, no prazo, forma e condições estabelecidos no presente Contrato e no Termo de Referência;</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Aplicar ao Contratado as sanções previstas na lei e neste Contrato;</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Cientificar o órgão de representação judicial da Advocacia-Geral da União para adoção das medidas cabíveis quando do descumprimento de obrigações pelo Contratado;</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A Administração terá o prazo de 30 (trinta) dias, a contar da data do protocolo do requerimento para decidir, admitida a prorrogação motivada, por igual período. </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Responder eventuais pedidos de reestabelecimento do equilíbrio econômico-financeiro feitos pelo contratado no prazo máximo de trinta dias. </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Notificar os emitentes das garantias quanto ao início de processo administrativo para apuração de descumprimento de cláusulas contratuais.</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Comunicar o Contratado na hipótese de posterior alteração do projeto pelo Contratante, no caso do art. 93, §2º, da Lei nº 14.133, de 2021.</w:t>
      </w:r>
    </w:p>
    <w:p>
      <w:pPr>
        <w:pStyle w:val="90"/>
        <w:numPr>
          <w:ilvl w:val="1"/>
          <w:numId w:val="15"/>
        </w:numPr>
        <w:suppressLineNumbers/>
        <w:suppressAutoHyphens/>
        <w:spacing w:line="360" w:lineRule="auto"/>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pPr>
        <w:pStyle w:val="99"/>
        <w:keepNext/>
        <w:keepLines/>
        <w:numPr>
          <w:ilvl w:val="0"/>
          <w:numId w:val="0"/>
        </w:numPr>
        <w:suppressLineNumbers/>
        <w:suppressAutoHyphens/>
        <w:spacing w:before="0" w:after="288" w:afterLines="120" w:line="360" w:lineRule="auto"/>
        <w:ind w:left="567"/>
        <w:contextualSpacing/>
        <w:rPr>
          <w:rFonts w:asciiTheme="minorHAnsi" w:hAnsiTheme="minorHAnsi" w:cstheme="minorHAnsi"/>
          <w:sz w:val="22"/>
          <w:szCs w:val="22"/>
        </w:rPr>
      </w:pPr>
    </w:p>
    <w:p>
      <w:pPr>
        <w:pStyle w:val="90"/>
        <w:numPr>
          <w:ilvl w:val="0"/>
          <w:numId w:val="14"/>
        </w:numPr>
        <w:suppressLineNumbers/>
        <w:suppressAutoHyphens/>
        <w:spacing w:before="0"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pPr>
        <w:pStyle w:val="90"/>
        <w:numPr>
          <w:ilvl w:val="0"/>
          <w:numId w:val="16"/>
        </w:numPr>
        <w:suppressLineNumbers/>
        <w:suppressAutoHyphens/>
        <w:spacing w:before="0"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pPr>
        <w:pStyle w:val="500"/>
        <w:keepNext/>
        <w:keepLines/>
        <w:numPr>
          <w:ilvl w:val="2"/>
          <w:numId w:val="16"/>
        </w:numPr>
        <w:suppressLineNumbers/>
        <w:suppressAutoHyphens/>
        <w:spacing w:before="0" w:after="288" w:afterLines="120" w:line="360" w:lineRule="auto"/>
        <w:ind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pPr>
        <w:pStyle w:val="90"/>
        <w:numPr>
          <w:ilvl w:val="0"/>
          <w:numId w:val="16"/>
        </w:numPr>
        <w:suppressLineNumbers/>
        <w:suppressAutoHyphens/>
        <w:spacing w:before="0"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color w:val="auto"/>
          <w:sz w:val="22"/>
          <w:szCs w:val="22"/>
        </w:rPr>
        <w:t>art. 92, XII e XIII</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 xml:space="preserve">) </w:t>
      </w:r>
    </w:p>
    <w:p>
      <w:pPr>
        <w:pStyle w:val="99"/>
        <w:keepNext/>
        <w:keepLines/>
        <w:numPr>
          <w:ilvl w:val="1"/>
          <w:numId w:val="16"/>
        </w:numPr>
        <w:suppressLineNumbers/>
        <w:suppressAutoHyphens/>
        <w:spacing w:after="288" w:afterLines="120" w:line="360" w:lineRule="auto"/>
        <w:contextualSpacing/>
        <w:rPr>
          <w:rFonts w:asciiTheme="minorHAnsi" w:hAnsiTheme="minorHAnsi" w:cstheme="minorHAnsi"/>
          <w:sz w:val="22"/>
          <w:szCs w:val="22"/>
        </w:rPr>
      </w:pPr>
      <w:r>
        <w:rPr>
          <w:rFonts w:asciiTheme="minorHAnsi" w:hAnsiTheme="minorHAnsi" w:cstheme="minorHAnsi"/>
          <w:sz w:val="22"/>
          <w:szCs w:val="22"/>
        </w:rPr>
        <w:t>Não haverá exigência de garantia contratual da execução.</w:t>
      </w:r>
    </w:p>
    <w:p>
      <w:pPr>
        <w:pStyle w:val="492"/>
        <w:numPr>
          <w:ilvl w:val="0"/>
          <w:numId w:val="16"/>
        </w:numPr>
        <w:suppressLineNumbers/>
        <w:suppressAutoHyphens/>
        <w:spacing w:before="0" w:after="288" w:afterLines="120" w:line="360" w:lineRule="auto"/>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12. 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pPr>
        <w:keepNext/>
        <w:keepLines/>
        <w:numPr>
          <w:ilvl w:val="2"/>
          <w:numId w:val="17"/>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pPr>
        <w:keepNext/>
        <w:keepLines/>
        <w:numPr>
          <w:ilvl w:val="2"/>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3" w:name="_Hlk114504069"/>
      <w:r>
        <w:rPr>
          <w:rStyle w:val="18"/>
          <w:rFonts w:eastAsia="Arial" w:asciiTheme="minorHAnsi" w:hAnsiTheme="minorHAnsi" w:cstheme="minorHAnsi"/>
          <w:sz w:val="22"/>
          <w:szCs w:val="22"/>
        </w:rPr>
        <w:t>Lei nº 14.133, de 2021</w:t>
      </w:r>
      <w:bookmarkEnd w:id="3"/>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pPr>
        <w:keepNext/>
        <w:keepLines/>
        <w:numPr>
          <w:ilvl w:val="2"/>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pPr>
        <w:keepNext/>
        <w:keepLines/>
        <w:numPr>
          <w:ilvl w:val="2"/>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pPr>
        <w:keepNext/>
        <w:keepLines/>
        <w:numPr>
          <w:ilvl w:val="2"/>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pPr>
        <w:keepNext/>
        <w:keepLines/>
        <w:numPr>
          <w:ilvl w:val="3"/>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5% (cinco por cento) por dia de atraso injustificado sobre o valor da parcela inadimplida, até o limite de 30 (trinta) dias;</w:t>
      </w:r>
    </w:p>
    <w:p>
      <w:pPr>
        <w:keepNext/>
        <w:keepLines/>
        <w:numPr>
          <w:ilvl w:val="7"/>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30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pPr>
        <w:keepNext/>
        <w:keepLines/>
        <w:numPr>
          <w:ilvl w:val="3"/>
          <w:numId w:val="18"/>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de 20% (vinte por cento) sobre o valor total do contrato, no caso de inexecução total do objeto;</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color w:val="auto"/>
          <w:sz w:val="22"/>
          <w:szCs w:val="22"/>
        </w:rPr>
        <w:t>10 (dez)</w:t>
      </w:r>
      <w:r>
        <w:rPr>
          <w:rFonts w:asciiTheme="minorHAnsi" w:hAnsiTheme="minorHAnsi" w:cstheme="minorHAnsi"/>
          <w:i/>
          <w:iCs/>
          <w:color w:val="FF0000"/>
          <w:sz w:val="22"/>
          <w:szCs w:val="22"/>
        </w:rPr>
        <w:t xml:space="preserve"> </w:t>
      </w:r>
      <w:r>
        <w:rPr>
          <w:rFonts w:asciiTheme="minorHAnsi" w:hAnsiTheme="minorHAnsi" w:cstheme="minorHAnsi"/>
          <w:sz w:val="22"/>
          <w:szCs w:val="22"/>
        </w:rPr>
        <w:t>dias, a contar da data do recebimento da comunicação enviada pela autoridade competente.</w:t>
      </w:r>
      <w:bookmarkStart w:id="4" w:name="_Hlk78351618"/>
      <w:bookmarkEnd w:id="4"/>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keepNext/>
        <w:keepLines/>
        <w:numPr>
          <w:ilvl w:val="0"/>
          <w:numId w:val="19"/>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pPr>
        <w:keepNext/>
        <w:keepLines/>
        <w:numPr>
          <w:ilvl w:val="0"/>
          <w:numId w:val="19"/>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pPr>
        <w:keepNext/>
        <w:keepLines/>
        <w:numPr>
          <w:ilvl w:val="0"/>
          <w:numId w:val="19"/>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pPr>
        <w:keepNext/>
        <w:keepLines/>
        <w:numPr>
          <w:ilvl w:val="0"/>
          <w:numId w:val="19"/>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pPr>
        <w:keepNext/>
        <w:keepLines/>
        <w:numPr>
          <w:ilvl w:val="0"/>
          <w:numId w:val="19"/>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pPr>
        <w:pStyle w:val="492"/>
        <w:numPr>
          <w:ilvl w:val="0"/>
          <w:numId w:val="16"/>
        </w:numPr>
        <w:suppressLineNumbers/>
        <w:suppressAutoHyphens/>
        <w:spacing w:before="0" w:after="288" w:afterLines="120" w:line="360" w:lineRule="auto"/>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esta não dispuser de créditos orçamentários para sua continuidade ou quando entender que o contrato não mais lhe oferece vantagem.</w:t>
      </w:r>
    </w:p>
    <w:p>
      <w:pPr>
        <w:pStyle w:val="99"/>
        <w:keepNext/>
        <w:keepLines/>
        <w:numPr>
          <w:ilvl w:val="2"/>
          <w:numId w:val="20"/>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pPr>
        <w:pStyle w:val="99"/>
        <w:keepNext/>
        <w:keepLines/>
        <w:numPr>
          <w:ilvl w:val="2"/>
          <w:numId w:val="20"/>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A </w:t>
      </w:r>
      <w:r>
        <w:rPr>
          <w:rFonts w:asciiTheme="minorHAnsi" w:hAnsiTheme="minorHAnsi" w:cstheme="minorHAnsi"/>
          <w:color w:val="000000" w:themeColor="text1"/>
          <w:sz w:val="22"/>
          <w:szCs w:val="22"/>
          <w14:textFill>
            <w14:solidFill>
              <w14:schemeClr w14:val="tx1"/>
            </w14:solidFill>
          </w14:textFill>
        </w:rPr>
        <w:t>alteração social ou a modificação da finalidade ou da estrutura da empresa</w:t>
      </w:r>
      <w:r>
        <w:rPr>
          <w:rFonts w:asciiTheme="minorHAnsi" w:hAnsiTheme="minorHAnsi" w:cstheme="minorHAnsi"/>
          <w:sz w:val="22"/>
          <w:szCs w:val="22"/>
        </w:rPr>
        <w:t xml:space="preserve"> não ensejará a extinção se não </w:t>
      </w:r>
      <w:r>
        <w:rPr>
          <w:rFonts w:asciiTheme="minorHAnsi" w:hAnsiTheme="minorHAnsi" w:cstheme="minorHAnsi"/>
          <w:color w:val="000000" w:themeColor="text1"/>
          <w:sz w:val="22"/>
          <w:szCs w:val="22"/>
          <w14:textFill>
            <w14:solidFill>
              <w14:schemeClr w14:val="tx1"/>
            </w14:solidFill>
          </w14:textFill>
        </w:rPr>
        <w:t>restringir sua capacidade de concluir o contrato.</w:t>
      </w:r>
    </w:p>
    <w:p>
      <w:pPr>
        <w:pStyle w:val="102"/>
        <w:keepNext/>
        <w:keepLines/>
        <w:numPr>
          <w:ilvl w:val="3"/>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pPr>
        <w:pStyle w:val="101"/>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Indenizações e multas.</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 não pagamento dos salários e das verbas trabalhistas, e o não recolhimento das contribuições sociais, previdenciárias e para com o FGTS poderá dar ensejo à extinção do contrato por ato unilateral e escrito do contratante e à aplicação das penalidades cabíveis. </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pPr>
        <w:pStyle w:val="99"/>
        <w:keepNext/>
        <w:keepLines/>
        <w:numPr>
          <w:ilvl w:val="2"/>
          <w:numId w:val="21"/>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 3º, 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b</w:t>
      </w:r>
      <w:r>
        <w:rPr>
          <w:rStyle w:val="18"/>
          <w:rFonts w:asciiTheme="minorHAnsi" w:hAnsiTheme="minorHAnsi" w:cstheme="minorHAnsi"/>
          <w:sz w:val="22"/>
          <w:szCs w:val="22"/>
        </w:rPr>
        <w:fldChar w:fldCharType="end"/>
      </w:r>
      <w:r>
        <w:rPr>
          <w:rFonts w:asciiTheme="minorHAnsi" w:hAnsiTheme="minorHAnsi" w:cstheme="minorHAnsi"/>
          <w:sz w:val="22"/>
          <w:szCs w:val="22"/>
        </w:rPr>
        <w:t>, da Lei n.º 14.133/2021); e </w:t>
      </w:r>
    </w:p>
    <w:p>
      <w:pPr>
        <w:pStyle w:val="99"/>
        <w:keepNext/>
        <w:keepLines/>
        <w:numPr>
          <w:ilvl w:val="2"/>
          <w:numId w:val="21"/>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os valores das Notas fiscais ou Faturas correspondentes em valor proporcional ao inadimplemento, até que a situação seja regularizada.</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Na hipótese do subitem anterior, não havendo quitação das obrigações por parte do contratado no prazo de </w:t>
      </w:r>
      <w:r>
        <w:rPr>
          <w:rFonts w:asciiTheme="minorHAnsi" w:hAnsiTheme="minorHAnsi" w:cstheme="minorHAnsi"/>
          <w:iCs/>
          <w:color w:val="000000" w:themeColor="text1"/>
          <w:sz w:val="22"/>
          <w:szCs w:val="22"/>
          <w14:textFill>
            <w14:solidFill>
              <w14:schemeClr w14:val="tx1"/>
            </w14:solidFill>
          </w14:textFill>
        </w:rPr>
        <w:t>15 (quinze)</w:t>
      </w:r>
      <w:r>
        <w:rPr>
          <w:rFonts w:asciiTheme="minorHAnsi" w:hAnsiTheme="minorHAnsi" w:cstheme="minorHAnsi"/>
          <w:color w:val="000000" w:themeColor="text1"/>
          <w:sz w:val="22"/>
          <w:szCs w:val="22"/>
          <w14:textFill>
            <w14:solidFill>
              <w14:schemeClr w14:val="tx1"/>
            </w14:solidFill>
          </w14:textFill>
        </w:rPr>
        <w:t xml:space="preserve"> </w:t>
      </w:r>
      <w:r>
        <w:rPr>
          <w:rFonts w:asciiTheme="minorHAnsi" w:hAnsiTheme="minorHAnsi" w:cstheme="minorHAnsi"/>
          <w:sz w:val="22"/>
          <w:szCs w:val="22"/>
        </w:rPr>
        <w:t>dias, o contratante poderá efetuar o pagamento das obrigações diretamente aos empregados que tenham participado da execução dos serviços objeto do contrato, deduzindo o respectivo valor do pagamento devido ao contratado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§3º, inciso II,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contratante poderá ainda:</w:t>
      </w:r>
    </w:p>
    <w:p>
      <w:pPr>
        <w:pStyle w:val="99"/>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 nos casos de obrigação de pagamento de multa pelo contratado, reter a garantia prestada a ser executada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“c”,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 conforme legislação que rege a matéria; e</w:t>
      </w:r>
    </w:p>
    <w:p>
      <w:pPr>
        <w:pStyle w:val="99"/>
        <w:keepNext/>
        <w:keepLines/>
        <w:numPr>
          <w:ilvl w:val="2"/>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nos casos em que houver necessidade de ressarcimento de prejuízos causados à Administração, nos termos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do inciso IV do art. 139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reter os eventuais créditos existentes em favor do contratado decorrentes do contrato.</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r>
        <w:fldChar w:fldCharType="begin"/>
      </w:r>
      <w:r>
        <w:instrText xml:space="preserve"> HYPERLINK "http://www.planalto.gov.br/ccivil_03/_ato2019-2022/2021/lei/L14133.htm" \l "art14" </w:instrText>
      </w:r>
      <w:r>
        <w:fldChar w:fldCharType="separate"/>
      </w:r>
      <w:r>
        <w:rPr>
          <w:rStyle w:val="18"/>
          <w:rFonts w:asciiTheme="minorHAnsi" w:hAnsiTheme="minorHAnsi" w:cstheme="minorHAnsi"/>
          <w:sz w:val="22"/>
          <w:szCs w:val="22"/>
        </w:rPr>
        <w:t>art. 14, inciso IV,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492"/>
        <w:numPr>
          <w:ilvl w:val="0"/>
          <w:numId w:val="16"/>
        </w:numPr>
        <w:suppressLineNumbers/>
        <w:suppressAutoHyphens/>
        <w:spacing w:before="0" w:after="288" w:afterLines="120" w:line="360" w:lineRule="auto"/>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pPr>
        <w:pStyle w:val="99"/>
        <w:keepNext/>
        <w:keepLines/>
        <w:numPr>
          <w:ilvl w:val="1"/>
          <w:numId w:val="16"/>
        </w:numPr>
        <w:suppressLineNumbers/>
        <w:suppressAutoHyphens/>
        <w:spacing w:before="0" w:after="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w:t>
      </w:r>
      <w:r>
        <w:fldChar w:fldCharType="begin"/>
      </w:r>
      <w:r>
        <w:instrText xml:space="preserve"> HYPERLINK "http://www.planalto.gov.br/ccivil_03/_ato2019-2022/2021/lei/L14133.htm" \l "art132" </w:instrText>
      </w:r>
      <w:r>
        <w:fldChar w:fldCharType="separate"/>
      </w:r>
      <w:r>
        <w:rPr>
          <w:rStyle w:val="18"/>
          <w:rFonts w:asciiTheme="minorHAnsi" w:hAnsiTheme="minorHAnsi" w:cstheme="minorHAnsi"/>
          <w:sz w:val="22"/>
          <w:szCs w:val="22"/>
        </w:rPr>
        <w:t>art. 132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492"/>
        <w:numPr>
          <w:ilvl w:val="0"/>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pPr>
        <w:keepNext/>
        <w:keepLines/>
        <w:numPr>
          <w:ilvl w:val="1"/>
          <w:numId w:val="22"/>
        </w:numPr>
        <w:suppressLineNumbers/>
        <w:spacing w:after="288" w:afterLines="120" w:line="360"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pPr>
        <w:pStyle w:val="498"/>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pPr>
        <w:pStyle w:val="492"/>
        <w:numPr>
          <w:ilvl w:val="0"/>
          <w:numId w:val="16"/>
        </w:numPr>
        <w:suppressLineNumbers/>
        <w:suppressAutoHyphens/>
        <w:spacing w:before="0" w:after="288" w:afterLines="120" w:line="360" w:lineRule="auto"/>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pPr>
        <w:pStyle w:val="492"/>
        <w:numPr>
          <w:ilvl w:val="0"/>
          <w:numId w:val="16"/>
        </w:numPr>
        <w:suppressLineNumbers/>
        <w:suppressAutoHyphens/>
        <w:spacing w:before="0" w:after="288" w:afterLines="120" w:line="360" w:lineRule="auto"/>
        <w:contextualSpacing/>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pPr>
        <w:pStyle w:val="99"/>
        <w:keepNext/>
        <w:keepLines/>
        <w:numPr>
          <w:ilvl w:val="1"/>
          <w:numId w:val="16"/>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pPr>
        <w:pStyle w:val="99"/>
        <w:keepNext/>
        <w:keepLines/>
        <w:numPr>
          <w:ilvl w:val="0"/>
          <w:numId w:val="16"/>
        </w:numPr>
        <w:suppressLineNumbers/>
        <w:suppressAutoHyphens/>
        <w:spacing w:before="0" w:after="288" w:afterLines="120" w:line="360" w:lineRule="auto"/>
        <w:contextualSpacing/>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pPr>
        <w:pStyle w:val="99"/>
        <w:keepNext/>
        <w:keepLines/>
        <w:numPr>
          <w:ilvl w:val="1"/>
          <w:numId w:val="23"/>
        </w:numPr>
        <w:suppressLineNumbers/>
        <w:suppressAutoHyphens/>
        <w:spacing w:before="0" w:after="288" w:afterLines="120" w:line="360" w:lineRule="auto"/>
        <w:ind w:left="567" w:hanging="567"/>
        <w:contextualSpacing/>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p>
    <w:p>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pPr>
        <w:keepNext/>
        <w:keepLines/>
        <w:suppressLineNumbers/>
        <w:spacing w:after="120" w:line="276" w:lineRule="auto"/>
        <w:ind w:left="567" w:right="-15" w:hanging="567"/>
        <w:contextualSpacing/>
        <w:rPr>
          <w:rFonts w:asciiTheme="minorHAnsi" w:hAnsiTheme="minorHAnsi" w:cstheme="minorHAnsi"/>
          <w:b/>
          <w:bCs/>
          <w:sz w:val="22"/>
          <w:szCs w:val="22"/>
        </w:rPr>
      </w:pPr>
    </w:p>
    <w:p>
      <w:pPr>
        <w:keepNext/>
        <w:keepLines/>
        <w:suppressLineNumbers/>
        <w:spacing w:after="120" w:line="276" w:lineRule="auto"/>
        <w:ind w:left="567" w:right="-15" w:hanging="567"/>
        <w:contextualSpacing/>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00"/>
    <w:family w:val="roman"/>
    <w:pitch w:val="default"/>
    <w:sig w:usb0="00000000" w:usb1="00000000" w:usb2="00000000" w:usb3="00000000" w:csb0="00000001" w:csb1="0000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ACF3C50" w:usb2="00000016" w:usb3="00000000" w:csb0="0004001F" w:csb1="00000000"/>
  </w:font>
  <w:font w:name="Mangal">
    <w:altName w:val="Liberation Mono"/>
    <w:panose1 w:val="00000400000000000000"/>
    <w:charset w:val="00"/>
    <w:family w:val="roman"/>
    <w:pitch w:val="default"/>
    <w:sig w:usb0="00000000" w:usb1="00000000" w:usb2="00000000" w:usb3="00000000" w:csb0="00000001" w:csb1="00000000"/>
  </w:font>
  <w:font w:name="Liberation Mono">
    <w:panose1 w:val="02070409020205020404"/>
    <w:charset w:val="00"/>
    <w:family w:val="auto"/>
    <w:pitch w:val="default"/>
    <w:sig w:usb0="E0000AFF" w:usb1="400078FF" w:usb2="00000001" w:usb3="00000000" w:csb0="600001BF" w:csb1="DFF70000"/>
  </w:font>
  <w:font w:name="StarSymbol">
    <w:altName w:val="Yu Gothic"/>
    <w:panose1 w:val="00000000000000000000"/>
    <w:charset w:val="80"/>
    <w:family w:val="auto"/>
    <w:pitch w:val="default"/>
    <w:sig w:usb0="00000000" w:usb1="00000000" w:usb2="00000000" w:usb3="00000000" w:csb0="00000000" w:csb1="00000000"/>
  </w:font>
  <w:font w:name="Yu Gothic">
    <w:panose1 w:val="020B0400000000000000"/>
    <w:charset w:val="80"/>
    <w:family w:val="auto"/>
    <w:pitch w:val="default"/>
    <w:sig w:usb0="E00002FF" w:usb1="2AC7FDFF" w:usb2="00000016" w:usb3="00000000" w:csb0="2002009F" w:csb1="00000000"/>
  </w:font>
  <w:font w:name="OpenSymbol">
    <w:panose1 w:val="05010000000000000000"/>
    <w:charset w:val="00"/>
    <w:family w:val="auto"/>
    <w:pitch w:val="default"/>
    <w:sig w:usb0="800000AF" w:usb1="1001ECEA" w:usb2="00000000" w:usb3="00000000" w:csb0="00000001" w:csb1="00000000"/>
  </w:font>
  <w:font w:name="Arial Narrow">
    <w:altName w:val="Arial"/>
    <w:panose1 w:val="020B0606020202030204"/>
    <w:charset w:val="00"/>
    <w:family w:val="swiss"/>
    <w:pitch w:val="default"/>
    <w:sig w:usb0="00000000" w:usb1="00000000" w:usb2="00000000" w:usb3="00000000" w:csb0="0000009F" w:csb1="0000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Liberation Mono"/>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panose1 w:val="02020603050405020304"/>
    <w:charset w:val="01"/>
    <w:family w:val="roman"/>
    <w:pitch w:val="default"/>
    <w:sig w:usb0="E0000AFF" w:usb1="500078FF" w:usb2="00000021" w:usb3="00000000" w:csb0="600001BF" w:csb1="DFF70000"/>
  </w:font>
  <w:font w:name="NSimSun">
    <w:panose1 w:val="02010609030101010101"/>
    <w:charset w:val="86"/>
    <w:family w:val="modern"/>
    <w:pitch w:val="default"/>
    <w:sig w:usb0="00000203" w:usb1="288F0000" w:usb2="00000006" w:usb3="00000000" w:csb0="00040001" w:csb1="00000000"/>
  </w:font>
  <w:font w:name="Lucida Sans">
    <w:altName w:val="Lucida Sans Unicode"/>
    <w:panose1 w:val="020B0602030504020204"/>
    <w:charset w:val="00"/>
    <w:family w:val="swiss"/>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Fonts w:ascii="Times New Roman" w:hAnsi="Times New Roman" w:cs="Times New Roman"/>
      </w:rPr>
    </w:pPr>
    <w:r>
      <w:rPr>
        <w:rFonts w:ascii="Times New Roman" w:hAnsi="Times New Roman" w:cs="Times New Roman"/>
      </w:rPr>
      <w:t>____________________________________________________________________</w:t>
    </w:r>
  </w:p>
  <w:p>
    <w:pPr>
      <w:pStyle w:val="33"/>
      <w:rPr>
        <w:rFonts w:cs="Arial"/>
        <w:sz w:val="14"/>
        <w:szCs w:val="14"/>
      </w:rPr>
    </w:pPr>
    <w:r>
      <w:rPr>
        <w:rFonts w:cs="Arial"/>
        <w:sz w:val="14"/>
        <w:szCs w:val="14"/>
      </w:rPr>
      <w:t>Câmara Nacional de Modelos de Licitações e Contratos da Consultoria-Geral da União</w:t>
    </w:r>
  </w:p>
  <w:p>
    <w:pPr>
      <w:pStyle w:val="33"/>
      <w:rPr>
        <w:rFonts w:cs="Arial"/>
        <w:sz w:val="14"/>
        <w:szCs w:val="14"/>
      </w:rPr>
    </w:pPr>
    <w:r>
      <w:rPr>
        <w:rFonts w:cs="Arial"/>
        <w:sz w:val="14"/>
        <w:szCs w:val="14"/>
      </w:rPr>
      <w:t>Atualização: fevereiro/2023</w:t>
    </w:r>
  </w:p>
  <w:p>
    <w:pPr>
      <w:pStyle w:val="33"/>
      <w:rPr>
        <w:rFonts w:cs="Arial"/>
        <w:sz w:val="14"/>
        <w:szCs w:val="14"/>
      </w:rPr>
    </w:pPr>
    <w:r>
      <w:rPr>
        <w:rFonts w:cs="Arial"/>
        <w:sz w:val="14"/>
        <w:szCs w:val="14"/>
      </w:rPr>
      <w:t>Termo de contrato modelo para Pregão Eletrônico - Serviços</w:t>
    </w:r>
    <w:r>
      <w:rPr>
        <w:sz w:val="14"/>
        <w:szCs w:val="14"/>
      </w:rPr>
      <w:t xml:space="preserve"> </w:t>
    </w:r>
    <w:r>
      <w:rPr>
        <w:rFonts w:cs="Arial"/>
        <w:sz w:val="14"/>
        <w:szCs w:val="14"/>
      </w:rPr>
      <w:t>contínuos com regime de dedicação exclusiva de mão de obra - Lei nº 14.133, de 2021.</w:t>
    </w:r>
  </w:p>
  <w:p>
    <w:pPr>
      <w:pStyle w:val="33"/>
      <w:rPr>
        <w:rFonts w:cs="Arial"/>
        <w:sz w:val="14"/>
        <w:szCs w:val="14"/>
      </w:rPr>
    </w:pPr>
    <w:r>
      <w:rPr>
        <w:rFonts w:cs="Arial"/>
        <w:sz w:val="14"/>
        <w:szCs w:val="14"/>
      </w:rPr>
      <w:t>Revisado pela Secretaria de Gestão e Inovação.</w:t>
    </w:r>
  </w:p>
  <w:p>
    <w:pPr>
      <w:pStyle w:val="33"/>
      <w:tabs>
        <w:tab w:val="right" w:pos="9639"/>
        <w:tab w:val="clear" w:pos="8504"/>
      </w:tabs>
      <w:rPr>
        <w:i/>
      </w:rPr>
    </w:pPr>
    <w:r>
      <w:rPr>
        <w:rFonts w:cs="Arial"/>
        <w:sz w:val="14"/>
        <w:szCs w:val="14"/>
      </w:rPr>
      <w:t>Identidade visual pela Secretaria de Gestão e Inovação</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pPr>
      <w:pStyle w:val="31"/>
      <w:jc w:val="right"/>
      <w:rPr>
        <w:rFonts w:ascii="Verdana" w:hAnsi="Verdana"/>
        <w:sz w:val="16"/>
        <w:szCs w:val="16"/>
      </w:rPr>
    </w:pPr>
  </w:p>
  <w:p>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3">
    <w:nsid w:val="0F6B410B"/>
    <w:multiLevelType w:val="multilevel"/>
    <w:tmpl w:val="0F6B410B"/>
    <w:lvl w:ilvl="0" w:tentative="0">
      <w:start w:val="8"/>
      <w:numFmt w:val="decimal"/>
      <w:lvlText w:val="%1."/>
      <w:lvlJc w:val="left"/>
      <w:pPr>
        <w:ind w:left="720" w:hanging="360"/>
      </w:pPr>
      <w:rPr>
        <w:rFonts w:hint="default" w:eastAsiaTheme="majorEastAsia"/>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13BE1A73"/>
    <w:multiLevelType w:val="multilevel"/>
    <w:tmpl w:val="13BE1A73"/>
    <w:lvl w:ilvl="0" w:tentative="0">
      <w:start w:val="8"/>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5">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7">
    <w:nsid w:val="2928118C"/>
    <w:multiLevelType w:val="multilevel"/>
    <w:tmpl w:val="2928118C"/>
    <w:lvl w:ilvl="0" w:tentative="0">
      <w:start w:val="13"/>
      <w:numFmt w:val="decimal"/>
      <w:lvlText w:val="%1"/>
      <w:lvlJc w:val="left"/>
      <w:pPr>
        <w:ind w:left="560" w:hanging="560"/>
      </w:pPr>
      <w:rPr>
        <w:rFonts w:hint="default"/>
      </w:rPr>
    </w:lvl>
    <w:lvl w:ilvl="1" w:tentative="0">
      <w:start w:val="2"/>
      <w:numFmt w:val="decimal"/>
      <w:lvlText w:val="%1.%2"/>
      <w:lvlJc w:val="left"/>
      <w:pPr>
        <w:ind w:left="914" w:hanging="56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8">
    <w:nsid w:val="29542377"/>
    <w:multiLevelType w:val="multilevel"/>
    <w:tmpl w:val="29542377"/>
    <w:lvl w:ilvl="0" w:tentative="0">
      <w:start w:val="13"/>
      <w:numFmt w:val="decimal"/>
      <w:lvlText w:val="%1"/>
      <w:lvlJc w:val="left"/>
      <w:pPr>
        <w:ind w:left="670" w:hanging="670"/>
      </w:pPr>
      <w:rPr>
        <w:rFonts w:hint="default"/>
      </w:rPr>
    </w:lvl>
    <w:lvl w:ilvl="1" w:tentative="0">
      <w:start w:val="11"/>
      <w:numFmt w:val="decimal"/>
      <w:lvlText w:val="%1.%2"/>
      <w:lvlJc w:val="left"/>
      <w:pPr>
        <w:ind w:left="1024" w:hanging="67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9">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10">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11">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12">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3">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5">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6">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7">
    <w:nsid w:val="669A6A26"/>
    <w:multiLevelType w:val="multilevel"/>
    <w:tmpl w:val="669A6A26"/>
    <w:lvl w:ilvl="0" w:tentative="0">
      <w:start w:val="4"/>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8">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9">
    <w:nsid w:val="788565F1"/>
    <w:multiLevelType w:val="multilevel"/>
    <w:tmpl w:val="788565F1"/>
    <w:lvl w:ilvl="0" w:tentative="0">
      <w:start w:val="2"/>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0">
    <w:nsid w:val="7CA9412C"/>
    <w:multiLevelType w:val="multilevel"/>
    <w:tmpl w:val="7CA9412C"/>
    <w:lvl w:ilvl="0" w:tentative="0">
      <w:start w:val="9"/>
      <w:numFmt w:val="decimal"/>
      <w:lvlText w:val="%1."/>
      <w:lvlJc w:val="left"/>
      <w:pPr>
        <w:ind w:left="360" w:hanging="360"/>
      </w:pPr>
      <w:rPr>
        <w:rFonts w:hint="default"/>
      </w:rPr>
    </w:lvl>
    <w:lvl w:ilvl="1" w:tentative="0">
      <w:start w:val="1"/>
      <w:numFmt w:val="decimal"/>
      <w:lvlText w:val="%1.%2."/>
      <w:lvlJc w:val="left"/>
      <w:pPr>
        <w:ind w:left="786" w:hanging="360"/>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636" w:hanging="108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4848" w:hanging="1440"/>
      </w:pPr>
      <w:rPr>
        <w:rFonts w:hint="default"/>
      </w:rPr>
    </w:lvl>
  </w:abstractNum>
  <w:abstractNum w:abstractNumId="21">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10"/>
  </w:num>
  <w:num w:numId="2">
    <w:abstractNumId w:val="14"/>
  </w:num>
  <w:num w:numId="3">
    <w:abstractNumId w:val="15"/>
  </w:num>
  <w:num w:numId="4">
    <w:abstractNumId w:val="16"/>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6"/>
  </w:num>
  <w:num w:numId="8">
    <w:abstractNumId w:val="5"/>
  </w:num>
  <w:num w:numId="9">
    <w:abstractNumId w:val="19"/>
  </w:num>
  <w:num w:numId="10">
    <w:abstractNumId w:val="18"/>
  </w:num>
  <w:num w:numId="11">
    <w:abstractNumId w:val="11"/>
  </w:num>
  <w:num w:numId="12">
    <w:abstractNumId w:val="17"/>
  </w:num>
  <w:num w:numId="13">
    <w:abstractNumId w:val="2"/>
  </w:num>
  <w:num w:numId="14">
    <w:abstractNumId w:val="3"/>
  </w:num>
  <w:num w:numId="15">
    <w:abstractNumId w:val="4"/>
  </w:num>
  <w:num w:numId="16">
    <w:abstractNumId w:val="20"/>
  </w:num>
  <w:num w:numId="17">
    <w:abstractNumId w:val="21"/>
  </w:num>
  <w:num w:numId="18">
    <w:abstractNumId w:val="12"/>
  </w:num>
  <w:num w:numId="19">
    <w:abstractNumId w:val="0"/>
  </w:num>
  <w:num w:numId="20">
    <w:abstractNumId w:val="7"/>
  </w:num>
  <w:num w:numId="21">
    <w:abstractNumId w:val="8"/>
  </w:num>
  <w:num w:numId="22">
    <w:abstractNumId w:val="1"/>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36A98"/>
    <w:rsid w:val="00040D39"/>
    <w:rsid w:val="000425AB"/>
    <w:rsid w:val="00054A82"/>
    <w:rsid w:val="00064935"/>
    <w:rsid w:val="00073A80"/>
    <w:rsid w:val="00074805"/>
    <w:rsid w:val="00081034"/>
    <w:rsid w:val="000814C9"/>
    <w:rsid w:val="000815B6"/>
    <w:rsid w:val="000A570B"/>
    <w:rsid w:val="000A58EF"/>
    <w:rsid w:val="000A5C63"/>
    <w:rsid w:val="000A62C8"/>
    <w:rsid w:val="000B5CD5"/>
    <w:rsid w:val="000D0B49"/>
    <w:rsid w:val="000D13E3"/>
    <w:rsid w:val="000D1838"/>
    <w:rsid w:val="000D62E0"/>
    <w:rsid w:val="000E0BB9"/>
    <w:rsid w:val="000F0145"/>
    <w:rsid w:val="0010119F"/>
    <w:rsid w:val="00104571"/>
    <w:rsid w:val="00122A72"/>
    <w:rsid w:val="00123A6B"/>
    <w:rsid w:val="00131CC6"/>
    <w:rsid w:val="00135BEF"/>
    <w:rsid w:val="0014109B"/>
    <w:rsid w:val="001571D0"/>
    <w:rsid w:val="001618FF"/>
    <w:rsid w:val="00163819"/>
    <w:rsid w:val="0018615A"/>
    <w:rsid w:val="001877DC"/>
    <w:rsid w:val="00191B50"/>
    <w:rsid w:val="00194CFD"/>
    <w:rsid w:val="00195787"/>
    <w:rsid w:val="001A27F4"/>
    <w:rsid w:val="001A6554"/>
    <w:rsid w:val="001B270E"/>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804AE"/>
    <w:rsid w:val="00394D5F"/>
    <w:rsid w:val="003A2662"/>
    <w:rsid w:val="003A4456"/>
    <w:rsid w:val="003A5295"/>
    <w:rsid w:val="003B11E3"/>
    <w:rsid w:val="003B787E"/>
    <w:rsid w:val="003C658B"/>
    <w:rsid w:val="003D2CA2"/>
    <w:rsid w:val="003D4A95"/>
    <w:rsid w:val="003D5227"/>
    <w:rsid w:val="003E3B40"/>
    <w:rsid w:val="003E4D83"/>
    <w:rsid w:val="003F1825"/>
    <w:rsid w:val="003F4DBD"/>
    <w:rsid w:val="003F500E"/>
    <w:rsid w:val="00403A10"/>
    <w:rsid w:val="004063C2"/>
    <w:rsid w:val="00414A38"/>
    <w:rsid w:val="00416633"/>
    <w:rsid w:val="004174E3"/>
    <w:rsid w:val="00422FE7"/>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3758"/>
    <w:rsid w:val="00561155"/>
    <w:rsid w:val="005807EC"/>
    <w:rsid w:val="0058089D"/>
    <w:rsid w:val="005853CE"/>
    <w:rsid w:val="005A0B33"/>
    <w:rsid w:val="005A0C7A"/>
    <w:rsid w:val="005A51E8"/>
    <w:rsid w:val="005A665B"/>
    <w:rsid w:val="005B345F"/>
    <w:rsid w:val="005B3CB4"/>
    <w:rsid w:val="005C41B6"/>
    <w:rsid w:val="005D7737"/>
    <w:rsid w:val="005E6819"/>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5924"/>
    <w:rsid w:val="00667772"/>
    <w:rsid w:val="006723C3"/>
    <w:rsid w:val="006757D3"/>
    <w:rsid w:val="006809A7"/>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540D8"/>
    <w:rsid w:val="008566DD"/>
    <w:rsid w:val="00892576"/>
    <w:rsid w:val="0089665C"/>
    <w:rsid w:val="008B0E2B"/>
    <w:rsid w:val="008C23FF"/>
    <w:rsid w:val="008C54E4"/>
    <w:rsid w:val="008C63D1"/>
    <w:rsid w:val="008C6744"/>
    <w:rsid w:val="008D05AA"/>
    <w:rsid w:val="008D0EDF"/>
    <w:rsid w:val="008D2CD5"/>
    <w:rsid w:val="008E166E"/>
    <w:rsid w:val="008F3BD8"/>
    <w:rsid w:val="0090037C"/>
    <w:rsid w:val="00912689"/>
    <w:rsid w:val="009271C3"/>
    <w:rsid w:val="009350A3"/>
    <w:rsid w:val="00937A6A"/>
    <w:rsid w:val="00940753"/>
    <w:rsid w:val="00946A34"/>
    <w:rsid w:val="009502A0"/>
    <w:rsid w:val="00951247"/>
    <w:rsid w:val="00973203"/>
    <w:rsid w:val="009937E6"/>
    <w:rsid w:val="009A4E8F"/>
    <w:rsid w:val="009A60CB"/>
    <w:rsid w:val="009C1A02"/>
    <w:rsid w:val="009E113C"/>
    <w:rsid w:val="009F2EB2"/>
    <w:rsid w:val="00A05241"/>
    <w:rsid w:val="00A21E8F"/>
    <w:rsid w:val="00A23D08"/>
    <w:rsid w:val="00A30A28"/>
    <w:rsid w:val="00A33729"/>
    <w:rsid w:val="00A45504"/>
    <w:rsid w:val="00A54D43"/>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5476"/>
    <w:rsid w:val="00B17DC6"/>
    <w:rsid w:val="00B5046D"/>
    <w:rsid w:val="00B525B8"/>
    <w:rsid w:val="00B54C7E"/>
    <w:rsid w:val="00B558E1"/>
    <w:rsid w:val="00B66F19"/>
    <w:rsid w:val="00B67441"/>
    <w:rsid w:val="00B72EE9"/>
    <w:rsid w:val="00B77077"/>
    <w:rsid w:val="00B82EC1"/>
    <w:rsid w:val="00B8510A"/>
    <w:rsid w:val="00B85C8F"/>
    <w:rsid w:val="00B90BA6"/>
    <w:rsid w:val="00B94120"/>
    <w:rsid w:val="00B9643D"/>
    <w:rsid w:val="00BB0870"/>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3DD4"/>
    <w:rsid w:val="00C754FF"/>
    <w:rsid w:val="00C7600F"/>
    <w:rsid w:val="00C804D0"/>
    <w:rsid w:val="00C9098A"/>
    <w:rsid w:val="00CA1C08"/>
    <w:rsid w:val="00CA7862"/>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31561"/>
    <w:rsid w:val="00E43629"/>
    <w:rsid w:val="00E44B0C"/>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5608"/>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C1C20"/>
    <w:rsid w:val="00FC2D21"/>
    <w:rsid w:val="00FC4618"/>
    <w:rsid w:val="00FD242D"/>
    <w:rsid w:val="00FE7935"/>
    <w:rsid w:val="00FF6C7B"/>
    <w:rsid w:val="3FF11440"/>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uiPriority="39" w:semiHidden="0" w:name="Table Grid"/>
    <w:lsdException w:uiPriority="0" w:name="Table Theme"/>
    <w:lsdException w:unhideWhenUsed="0" w:uiPriority="67" w:name="Placeholder Text"/>
    <w:lsdException w:qFormat="1" w:unhideWhenUsed="0" w:uiPriority="1"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next w:val="24"/>
    <w:link w:val="59"/>
    <w:semiHidden/>
    <w:unhideWhenUsed/>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next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uiPriority w:val="0"/>
  </w:style>
  <w:style w:type="character" w:customStyle="1" w:styleId="67">
    <w:name w:val="ListLabel 2"/>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uiPriority w:val="0"/>
    <w:rPr>
      <w:color w:val="0000FF"/>
    </w:rPr>
  </w:style>
  <w:style w:type="character" w:customStyle="1" w:styleId="70">
    <w:name w:val="ListLabel 5"/>
    <w:uiPriority w:val="0"/>
  </w:style>
  <w:style w:type="character" w:customStyle="1" w:styleId="71">
    <w:name w:val="ListLabel 6"/>
    <w:uiPriority w:val="0"/>
    <w:rPr>
      <w:b/>
    </w:rPr>
  </w:style>
  <w:style w:type="character" w:customStyle="1" w:styleId="72">
    <w:name w:val="ListLabel 7"/>
    <w:uiPriority w:val="0"/>
    <w:rPr>
      <w:b/>
      <w:color w:val="00000A"/>
    </w:rPr>
  </w:style>
  <w:style w:type="character" w:customStyle="1" w:styleId="73">
    <w:name w:val="ListLabel 8"/>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1"/>
    <w:pPr>
      <w:ind w:left="720"/>
      <w:contextualSpacing/>
    </w:pPr>
  </w:style>
  <w:style w:type="character" w:customStyle="1" w:styleId="79">
    <w:name w:val="Parágrafo da Lista Char"/>
    <w:link w:val="78"/>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qFormat/>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qFormat/>
    <w:uiPriority w:val="0"/>
  </w:style>
  <w:style w:type="character" w:customStyle="1" w:styleId="258">
    <w:name w:val="WW8Num27z6"/>
    <w:uiPriority w:val="0"/>
  </w:style>
  <w:style w:type="character" w:customStyle="1" w:styleId="259">
    <w:name w:val="WW8Num27z7"/>
    <w:qFormat/>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qFormat/>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qFormat/>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 w:type="table" w:customStyle="1" w:styleId="541">
    <w:name w:val="Grid Table 3 Accent 1"/>
    <w:basedOn w:val="12"/>
    <w:uiPriority w:val="48"/>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BE5F1" w:themeFill="accent1" w:themeFillTint="33"/>
      </w:tcPr>
    </w:tblStylePr>
    <w:tblStylePr w:type="band1Horz">
      <w:tcPr>
        <w:shd w:val="clear" w:color="auto" w:fill="DBE5F1" w:themeFill="accent1" w:themeFillTint="33"/>
      </w:tcPr>
    </w:tblStylePr>
    <w:tblStylePr w:type="neCell">
      <w:tcPr>
        <w:tcBorders>
          <w:bottom w:val="single" w:color="95B3D7" w:themeColor="accent1" w:themeTint="99" w:sz="4" w:space="0"/>
        </w:tcBorders>
      </w:tcPr>
    </w:tblStylePr>
    <w:tblStylePr w:type="nwCell">
      <w:tcPr>
        <w:tcBorders>
          <w:bottom w:val="single" w:color="95B3D7" w:themeColor="accent1" w:themeTint="99" w:sz="4" w:space="0"/>
        </w:tcBorders>
      </w:tcPr>
    </w:tblStylePr>
    <w:tblStylePr w:type="seCell">
      <w:tcPr>
        <w:tcBorders>
          <w:top w:val="single" w:color="95B3D7" w:themeColor="accent1" w:themeTint="99" w:sz="4" w:space="0"/>
        </w:tcBorders>
      </w:tcPr>
    </w:tblStylePr>
    <w:tblStylePr w:type="swCell">
      <w:tcPr>
        <w:tcBorders>
          <w:top w:val="single" w:color="95B3D7" w:themeColor="accent1"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Pages>
  <Words>5739</Words>
  <Characters>30991</Characters>
  <Lines>258</Lines>
  <Paragraphs>73</Paragraphs>
  <TotalTime>7</TotalTime>
  <ScaleCrop>false</ScaleCrop>
  <LinksUpToDate>false</LinksUpToDate>
  <CharactersWithSpaces>36657</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2023-05-29T01:18:00Z</dcterms:created>
  <dc:creator>Adriano</dc:creator>
  <cp:lastModifiedBy>Larissa Carvalho</cp:lastModifiedBy>
  <cp:lastPrinted>2023-06-29T18:12:00Z</cp:lastPrinted>
  <dcterms:modified xsi:type="dcterms:W3CDTF">2023-08-02T14:00:44Z</dcterms:modified>
  <dc:title>NOTAS EXPLICATIVAS</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1046-11.2.0.11537</vt:lpwstr>
  </property>
  <property fmtid="{D5CDD505-2E9C-101B-9397-08002B2CF9AE}" pid="3" name="ICV">
    <vt:lpwstr>1B9F31AF26FA40B08DB4D60C299F4446</vt:lpwstr>
  </property>
</Properties>
</file>