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22B" w:rsidRDefault="000804E9">
      <w:pPr>
        <w:spacing w:before="1"/>
        <w:rPr>
          <w:rFonts w:ascii="Arial" w:eastAsia="Arial" w:hAnsi="Arial" w:cs="Arial"/>
          <w:color w:val="000000"/>
          <w:sz w:val="12"/>
          <w:szCs w:val="12"/>
          <w:lang w:val="pt-BR"/>
        </w:rPr>
      </w:pPr>
      <w:r>
        <w:rPr>
          <w:rFonts w:ascii="Arial" w:eastAsia="Arial" w:hAnsi="Arial" w:cs="Arial"/>
          <w:color w:val="000000"/>
          <w:sz w:val="12"/>
          <w:szCs w:val="12"/>
          <w:lang w:val="pt-BR"/>
        </w:rPr>
        <w:t xml:space="preserve">                                                                                                                                          </w:t>
      </w:r>
      <w:r>
        <w:rPr>
          <w:noProof/>
          <w:color w:val="000000"/>
          <w:sz w:val="18"/>
          <w:szCs w:val="18"/>
          <w:lang w:val="pt-BR"/>
        </w:rPr>
        <w:drawing>
          <wp:inline distT="0" distB="0" distL="0" distR="0">
            <wp:extent cx="641350" cy="621030"/>
            <wp:effectExtent l="0" t="0" r="0" b="0"/>
            <wp:docPr id="44" name="image1.png" descr="https://lh5.googleusercontent.com/53M8QQDJS_4IlhGprs3cWeym2msiXdlspwrDyrNaVfDBNK0D0s94TPFPgYVAhZ2KvwOcGtc8KZlPSHdKpmXeVDGQD1Ja-VAzff5hkYae74mlUMELc5iy0zFgmNfl3DT4-uwE0P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 descr="https://lh5.googleusercontent.com/53M8QQDJS_4IlhGprs3cWeym2msiXdlspwrDyrNaVfDBNK0D0s94TPFPgYVAhZ2KvwOcGtc8KZlPSHdKpmXeVDGQD1Ja-VAzff5hkYae74mlUMELc5iy0zFgmNfl3DT4-uwE0PM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135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22B" w:rsidRDefault="00B9722B">
      <w:pPr>
        <w:spacing w:before="1"/>
        <w:rPr>
          <w:rFonts w:ascii="Arial" w:eastAsia="Arial" w:hAnsi="Arial" w:cs="Arial"/>
          <w:color w:val="000000"/>
          <w:sz w:val="12"/>
          <w:szCs w:val="12"/>
          <w:lang w:val="pt-BR"/>
        </w:rPr>
      </w:pPr>
    </w:p>
    <w:p w:rsidR="00B9722B" w:rsidRDefault="00B9722B">
      <w:pPr>
        <w:spacing w:before="1"/>
        <w:rPr>
          <w:rFonts w:ascii="Arial" w:eastAsia="Arial" w:hAnsi="Arial" w:cs="Arial"/>
          <w:color w:val="000000"/>
          <w:sz w:val="12"/>
          <w:szCs w:val="12"/>
          <w:lang w:val="pt-BR"/>
        </w:rPr>
      </w:pPr>
    </w:p>
    <w:p w:rsidR="00B9722B" w:rsidRDefault="00B9722B">
      <w:pPr>
        <w:spacing w:before="1"/>
        <w:rPr>
          <w:rFonts w:ascii="Arial" w:eastAsia="Arial" w:hAnsi="Arial" w:cs="Arial"/>
          <w:color w:val="000000"/>
          <w:sz w:val="12"/>
          <w:szCs w:val="12"/>
          <w:lang w:val="pt-BR"/>
        </w:rPr>
      </w:pPr>
    </w:p>
    <w:p w:rsidR="00B9722B" w:rsidRDefault="000804E9">
      <w:pPr>
        <w:widowControl/>
        <w:jc w:val="center"/>
        <w:rPr>
          <w:rFonts w:ascii="Arial" w:eastAsia="Arial" w:hAnsi="Arial" w:cs="Arial"/>
          <w:color w:val="000000"/>
          <w:sz w:val="18"/>
          <w:szCs w:val="18"/>
          <w:lang w:val="pt-BR"/>
        </w:rPr>
      </w:pPr>
      <w:r>
        <w:rPr>
          <w:rFonts w:ascii="Arial" w:eastAsia="Arial" w:hAnsi="Arial" w:cs="Arial"/>
          <w:b/>
          <w:color w:val="000000"/>
          <w:sz w:val="18"/>
          <w:szCs w:val="18"/>
          <w:lang w:val="pt-BR"/>
        </w:rPr>
        <w:t>MINISTÉRIO DA EDUCAÇÃO</w:t>
      </w:r>
    </w:p>
    <w:p w:rsidR="00B9722B" w:rsidRDefault="000804E9">
      <w:pPr>
        <w:ind w:left="1288" w:firstLine="1288"/>
        <w:rPr>
          <w:rFonts w:ascii="Arial" w:eastAsia="Arial" w:hAnsi="Arial" w:cs="Arial"/>
          <w:b/>
          <w:color w:val="000000"/>
          <w:sz w:val="18"/>
          <w:szCs w:val="18"/>
          <w:lang w:val="pt-BR"/>
        </w:rPr>
      </w:pPr>
      <w:r>
        <w:rPr>
          <w:rFonts w:ascii="Arial" w:eastAsia="Arial" w:hAnsi="Arial" w:cs="Arial"/>
          <w:b/>
          <w:color w:val="000000"/>
          <w:sz w:val="18"/>
          <w:szCs w:val="18"/>
          <w:lang w:val="pt-BR"/>
        </w:rPr>
        <w:t xml:space="preserve">             UNIVERSIDADE FEDERAL FLUMINENSE</w:t>
      </w:r>
    </w:p>
    <w:p w:rsidR="00B9722B" w:rsidRDefault="000804E9">
      <w:pPr>
        <w:widowControl/>
        <w:jc w:val="center"/>
        <w:rPr>
          <w:rFonts w:ascii="Arial" w:eastAsia="Arial" w:hAnsi="Arial" w:cs="Arial"/>
          <w:color w:val="000000"/>
          <w:sz w:val="18"/>
          <w:szCs w:val="18"/>
          <w:lang w:val="pt-BR"/>
        </w:rPr>
      </w:pPr>
      <w:r>
        <w:rPr>
          <w:rFonts w:ascii="Arial" w:eastAsia="Arial" w:hAnsi="Arial" w:cs="Arial"/>
          <w:b/>
          <w:color w:val="000000"/>
          <w:sz w:val="18"/>
          <w:szCs w:val="18"/>
          <w:lang w:val="pt-BR"/>
        </w:rPr>
        <w:t>PRÓ-REITORIA DE ADMINISTRAÇÃO</w:t>
      </w:r>
    </w:p>
    <w:p w:rsidR="00B9722B" w:rsidRDefault="00B9722B">
      <w:pPr>
        <w:rPr>
          <w:rFonts w:ascii="Arial" w:eastAsia="Arial" w:hAnsi="Arial" w:cs="Arial"/>
          <w:sz w:val="18"/>
          <w:szCs w:val="18"/>
          <w:lang w:val="pt-BR"/>
        </w:rPr>
      </w:pPr>
    </w:p>
    <w:p w:rsidR="00B9722B" w:rsidRDefault="000804E9">
      <w:pPr>
        <w:widowControl/>
        <w:jc w:val="center"/>
        <w:rPr>
          <w:rFonts w:ascii="Arial" w:eastAsia="Arial" w:hAnsi="Arial" w:cs="Arial"/>
          <w:color w:val="000000" w:themeColor="text1"/>
          <w:sz w:val="18"/>
          <w:szCs w:val="18"/>
          <w:lang w:val="pt-BR"/>
        </w:rPr>
      </w:pPr>
      <w:r>
        <w:rPr>
          <w:rFonts w:ascii="Arial" w:eastAsia="Arial" w:hAnsi="Arial" w:cs="Arial"/>
          <w:b/>
          <w:color w:val="000000" w:themeColor="text1"/>
          <w:sz w:val="18"/>
          <w:szCs w:val="18"/>
          <w:lang w:val="pt-BR"/>
        </w:rPr>
        <w:t xml:space="preserve">ANEXO VI DO EDITAL DO PREGÃO ELETRÔNICO N.º </w:t>
      </w:r>
      <w:r>
        <w:rPr>
          <w:rFonts w:ascii="Arial" w:eastAsia="Arial" w:hAnsi="Arial" w:cs="Arial"/>
          <w:b/>
          <w:color w:val="000000" w:themeColor="text1"/>
          <w:sz w:val="18"/>
          <w:szCs w:val="18"/>
          <w:lang w:val="pt-BR"/>
        </w:rPr>
        <w:t>39/2022</w:t>
      </w:r>
      <w:r>
        <w:rPr>
          <w:rFonts w:ascii="Arial" w:eastAsia="Arial" w:hAnsi="Arial" w:cs="Arial"/>
          <w:b/>
          <w:color w:val="000000" w:themeColor="text1"/>
          <w:sz w:val="18"/>
          <w:szCs w:val="18"/>
          <w:lang w:val="pt-BR"/>
        </w:rPr>
        <w:t>/AD</w:t>
      </w:r>
    </w:p>
    <w:p w:rsidR="00B9722B" w:rsidRDefault="000804E9">
      <w:pPr>
        <w:spacing w:after="240"/>
        <w:jc w:val="center"/>
        <w:rPr>
          <w:rFonts w:ascii="Arial" w:eastAsia="Arial" w:hAnsi="Arial" w:cs="Arial"/>
          <w:b/>
          <w:color w:val="000000"/>
          <w:sz w:val="18"/>
          <w:szCs w:val="18"/>
          <w:lang w:val="pt-BR"/>
        </w:rPr>
      </w:pPr>
      <w:r>
        <w:rPr>
          <w:rFonts w:ascii="Arial" w:eastAsia="Arial" w:hAnsi="Arial" w:cs="Arial"/>
          <w:sz w:val="18"/>
          <w:szCs w:val="18"/>
          <w:lang w:val="pt-BR"/>
        </w:rPr>
        <w:br/>
      </w:r>
      <w:r>
        <w:rPr>
          <w:rFonts w:ascii="Arial" w:eastAsia="Arial" w:hAnsi="Arial" w:cs="Arial"/>
          <w:b/>
          <w:color w:val="000000"/>
          <w:sz w:val="18"/>
          <w:szCs w:val="18"/>
          <w:lang w:val="pt-BR"/>
        </w:rPr>
        <w:t> MINUTA ATA DE REGISTRO DE PREÇOS</w:t>
      </w:r>
    </w:p>
    <w:p w:rsidR="00B9722B" w:rsidRDefault="000804E9">
      <w:pPr>
        <w:widowControl/>
        <w:ind w:right="-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BR"/>
        </w:rPr>
      </w:pPr>
      <w:r>
        <w:rPr>
          <w:rFonts w:ascii="Verdana" w:eastAsia="Verdana" w:hAnsi="Verdana" w:cs="Verdana"/>
          <w:b/>
          <w:color w:val="000000"/>
          <w:sz w:val="20"/>
          <w:szCs w:val="20"/>
          <w:lang w:val="pt-BR"/>
        </w:rPr>
        <w:t>___________________________________________________________</w:t>
      </w:r>
    </w:p>
    <w:p w:rsidR="00B9722B" w:rsidRDefault="00B9722B">
      <w:pPr>
        <w:rPr>
          <w:b/>
          <w:color w:val="000000"/>
          <w:sz w:val="14"/>
          <w:szCs w:val="14"/>
          <w:lang w:val="pt-BR"/>
        </w:rPr>
      </w:pPr>
    </w:p>
    <w:p w:rsidR="00B9722B" w:rsidRDefault="00B9722B">
      <w:pPr>
        <w:spacing w:before="3"/>
        <w:rPr>
          <w:b/>
          <w:color w:val="000000"/>
          <w:sz w:val="17"/>
          <w:szCs w:val="17"/>
          <w:lang w:val="pt-BR"/>
        </w:rPr>
      </w:pPr>
    </w:p>
    <w:p w:rsidR="00B9722B" w:rsidRDefault="000804E9">
      <w:pPr>
        <w:ind w:left="703" w:right="555"/>
        <w:jc w:val="both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 xml:space="preserve">A  </w:t>
      </w:r>
      <w:r>
        <w:rPr>
          <w:b/>
          <w:sz w:val="18"/>
          <w:szCs w:val="18"/>
          <w:lang w:val="pt-BR"/>
        </w:rPr>
        <w:t>Pró-Reitoria de Administração da Universidade Federal Fluminense (PROAD/UFF),</w:t>
      </w:r>
      <w:r>
        <w:rPr>
          <w:sz w:val="18"/>
          <w:szCs w:val="18"/>
          <w:lang w:val="pt-BR"/>
        </w:rPr>
        <w:t xml:space="preserve"> inscrito no CNPJ/MF sob o nº. 28.523.215/0039-89, situada na Rua Miguel de Frias, 9, 1º andar, Icaraí, Niterói/RJ, CEP 24.220-900, neste ato representado pelo(a) Vera Lucia Lavrado Cupelo Cajazeiras, brasileiro(a), portador da Carteira de Identidade nº. 0</w:t>
      </w:r>
      <w:r>
        <w:rPr>
          <w:sz w:val="18"/>
          <w:szCs w:val="18"/>
          <w:lang w:val="pt-BR"/>
        </w:rPr>
        <w:t xml:space="preserve">4676009-6, emitida pelo Detran - RJ, CPF nº 716.286.817-72, considerando o julgamento da licitação na modalidade de pregão, na forma eletrônica, para REGISTRO DE PREÇOS nº </w:t>
      </w:r>
      <w:r>
        <w:rPr>
          <w:sz w:val="18"/>
          <w:szCs w:val="18"/>
          <w:lang w:val="pt-BR"/>
        </w:rPr>
        <w:t>39/2022</w:t>
      </w:r>
      <w:r>
        <w:rPr>
          <w:sz w:val="18"/>
          <w:szCs w:val="18"/>
          <w:lang w:val="pt-BR"/>
        </w:rPr>
        <w:t xml:space="preserve">, publicada no DOU de </w:t>
      </w:r>
      <w:r w:rsidR="0081540C">
        <w:rPr>
          <w:sz w:val="18"/>
          <w:szCs w:val="18"/>
          <w:lang w:val="pt-BR"/>
        </w:rPr>
        <w:t>05/04/2022,</w:t>
      </w:r>
      <w:bookmarkStart w:id="0" w:name="_GoBack"/>
      <w:bookmarkEnd w:id="0"/>
      <w:r>
        <w:rPr>
          <w:sz w:val="18"/>
          <w:szCs w:val="18"/>
          <w:lang w:val="pt-BR"/>
        </w:rPr>
        <w:t xml:space="preserve"> processo administrativo n.º 23069.</w:t>
      </w:r>
      <w:r>
        <w:rPr>
          <w:sz w:val="18"/>
          <w:szCs w:val="18"/>
          <w:lang w:val="pt-BR"/>
        </w:rPr>
        <w:t>151880/2022-14, RESOLVE registrar os preços da(s)  empresa(s) indicada(s) e qualificada(s) nesta ATA, de acordo com a classificação por ela(s) alcançada(s) e na(s)  quantidade(s)  cotada(s), atendendo as condições previstas no edital, sujeitando-se as part</w:t>
      </w:r>
      <w:r>
        <w:rPr>
          <w:sz w:val="18"/>
          <w:szCs w:val="18"/>
          <w:lang w:val="pt-BR"/>
        </w:rPr>
        <w:t>es às normas constantes na Lei nº 8.666, de 21 de junho de 1993 e suas alterações, no Decreto n.º 7.892, de 23 de janeiro de 2013, e em conformidade com as disposições a seguir:</w:t>
      </w:r>
    </w:p>
    <w:p w:rsidR="00B9722B" w:rsidRDefault="00B9722B">
      <w:pPr>
        <w:rPr>
          <w:color w:val="000000"/>
          <w:sz w:val="14"/>
          <w:szCs w:val="14"/>
          <w:lang w:val="pt-BR"/>
        </w:rPr>
      </w:pPr>
    </w:p>
    <w:p w:rsidR="00B9722B" w:rsidRDefault="00B9722B">
      <w:pPr>
        <w:spacing w:before="11"/>
        <w:rPr>
          <w:color w:val="000000"/>
          <w:sz w:val="10"/>
          <w:szCs w:val="10"/>
          <w:lang w:val="pt-BR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1"/>
        <w:ind w:hanging="845"/>
        <w:jc w:val="both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DO OBJETO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A presente Ata tem por objeto o registro de preços para a eventual</w:t>
      </w:r>
      <w:r>
        <w:rPr>
          <w:color w:val="000000"/>
          <w:sz w:val="18"/>
          <w:szCs w:val="18"/>
          <w:lang w:val="pt-BR"/>
        </w:rPr>
        <w:t xml:space="preserve"> locação de caçambas para retirada de resíduos  e limpeza de fossas, especiﬁcado(s) no(s) item(ns) do Termo de Referência e Planilha de Itens, Anexos II do edital de Pregão nº</w:t>
      </w:r>
      <w:r>
        <w:rPr>
          <w:color w:val="000000" w:themeColor="text1"/>
          <w:sz w:val="18"/>
          <w:szCs w:val="18"/>
          <w:lang w:val="pt-BR"/>
        </w:rPr>
        <w:t xml:space="preserve"> </w:t>
      </w:r>
      <w:r>
        <w:rPr>
          <w:color w:val="000000" w:themeColor="text1"/>
          <w:sz w:val="18"/>
          <w:szCs w:val="18"/>
          <w:lang w:val="pt-BR"/>
        </w:rPr>
        <w:t>39/2022</w:t>
      </w:r>
      <w:r>
        <w:rPr>
          <w:color w:val="000000"/>
          <w:sz w:val="18"/>
          <w:szCs w:val="18"/>
          <w:lang w:val="pt-BR"/>
        </w:rPr>
        <w:t xml:space="preserve">, que é parte integrante desta Ata, assim como a proposta vencedora, </w:t>
      </w:r>
      <w:r>
        <w:rPr>
          <w:color w:val="000000"/>
          <w:sz w:val="18"/>
          <w:szCs w:val="18"/>
          <w:lang w:val="pt-BR"/>
        </w:rPr>
        <w:t>independentemente de transcrição.</w:t>
      </w:r>
    </w:p>
    <w:p w:rsidR="00B9722B" w:rsidRDefault="00B9722B">
      <w:pPr>
        <w:tabs>
          <w:tab w:val="left" w:pos="1547"/>
          <w:tab w:val="left" w:pos="1548"/>
        </w:tabs>
        <w:spacing w:before="70"/>
        <w:ind w:left="703" w:right="556"/>
        <w:jc w:val="both"/>
        <w:rPr>
          <w:color w:val="000000"/>
          <w:sz w:val="18"/>
          <w:szCs w:val="18"/>
          <w:lang w:val="pt-BR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1"/>
        <w:ind w:hanging="845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DOS PREÇOS, ESPECIFICAÇÕES E QUANTITATIVOS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preço registrado, as especi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cações do objeto, a quantidade, fornecedor(es) e as demais condições ofertadas na(s) proposta(s) são as que seguem:</w:t>
      </w:r>
    </w:p>
    <w:tbl>
      <w:tblPr>
        <w:tblStyle w:val="Style26"/>
        <w:tblW w:w="10685" w:type="dxa"/>
        <w:tblInd w:w="0" w:type="dxa"/>
        <w:tblBorders>
          <w:top w:val="single" w:sz="8" w:space="0" w:color="2B2B2B"/>
          <w:left w:val="single" w:sz="8" w:space="0" w:color="2B2B2B"/>
          <w:bottom w:val="single" w:sz="8" w:space="0" w:color="2B2B2B"/>
          <w:right w:val="single" w:sz="8" w:space="0" w:color="2B2B2B"/>
          <w:insideH w:val="single" w:sz="8" w:space="0" w:color="2B2B2B"/>
          <w:insideV w:val="single" w:sz="8" w:space="0" w:color="2B2B2B"/>
        </w:tblBorders>
        <w:tblLayout w:type="fixed"/>
        <w:tblLook w:val="04A0" w:firstRow="1" w:lastRow="0" w:firstColumn="1" w:lastColumn="0" w:noHBand="0" w:noVBand="1"/>
      </w:tblPr>
      <w:tblGrid>
        <w:gridCol w:w="365"/>
        <w:gridCol w:w="50"/>
        <w:gridCol w:w="1721"/>
        <w:gridCol w:w="1068"/>
        <w:gridCol w:w="665"/>
        <w:gridCol w:w="404"/>
        <w:gridCol w:w="968"/>
        <w:gridCol w:w="101"/>
        <w:gridCol w:w="819"/>
        <w:gridCol w:w="249"/>
        <w:gridCol w:w="350"/>
        <w:gridCol w:w="719"/>
        <w:gridCol w:w="103"/>
        <w:gridCol w:w="617"/>
        <w:gridCol w:w="348"/>
        <w:gridCol w:w="439"/>
        <w:gridCol w:w="630"/>
        <w:gridCol w:w="23"/>
        <w:gridCol w:w="1046"/>
      </w:tblGrid>
      <w:tr w:rsidR="00B9722B">
        <w:trPr>
          <w:trHeight w:val="480"/>
        </w:trPr>
        <w:tc>
          <w:tcPr>
            <w:tcW w:w="366" w:type="dxa"/>
          </w:tcPr>
          <w:p w:rsidR="00B9722B" w:rsidRDefault="00B9722B">
            <w:pPr>
              <w:spacing w:before="2"/>
              <w:rPr>
                <w:color w:val="000000"/>
                <w:sz w:val="14"/>
                <w:szCs w:val="14"/>
                <w:lang w:val="pt-BR"/>
              </w:rPr>
            </w:pPr>
          </w:p>
          <w:p w:rsidR="00B9722B" w:rsidRDefault="000804E9">
            <w:pPr>
              <w:ind w:left="45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ITEM</w:t>
            </w:r>
          </w:p>
        </w:tc>
        <w:tc>
          <w:tcPr>
            <w:tcW w:w="3504" w:type="dxa"/>
            <w:gridSpan w:val="4"/>
          </w:tcPr>
          <w:p w:rsidR="00B9722B" w:rsidRDefault="00B9722B">
            <w:pPr>
              <w:spacing w:before="2"/>
              <w:rPr>
                <w:color w:val="000000"/>
                <w:sz w:val="14"/>
                <w:szCs w:val="14"/>
              </w:rPr>
            </w:pPr>
          </w:p>
          <w:p w:rsidR="00B9722B" w:rsidRDefault="000804E9">
            <w:pPr>
              <w:ind w:left="1365" w:right="1348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DESCRIÇÃO CATMAT</w:t>
            </w:r>
          </w:p>
        </w:tc>
        <w:tc>
          <w:tcPr>
            <w:tcW w:w="1372" w:type="dxa"/>
            <w:gridSpan w:val="2"/>
          </w:tcPr>
          <w:p w:rsidR="00B9722B" w:rsidRDefault="000804E9">
            <w:pPr>
              <w:spacing w:before="80" w:line="242" w:lineRule="auto"/>
              <w:ind w:left="46" w:right="3" w:firstLine="153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DESCRIÇÃ</w:t>
            </w:r>
            <w:r>
              <w:rPr>
                <w:color w:val="000000"/>
                <w:sz w:val="14"/>
                <w:szCs w:val="14"/>
              </w:rPr>
              <w:t>O COMPLEMENTAR</w:t>
            </w:r>
          </w:p>
        </w:tc>
        <w:tc>
          <w:tcPr>
            <w:tcW w:w="920" w:type="dxa"/>
            <w:gridSpan w:val="2"/>
          </w:tcPr>
          <w:p w:rsidR="00B9722B" w:rsidRDefault="000804E9">
            <w:pPr>
              <w:spacing w:before="80" w:line="242" w:lineRule="auto"/>
              <w:ind w:left="238" w:right="12" w:hanging="194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IDENTIFICAÇÃO CATMAT</w:t>
            </w:r>
          </w:p>
        </w:tc>
        <w:tc>
          <w:tcPr>
            <w:tcW w:w="599" w:type="dxa"/>
            <w:gridSpan w:val="2"/>
          </w:tcPr>
          <w:p w:rsidR="00B9722B" w:rsidRDefault="000804E9">
            <w:pPr>
              <w:ind w:left="28" w:right="11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UNIDADE</w:t>
            </w:r>
          </w:p>
          <w:p w:rsidR="00B9722B" w:rsidRDefault="000804E9">
            <w:pPr>
              <w:spacing w:before="1"/>
              <w:ind w:left="76" w:right="57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 MEDIDA</w:t>
            </w:r>
          </w:p>
        </w:tc>
        <w:tc>
          <w:tcPr>
            <w:tcW w:w="822" w:type="dxa"/>
            <w:gridSpan w:val="2"/>
          </w:tcPr>
          <w:p w:rsidR="00B9722B" w:rsidRDefault="00B9722B">
            <w:pPr>
              <w:spacing w:before="2"/>
              <w:rPr>
                <w:color w:val="000000"/>
                <w:sz w:val="14"/>
                <w:szCs w:val="14"/>
              </w:rPr>
            </w:pPr>
          </w:p>
          <w:p w:rsidR="00B9722B" w:rsidRDefault="000804E9">
            <w:pPr>
              <w:ind w:left="46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QUANTIDADE</w:t>
            </w:r>
          </w:p>
        </w:tc>
        <w:tc>
          <w:tcPr>
            <w:tcW w:w="617" w:type="dxa"/>
          </w:tcPr>
          <w:p w:rsidR="00B9722B" w:rsidRDefault="000804E9">
            <w:pPr>
              <w:spacing w:before="80" w:line="242" w:lineRule="auto"/>
              <w:ind w:left="45" w:right="3" w:firstLine="83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VALOR UNITÁRIO</w:t>
            </w:r>
          </w:p>
        </w:tc>
        <w:tc>
          <w:tcPr>
            <w:tcW w:w="787" w:type="dxa"/>
            <w:gridSpan w:val="2"/>
          </w:tcPr>
          <w:p w:rsidR="00B9722B" w:rsidRDefault="000804E9">
            <w:pPr>
              <w:spacing w:before="80" w:line="242" w:lineRule="auto"/>
              <w:ind w:left="226" w:hanging="13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VALOR TOTAL</w:t>
            </w:r>
          </w:p>
        </w:tc>
        <w:tc>
          <w:tcPr>
            <w:tcW w:w="653" w:type="dxa"/>
            <w:gridSpan w:val="2"/>
          </w:tcPr>
          <w:p w:rsidR="00B9722B" w:rsidRDefault="00B9722B">
            <w:pPr>
              <w:spacing w:before="2"/>
              <w:rPr>
                <w:color w:val="000000"/>
                <w:sz w:val="14"/>
                <w:szCs w:val="14"/>
              </w:rPr>
            </w:pPr>
          </w:p>
          <w:p w:rsidR="00B9722B" w:rsidRDefault="000804E9">
            <w:pPr>
              <w:ind w:left="12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MARCA</w:t>
            </w:r>
          </w:p>
        </w:tc>
        <w:tc>
          <w:tcPr>
            <w:tcW w:w="1046" w:type="dxa"/>
            <w:tcBorders>
              <w:right w:val="single" w:sz="8" w:space="0" w:color="808080"/>
            </w:tcBorders>
          </w:tcPr>
          <w:p w:rsidR="00B9722B" w:rsidRDefault="000804E9">
            <w:pPr>
              <w:spacing w:before="80" w:line="242" w:lineRule="auto"/>
              <w:ind w:left="181" w:right="159" w:firstLine="78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EMPRESA VENCEDORA</w:t>
            </w:r>
          </w:p>
        </w:tc>
      </w:tr>
      <w:tr w:rsidR="00B9722B" w:rsidRPr="0081540C">
        <w:trPr>
          <w:trHeight w:val="480"/>
        </w:trPr>
        <w:tc>
          <w:tcPr>
            <w:tcW w:w="10686" w:type="dxa"/>
            <w:gridSpan w:val="19"/>
            <w:tcBorders>
              <w:right w:val="single" w:sz="8" w:space="0" w:color="808080"/>
            </w:tcBorders>
          </w:tcPr>
          <w:p w:rsidR="00B9722B" w:rsidRDefault="000804E9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  <w:r>
              <w:rPr>
                <w:color w:val="000000"/>
                <w:sz w:val="14"/>
                <w:szCs w:val="14"/>
                <w:lang w:val="pt-BR"/>
              </w:rPr>
              <w:t>CNPJ, RAZÃO SOCIAL, ENDEREÇO, TELEFONE, E-MAIL, DADOS BANCARIOS E REPRESENTATE</w:t>
            </w:r>
          </w:p>
          <w:p w:rsidR="00B9722B" w:rsidRDefault="00B9722B">
            <w:pPr>
              <w:spacing w:before="1"/>
              <w:ind w:left="65" w:right="50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</w:tr>
      <w:tr w:rsidR="00B9722B" w:rsidRPr="0081540C">
        <w:trPr>
          <w:trHeight w:val="480"/>
        </w:trPr>
        <w:tc>
          <w:tcPr>
            <w:tcW w:w="416" w:type="dxa"/>
            <w:gridSpan w:val="2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721" w:type="dxa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8" w:type="dxa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8" w:type="dxa"/>
            <w:gridSpan w:val="2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8" w:type="dxa"/>
            <w:gridSpan w:val="3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sz="8" w:space="0" w:color="808080"/>
            </w:tcBorders>
          </w:tcPr>
          <w:p w:rsidR="00B9722B" w:rsidRDefault="00B9722B">
            <w:pP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</w:tr>
    </w:tbl>
    <w:p w:rsidR="00B9722B" w:rsidRDefault="00B9722B">
      <w:pPr>
        <w:spacing w:before="8"/>
        <w:rPr>
          <w:color w:val="000000"/>
          <w:sz w:val="5"/>
          <w:szCs w:val="5"/>
          <w:lang w:val="pt-BR"/>
        </w:rPr>
      </w:pPr>
    </w:p>
    <w:p w:rsidR="00B9722B" w:rsidRDefault="00B9722B">
      <w:pPr>
        <w:tabs>
          <w:tab w:val="left" w:pos="1547"/>
          <w:tab w:val="left" w:pos="1548"/>
        </w:tabs>
        <w:spacing w:before="107"/>
        <w:ind w:right="557"/>
        <w:jc w:val="both"/>
        <w:rPr>
          <w:color w:val="000000"/>
          <w:sz w:val="18"/>
          <w:szCs w:val="18"/>
          <w:lang w:val="pt-BR"/>
        </w:rPr>
      </w:pPr>
    </w:p>
    <w:p w:rsidR="00B9722B" w:rsidRDefault="00B9722B">
      <w:pPr>
        <w:tabs>
          <w:tab w:val="left" w:pos="1547"/>
          <w:tab w:val="left" w:pos="1548"/>
        </w:tabs>
        <w:spacing w:before="107"/>
        <w:ind w:left="703" w:right="557"/>
        <w:jc w:val="both"/>
        <w:rPr>
          <w:color w:val="000000"/>
          <w:sz w:val="18"/>
          <w:szCs w:val="18"/>
          <w:lang w:val="pt-BR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68"/>
        <w:ind w:hanging="845"/>
        <w:rPr>
          <w:b/>
          <w:sz w:val="18"/>
          <w:szCs w:val="18"/>
          <w:lang w:val="pt-BR"/>
        </w:rPr>
      </w:pPr>
      <w:r>
        <w:rPr>
          <w:b/>
          <w:sz w:val="18"/>
          <w:szCs w:val="18"/>
          <w:lang w:val="pt-BR"/>
        </w:rPr>
        <w:t>ÓRGÃO(S) GERENCIADOR E PARTICIPANTE(S)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left="1547" w:hanging="845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 xml:space="preserve">O </w:t>
      </w:r>
      <w:r>
        <w:rPr>
          <w:sz w:val="18"/>
          <w:szCs w:val="18"/>
          <w:lang w:val="pt-BR"/>
        </w:rPr>
        <w:t>órgão gerenciador será a Pró-Reitoria de Administração.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left="1547" w:hanging="845"/>
        <w:rPr>
          <w:rFonts w:ascii="Arial" w:eastAsia="Arial" w:hAnsi="Arial" w:cs="Arial"/>
          <w:sz w:val="20"/>
          <w:szCs w:val="20"/>
          <w:lang w:val="pt-BR"/>
        </w:rPr>
      </w:pPr>
      <w:r>
        <w:rPr>
          <w:sz w:val="18"/>
          <w:szCs w:val="18"/>
          <w:lang w:val="pt-BR"/>
        </w:rPr>
        <w:t>A IRP nº</w:t>
      </w:r>
      <w:r>
        <w:rPr>
          <w:sz w:val="18"/>
          <w:szCs w:val="18"/>
          <w:lang w:val="pt-BR"/>
        </w:rPr>
        <w:t xml:space="preserve"> 17/2022 </w:t>
      </w:r>
      <w:r>
        <w:rPr>
          <w:sz w:val="18"/>
          <w:szCs w:val="18"/>
          <w:lang w:val="pt-BR"/>
        </w:rPr>
        <w:t>não foi divulgada, conforme previsão do §1º, Art. 4º, do Decreto 7.892/2013.</w:t>
      </w:r>
    </w:p>
    <w:p w:rsidR="00B9722B" w:rsidRDefault="00B9722B">
      <w:pP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 w:rsidR="00B9722B" w:rsidRDefault="00B9722B">
      <w:pP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70"/>
        <w:ind w:hanging="845"/>
        <w:rPr>
          <w:b/>
          <w:color w:val="000000"/>
          <w:sz w:val="18"/>
          <w:szCs w:val="18"/>
          <w:lang w:val="pt-BR"/>
        </w:rPr>
      </w:pPr>
      <w:r>
        <w:rPr>
          <w:b/>
          <w:color w:val="000000"/>
          <w:sz w:val="18"/>
          <w:szCs w:val="18"/>
          <w:lang w:val="pt-BR"/>
        </w:rPr>
        <w:t>DA ADESÃO À ATA DE REGISTRO DE PREÇOS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br/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Não será admitida a adesão à ata de registro de preços decorrente</w:t>
      </w:r>
      <w:r>
        <w:rPr>
          <w:color w:val="000000"/>
          <w:sz w:val="18"/>
          <w:szCs w:val="18"/>
          <w:lang w:val="pt-BR"/>
        </w:rPr>
        <w:t xml:space="preserve"> desta licitação. Cita-se como fundamentação o acórdão 1297/2015: “a adesão prevista no art. 22 do Decreto 7.892/2013 para órgão não participante (ou seja, que não participou dos procedimentos iniciais da licitação) é uma possibilidade anômala e excepciona</w:t>
      </w:r>
      <w:r>
        <w:rPr>
          <w:color w:val="000000"/>
          <w:sz w:val="18"/>
          <w:szCs w:val="18"/>
          <w:lang w:val="pt-BR"/>
        </w:rPr>
        <w:t>l, e não uma obrigatoriedade a constar necessariamente em todos os editais e contratos de pregões para Sistema de Registro de Preços”.</w:t>
      </w:r>
    </w:p>
    <w:p w:rsidR="00B9722B" w:rsidRDefault="00B9722B">
      <w:pP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 w:rsidR="00B9722B" w:rsidRDefault="00B9722B">
      <w:pP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 w:rsidR="00B9722B" w:rsidRDefault="00B9722B">
      <w:pP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65"/>
        <w:ind w:hanging="845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VALIDADE DA ATA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A validade da Ata de Registro de Preços será de 12 meses a partir da assinatura, não podendo ser prorr</w:t>
      </w:r>
      <w:r>
        <w:rPr>
          <w:color w:val="000000"/>
          <w:sz w:val="18"/>
          <w:szCs w:val="18"/>
          <w:lang w:val="pt-BR"/>
        </w:rPr>
        <w:t>ogada.</w:t>
      </w:r>
    </w:p>
    <w:p w:rsidR="00B9722B" w:rsidRDefault="00B9722B">
      <w:pPr>
        <w:tabs>
          <w:tab w:val="left" w:pos="1547"/>
          <w:tab w:val="left" w:pos="1548"/>
        </w:tabs>
        <w:spacing w:before="70"/>
        <w:ind w:left="1547"/>
        <w:jc w:val="both"/>
        <w:rPr>
          <w:color w:val="000000"/>
          <w:sz w:val="18"/>
          <w:szCs w:val="18"/>
          <w:lang w:val="pt-BR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71"/>
        <w:ind w:hanging="845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REVISÃO E CANCELAMENTO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right="560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A Administração realizará pesquisa de mercado periodicamente, em intervalos não superiores a 180 (cento e oitenta) dias, a 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m de veri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car a  vantajosidade dos preços registrados nesta Ata.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Os preços registrados poderão ser </w:t>
      </w:r>
      <w:r>
        <w:rPr>
          <w:color w:val="000000"/>
          <w:sz w:val="18"/>
          <w:szCs w:val="18"/>
          <w:lang w:val="pt-BR"/>
        </w:rPr>
        <w:t>revistos em decorrência de eventual redução dos preços praticados no mercado ou de fato que eleve o custo do objeto registrado, cabendo à Administração promover as negociações junto ao(s) fornecedor(es).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right="555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Quando o preço registrado tornar-se superior ao preç</w:t>
      </w:r>
      <w:r>
        <w:rPr>
          <w:color w:val="000000"/>
          <w:sz w:val="18"/>
          <w:szCs w:val="18"/>
          <w:lang w:val="pt-BR"/>
        </w:rPr>
        <w:t>o praticado no mercado por motivo superveniente, a Administração convocará o(s) fornecedor(es)   para negociar(em) a redução dos preços aos valores praticados pelo mercado.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fornecedor que não aceitar reduzir seu preço ao valor praticado pelo mercado será</w:t>
      </w:r>
      <w:r>
        <w:rPr>
          <w:color w:val="000000"/>
          <w:sz w:val="18"/>
          <w:szCs w:val="18"/>
          <w:lang w:val="pt-BR"/>
        </w:rPr>
        <w:t xml:space="preserve"> liberado do compromisso assumido, sem aplicação de penalidade.</w:t>
      </w:r>
    </w:p>
    <w:p w:rsidR="00B9722B" w:rsidRDefault="000804E9">
      <w:pPr>
        <w:tabs>
          <w:tab w:val="left" w:pos="1547"/>
        </w:tabs>
        <w:spacing w:before="70"/>
        <w:ind w:left="703"/>
        <w:jc w:val="both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>6.4.1.</w:t>
      </w:r>
      <w:r>
        <w:rPr>
          <w:sz w:val="18"/>
          <w:szCs w:val="18"/>
          <w:lang w:val="pt-BR"/>
        </w:rPr>
        <w:tab/>
        <w:t>A ordem de classi</w:t>
      </w:r>
      <w:r>
        <w:rPr>
          <w:sz w:val="18"/>
          <w:szCs w:val="18"/>
        </w:rPr>
        <w:t>ﬁ</w:t>
      </w:r>
      <w:r>
        <w:rPr>
          <w:sz w:val="18"/>
          <w:szCs w:val="18"/>
          <w:lang w:val="pt-BR"/>
        </w:rPr>
        <w:t>cação dos fornecedores que aceitarem reduzir seus preços aos valores de mercado observará a classi</w:t>
      </w:r>
      <w:r>
        <w:rPr>
          <w:sz w:val="18"/>
          <w:szCs w:val="18"/>
        </w:rPr>
        <w:t>ﬁ</w:t>
      </w:r>
      <w:r>
        <w:rPr>
          <w:sz w:val="18"/>
          <w:szCs w:val="18"/>
          <w:lang w:val="pt-BR"/>
        </w:rPr>
        <w:t>cação original.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Quando o preço de mercado tornar-se superior aos pre</w:t>
      </w:r>
      <w:r>
        <w:rPr>
          <w:color w:val="000000"/>
          <w:sz w:val="18"/>
          <w:szCs w:val="18"/>
          <w:lang w:val="pt-BR"/>
        </w:rPr>
        <w:t>ços registrados e o fornecedor não puder cumprir o compromisso, o órgão gerenciador poderá:</w:t>
      </w:r>
    </w:p>
    <w:p w:rsidR="00B9722B" w:rsidRDefault="000804E9">
      <w:pPr>
        <w:numPr>
          <w:ilvl w:val="2"/>
          <w:numId w:val="2"/>
        </w:numPr>
        <w:tabs>
          <w:tab w:val="left" w:pos="1547"/>
          <w:tab w:val="left" w:pos="1548"/>
        </w:tabs>
        <w:spacing w:before="70"/>
        <w:ind w:right="559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liberar o fornecedor do compromisso assumido, caso a comunicação ocorra antes do pedido de fornecimento, e sem aplicação  da  penalidade  se  con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rmada a veracidade</w:t>
      </w:r>
      <w:r>
        <w:rPr>
          <w:color w:val="000000"/>
          <w:sz w:val="18"/>
          <w:szCs w:val="18"/>
          <w:lang w:val="pt-BR"/>
        </w:rPr>
        <w:t xml:space="preserve"> dos motivos e comprovantes apresentados; e</w:t>
      </w:r>
    </w:p>
    <w:p w:rsidR="00B9722B" w:rsidRDefault="000804E9">
      <w:pPr>
        <w:numPr>
          <w:ilvl w:val="2"/>
          <w:numId w:val="2"/>
        </w:numPr>
        <w:tabs>
          <w:tab w:val="left" w:pos="1547"/>
          <w:tab w:val="left" w:pos="1548"/>
        </w:tabs>
        <w:spacing w:before="69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convocar os demais fornecedores para assegurar igual oportunidade de negociação.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1"/>
        <w:ind w:right="558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Não havendo êxito nas negociações, o órgão gerenciador deverá proceder à revogação desta ata de registro de preços, adotando as med</w:t>
      </w:r>
      <w:r>
        <w:rPr>
          <w:color w:val="000000"/>
          <w:sz w:val="18"/>
          <w:szCs w:val="18"/>
          <w:lang w:val="pt-BR"/>
        </w:rPr>
        <w:t>idas cabíveis para obtenção da contratação mais vantajosa.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registro do fornecedor será cancelado quando:</w:t>
      </w:r>
    </w:p>
    <w:p w:rsidR="00B9722B" w:rsidRDefault="000804E9">
      <w:pPr>
        <w:numPr>
          <w:ilvl w:val="2"/>
          <w:numId w:val="3"/>
        </w:numP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descumprir as condições da ata de registro de preços;</w:t>
      </w:r>
    </w:p>
    <w:p w:rsidR="00B9722B" w:rsidRDefault="000804E9">
      <w:pPr>
        <w:numPr>
          <w:ilvl w:val="2"/>
          <w:numId w:val="3"/>
        </w:numPr>
        <w:tabs>
          <w:tab w:val="left" w:pos="1547"/>
          <w:tab w:val="left" w:pos="1548"/>
        </w:tabs>
        <w:spacing w:before="107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não retirar a nota de empenho ou instrumento equivalente no prazo estabelecido pela </w:t>
      </w:r>
      <w:r>
        <w:rPr>
          <w:color w:val="000000"/>
          <w:sz w:val="18"/>
          <w:szCs w:val="18"/>
          <w:lang w:val="pt-BR"/>
        </w:rPr>
        <w:t>Administração, sem justi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cativa aceitável;</w:t>
      </w:r>
    </w:p>
    <w:p w:rsidR="00B9722B" w:rsidRDefault="000804E9">
      <w:pPr>
        <w:numPr>
          <w:ilvl w:val="2"/>
          <w:numId w:val="3"/>
        </w:numP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não aceitar reduzir o seu preço registrado, na hipótese deste se tornar superior àqueles praticados no mercado; ou</w:t>
      </w:r>
    </w:p>
    <w:p w:rsidR="00B9722B" w:rsidRDefault="000804E9">
      <w:pPr>
        <w:numPr>
          <w:ilvl w:val="2"/>
          <w:numId w:val="3"/>
        </w:numP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sofrer sanção administrativa cujo efeito torne-o proibido de celebrar contrato administrativo, alc</w:t>
      </w:r>
      <w:r>
        <w:rPr>
          <w:color w:val="000000"/>
          <w:sz w:val="18"/>
          <w:szCs w:val="18"/>
          <w:lang w:val="pt-BR"/>
        </w:rPr>
        <w:t>ançando o órgão gerenciador e órgão(s) participante(s).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1"/>
        <w:ind w:right="563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cancelamento de registros nas hipóteses previstas nos itens 6.7.1, 6.7.2 e 6.7.4 será formalizado por despacho do órgão gerenciador, assegurado o contraditório e a ampla defesa.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cancelamento do re</w:t>
      </w:r>
      <w:r>
        <w:rPr>
          <w:color w:val="000000"/>
          <w:sz w:val="18"/>
          <w:szCs w:val="18"/>
          <w:lang w:val="pt-BR"/>
        </w:rPr>
        <w:t>gistro de preços poderá ocorrer por fato superveniente, decorrente de caso fortuito ou força maior,  que prejudique o cumprimento   da ata, devidamente comprovados e justi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cados:</w:t>
      </w:r>
    </w:p>
    <w:p w:rsidR="00B9722B" w:rsidRDefault="000804E9">
      <w:pPr>
        <w:numPr>
          <w:ilvl w:val="2"/>
          <w:numId w:val="4"/>
        </w:numPr>
        <w:tabs>
          <w:tab w:val="left" w:pos="1547"/>
          <w:tab w:val="left" w:pos="1548"/>
        </w:tabs>
        <w:spacing w:before="69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por razão de interesse público; ou</w:t>
      </w:r>
    </w:p>
    <w:p w:rsidR="00B9722B" w:rsidRDefault="000804E9">
      <w:pPr>
        <w:numPr>
          <w:ilvl w:val="2"/>
          <w:numId w:val="4"/>
        </w:numP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</w:rPr>
      </w:pPr>
      <w:proofErr w:type="gramStart"/>
      <w:r>
        <w:rPr>
          <w:color w:val="000000"/>
          <w:sz w:val="18"/>
          <w:szCs w:val="18"/>
        </w:rPr>
        <w:t>a</w:t>
      </w:r>
      <w:proofErr w:type="gram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pedido</w:t>
      </w:r>
      <w:proofErr w:type="spellEnd"/>
      <w:r>
        <w:rPr>
          <w:color w:val="000000"/>
          <w:sz w:val="18"/>
          <w:szCs w:val="18"/>
        </w:rPr>
        <w:t xml:space="preserve"> do </w:t>
      </w:r>
      <w:proofErr w:type="spellStart"/>
      <w:r>
        <w:rPr>
          <w:color w:val="000000"/>
          <w:sz w:val="18"/>
          <w:szCs w:val="18"/>
        </w:rPr>
        <w:t>fornecedor</w:t>
      </w:r>
      <w:proofErr w:type="spellEnd"/>
      <w:r>
        <w:rPr>
          <w:color w:val="000000"/>
          <w:sz w:val="18"/>
          <w:szCs w:val="18"/>
        </w:rPr>
        <w:t>.</w:t>
      </w:r>
    </w:p>
    <w:p w:rsidR="00B9722B" w:rsidRDefault="00B9722B">
      <w:pPr>
        <w:tabs>
          <w:tab w:val="left" w:pos="1547"/>
          <w:tab w:val="left" w:pos="1548"/>
        </w:tabs>
        <w:spacing w:before="70"/>
        <w:ind w:left="1547"/>
        <w:jc w:val="both"/>
        <w:rPr>
          <w:b/>
          <w:color w:val="000000"/>
          <w:sz w:val="18"/>
          <w:szCs w:val="18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70"/>
        <w:ind w:hanging="845"/>
        <w:jc w:val="both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DAS PENALIDADES</w:t>
      </w:r>
    </w:p>
    <w:p w:rsidR="00B9722B" w:rsidRDefault="000804E9">
      <w:pPr>
        <w:numPr>
          <w:ilvl w:val="1"/>
          <w:numId w:val="1"/>
        </w:numPr>
        <w:tabs>
          <w:tab w:val="left" w:pos="1985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</w:t>
      </w:r>
      <w:r>
        <w:rPr>
          <w:color w:val="000000"/>
          <w:sz w:val="18"/>
          <w:szCs w:val="18"/>
          <w:lang w:val="pt-BR"/>
        </w:rPr>
        <w:t xml:space="preserve"> descumprimento da Ata de Registro de Preços ensejará aplicação das penalidades estabelecidas no Edital e no Termo de Referência, Anexo I do Edital.</w:t>
      </w:r>
    </w:p>
    <w:p w:rsidR="00B9722B" w:rsidRDefault="000804E9">
      <w:pPr>
        <w:tabs>
          <w:tab w:val="left" w:pos="1547"/>
        </w:tabs>
        <w:spacing w:before="71"/>
        <w:ind w:left="703" w:right="556"/>
        <w:jc w:val="both"/>
        <w:rPr>
          <w:sz w:val="18"/>
          <w:szCs w:val="18"/>
          <w:lang w:val="pt-BR"/>
        </w:rPr>
      </w:pPr>
      <w:r>
        <w:rPr>
          <w:sz w:val="16"/>
          <w:szCs w:val="16"/>
          <w:lang w:val="pt-BR"/>
        </w:rPr>
        <w:t>7.1.1.</w:t>
      </w:r>
      <w:r>
        <w:rPr>
          <w:sz w:val="18"/>
          <w:szCs w:val="18"/>
          <w:lang w:val="pt-BR"/>
        </w:rPr>
        <w:tab/>
        <w:t>As sanções do item acima também se aplicam aos integrantes do cadastro de reserva, em pregão para re</w:t>
      </w:r>
      <w:r>
        <w:rPr>
          <w:sz w:val="18"/>
          <w:szCs w:val="18"/>
          <w:lang w:val="pt-BR"/>
        </w:rPr>
        <w:t>gistro de preços que, convocados, não honrarem o compromisso assumido injusti</w:t>
      </w:r>
      <w:r>
        <w:rPr>
          <w:sz w:val="18"/>
          <w:szCs w:val="18"/>
        </w:rPr>
        <w:t>ﬁ</w:t>
      </w:r>
      <w:r>
        <w:rPr>
          <w:sz w:val="18"/>
          <w:szCs w:val="18"/>
          <w:lang w:val="pt-BR"/>
        </w:rPr>
        <w:t>cadamente, nos termos do art. 49, §1º do Decreto nº 10.024/19.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É da competência do órgão gerenciador a aplicação das penalidades decorrentes do descumprimento do pactuado nesta a</w:t>
      </w:r>
      <w:r>
        <w:rPr>
          <w:color w:val="000000"/>
          <w:sz w:val="18"/>
          <w:szCs w:val="18"/>
          <w:lang w:val="pt-BR"/>
        </w:rPr>
        <w:t>ta de registro de preço (art. 5º, inciso X, do Decreto nº 7.892/2013), exceto nas hipóteses em que o descumprimento disser respeito às contratações dos órgãos participantes, caso no qual caberá ao respectivo órgão participante a aplicação da penalidade (ar</w:t>
      </w:r>
      <w:r>
        <w:rPr>
          <w:color w:val="000000"/>
          <w:sz w:val="18"/>
          <w:szCs w:val="18"/>
          <w:lang w:val="pt-BR"/>
        </w:rPr>
        <w:t>t. 6º, Parágrafo único, do Decreto nº 7.892/2013).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7"/>
        <w:ind w:right="562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O órgão participante deverá comunicar ao órgão gerenciador qualquer das ocorrências previstas no art. 20 do Decreto nº 7.892/2013, dada a necessidade   de instauração de procedimento para cancelamento do </w:t>
      </w:r>
      <w:r>
        <w:rPr>
          <w:color w:val="000000"/>
          <w:sz w:val="18"/>
          <w:szCs w:val="18"/>
          <w:lang w:val="pt-BR"/>
        </w:rPr>
        <w:t>registro do fornecedor.</w:t>
      </w:r>
    </w:p>
    <w:p w:rsidR="00B9722B" w:rsidRDefault="00B9722B">
      <w:pPr>
        <w:tabs>
          <w:tab w:val="left" w:pos="1547"/>
          <w:tab w:val="left" w:pos="1548"/>
        </w:tabs>
        <w:spacing w:before="67"/>
        <w:ind w:left="703" w:right="562"/>
        <w:jc w:val="both"/>
        <w:rPr>
          <w:color w:val="000000"/>
          <w:sz w:val="18"/>
          <w:szCs w:val="18"/>
          <w:lang w:val="pt-BR"/>
        </w:rPr>
      </w:pPr>
    </w:p>
    <w:p w:rsidR="00B9722B" w:rsidRDefault="000804E9">
      <w:pPr>
        <w:numPr>
          <w:ilvl w:val="0"/>
          <w:numId w:val="1"/>
        </w:numPr>
        <w:tabs>
          <w:tab w:val="left" w:pos="1547"/>
          <w:tab w:val="left" w:pos="1548"/>
        </w:tabs>
        <w:spacing w:before="69"/>
        <w:ind w:hanging="845"/>
        <w:jc w:val="both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CONDIÇÕES GERAIS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71"/>
        <w:ind w:right="558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As condições gerais do fornecimento, tais como os prazos para entrega e recebimento do objeto, as obrigações da Administração e do  fornecedor registrado, penalidades e demais condições do ajuste, encontram-se </w:t>
      </w:r>
      <w:r>
        <w:rPr>
          <w:color w:val="000000"/>
          <w:sz w:val="18"/>
          <w:szCs w:val="18"/>
          <w:lang w:val="pt-BR"/>
        </w:rPr>
        <w:lastRenderedPageBreak/>
        <w:t>de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n</w:t>
      </w:r>
      <w:r>
        <w:rPr>
          <w:color w:val="000000"/>
          <w:sz w:val="18"/>
          <w:szCs w:val="18"/>
          <w:lang w:val="pt-BR"/>
        </w:rPr>
        <w:t>idos no Termo de Referência, ANEXO AO EDITAL.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right="559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É vedado efetuar acréscimos nos quantitativos 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xados nesta ata de registro de preços, inclusive o acréscimo de que trata o § 1º do art. 65 da Lei nº   8.666/93.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right="555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A ata de realização da sessão pública do pregão, </w:t>
      </w:r>
      <w:r>
        <w:rPr>
          <w:color w:val="000000"/>
          <w:sz w:val="18"/>
          <w:szCs w:val="18"/>
          <w:lang w:val="pt-BR"/>
        </w:rPr>
        <w:t>contendo a relação dos licitantes que aceitarem cotar os bens ou serviços com preços iguais ao do      licitante vencedor do certame, compõe anexo a esta Ata de Registro de Preços, nos termos do art. 11, §4º do Decreto n. 7.892, de 2013.</w:t>
      </w:r>
    </w:p>
    <w:p w:rsidR="00B9722B" w:rsidRDefault="000804E9">
      <w:pPr>
        <w:numPr>
          <w:ilvl w:val="1"/>
          <w:numId w:val="1"/>
        </w:numPr>
        <w:tabs>
          <w:tab w:val="left" w:pos="1547"/>
          <w:tab w:val="left" w:pos="1548"/>
        </w:tabs>
        <w:spacing w:before="69"/>
        <w:ind w:right="555" w:firstLine="0"/>
        <w:jc w:val="both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>O Termo de Respons</w:t>
      </w:r>
      <w:r>
        <w:rPr>
          <w:sz w:val="18"/>
          <w:szCs w:val="18"/>
          <w:lang w:val="pt-BR"/>
        </w:rPr>
        <w:t>abilidade sobre a ata de registro de preços compõe anexo a esta Ata de Registro de Preços.</w:t>
      </w:r>
    </w:p>
    <w:p w:rsidR="00B9722B" w:rsidRDefault="00B9722B">
      <w:pPr>
        <w:spacing w:before="4"/>
        <w:rPr>
          <w:sz w:val="18"/>
          <w:szCs w:val="18"/>
          <w:lang w:val="pt-BR"/>
        </w:rPr>
      </w:pPr>
    </w:p>
    <w:p w:rsidR="00B9722B" w:rsidRDefault="00B9722B">
      <w:pPr>
        <w:spacing w:before="4"/>
        <w:rPr>
          <w:sz w:val="18"/>
          <w:szCs w:val="18"/>
          <w:lang w:val="pt-BR"/>
        </w:rPr>
      </w:pPr>
    </w:p>
    <w:p w:rsidR="00B9722B" w:rsidRDefault="00B9722B">
      <w:pPr>
        <w:spacing w:before="4"/>
        <w:rPr>
          <w:sz w:val="18"/>
          <w:szCs w:val="18"/>
          <w:lang w:val="pt-BR"/>
        </w:rPr>
      </w:pPr>
    </w:p>
    <w:p w:rsidR="00B9722B" w:rsidRDefault="00B9722B">
      <w:pPr>
        <w:spacing w:before="4"/>
        <w:rPr>
          <w:sz w:val="18"/>
          <w:szCs w:val="18"/>
          <w:lang w:val="pt-BR"/>
        </w:rPr>
      </w:pPr>
    </w:p>
    <w:p w:rsidR="00B9722B" w:rsidRDefault="000804E9">
      <w:pPr>
        <w:ind w:left="703" w:firstLine="17"/>
        <w:jc w:val="center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>Niterói, RJ, ____ de ___________ de 2022.</w:t>
      </w:r>
    </w:p>
    <w:p w:rsidR="00B9722B" w:rsidRDefault="00B9722B">
      <w:pPr>
        <w:rPr>
          <w:color w:val="000000"/>
          <w:sz w:val="18"/>
          <w:szCs w:val="18"/>
          <w:lang w:val="pt-BR"/>
        </w:rPr>
      </w:pPr>
    </w:p>
    <w:p w:rsidR="00B9722B" w:rsidRDefault="00B9722B">
      <w:pPr>
        <w:rPr>
          <w:sz w:val="18"/>
          <w:szCs w:val="18"/>
          <w:lang w:val="pt-BR"/>
        </w:rPr>
      </w:pPr>
    </w:p>
    <w:p w:rsidR="00B9722B" w:rsidRDefault="00B9722B">
      <w:pPr>
        <w:rPr>
          <w:sz w:val="18"/>
          <w:szCs w:val="18"/>
          <w:lang w:val="pt-BR"/>
        </w:rPr>
      </w:pPr>
    </w:p>
    <w:p w:rsidR="00B9722B" w:rsidRDefault="00B9722B">
      <w:pPr>
        <w:rPr>
          <w:sz w:val="18"/>
          <w:szCs w:val="18"/>
          <w:lang w:val="pt-BR"/>
        </w:rPr>
      </w:pPr>
    </w:p>
    <w:p w:rsidR="00B9722B" w:rsidRDefault="00B9722B">
      <w:pPr>
        <w:spacing w:before="6"/>
        <w:rPr>
          <w:color w:val="000000"/>
          <w:sz w:val="18"/>
          <w:szCs w:val="18"/>
          <w:lang w:val="pt-BR"/>
        </w:rPr>
      </w:pPr>
    </w:p>
    <w:p w:rsidR="00B9722B" w:rsidRDefault="000804E9">
      <w:pPr>
        <w:spacing w:before="70"/>
        <w:ind w:left="3164" w:right="3018"/>
        <w:jc w:val="center"/>
        <w:rPr>
          <w:b/>
          <w:sz w:val="18"/>
          <w:szCs w:val="18"/>
          <w:lang w:val="pt-BR"/>
        </w:rPr>
      </w:pPr>
      <w:r>
        <w:rPr>
          <w:b/>
          <w:sz w:val="18"/>
          <w:szCs w:val="18"/>
          <w:lang w:val="pt-BR"/>
        </w:rPr>
        <w:t>VERA LÚCIA LAVRADO CUPELLO CAJAZEIRAS</w:t>
      </w:r>
    </w:p>
    <w:p w:rsidR="00B9722B" w:rsidRDefault="000804E9">
      <w:pPr>
        <w:spacing w:before="70"/>
        <w:ind w:left="3164" w:right="3018"/>
        <w:jc w:val="center"/>
        <w:rPr>
          <w:sz w:val="18"/>
          <w:szCs w:val="18"/>
        </w:rPr>
      </w:pPr>
      <w:proofErr w:type="spellStart"/>
      <w:r>
        <w:rPr>
          <w:sz w:val="18"/>
          <w:szCs w:val="18"/>
        </w:rPr>
        <w:t>Pró-Reitora</w:t>
      </w:r>
      <w:proofErr w:type="spellEnd"/>
      <w:r>
        <w:rPr>
          <w:sz w:val="18"/>
          <w:szCs w:val="18"/>
        </w:rPr>
        <w:t xml:space="preserve"> de </w:t>
      </w:r>
      <w:proofErr w:type="spellStart"/>
      <w:r>
        <w:rPr>
          <w:sz w:val="18"/>
          <w:szCs w:val="18"/>
        </w:rPr>
        <w:t>Administração</w:t>
      </w:r>
      <w:proofErr w:type="spellEnd"/>
    </w:p>
    <w:p w:rsidR="00B9722B" w:rsidRDefault="00B9722B">
      <w:pPr>
        <w:spacing w:before="6"/>
        <w:rPr>
          <w:color w:val="000000"/>
          <w:sz w:val="18"/>
          <w:szCs w:val="18"/>
        </w:rPr>
      </w:pPr>
    </w:p>
    <w:p w:rsidR="00B9722B" w:rsidRDefault="00B9722B">
      <w:bookmarkStart w:id="1" w:name="_heading=h.gjdgxs" w:colFirst="0" w:colLast="0"/>
      <w:bookmarkEnd w:id="1"/>
    </w:p>
    <w:sectPr w:rsidR="00B9722B">
      <w:headerReference w:type="default" r:id="rId10"/>
      <w:pgSz w:w="11906" w:h="16838"/>
      <w:pgMar w:top="1417" w:right="991" w:bottom="56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4E9" w:rsidRDefault="000804E9">
      <w:r>
        <w:separator/>
      </w:r>
    </w:p>
  </w:endnote>
  <w:endnote w:type="continuationSeparator" w:id="0">
    <w:p w:rsidR="000804E9" w:rsidRDefault="00080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0000000000000000000"/>
    <w:charset w:val="00"/>
    <w:family w:val="roman"/>
    <w:notTrueType/>
    <w:pitch w:val="default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4E9" w:rsidRDefault="000804E9">
      <w:r>
        <w:separator/>
      </w:r>
    </w:p>
  </w:footnote>
  <w:footnote w:type="continuationSeparator" w:id="0">
    <w:p w:rsidR="000804E9" w:rsidRDefault="000804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22B" w:rsidRDefault="000804E9">
    <w:pPr>
      <w:tabs>
        <w:tab w:val="center" w:pos="4252"/>
        <w:tab w:val="right" w:pos="8504"/>
      </w:tabs>
      <w:jc w:val="right"/>
      <w:rPr>
        <w:color w:val="000000"/>
      </w:rPr>
    </w:pPr>
    <w:r>
      <w:t xml:space="preserve">                                    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Processo</w:t>
    </w:r>
    <w:proofErr w:type="spellEnd"/>
    <w:r>
      <w:rPr>
        <w:rFonts w:ascii="Verdana" w:eastAsia="Verdana" w:hAnsi="Verdana" w:cs="Verdana"/>
        <w:color w:val="000000"/>
        <w:sz w:val="16"/>
        <w:szCs w:val="16"/>
      </w:rPr>
      <w:t xml:space="preserve"> n</w:t>
    </w:r>
    <w:proofErr w:type="gramStart"/>
    <w:r>
      <w:rPr>
        <w:rFonts w:ascii="Verdana" w:eastAsia="Verdana" w:hAnsi="Verdana" w:cs="Verdana"/>
        <w:color w:val="000000"/>
        <w:sz w:val="16"/>
        <w:szCs w:val="16"/>
      </w:rPr>
      <w:t>.º</w:t>
    </w:r>
    <w:proofErr w:type="gramEnd"/>
    <w:r>
      <w:rPr>
        <w:rFonts w:ascii="Verdana" w:eastAsia="Verdana" w:hAnsi="Verdana" w:cs="Verdana"/>
        <w:color w:val="000000"/>
        <w:sz w:val="16"/>
        <w:szCs w:val="16"/>
      </w:rPr>
      <w:t xml:space="preserve"> 23069.151880/2022-14</w:t>
    </w: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85800" cy="370840"/>
          <wp:effectExtent l="0" t="0" r="0" b="0"/>
          <wp:wrapNone/>
          <wp:docPr id="43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85800" cy="370840"/>
          <wp:effectExtent l="0" t="0" r="0" b="0"/>
          <wp:wrapNone/>
          <wp:docPr id="4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9722B" w:rsidRDefault="00B9722B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3830"/>
    <w:multiLevelType w:val="multilevel"/>
    <w:tmpl w:val="02EC3830"/>
    <w:lvl w:ilvl="0">
      <w:start w:val="6"/>
      <w:numFmt w:val="decimal"/>
      <w:lvlText w:val="%1"/>
      <w:lvlJc w:val="left"/>
      <w:pPr>
        <w:ind w:left="1547" w:hanging="844"/>
      </w:pPr>
    </w:lvl>
    <w:lvl w:ilvl="1">
      <w:start w:val="7"/>
      <w:numFmt w:val="decimal"/>
      <w:lvlText w:val="%1.%2"/>
      <w:lvlJc w:val="left"/>
      <w:pPr>
        <w:ind w:left="1547" w:hanging="844"/>
      </w:pPr>
    </w:lvl>
    <w:lvl w:ilvl="2">
      <w:start w:val="1"/>
      <w:numFmt w:val="decimal"/>
      <w:lvlText w:val="%1.%2.%3."/>
      <w:lvlJc w:val="left"/>
      <w:pPr>
        <w:ind w:left="1547" w:hanging="844"/>
      </w:pPr>
      <w:rPr>
        <w:rFonts w:ascii="Calibri" w:eastAsia="Calibri" w:hAnsi="Calibri" w:cs="Calibri"/>
        <w:sz w:val="16"/>
        <w:szCs w:val="16"/>
      </w:rPr>
    </w:lvl>
    <w:lvl w:ilvl="3">
      <w:start w:val="1"/>
      <w:numFmt w:val="bullet"/>
      <w:lvlText w:val="•"/>
      <w:lvlJc w:val="left"/>
      <w:pPr>
        <w:ind w:left="4401" w:hanging="843"/>
      </w:pPr>
    </w:lvl>
    <w:lvl w:ilvl="4">
      <w:start w:val="1"/>
      <w:numFmt w:val="bullet"/>
      <w:lvlText w:val="•"/>
      <w:lvlJc w:val="left"/>
      <w:pPr>
        <w:ind w:left="5355" w:hanging="844"/>
      </w:pPr>
    </w:lvl>
    <w:lvl w:ilvl="5">
      <w:start w:val="1"/>
      <w:numFmt w:val="bullet"/>
      <w:lvlText w:val="•"/>
      <w:lvlJc w:val="left"/>
      <w:pPr>
        <w:ind w:left="6309" w:hanging="844"/>
      </w:pPr>
    </w:lvl>
    <w:lvl w:ilvl="6">
      <w:start w:val="1"/>
      <w:numFmt w:val="bullet"/>
      <w:lvlText w:val="•"/>
      <w:lvlJc w:val="left"/>
      <w:pPr>
        <w:ind w:left="7263" w:hanging="844"/>
      </w:pPr>
    </w:lvl>
    <w:lvl w:ilvl="7">
      <w:start w:val="1"/>
      <w:numFmt w:val="bullet"/>
      <w:lvlText w:val="•"/>
      <w:lvlJc w:val="left"/>
      <w:pPr>
        <w:ind w:left="8216" w:hanging="844"/>
      </w:pPr>
    </w:lvl>
    <w:lvl w:ilvl="8">
      <w:start w:val="1"/>
      <w:numFmt w:val="bullet"/>
      <w:lvlText w:val="•"/>
      <w:lvlJc w:val="left"/>
      <w:pPr>
        <w:ind w:left="9170" w:hanging="844"/>
      </w:pPr>
    </w:lvl>
  </w:abstractNum>
  <w:abstractNum w:abstractNumId="1">
    <w:nsid w:val="26A42839"/>
    <w:multiLevelType w:val="multilevel"/>
    <w:tmpl w:val="26A42839"/>
    <w:lvl w:ilvl="0">
      <w:start w:val="1"/>
      <w:numFmt w:val="decimal"/>
      <w:lvlText w:val="%1."/>
      <w:lvlJc w:val="left"/>
      <w:pPr>
        <w:ind w:left="1547" w:hanging="844"/>
      </w:pPr>
      <w:rPr>
        <w:rFonts w:ascii="Calibri" w:eastAsia="Calibri" w:hAnsi="Calibri" w:cs="Calibri"/>
        <w:sz w:val="16"/>
        <w:szCs w:val="16"/>
      </w:rPr>
    </w:lvl>
    <w:lvl w:ilvl="1">
      <w:start w:val="1"/>
      <w:numFmt w:val="decimal"/>
      <w:lvlText w:val="%1.%2."/>
      <w:lvlJc w:val="left"/>
      <w:pPr>
        <w:ind w:left="703" w:hanging="844"/>
      </w:pPr>
      <w:rPr>
        <w:rFonts w:ascii="Calibri" w:eastAsia="Calibri" w:hAnsi="Calibri" w:cs="Calibri"/>
        <w:sz w:val="16"/>
        <w:szCs w:val="16"/>
      </w:rPr>
    </w:lvl>
    <w:lvl w:ilvl="2">
      <w:start w:val="1"/>
      <w:numFmt w:val="lowerLetter"/>
      <w:lvlText w:val="%3)"/>
      <w:lvlJc w:val="left"/>
      <w:pPr>
        <w:ind w:left="1471" w:hanging="169"/>
      </w:pPr>
      <w:rPr>
        <w:rFonts w:ascii="Calibri" w:eastAsia="Calibri" w:hAnsi="Calibri" w:cs="Calibri"/>
        <w:sz w:val="14"/>
        <w:szCs w:val="14"/>
      </w:rPr>
    </w:lvl>
    <w:lvl w:ilvl="3">
      <w:start w:val="1"/>
      <w:numFmt w:val="bullet"/>
      <w:lvlText w:val="•"/>
      <w:lvlJc w:val="left"/>
      <w:pPr>
        <w:ind w:left="2732" w:hanging="169"/>
      </w:pPr>
    </w:lvl>
    <w:lvl w:ilvl="4">
      <w:start w:val="1"/>
      <w:numFmt w:val="bullet"/>
      <w:lvlText w:val="•"/>
      <w:lvlJc w:val="left"/>
      <w:pPr>
        <w:ind w:left="3924" w:hanging="169"/>
      </w:pPr>
    </w:lvl>
    <w:lvl w:ilvl="5">
      <w:start w:val="1"/>
      <w:numFmt w:val="bullet"/>
      <w:lvlText w:val="•"/>
      <w:lvlJc w:val="left"/>
      <w:pPr>
        <w:ind w:left="5116" w:hanging="169"/>
      </w:pPr>
    </w:lvl>
    <w:lvl w:ilvl="6">
      <w:start w:val="1"/>
      <w:numFmt w:val="bullet"/>
      <w:lvlText w:val="•"/>
      <w:lvlJc w:val="left"/>
      <w:pPr>
        <w:ind w:left="6309" w:hanging="169"/>
      </w:pPr>
    </w:lvl>
    <w:lvl w:ilvl="7">
      <w:start w:val="1"/>
      <w:numFmt w:val="bullet"/>
      <w:lvlText w:val="•"/>
      <w:lvlJc w:val="left"/>
      <w:pPr>
        <w:ind w:left="7501" w:hanging="169"/>
      </w:pPr>
    </w:lvl>
    <w:lvl w:ilvl="8">
      <w:start w:val="1"/>
      <w:numFmt w:val="bullet"/>
      <w:lvlText w:val="•"/>
      <w:lvlJc w:val="left"/>
      <w:pPr>
        <w:ind w:left="8693" w:hanging="169"/>
      </w:pPr>
    </w:lvl>
  </w:abstractNum>
  <w:abstractNum w:abstractNumId="2">
    <w:nsid w:val="628E3EC3"/>
    <w:multiLevelType w:val="multilevel"/>
    <w:tmpl w:val="628E3EC3"/>
    <w:lvl w:ilvl="0">
      <w:start w:val="6"/>
      <w:numFmt w:val="decimal"/>
      <w:lvlText w:val="%1"/>
      <w:lvlJc w:val="left"/>
      <w:pPr>
        <w:ind w:left="1547" w:hanging="844"/>
      </w:pPr>
    </w:lvl>
    <w:lvl w:ilvl="1">
      <w:start w:val="9"/>
      <w:numFmt w:val="decimal"/>
      <w:lvlText w:val="%1.%2"/>
      <w:lvlJc w:val="left"/>
      <w:pPr>
        <w:ind w:left="1547" w:hanging="844"/>
      </w:pPr>
    </w:lvl>
    <w:lvl w:ilvl="2">
      <w:start w:val="1"/>
      <w:numFmt w:val="decimal"/>
      <w:lvlText w:val="%1.%2.%3."/>
      <w:lvlJc w:val="left"/>
      <w:pPr>
        <w:ind w:left="1547" w:hanging="844"/>
      </w:pPr>
      <w:rPr>
        <w:rFonts w:ascii="Calibri" w:eastAsia="Calibri" w:hAnsi="Calibri" w:cs="Calibri"/>
        <w:sz w:val="16"/>
        <w:szCs w:val="16"/>
      </w:rPr>
    </w:lvl>
    <w:lvl w:ilvl="3">
      <w:start w:val="1"/>
      <w:numFmt w:val="bullet"/>
      <w:lvlText w:val="•"/>
      <w:lvlJc w:val="left"/>
      <w:pPr>
        <w:ind w:left="4401" w:hanging="843"/>
      </w:pPr>
    </w:lvl>
    <w:lvl w:ilvl="4">
      <w:start w:val="1"/>
      <w:numFmt w:val="bullet"/>
      <w:lvlText w:val="•"/>
      <w:lvlJc w:val="left"/>
      <w:pPr>
        <w:ind w:left="5355" w:hanging="844"/>
      </w:pPr>
    </w:lvl>
    <w:lvl w:ilvl="5">
      <w:start w:val="1"/>
      <w:numFmt w:val="bullet"/>
      <w:lvlText w:val="•"/>
      <w:lvlJc w:val="left"/>
      <w:pPr>
        <w:ind w:left="6309" w:hanging="844"/>
      </w:pPr>
    </w:lvl>
    <w:lvl w:ilvl="6">
      <w:start w:val="1"/>
      <w:numFmt w:val="bullet"/>
      <w:lvlText w:val="•"/>
      <w:lvlJc w:val="left"/>
      <w:pPr>
        <w:ind w:left="7263" w:hanging="844"/>
      </w:pPr>
    </w:lvl>
    <w:lvl w:ilvl="7">
      <w:start w:val="1"/>
      <w:numFmt w:val="bullet"/>
      <w:lvlText w:val="•"/>
      <w:lvlJc w:val="left"/>
      <w:pPr>
        <w:ind w:left="8216" w:hanging="844"/>
      </w:pPr>
    </w:lvl>
    <w:lvl w:ilvl="8">
      <w:start w:val="1"/>
      <w:numFmt w:val="bullet"/>
      <w:lvlText w:val="•"/>
      <w:lvlJc w:val="left"/>
      <w:pPr>
        <w:ind w:left="9170" w:hanging="844"/>
      </w:pPr>
    </w:lvl>
  </w:abstractNum>
  <w:abstractNum w:abstractNumId="3">
    <w:nsid w:val="750B74DF"/>
    <w:multiLevelType w:val="multilevel"/>
    <w:tmpl w:val="750B74DF"/>
    <w:lvl w:ilvl="0">
      <w:start w:val="6"/>
      <w:numFmt w:val="decimal"/>
      <w:lvlText w:val="%1"/>
      <w:lvlJc w:val="left"/>
      <w:pPr>
        <w:ind w:left="703" w:hanging="844"/>
      </w:pPr>
    </w:lvl>
    <w:lvl w:ilvl="1">
      <w:start w:val="5"/>
      <w:numFmt w:val="decimal"/>
      <w:lvlText w:val="%1.%2"/>
      <w:lvlJc w:val="left"/>
      <w:pPr>
        <w:ind w:left="703" w:hanging="844"/>
      </w:pPr>
    </w:lvl>
    <w:lvl w:ilvl="2">
      <w:start w:val="1"/>
      <w:numFmt w:val="decimal"/>
      <w:lvlText w:val="%1.%2.%3."/>
      <w:lvlJc w:val="left"/>
      <w:pPr>
        <w:ind w:left="703" w:hanging="844"/>
      </w:pPr>
      <w:rPr>
        <w:rFonts w:ascii="Calibri" w:eastAsia="Calibri" w:hAnsi="Calibri" w:cs="Calibri"/>
        <w:sz w:val="14"/>
        <w:szCs w:val="14"/>
      </w:rPr>
    </w:lvl>
    <w:lvl w:ilvl="3">
      <w:start w:val="1"/>
      <w:numFmt w:val="bullet"/>
      <w:lvlText w:val="•"/>
      <w:lvlJc w:val="left"/>
      <w:pPr>
        <w:ind w:left="3813" w:hanging="844"/>
      </w:pPr>
    </w:lvl>
    <w:lvl w:ilvl="4">
      <w:start w:val="1"/>
      <w:numFmt w:val="bullet"/>
      <w:lvlText w:val="•"/>
      <w:lvlJc w:val="left"/>
      <w:pPr>
        <w:ind w:left="4851" w:hanging="843"/>
      </w:pPr>
    </w:lvl>
    <w:lvl w:ilvl="5">
      <w:start w:val="1"/>
      <w:numFmt w:val="bullet"/>
      <w:lvlText w:val="•"/>
      <w:lvlJc w:val="left"/>
      <w:pPr>
        <w:ind w:left="5889" w:hanging="844"/>
      </w:pPr>
    </w:lvl>
    <w:lvl w:ilvl="6">
      <w:start w:val="1"/>
      <w:numFmt w:val="bullet"/>
      <w:lvlText w:val="•"/>
      <w:lvlJc w:val="left"/>
      <w:pPr>
        <w:ind w:left="6927" w:hanging="843"/>
      </w:pPr>
    </w:lvl>
    <w:lvl w:ilvl="7">
      <w:start w:val="1"/>
      <w:numFmt w:val="bullet"/>
      <w:lvlText w:val="•"/>
      <w:lvlJc w:val="left"/>
      <w:pPr>
        <w:ind w:left="7964" w:hanging="844"/>
      </w:pPr>
    </w:lvl>
    <w:lvl w:ilvl="8">
      <w:start w:val="1"/>
      <w:numFmt w:val="bullet"/>
      <w:lvlText w:val="•"/>
      <w:lvlJc w:val="left"/>
      <w:pPr>
        <w:ind w:left="9002" w:hanging="843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887"/>
    <w:rsid w:val="000804E9"/>
    <w:rsid w:val="001A2223"/>
    <w:rsid w:val="00203F8B"/>
    <w:rsid w:val="00221A83"/>
    <w:rsid w:val="004D152E"/>
    <w:rsid w:val="006B0A13"/>
    <w:rsid w:val="006D6EE9"/>
    <w:rsid w:val="0072546A"/>
    <w:rsid w:val="007C6921"/>
    <w:rsid w:val="0080062D"/>
    <w:rsid w:val="0081540C"/>
    <w:rsid w:val="009F007E"/>
    <w:rsid w:val="00B04B20"/>
    <w:rsid w:val="00B9722B"/>
    <w:rsid w:val="00C31887"/>
    <w:rsid w:val="00D342A9"/>
    <w:rsid w:val="00DA02BD"/>
    <w:rsid w:val="00DA682B"/>
    <w:rsid w:val="00DD0F0E"/>
    <w:rsid w:val="00F734F8"/>
    <w:rsid w:val="23073026"/>
    <w:rsid w:val="4126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39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19"/>
      <w:ind w:left="1288"/>
      <w:jc w:val="center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qFormat/>
    <w:rPr>
      <w:rFonts w:ascii="Arial" w:eastAsia="Arial" w:hAnsi="Arial" w:cs="Arial"/>
      <w:b/>
      <w:bCs/>
      <w:sz w:val="26"/>
      <w:szCs w:val="26"/>
      <w:lang w:val="en-US"/>
    </w:rPr>
  </w:style>
  <w:style w:type="table" w:customStyle="1" w:styleId="TableNormal3">
    <w:name w:val="Table Normal3"/>
    <w:uiPriority w:val="2"/>
    <w:semiHidden/>
    <w:unhideWhenUsed/>
    <w:qFormat/>
    <w:pPr>
      <w:autoSpaceDE w:val="0"/>
      <w:autoSpaceDN w:val="0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Calibri" w:eastAsia="Calibri" w:hAnsi="Calibri" w:cs="Calibri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pPr>
      <w:spacing w:before="70"/>
      <w:ind w:left="703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Calibri" w:eastAsia="Calibri" w:hAnsi="Calibri" w:cs="Calibr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alibri" w:eastAsia="Calibri" w:hAnsi="Calibri" w:cs="Calibri"/>
      <w:lang w:val="en-US"/>
    </w:rPr>
  </w:style>
  <w:style w:type="table" w:customStyle="1" w:styleId="Style24">
    <w:name w:val="_Style 24"/>
    <w:basedOn w:val="TableNormal3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5">
    <w:name w:val="_Style 25"/>
    <w:basedOn w:val="TableNormal3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26">
    <w:name w:val="_Style 26"/>
    <w:basedOn w:val="TableNormal3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27">
    <w:name w:val="_Style 27"/>
    <w:basedOn w:val="TableNormal3"/>
    <w:tblPr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39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19"/>
      <w:ind w:left="1288"/>
      <w:jc w:val="center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qFormat/>
    <w:rPr>
      <w:rFonts w:ascii="Arial" w:eastAsia="Arial" w:hAnsi="Arial" w:cs="Arial"/>
      <w:b/>
      <w:bCs/>
      <w:sz w:val="26"/>
      <w:szCs w:val="26"/>
      <w:lang w:val="en-US"/>
    </w:rPr>
  </w:style>
  <w:style w:type="table" w:customStyle="1" w:styleId="TableNormal3">
    <w:name w:val="Table Normal3"/>
    <w:uiPriority w:val="2"/>
    <w:semiHidden/>
    <w:unhideWhenUsed/>
    <w:qFormat/>
    <w:pPr>
      <w:autoSpaceDE w:val="0"/>
      <w:autoSpaceDN w:val="0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Calibri" w:eastAsia="Calibri" w:hAnsi="Calibri" w:cs="Calibri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pPr>
      <w:spacing w:before="70"/>
      <w:ind w:left="703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Calibri" w:eastAsia="Calibri" w:hAnsi="Calibri" w:cs="Calibr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alibri" w:eastAsia="Calibri" w:hAnsi="Calibri" w:cs="Calibri"/>
      <w:lang w:val="en-US"/>
    </w:rPr>
  </w:style>
  <w:style w:type="table" w:customStyle="1" w:styleId="Style24">
    <w:name w:val="_Style 24"/>
    <w:basedOn w:val="TableNormal3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5">
    <w:name w:val="_Style 25"/>
    <w:basedOn w:val="TableNormal3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26">
    <w:name w:val="_Style 26"/>
    <w:basedOn w:val="TableNormal3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27">
    <w:name w:val="_Style 27"/>
    <w:basedOn w:val="TableNormal3"/>
    <w:tblPr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VeQ8zIlRFljIaAhwiFh0KOmzPw==">AMUW2mVXPZoHWaY79J+hbUYPq/1OxAdapQpsdvKHUZW2WCorqa8DSt1AUMZ4lHvl8t+4uJ4VO7LbYd9gy763tjilzxgvqBdVyavY9ZL62UF7DTlw4X8eTU8LZPTOUrPcd2VSQ8NyEsT6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1182</Words>
  <Characters>6387</Characters>
  <Application>Microsoft Office Word</Application>
  <DocSecurity>0</DocSecurity>
  <Lines>53</Lines>
  <Paragraphs>15</Paragraphs>
  <ScaleCrop>false</ScaleCrop>
  <Company/>
  <LinksUpToDate>false</LinksUpToDate>
  <CharactersWithSpaces>7554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JoaoAranha</cp:lastModifiedBy>
  <cp:revision>4</cp:revision>
  <cp:lastPrinted>2022-02-10T04:14:00Z</cp:lastPrinted>
  <dcterms:created xsi:type="dcterms:W3CDTF">2022-02-10T04:14:00Z</dcterms:created>
  <dcterms:modified xsi:type="dcterms:W3CDTF">2022-04-04T12:14:00Z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1046-11.2.0.11042</vt:lpwstr>
  </property>
  <property fmtid="{D5CDD505-2E9C-101B-9397-08002B2CF9AE}" pid="3" name="ICV">
    <vt:lpwstr>7171AC91D15E48F5A277701E47C36970</vt:lpwstr>
  </property>
</Properties>
</file>