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rFonts w:ascii="Arial" w:hAnsi="Arial" w:eastAsia="Arial" w:cs="Arial"/>
          <w:color w:val="000000"/>
          <w:sz w:val="12"/>
          <w:szCs w:val="12"/>
          <w:lang w:val="pt-BR"/>
        </w:rPr>
      </w:pPr>
      <w:r>
        <w:rPr>
          <w:rFonts w:ascii="Arial" w:hAnsi="Arial" w:eastAsia="Arial" w:cs="Arial"/>
          <w:color w:val="000000"/>
          <w:sz w:val="12"/>
          <w:szCs w:val="12"/>
          <w:lang w:val="pt-BR"/>
        </w:rPr>
        <w:t xml:space="preserve">                                                                                                                                          </w:t>
      </w:r>
      <w:r>
        <w:rPr>
          <w:color w:val="000000"/>
          <w:sz w:val="18"/>
          <w:szCs w:val="18"/>
          <w:lang w:val="pt-BR"/>
        </w:rPr>
        <w:drawing>
          <wp:inline distT="0" distB="0" distL="0" distR="0">
            <wp:extent cx="641350" cy="621030"/>
            <wp:effectExtent l="0" t="0" r="0" b="0"/>
            <wp:docPr id="44" name="image1.png" descr="https://lh5.googleusercontent.com/53M8QQDJS_4IlhGprs3cWeym2msiXdlspwrDyrNaVfDBNK0D0s94TPFPgYVAhZ2KvwOcGtc8KZlPSHdKpmXeVDGQD1Ja-VAzff5hkYae74mlUMELc5iy0zFgmNfl3DT4-uwE0P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 descr="https://lh5.googleusercontent.com/53M8QQDJS_4IlhGprs3cWeym2msiXdlspwrDyrNaVfDBNK0D0s94TPFPgYVAhZ2KvwOcGtc8KZlPSHdKpmXeVDGQD1Ja-VAzff5hkYae74mlUMELc5iy0zFgmNfl3DT4-uwE0P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35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rFonts w:ascii="Arial" w:hAnsi="Arial" w:eastAsia="Arial" w:cs="Arial"/>
          <w:color w:val="000000"/>
          <w:sz w:val="12"/>
          <w:szCs w:val="12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rFonts w:ascii="Arial" w:hAnsi="Arial" w:eastAsia="Arial" w:cs="Arial"/>
          <w:color w:val="000000"/>
          <w:sz w:val="12"/>
          <w:szCs w:val="12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rFonts w:ascii="Arial" w:hAnsi="Arial" w:eastAsia="Arial" w:cs="Arial"/>
          <w:color w:val="000000"/>
          <w:sz w:val="12"/>
          <w:szCs w:val="12"/>
          <w:lang w:val="pt-BR"/>
        </w:rPr>
      </w:pP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eastAsia="Arial" w:cs="Arial"/>
          <w:color w:val="000000"/>
          <w:sz w:val="18"/>
          <w:szCs w:val="18"/>
          <w:lang w:val="pt-BR"/>
        </w:rPr>
      </w:pPr>
      <w:r>
        <w:rPr>
          <w:rFonts w:ascii="Arial" w:hAnsi="Arial" w:eastAsia="Arial" w:cs="Arial"/>
          <w:b/>
          <w:color w:val="000000"/>
          <w:sz w:val="18"/>
          <w:szCs w:val="18"/>
          <w:lang w:val="pt-BR"/>
        </w:rPr>
        <w:t>MINISTÉRIO DA EDUCAÇÃO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1288" w:firstLine="1288"/>
        <w:rPr>
          <w:rFonts w:ascii="Arial" w:hAnsi="Arial" w:eastAsia="Arial" w:cs="Arial"/>
          <w:b/>
          <w:color w:val="000000"/>
          <w:sz w:val="18"/>
          <w:szCs w:val="18"/>
          <w:lang w:val="pt-BR"/>
        </w:rPr>
      </w:pPr>
      <w:r>
        <w:rPr>
          <w:rFonts w:ascii="Arial" w:hAnsi="Arial" w:eastAsia="Arial" w:cs="Arial"/>
          <w:b/>
          <w:color w:val="000000"/>
          <w:sz w:val="18"/>
          <w:szCs w:val="18"/>
          <w:lang w:val="pt-BR"/>
        </w:rPr>
        <w:t xml:space="preserve">             UNIVERSIDADE FEDERAL FLUMINENSE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eastAsia="Arial" w:cs="Arial"/>
          <w:color w:val="000000"/>
          <w:sz w:val="18"/>
          <w:szCs w:val="18"/>
          <w:lang w:val="pt-BR"/>
        </w:rPr>
      </w:pPr>
      <w:r>
        <w:rPr>
          <w:rFonts w:ascii="Arial" w:hAnsi="Arial" w:eastAsia="Arial" w:cs="Arial"/>
          <w:b/>
          <w:color w:val="000000"/>
          <w:sz w:val="18"/>
          <w:szCs w:val="18"/>
          <w:lang w:val="pt-BR"/>
        </w:rPr>
        <w:t>PRÓ-REITORIA DE ADMINISTRAÇÃO</w:t>
      </w:r>
    </w:p>
    <w:p>
      <w:pPr>
        <w:rPr>
          <w:rFonts w:ascii="Arial" w:hAnsi="Arial" w:eastAsia="Arial" w:cs="Arial"/>
          <w:sz w:val="18"/>
          <w:szCs w:val="18"/>
          <w:lang w:val="pt-BR"/>
        </w:rPr>
      </w:pP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eastAsia="Arial" w:cs="Arial"/>
          <w:color w:val="000000" w:themeColor="text1"/>
          <w:sz w:val="18"/>
          <w:szCs w:val="18"/>
          <w:lang w:val="pt-BR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b/>
          <w:color w:val="000000" w:themeColor="text1"/>
          <w:sz w:val="18"/>
          <w:szCs w:val="18"/>
          <w:lang w:val="pt-BR"/>
          <w14:textFill>
            <w14:solidFill>
              <w14:schemeClr w14:val="tx1"/>
            </w14:solidFill>
          </w14:textFill>
        </w:rPr>
        <w:t xml:space="preserve">ANEXO VI DO EDITAL DO PREGÃO ELETRÔNICO N.º </w:t>
      </w:r>
      <w:r>
        <w:rPr>
          <w:rFonts w:hint="default" w:ascii="Arial" w:hAnsi="Arial" w:eastAsia="Arial" w:cs="Arial"/>
          <w:b/>
          <w:color w:val="000000" w:themeColor="text1"/>
          <w:sz w:val="18"/>
          <w:szCs w:val="18"/>
          <w:lang w:val="pt-BR"/>
          <w14:textFill>
            <w14:solidFill>
              <w14:schemeClr w14:val="tx1"/>
            </w14:solidFill>
          </w14:textFill>
        </w:rPr>
        <w:t>20</w:t>
      </w:r>
      <w:r>
        <w:rPr>
          <w:rFonts w:ascii="Arial" w:hAnsi="Arial" w:eastAsia="Arial" w:cs="Arial"/>
          <w:b/>
          <w:color w:val="000000" w:themeColor="text1"/>
          <w:sz w:val="18"/>
          <w:szCs w:val="18"/>
          <w:lang w:val="pt-BR"/>
          <w14:textFill>
            <w14:solidFill>
              <w14:schemeClr w14:val="tx1"/>
            </w14:solidFill>
          </w14:textFill>
        </w:rPr>
        <w:t>/2022/AD</w:t>
      </w:r>
    </w:p>
    <w:p>
      <w:pPr>
        <w:spacing w:after="240"/>
        <w:jc w:val="center"/>
        <w:rPr>
          <w:rFonts w:ascii="Arial" w:hAnsi="Arial" w:eastAsia="Arial" w:cs="Arial"/>
          <w:b/>
          <w:color w:val="000000"/>
          <w:sz w:val="18"/>
          <w:szCs w:val="18"/>
          <w:lang w:val="pt-BR"/>
        </w:rPr>
      </w:pPr>
      <w:r>
        <w:rPr>
          <w:rFonts w:ascii="Arial" w:hAnsi="Arial" w:eastAsia="Arial" w:cs="Arial"/>
          <w:sz w:val="18"/>
          <w:szCs w:val="18"/>
          <w:lang w:val="pt-BR"/>
        </w:rPr>
        <w:br w:type="textWrapping"/>
      </w:r>
      <w:r>
        <w:rPr>
          <w:rFonts w:ascii="Arial" w:hAnsi="Arial" w:eastAsia="Arial" w:cs="Arial"/>
          <w:b/>
          <w:color w:val="000000"/>
          <w:sz w:val="18"/>
          <w:szCs w:val="18"/>
          <w:lang w:val="pt-BR"/>
        </w:rPr>
        <w:t> MINUTA ATA DE REGISTRO DE PREÇOS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-7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val="pt-BR"/>
        </w:rPr>
      </w:pPr>
      <w:r>
        <w:rPr>
          <w:rFonts w:ascii="Verdana" w:hAnsi="Verdana" w:eastAsia="Verdana" w:cs="Verdana"/>
          <w:b/>
          <w:color w:val="000000"/>
          <w:sz w:val="20"/>
          <w:szCs w:val="20"/>
          <w:lang w:val="pt-BR"/>
        </w:rPr>
        <w:t>___________________________________________________________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b/>
          <w:color w:val="000000"/>
          <w:sz w:val="14"/>
          <w:szCs w:val="14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3"/>
        <w:rPr>
          <w:b/>
          <w:color w:val="000000"/>
          <w:sz w:val="17"/>
          <w:szCs w:val="17"/>
          <w:lang w:val="pt-BR"/>
        </w:rPr>
      </w:pPr>
    </w:p>
    <w:p>
      <w:pPr>
        <w:ind w:left="703" w:right="555"/>
        <w:jc w:val="both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 xml:space="preserve">A  </w:t>
      </w:r>
      <w:r>
        <w:rPr>
          <w:b/>
          <w:sz w:val="18"/>
          <w:szCs w:val="18"/>
          <w:lang w:val="pt-BR"/>
        </w:rPr>
        <w:t>Pró-Reitoria de Administração da Universidade Federal Fluminense (PROAD/UFF),</w:t>
      </w:r>
      <w:r>
        <w:rPr>
          <w:sz w:val="18"/>
          <w:szCs w:val="18"/>
          <w:lang w:val="pt-BR"/>
        </w:rPr>
        <w:t xml:space="preserve"> inscrito no CNPJ/MF sob o nº. 28.523.215/0039-89, situada na Rua Miguel de Frias, 9, 1º andar, Icaraí, Niterói/RJ, CEP 24.220-900, neste ato representado pelo(a) Vera Lucia Lavrado Cupelo Cajazeiras, brasileiro(a), portador da Carteira de Identidade nº. 04676009-6, emitida pelo Detran - RJ, CPF nº 716.286.817-72, considerando o julgamento da licitação na modalidade de pregão, na forma eletrônica, para REGISTRO DE PREÇOS nº </w:t>
      </w:r>
      <w:r>
        <w:rPr>
          <w:rFonts w:hint="default"/>
          <w:sz w:val="18"/>
          <w:szCs w:val="18"/>
          <w:lang w:val="pt-BR"/>
        </w:rPr>
        <w:t>20/2022</w:t>
      </w:r>
      <w:r>
        <w:rPr>
          <w:sz w:val="18"/>
          <w:szCs w:val="18"/>
          <w:lang w:val="pt-BR"/>
        </w:rPr>
        <w:t xml:space="preserve">, publicada no DOU de </w:t>
      </w:r>
      <w:r>
        <w:rPr>
          <w:sz w:val="18"/>
          <w:szCs w:val="18"/>
          <w:highlight w:val="yellow"/>
          <w:lang w:val="pt-BR"/>
        </w:rPr>
        <w:t>...../...../20.....,</w:t>
      </w:r>
      <w:r>
        <w:rPr>
          <w:sz w:val="18"/>
          <w:szCs w:val="18"/>
          <w:lang w:val="pt-BR"/>
        </w:rPr>
        <w:t xml:space="preserve"> processo administrativo n.º 23069.151880/2022-14, RESOLVE registrar os preços da(s)  empresa(s) indicada(s) e qualificada(s) nesta ATA, de acordo com a classificação por ela(s) alcançada(s) e na(s)  quantidade(s)  cotada(s), atendendo as condições previstas no edital, sujeitando-se as partes às normas constantes na Lei nº 8.666, de 21 de junho de 1993 e suas alterações, no Decreto n.º 7.892, de 23 de janeiro de 2013, e em conformidade com as disposições a seguir: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14"/>
          <w:szCs w:val="14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1"/>
        <w:rPr>
          <w:color w:val="000000"/>
          <w:sz w:val="10"/>
          <w:szCs w:val="10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1"/>
        <w:ind w:hanging="8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DO OBJETO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A presente Ata tem por objeto o registro de preços para a eventual locação de caçambas para retirada de resíduos  e limpeza de fossas, especiﬁcado(s) no(s) item(ns) do Termo de Referência e Planilha de Itens, Anexos II do edital de Pregão nº</w:t>
      </w:r>
      <w:r>
        <w:rPr>
          <w:color w:val="000000" w:themeColor="text1"/>
          <w:sz w:val="18"/>
          <w:szCs w:val="18"/>
          <w:lang w:val="pt-B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color w:val="000000" w:themeColor="text1"/>
          <w:sz w:val="18"/>
          <w:szCs w:val="18"/>
          <w:lang w:val="pt-BR"/>
          <w14:textFill>
            <w14:solidFill>
              <w14:schemeClr w14:val="tx1"/>
            </w14:solidFill>
          </w14:textFill>
        </w:rPr>
        <w:t>20/2022</w:t>
      </w:r>
      <w:r>
        <w:rPr>
          <w:color w:val="000000"/>
          <w:sz w:val="18"/>
          <w:szCs w:val="18"/>
          <w:lang w:val="pt-BR"/>
        </w:rPr>
        <w:t>, que é parte integrante desta Ata, assim como a proposta vencedora, independentemente de transcrição.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703" w:right="556"/>
        <w:jc w:val="both"/>
        <w:rPr>
          <w:color w:val="000000"/>
          <w:sz w:val="18"/>
          <w:szCs w:val="18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1"/>
        <w:ind w:hanging="845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DOS PREÇOS, ESPECIFICAÇÕES E QUANTITATIVOS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preço registrado, as especi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cações do objeto, a quantidade, fornecedor(es) e as demais condições ofertadas na(s) proposta(s) são as que seguem:</w:t>
      </w:r>
    </w:p>
    <w:tbl>
      <w:tblPr>
        <w:tblStyle w:val="28"/>
        <w:tblW w:w="10685" w:type="dxa"/>
        <w:tblInd w:w="0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5"/>
        <w:gridCol w:w="50"/>
        <w:gridCol w:w="1721"/>
        <w:gridCol w:w="1068"/>
        <w:gridCol w:w="665"/>
        <w:gridCol w:w="404"/>
        <w:gridCol w:w="968"/>
        <w:gridCol w:w="101"/>
        <w:gridCol w:w="819"/>
        <w:gridCol w:w="249"/>
        <w:gridCol w:w="350"/>
        <w:gridCol w:w="719"/>
        <w:gridCol w:w="103"/>
        <w:gridCol w:w="617"/>
        <w:gridCol w:w="348"/>
        <w:gridCol w:w="439"/>
        <w:gridCol w:w="630"/>
        <w:gridCol w:w="23"/>
        <w:gridCol w:w="1046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66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"/>
              <w:rPr>
                <w:color w:val="000000"/>
                <w:sz w:val="14"/>
                <w:szCs w:val="14"/>
                <w:lang w:val="pt-BR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ITEM</w:t>
            </w:r>
          </w:p>
        </w:tc>
        <w:tc>
          <w:tcPr>
            <w:tcW w:w="3504" w:type="dxa"/>
            <w:gridSpan w:val="4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"/>
              <w:rPr>
                <w:color w:val="000000"/>
                <w:sz w:val="14"/>
                <w:szCs w:val="1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1365" w:right="1348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DESCRIÇÃO CATMAT</w:t>
            </w:r>
          </w:p>
        </w:tc>
        <w:tc>
          <w:tcPr>
            <w:tcW w:w="1372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80" w:line="242" w:lineRule="auto"/>
              <w:ind w:left="46" w:right="3" w:firstLine="153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DESCRIÇÃO COMPLEMENTAR</w:t>
            </w:r>
          </w:p>
        </w:tc>
        <w:tc>
          <w:tcPr>
            <w:tcW w:w="920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80" w:line="242" w:lineRule="auto"/>
              <w:ind w:left="238" w:right="12" w:hanging="194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IDENTIFICAÇÃO CATMAT</w:t>
            </w:r>
          </w:p>
        </w:tc>
        <w:tc>
          <w:tcPr>
            <w:tcW w:w="599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28" w:right="11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UNIDADE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76" w:right="57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 MEDIDA</w:t>
            </w:r>
          </w:p>
        </w:tc>
        <w:tc>
          <w:tcPr>
            <w:tcW w:w="822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"/>
              <w:rPr>
                <w:color w:val="000000"/>
                <w:sz w:val="14"/>
                <w:szCs w:val="1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6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QUANTIDADE</w:t>
            </w:r>
          </w:p>
        </w:tc>
        <w:tc>
          <w:tcPr>
            <w:tcW w:w="617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80" w:line="242" w:lineRule="auto"/>
              <w:ind w:left="45" w:right="3" w:firstLine="83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VALOR UNITÁRIO</w:t>
            </w:r>
          </w:p>
        </w:tc>
        <w:tc>
          <w:tcPr>
            <w:tcW w:w="787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80" w:line="242" w:lineRule="auto"/>
              <w:ind w:left="226" w:hanging="13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VALOR TOTAL</w:t>
            </w:r>
          </w:p>
        </w:tc>
        <w:tc>
          <w:tcPr>
            <w:tcW w:w="653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"/>
              <w:rPr>
                <w:color w:val="000000"/>
                <w:sz w:val="14"/>
                <w:szCs w:val="1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12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MARCA</w:t>
            </w:r>
          </w:p>
        </w:tc>
        <w:tc>
          <w:tcPr>
            <w:tcW w:w="1046" w:type="dxa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80" w:line="242" w:lineRule="auto"/>
              <w:ind w:left="181" w:right="159" w:firstLine="78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EMPRESA VENCEDORA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686" w:type="dxa"/>
            <w:gridSpan w:val="19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  <w:r>
              <w:rPr>
                <w:color w:val="000000"/>
                <w:sz w:val="14"/>
                <w:szCs w:val="14"/>
                <w:lang w:val="pt-BR"/>
              </w:rPr>
              <w:t>CNPJ, RAZÃO SOCIAL, ENDEREÇO, TELEFONE, E-MAIL, DADOS BANCARIOS E REPRESENTATE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65" w:right="50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16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721" w:type="dxa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8" w:type="dxa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8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8" w:type="dxa"/>
            <w:gridSpan w:val="3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1069" w:type="dxa"/>
            <w:gridSpan w:val="2"/>
            <w:tcBorders>
              <w:right w:val="single" w:color="808080" w:sz="8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65" w:right="53"/>
              <w:jc w:val="center"/>
              <w:rPr>
                <w:color w:val="000000"/>
                <w:sz w:val="14"/>
                <w:szCs w:val="14"/>
                <w:lang w:val="pt-BR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8"/>
        <w:rPr>
          <w:color w:val="000000"/>
          <w:sz w:val="5"/>
          <w:szCs w:val="5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107"/>
        <w:ind w:right="557"/>
        <w:jc w:val="both"/>
        <w:rPr>
          <w:color w:val="000000"/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107"/>
        <w:ind w:left="703" w:right="557"/>
        <w:jc w:val="both"/>
        <w:rPr>
          <w:color w:val="000000"/>
          <w:sz w:val="18"/>
          <w:szCs w:val="18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8"/>
        <w:ind w:hanging="845"/>
        <w:rPr>
          <w:b/>
          <w:sz w:val="18"/>
          <w:szCs w:val="18"/>
          <w:lang w:val="pt-BR"/>
        </w:rPr>
      </w:pPr>
      <w:r>
        <w:rPr>
          <w:b/>
          <w:sz w:val="18"/>
          <w:szCs w:val="18"/>
          <w:lang w:val="pt-BR"/>
        </w:rPr>
        <w:t>ÓRGÃO(S) GERENCIADOR E PARTICIPANTE(S)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 w:hanging="845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O órgão gerenciador será a Pró-Reitoria de Administração.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 w:hanging="845"/>
        <w:rPr>
          <w:rFonts w:ascii="Arial" w:hAnsi="Arial" w:eastAsia="Arial" w:cs="Arial"/>
          <w:sz w:val="20"/>
          <w:szCs w:val="20"/>
          <w:lang w:val="pt-BR"/>
        </w:rPr>
      </w:pPr>
      <w:r>
        <w:rPr>
          <w:sz w:val="18"/>
          <w:szCs w:val="18"/>
          <w:lang w:val="pt-BR"/>
        </w:rPr>
        <w:t>A IRP nº</w:t>
      </w:r>
      <w:r>
        <w:rPr>
          <w:rFonts w:hint="default"/>
          <w:sz w:val="18"/>
          <w:szCs w:val="18"/>
          <w:lang w:val="pt-BR"/>
        </w:rPr>
        <w:t xml:space="preserve"> 17/2022 </w:t>
      </w:r>
      <w:bookmarkStart w:id="1" w:name="_GoBack"/>
      <w:bookmarkEnd w:id="1"/>
      <w:r>
        <w:rPr>
          <w:sz w:val="18"/>
          <w:szCs w:val="18"/>
          <w:lang w:val="pt-BR"/>
        </w:rPr>
        <w:t>não foi divulgada, conforme previsão do §1º, Art. 4º, do Decreto 7.892/2013.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hanging="845"/>
        <w:rPr>
          <w:b/>
          <w:color w:val="000000"/>
          <w:sz w:val="18"/>
          <w:szCs w:val="18"/>
          <w:lang w:val="pt-BR"/>
        </w:rPr>
      </w:pPr>
      <w:r>
        <w:rPr>
          <w:b/>
          <w:color w:val="000000"/>
          <w:sz w:val="18"/>
          <w:szCs w:val="18"/>
          <w:lang w:val="pt-BR"/>
        </w:rPr>
        <w:t>DA ADESÃO À ATA DE REGISTRO DE PREÇOS</w:t>
      </w:r>
      <w:r>
        <w:rPr>
          <w:rFonts w:ascii="Times New Roman" w:hAnsi="Times New Roman" w:eastAsia="Times New Roman" w:cs="Times New Roman"/>
          <w:sz w:val="24"/>
          <w:szCs w:val="24"/>
          <w:lang w:val="pt-BR"/>
        </w:rPr>
        <w:br w:type="textWrapping"/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será admitida a adesão à ata de registro de preços decorrente desta licitação. Cita-se como fundamentação o acórdão 1297/2015: “a adesão prevista no art. 22 do Decreto 7.892/2013 para órgão não participante (ou seja, que não participou dos procedimentos iniciais da licitação) é uma possibilidade anômala e excepcional, e não uma obrigatoriedade a constar necessariamente em todos os editais e contratos de pregões para Sistema de Registro de Preços”.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rPr>
          <w:color w:val="000000"/>
          <w:sz w:val="18"/>
          <w:szCs w:val="18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5"/>
        <w:ind w:hanging="845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VALIDADE DA ATA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A validade da Ata de Registro de Preços será de 12 meses a partir da assinatura, não podendo ser prorrogada.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jc w:val="both"/>
        <w:rPr>
          <w:color w:val="000000"/>
          <w:sz w:val="18"/>
          <w:szCs w:val="18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1"/>
        <w:ind w:hanging="845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REVISÃO E CANCELAMENTO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right="560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A Administração realizará pesquisa de mercado periodicamente, em intervalos não superiores a 180 (cento e oitenta) dias, a 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m de veri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car a  vantajosidade dos preços registrados nesta Ata.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Os preços registrados poderão ser revistos em decorrência de eventual redução dos preços praticados no mercado ou de fato que eleve o custo do objeto registrado, cabendo à Administração promover as negociações junto ao(s) fornecedor(es).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5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Quando o preço registrado tornar-se superior ao preço praticado no mercado por motivo superveniente, a Administração convocará o(s) fornecedor(es)   para negociar(em) a redução dos preços aos valores praticados pelo mercado.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fornecedor que não aceitar reduzir seu preço ao valor praticado pelo mercado será liberado do compromisso assumido, sem aplicação de penalidade.</w:t>
      </w:r>
    </w:p>
    <w:p>
      <w:pPr>
        <w:tabs>
          <w:tab w:val="left" w:pos="1547"/>
        </w:tabs>
        <w:spacing w:before="70"/>
        <w:ind w:left="703"/>
        <w:jc w:val="both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6.4.1.</w:t>
      </w:r>
      <w:r>
        <w:rPr>
          <w:sz w:val="18"/>
          <w:szCs w:val="18"/>
          <w:lang w:val="pt-BR"/>
        </w:rPr>
        <w:tab/>
      </w:r>
      <w:r>
        <w:rPr>
          <w:sz w:val="18"/>
          <w:szCs w:val="18"/>
          <w:lang w:val="pt-BR"/>
        </w:rPr>
        <w:t>A ordem de classi</w:t>
      </w:r>
      <w:r>
        <w:rPr>
          <w:sz w:val="18"/>
          <w:szCs w:val="18"/>
        </w:rPr>
        <w:t>ﬁ</w:t>
      </w:r>
      <w:r>
        <w:rPr>
          <w:sz w:val="18"/>
          <w:szCs w:val="18"/>
          <w:lang w:val="pt-BR"/>
        </w:rPr>
        <w:t>cação dos fornecedores que aceitarem reduzir seus preços aos valores de mercado observará a classi</w:t>
      </w:r>
      <w:r>
        <w:rPr>
          <w:sz w:val="18"/>
          <w:szCs w:val="18"/>
        </w:rPr>
        <w:t>ﬁ</w:t>
      </w:r>
      <w:r>
        <w:rPr>
          <w:sz w:val="18"/>
          <w:szCs w:val="18"/>
          <w:lang w:val="pt-BR"/>
        </w:rPr>
        <w:t>cação original.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Quando o preço de mercado tornar-se superior aos preços registrados e o fornecedor não puder cumprir o compromisso, o órgão gerenciador poderá:</w:t>
      </w:r>
    </w:p>
    <w:p>
      <w:pPr>
        <w:numPr>
          <w:ilvl w:val="2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right="559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liberar o fornecedor do compromisso assumido, caso a comunicação ocorra antes do pedido de fornecimento, e sem aplicação  da  penalidade  se  con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rmada a veracidade dos motivos e comprovantes apresentados; e</w:t>
      </w:r>
    </w:p>
    <w:p>
      <w:pPr>
        <w:numPr>
          <w:ilvl w:val="2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convocar os demais fornecedores para assegurar igual oportunidade de negociação.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1"/>
        <w:ind w:right="558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havendo êxito nas negociações, o órgão gerenciador deverá proceder à revogação desta ata de registro de preços, adotando as medidas cabíveis para obtenção da contratação mais vantajosa.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registro do fornecedor será cancelado quando:</w:t>
      </w:r>
    </w:p>
    <w:p>
      <w:pPr>
        <w:numPr>
          <w:ilvl w:val="2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descumprir as condições da ata de registro de preços;</w:t>
      </w:r>
    </w:p>
    <w:p>
      <w:pPr>
        <w:numPr>
          <w:ilvl w:val="2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107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retirar a nota de empenho ou instrumento equivalente no prazo estabelecido pela Administração, sem justi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cativa aceitável;</w:t>
      </w:r>
    </w:p>
    <w:p>
      <w:pPr>
        <w:numPr>
          <w:ilvl w:val="2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não aceitar reduzir o seu preço registrado, na hipótese deste se tornar superior àqueles praticados no mercado; ou</w:t>
      </w:r>
    </w:p>
    <w:p>
      <w:pPr>
        <w:numPr>
          <w:ilvl w:val="2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sofrer sanção administrativa cujo efeito torne-o proibido de celebrar contrato administrativo, alcançando o órgão gerenciador e órgão(s) participante(s).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1"/>
        <w:ind w:right="563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cancelamento de registros nas hipóteses previstas nos itens 6.7.1, 6.7.2 e 6.7.4 será formalizado por despacho do órgão gerenciador, assegurado o contraditório e a ampla defesa.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cancelamento do registro de preços poderá ocorrer por fato superveniente, decorrente de caso fortuito ou força maior,  que prejudique o cumprimento   da ata, devidamente comprovados e justi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cados:</w:t>
      </w:r>
    </w:p>
    <w:p>
      <w:pPr>
        <w:numPr>
          <w:ilvl w:val="2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por razão de interesse público; ou</w:t>
      </w:r>
    </w:p>
    <w:p>
      <w:pPr>
        <w:numPr>
          <w:ilvl w:val="2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hanging="84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pedido do fornecedor.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left="1547"/>
        <w:jc w:val="both"/>
        <w:rPr>
          <w:b/>
          <w:color w:val="000000"/>
          <w:sz w:val="18"/>
          <w:szCs w:val="18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0"/>
        <w:ind w:hanging="8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DAS PENALIDADES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985"/>
        </w:tabs>
        <w:spacing w:before="70"/>
        <w:ind w:left="1547" w:hanging="845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descumprimento da Ata de Registro de Preços ensejará aplicação das penalidades estabelecidas no Edital e no Termo de Referência, Anexo I do Edital.</w:t>
      </w:r>
    </w:p>
    <w:p>
      <w:pPr>
        <w:tabs>
          <w:tab w:val="left" w:pos="1547"/>
        </w:tabs>
        <w:spacing w:before="71"/>
        <w:ind w:left="703" w:right="556"/>
        <w:jc w:val="both"/>
        <w:rPr>
          <w:sz w:val="18"/>
          <w:szCs w:val="18"/>
          <w:lang w:val="pt-BR"/>
        </w:rPr>
      </w:pPr>
      <w:r>
        <w:rPr>
          <w:sz w:val="16"/>
          <w:szCs w:val="16"/>
          <w:lang w:val="pt-BR"/>
        </w:rPr>
        <w:t>7.1.1.</w:t>
      </w:r>
      <w:r>
        <w:rPr>
          <w:sz w:val="18"/>
          <w:szCs w:val="18"/>
          <w:lang w:val="pt-BR"/>
        </w:rPr>
        <w:tab/>
      </w:r>
      <w:r>
        <w:rPr>
          <w:sz w:val="18"/>
          <w:szCs w:val="18"/>
          <w:lang w:val="pt-BR"/>
        </w:rPr>
        <w:t>As sanções do item acima também se aplicam aos integrantes do cadastro de reserva, em pregão para registro de preços que, convocados, não honrarem o compromisso assumido injusti</w:t>
      </w:r>
      <w:r>
        <w:rPr>
          <w:sz w:val="18"/>
          <w:szCs w:val="18"/>
        </w:rPr>
        <w:t>ﬁ</w:t>
      </w:r>
      <w:r>
        <w:rPr>
          <w:sz w:val="18"/>
          <w:szCs w:val="18"/>
          <w:lang w:val="pt-BR"/>
        </w:rPr>
        <w:t>cadamente, nos termos do art. 49, §1º do Decreto nº 10.024/19.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6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É da competência do órgão gerenciador a aplicação das penalidades decorrentes do descumprimento do pactuado nesta ata de registro de preço (art. 5º, inciso X, do Decreto nº 7.892/2013), exceto nas hipóteses em que o descumprimento disser respeito às contratações dos órgãos participantes, caso no qual caberá ao respectivo órgão participante a aplicação da penalidade (art. 6º, Parágrafo único, do Decreto nº 7.892/2013).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7"/>
        <w:ind w:right="562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O órgão participante deverá comunicar ao órgão gerenciador qualquer das ocorrências previstas no art. 20 do Decreto nº 7.892/2013, dada a necessidade   de instauração de procedimento para cancelamento do registro do fornecedor.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7"/>
        <w:ind w:left="703" w:right="562"/>
        <w:jc w:val="both"/>
        <w:rPr>
          <w:color w:val="000000"/>
          <w:sz w:val="18"/>
          <w:szCs w:val="18"/>
          <w:lang w:val="pt-BR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hanging="8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CONDIÇÕES GERAIS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71"/>
        <w:ind w:right="558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As condições gerais do fornecimento, tais como os prazos para entrega e recebimento do objeto, as obrigações da Administração e do  fornecedor registrado, penalidades e demais condições do ajuste, encontram-se de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nidos no Termo de Referência, ANEXO AO EDITAL.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9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 xml:space="preserve">É vedado efetuar acréscimos nos quantitativos </w:t>
      </w:r>
      <w:r>
        <w:rPr>
          <w:color w:val="000000"/>
          <w:sz w:val="18"/>
          <w:szCs w:val="18"/>
        </w:rPr>
        <w:t>ﬁ</w:t>
      </w:r>
      <w:r>
        <w:rPr>
          <w:color w:val="000000"/>
          <w:sz w:val="18"/>
          <w:szCs w:val="18"/>
          <w:lang w:val="pt-BR"/>
        </w:rPr>
        <w:t>xados nesta ata de registro de preços, inclusive o acréscimo de que trata o § 1º do art. 65 da Lei nº   8.666/93.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5" w:firstLine="0"/>
        <w:jc w:val="both"/>
        <w:rPr>
          <w:color w:val="000000"/>
          <w:sz w:val="18"/>
          <w:szCs w:val="18"/>
          <w:lang w:val="pt-BR"/>
        </w:rPr>
      </w:pPr>
      <w:r>
        <w:rPr>
          <w:color w:val="000000"/>
          <w:sz w:val="18"/>
          <w:szCs w:val="18"/>
          <w:lang w:val="pt-BR"/>
        </w:rPr>
        <w:t>A ata de realização da sessão pública do pregão, contendo a relação dos licitantes que aceitarem cotar os bens ou serviços com preços iguais ao do      licitante vencedor do certame, compõe anexo a esta Ata de Registro de Preços, nos termos do art. 11, §4º do Decreto n. 7.892, de 2013.</w:t>
      </w:r>
    </w:p>
    <w:p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547"/>
          <w:tab w:val="left" w:pos="1548"/>
        </w:tabs>
        <w:spacing w:before="69"/>
        <w:ind w:right="555" w:firstLine="0"/>
        <w:jc w:val="both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O Termo de Responsabilidade sobre a ata de registro de preços compõe anexo a esta Ata de Registro de Preços.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sz w:val="18"/>
          <w:szCs w:val="18"/>
          <w:lang w:val="pt-BR"/>
        </w:rPr>
      </w:pPr>
    </w:p>
    <w:p>
      <w:pPr>
        <w:ind w:left="703" w:firstLine="17"/>
        <w:jc w:val="center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>Niterói, RJ, ____ de ___________ de 2022.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18"/>
          <w:szCs w:val="18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"/>
        <w:rPr>
          <w:color w:val="000000"/>
          <w:sz w:val="18"/>
          <w:szCs w:val="18"/>
          <w:lang w:val="pt-BR"/>
        </w:rPr>
      </w:pPr>
    </w:p>
    <w:p>
      <w:pPr>
        <w:spacing w:before="70"/>
        <w:ind w:left="3164" w:right="3018"/>
        <w:jc w:val="center"/>
        <w:rPr>
          <w:b/>
          <w:sz w:val="18"/>
          <w:szCs w:val="18"/>
          <w:lang w:val="pt-BR"/>
        </w:rPr>
      </w:pPr>
      <w:r>
        <w:rPr>
          <w:b/>
          <w:sz w:val="18"/>
          <w:szCs w:val="18"/>
          <w:lang w:val="pt-BR"/>
        </w:rPr>
        <w:t>VERA LÚCIA LAVRADO CUPELLO CAJAZEIRAS</w:t>
      </w:r>
    </w:p>
    <w:p>
      <w:pPr>
        <w:spacing w:before="70"/>
        <w:ind w:left="3164" w:right="3018"/>
        <w:jc w:val="center"/>
        <w:rPr>
          <w:sz w:val="18"/>
          <w:szCs w:val="18"/>
        </w:rPr>
      </w:pPr>
      <w:r>
        <w:rPr>
          <w:sz w:val="18"/>
          <w:szCs w:val="18"/>
        </w:rPr>
        <w:t>Pró-Reitora de Administração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"/>
        <w:rPr>
          <w:color w:val="000000"/>
          <w:sz w:val="18"/>
          <w:szCs w:val="18"/>
        </w:rPr>
      </w:pPr>
    </w:p>
    <w:p>
      <w:bookmarkStart w:id="0" w:name="_heading=h.gjdgxs" w:colFirst="0" w:colLast="0"/>
      <w:bookmarkEnd w:id="0"/>
    </w:p>
    <w:sectPr>
      <w:headerReference r:id="rId3" w:type="default"/>
      <w:pgSz w:w="11906" w:h="16838"/>
      <w:pgMar w:top="1417" w:right="991" w:bottom="56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t xml:space="preserve">                                     </w:t>
    </w:r>
    <w:r>
      <w:rPr>
        <w:rFonts w:ascii="Verdana" w:hAnsi="Verdana" w:eastAsia="Verdana" w:cs="Verdana"/>
        <w:color w:val="000000"/>
        <w:sz w:val="16"/>
        <w:szCs w:val="16"/>
      </w:rPr>
      <w:t>Processo n.º 23069.151880/2022-14</w:t>
    </w:r>
    <w:r>
      <w:rPr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85800" cy="370840"/>
          <wp:effectExtent l="0" t="0" r="0" b="0"/>
          <wp:wrapNone/>
          <wp:docPr id="43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85800" cy="370840"/>
          <wp:effectExtent l="0" t="0" r="0" b="0"/>
          <wp:wrapNone/>
          <wp:docPr id="4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EC3830"/>
    <w:multiLevelType w:val="multilevel"/>
    <w:tmpl w:val="02EC3830"/>
    <w:lvl w:ilvl="0" w:tentative="0">
      <w:start w:val="6"/>
      <w:numFmt w:val="decimal"/>
      <w:lvlText w:val="%1"/>
      <w:lvlJc w:val="left"/>
      <w:pPr>
        <w:ind w:left="1547" w:hanging="844"/>
      </w:pPr>
    </w:lvl>
    <w:lvl w:ilvl="1" w:tentative="0">
      <w:start w:val="7"/>
      <w:numFmt w:val="decimal"/>
      <w:lvlText w:val="%1.%2"/>
      <w:lvlJc w:val="left"/>
      <w:pPr>
        <w:ind w:left="1547" w:hanging="844"/>
      </w:pPr>
    </w:lvl>
    <w:lvl w:ilvl="2" w:tentative="0">
      <w:start w:val="1"/>
      <w:numFmt w:val="decimal"/>
      <w:lvlText w:val="%1.%2.%3."/>
      <w:lvlJc w:val="left"/>
      <w:pPr>
        <w:ind w:left="1547" w:hanging="844"/>
      </w:pPr>
      <w:rPr>
        <w:rFonts w:ascii="Calibri" w:hAnsi="Calibri" w:eastAsia="Calibri" w:cs="Calibri"/>
        <w:sz w:val="16"/>
        <w:szCs w:val="16"/>
      </w:rPr>
    </w:lvl>
    <w:lvl w:ilvl="3" w:tentative="0">
      <w:start w:val="1"/>
      <w:numFmt w:val="bullet"/>
      <w:lvlText w:val="•"/>
      <w:lvlJc w:val="left"/>
      <w:pPr>
        <w:ind w:left="4401" w:hanging="843"/>
      </w:pPr>
    </w:lvl>
    <w:lvl w:ilvl="4" w:tentative="0">
      <w:start w:val="1"/>
      <w:numFmt w:val="bullet"/>
      <w:lvlText w:val="•"/>
      <w:lvlJc w:val="left"/>
      <w:pPr>
        <w:ind w:left="5355" w:hanging="844"/>
      </w:pPr>
    </w:lvl>
    <w:lvl w:ilvl="5" w:tentative="0">
      <w:start w:val="1"/>
      <w:numFmt w:val="bullet"/>
      <w:lvlText w:val="•"/>
      <w:lvlJc w:val="left"/>
      <w:pPr>
        <w:ind w:left="6309" w:hanging="844"/>
      </w:pPr>
    </w:lvl>
    <w:lvl w:ilvl="6" w:tentative="0">
      <w:start w:val="1"/>
      <w:numFmt w:val="bullet"/>
      <w:lvlText w:val="•"/>
      <w:lvlJc w:val="left"/>
      <w:pPr>
        <w:ind w:left="7263" w:hanging="844"/>
      </w:pPr>
    </w:lvl>
    <w:lvl w:ilvl="7" w:tentative="0">
      <w:start w:val="1"/>
      <w:numFmt w:val="bullet"/>
      <w:lvlText w:val="•"/>
      <w:lvlJc w:val="left"/>
      <w:pPr>
        <w:ind w:left="8216" w:hanging="844"/>
      </w:pPr>
    </w:lvl>
    <w:lvl w:ilvl="8" w:tentative="0">
      <w:start w:val="1"/>
      <w:numFmt w:val="bullet"/>
      <w:lvlText w:val="•"/>
      <w:lvlJc w:val="left"/>
      <w:pPr>
        <w:ind w:left="9170" w:hanging="844"/>
      </w:pPr>
    </w:lvl>
  </w:abstractNum>
  <w:abstractNum w:abstractNumId="1">
    <w:nsid w:val="26A42839"/>
    <w:multiLevelType w:val="multilevel"/>
    <w:tmpl w:val="26A42839"/>
    <w:lvl w:ilvl="0" w:tentative="0">
      <w:start w:val="1"/>
      <w:numFmt w:val="decimal"/>
      <w:lvlText w:val="%1."/>
      <w:lvlJc w:val="left"/>
      <w:pPr>
        <w:ind w:left="1547" w:hanging="844"/>
      </w:pPr>
      <w:rPr>
        <w:rFonts w:ascii="Calibri" w:hAnsi="Calibri" w:eastAsia="Calibri" w:cs="Calibri"/>
        <w:sz w:val="16"/>
        <w:szCs w:val="16"/>
      </w:rPr>
    </w:lvl>
    <w:lvl w:ilvl="1" w:tentative="0">
      <w:start w:val="1"/>
      <w:numFmt w:val="decimal"/>
      <w:lvlText w:val="%1.%2."/>
      <w:lvlJc w:val="left"/>
      <w:pPr>
        <w:ind w:left="703" w:hanging="844"/>
      </w:pPr>
      <w:rPr>
        <w:rFonts w:ascii="Calibri" w:hAnsi="Calibri" w:eastAsia="Calibri" w:cs="Calibri"/>
        <w:sz w:val="16"/>
        <w:szCs w:val="16"/>
      </w:rPr>
    </w:lvl>
    <w:lvl w:ilvl="2" w:tentative="0">
      <w:start w:val="1"/>
      <w:numFmt w:val="lowerLetter"/>
      <w:lvlText w:val="%3)"/>
      <w:lvlJc w:val="left"/>
      <w:pPr>
        <w:ind w:left="1471" w:hanging="169"/>
      </w:pPr>
      <w:rPr>
        <w:rFonts w:ascii="Calibri" w:hAnsi="Calibri" w:eastAsia="Calibri" w:cs="Calibri"/>
        <w:sz w:val="14"/>
        <w:szCs w:val="14"/>
      </w:rPr>
    </w:lvl>
    <w:lvl w:ilvl="3" w:tentative="0">
      <w:start w:val="1"/>
      <w:numFmt w:val="bullet"/>
      <w:lvlText w:val="•"/>
      <w:lvlJc w:val="left"/>
      <w:pPr>
        <w:ind w:left="2732" w:hanging="169"/>
      </w:pPr>
    </w:lvl>
    <w:lvl w:ilvl="4" w:tentative="0">
      <w:start w:val="1"/>
      <w:numFmt w:val="bullet"/>
      <w:lvlText w:val="•"/>
      <w:lvlJc w:val="left"/>
      <w:pPr>
        <w:ind w:left="3924" w:hanging="169"/>
      </w:pPr>
    </w:lvl>
    <w:lvl w:ilvl="5" w:tentative="0">
      <w:start w:val="1"/>
      <w:numFmt w:val="bullet"/>
      <w:lvlText w:val="•"/>
      <w:lvlJc w:val="left"/>
      <w:pPr>
        <w:ind w:left="5116" w:hanging="169"/>
      </w:pPr>
    </w:lvl>
    <w:lvl w:ilvl="6" w:tentative="0">
      <w:start w:val="1"/>
      <w:numFmt w:val="bullet"/>
      <w:lvlText w:val="•"/>
      <w:lvlJc w:val="left"/>
      <w:pPr>
        <w:ind w:left="6309" w:hanging="169"/>
      </w:pPr>
    </w:lvl>
    <w:lvl w:ilvl="7" w:tentative="0">
      <w:start w:val="1"/>
      <w:numFmt w:val="bullet"/>
      <w:lvlText w:val="•"/>
      <w:lvlJc w:val="left"/>
      <w:pPr>
        <w:ind w:left="7501" w:hanging="169"/>
      </w:pPr>
    </w:lvl>
    <w:lvl w:ilvl="8" w:tentative="0">
      <w:start w:val="1"/>
      <w:numFmt w:val="bullet"/>
      <w:lvlText w:val="•"/>
      <w:lvlJc w:val="left"/>
      <w:pPr>
        <w:ind w:left="8693" w:hanging="169"/>
      </w:pPr>
    </w:lvl>
  </w:abstractNum>
  <w:abstractNum w:abstractNumId="2">
    <w:nsid w:val="628E3EC3"/>
    <w:multiLevelType w:val="multilevel"/>
    <w:tmpl w:val="628E3EC3"/>
    <w:lvl w:ilvl="0" w:tentative="0">
      <w:start w:val="6"/>
      <w:numFmt w:val="decimal"/>
      <w:lvlText w:val="%1"/>
      <w:lvlJc w:val="left"/>
      <w:pPr>
        <w:ind w:left="1547" w:hanging="844"/>
      </w:pPr>
    </w:lvl>
    <w:lvl w:ilvl="1" w:tentative="0">
      <w:start w:val="9"/>
      <w:numFmt w:val="decimal"/>
      <w:lvlText w:val="%1.%2"/>
      <w:lvlJc w:val="left"/>
      <w:pPr>
        <w:ind w:left="1547" w:hanging="844"/>
      </w:pPr>
    </w:lvl>
    <w:lvl w:ilvl="2" w:tentative="0">
      <w:start w:val="1"/>
      <w:numFmt w:val="decimal"/>
      <w:lvlText w:val="%1.%2.%3."/>
      <w:lvlJc w:val="left"/>
      <w:pPr>
        <w:ind w:left="1547" w:hanging="844"/>
      </w:pPr>
      <w:rPr>
        <w:rFonts w:ascii="Calibri" w:hAnsi="Calibri" w:eastAsia="Calibri" w:cs="Calibri"/>
        <w:sz w:val="16"/>
        <w:szCs w:val="16"/>
      </w:rPr>
    </w:lvl>
    <w:lvl w:ilvl="3" w:tentative="0">
      <w:start w:val="1"/>
      <w:numFmt w:val="bullet"/>
      <w:lvlText w:val="•"/>
      <w:lvlJc w:val="left"/>
      <w:pPr>
        <w:ind w:left="4401" w:hanging="843"/>
      </w:pPr>
    </w:lvl>
    <w:lvl w:ilvl="4" w:tentative="0">
      <w:start w:val="1"/>
      <w:numFmt w:val="bullet"/>
      <w:lvlText w:val="•"/>
      <w:lvlJc w:val="left"/>
      <w:pPr>
        <w:ind w:left="5355" w:hanging="844"/>
      </w:pPr>
    </w:lvl>
    <w:lvl w:ilvl="5" w:tentative="0">
      <w:start w:val="1"/>
      <w:numFmt w:val="bullet"/>
      <w:lvlText w:val="•"/>
      <w:lvlJc w:val="left"/>
      <w:pPr>
        <w:ind w:left="6309" w:hanging="844"/>
      </w:pPr>
    </w:lvl>
    <w:lvl w:ilvl="6" w:tentative="0">
      <w:start w:val="1"/>
      <w:numFmt w:val="bullet"/>
      <w:lvlText w:val="•"/>
      <w:lvlJc w:val="left"/>
      <w:pPr>
        <w:ind w:left="7263" w:hanging="844"/>
      </w:pPr>
    </w:lvl>
    <w:lvl w:ilvl="7" w:tentative="0">
      <w:start w:val="1"/>
      <w:numFmt w:val="bullet"/>
      <w:lvlText w:val="•"/>
      <w:lvlJc w:val="left"/>
      <w:pPr>
        <w:ind w:left="8216" w:hanging="844"/>
      </w:pPr>
    </w:lvl>
    <w:lvl w:ilvl="8" w:tentative="0">
      <w:start w:val="1"/>
      <w:numFmt w:val="bullet"/>
      <w:lvlText w:val="•"/>
      <w:lvlJc w:val="left"/>
      <w:pPr>
        <w:ind w:left="9170" w:hanging="844"/>
      </w:pPr>
    </w:lvl>
  </w:abstractNum>
  <w:abstractNum w:abstractNumId="3">
    <w:nsid w:val="750B74DF"/>
    <w:multiLevelType w:val="multilevel"/>
    <w:tmpl w:val="750B74DF"/>
    <w:lvl w:ilvl="0" w:tentative="0">
      <w:start w:val="6"/>
      <w:numFmt w:val="decimal"/>
      <w:lvlText w:val="%1"/>
      <w:lvlJc w:val="left"/>
      <w:pPr>
        <w:ind w:left="703" w:hanging="844"/>
      </w:pPr>
    </w:lvl>
    <w:lvl w:ilvl="1" w:tentative="0">
      <w:start w:val="5"/>
      <w:numFmt w:val="decimal"/>
      <w:lvlText w:val="%1.%2"/>
      <w:lvlJc w:val="left"/>
      <w:pPr>
        <w:ind w:left="703" w:hanging="844"/>
      </w:pPr>
    </w:lvl>
    <w:lvl w:ilvl="2" w:tentative="0">
      <w:start w:val="1"/>
      <w:numFmt w:val="decimal"/>
      <w:lvlText w:val="%1.%2.%3."/>
      <w:lvlJc w:val="left"/>
      <w:pPr>
        <w:ind w:left="703" w:hanging="844"/>
      </w:pPr>
      <w:rPr>
        <w:rFonts w:ascii="Calibri" w:hAnsi="Calibri" w:eastAsia="Calibri" w:cs="Calibri"/>
        <w:sz w:val="14"/>
        <w:szCs w:val="14"/>
      </w:rPr>
    </w:lvl>
    <w:lvl w:ilvl="3" w:tentative="0">
      <w:start w:val="1"/>
      <w:numFmt w:val="bullet"/>
      <w:lvlText w:val="•"/>
      <w:lvlJc w:val="left"/>
      <w:pPr>
        <w:ind w:left="3813" w:hanging="844"/>
      </w:pPr>
    </w:lvl>
    <w:lvl w:ilvl="4" w:tentative="0">
      <w:start w:val="1"/>
      <w:numFmt w:val="bullet"/>
      <w:lvlText w:val="•"/>
      <w:lvlJc w:val="left"/>
      <w:pPr>
        <w:ind w:left="4851" w:hanging="843"/>
      </w:pPr>
    </w:lvl>
    <w:lvl w:ilvl="5" w:tentative="0">
      <w:start w:val="1"/>
      <w:numFmt w:val="bullet"/>
      <w:lvlText w:val="•"/>
      <w:lvlJc w:val="left"/>
      <w:pPr>
        <w:ind w:left="5889" w:hanging="844"/>
      </w:pPr>
    </w:lvl>
    <w:lvl w:ilvl="6" w:tentative="0">
      <w:start w:val="1"/>
      <w:numFmt w:val="bullet"/>
      <w:lvlText w:val="•"/>
      <w:lvlJc w:val="left"/>
      <w:pPr>
        <w:ind w:left="6927" w:hanging="843"/>
      </w:pPr>
    </w:lvl>
    <w:lvl w:ilvl="7" w:tentative="0">
      <w:start w:val="1"/>
      <w:numFmt w:val="bullet"/>
      <w:lvlText w:val="•"/>
      <w:lvlJc w:val="left"/>
      <w:pPr>
        <w:ind w:left="7964" w:hanging="844"/>
      </w:pPr>
    </w:lvl>
    <w:lvl w:ilvl="8" w:tentative="0">
      <w:start w:val="1"/>
      <w:numFmt w:val="bullet"/>
      <w:lvlText w:val="•"/>
      <w:lvlJc w:val="left"/>
      <w:pPr>
        <w:ind w:left="9002" w:hanging="843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87"/>
    <w:rsid w:val="001A2223"/>
    <w:rsid w:val="00203F8B"/>
    <w:rsid w:val="00221A83"/>
    <w:rsid w:val="004D152E"/>
    <w:rsid w:val="006B0A13"/>
    <w:rsid w:val="006D6EE9"/>
    <w:rsid w:val="0072546A"/>
    <w:rsid w:val="007C6921"/>
    <w:rsid w:val="0080062D"/>
    <w:rsid w:val="009F007E"/>
    <w:rsid w:val="00B04B20"/>
    <w:rsid w:val="00C31887"/>
    <w:rsid w:val="00D342A9"/>
    <w:rsid w:val="00DA02BD"/>
    <w:rsid w:val="00DA682B"/>
    <w:rsid w:val="00DD0F0E"/>
    <w:rsid w:val="00F734F8"/>
    <w:rsid w:val="4126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pt-BR" w:bidi="ar-SA"/>
    </w:rPr>
  </w:style>
  <w:style w:type="paragraph" w:styleId="2">
    <w:name w:val="heading 1"/>
    <w:basedOn w:val="1"/>
    <w:next w:val="1"/>
    <w:link w:val="19"/>
    <w:qFormat/>
    <w:uiPriority w:val="1"/>
    <w:pPr>
      <w:spacing w:before="19"/>
      <w:ind w:left="1288"/>
      <w:jc w:val="center"/>
      <w:outlineLvl w:val="0"/>
    </w:pPr>
    <w:rPr>
      <w:rFonts w:ascii="Arial" w:hAnsi="Arial" w:eastAsia="Arial" w:cs="Arial"/>
      <w:b/>
      <w:bCs/>
      <w:sz w:val="26"/>
      <w:szCs w:val="26"/>
    </w:rPr>
  </w:style>
  <w:style w:type="paragraph" w:styleId="3">
    <w:name w:val="heading 2"/>
    <w:basedOn w:val="1"/>
    <w:next w:val="1"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link w:val="21"/>
    <w:qFormat/>
    <w:uiPriority w:val="1"/>
    <w:rPr>
      <w:sz w:val="18"/>
      <w:szCs w:val="18"/>
    </w:rPr>
  </w:style>
  <w:style w:type="paragraph" w:styleId="11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2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3">
    <w:name w:val="header"/>
    <w:basedOn w:val="1"/>
    <w:link w:val="24"/>
    <w:unhideWhenUsed/>
    <w:qFormat/>
    <w:uiPriority w:val="99"/>
    <w:pPr>
      <w:tabs>
        <w:tab w:val="center" w:pos="4252"/>
        <w:tab w:val="right" w:pos="8504"/>
      </w:tabs>
    </w:pPr>
  </w:style>
  <w:style w:type="paragraph" w:styleId="14">
    <w:name w:val="footer"/>
    <w:basedOn w:val="1"/>
    <w:link w:val="25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Balloon Text"/>
    <w:basedOn w:val="1"/>
    <w:link w:val="3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6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7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Título 1 Char"/>
    <w:basedOn w:val="8"/>
    <w:link w:val="2"/>
    <w:qFormat/>
    <w:uiPriority w:val="1"/>
    <w:rPr>
      <w:rFonts w:ascii="Arial" w:hAnsi="Arial" w:eastAsia="Arial" w:cs="Arial"/>
      <w:b/>
      <w:bCs/>
      <w:sz w:val="26"/>
      <w:szCs w:val="26"/>
      <w:lang w:val="en-US"/>
    </w:rPr>
  </w:style>
  <w:style w:type="table" w:customStyle="1" w:styleId="20">
    <w:name w:val="Table Normal3"/>
    <w:semiHidden/>
    <w:unhideWhenUsed/>
    <w:qFormat/>
    <w:uiPriority w:val="2"/>
    <w:pPr>
      <w:autoSpaceDE w:val="0"/>
      <w:autoSpaceDN w:val="0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Corpo de texto Char"/>
    <w:basedOn w:val="8"/>
    <w:link w:val="10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paragraph" w:styleId="22">
    <w:name w:val="List Paragraph"/>
    <w:basedOn w:val="1"/>
    <w:qFormat/>
    <w:uiPriority w:val="1"/>
    <w:pPr>
      <w:spacing w:before="70"/>
      <w:ind w:left="703"/>
    </w:pPr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Cabeçalho Char"/>
    <w:basedOn w:val="8"/>
    <w:link w:val="13"/>
    <w:qFormat/>
    <w:uiPriority w:val="99"/>
    <w:rPr>
      <w:rFonts w:ascii="Calibri" w:hAnsi="Calibri" w:eastAsia="Calibri" w:cs="Calibri"/>
      <w:lang w:val="en-US"/>
    </w:rPr>
  </w:style>
  <w:style w:type="character" w:customStyle="1" w:styleId="25">
    <w:name w:val="Rodapé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table" w:customStyle="1" w:styleId="26">
    <w:name w:val="_Style 24"/>
    <w:basedOn w:val="20"/>
    <w:qFormat/>
    <w:uiPriority w:val="0"/>
  </w:style>
  <w:style w:type="table" w:customStyle="1" w:styleId="27">
    <w:name w:val="_Style 25"/>
    <w:basedOn w:val="20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8">
    <w:name w:val="_Style 26"/>
    <w:basedOn w:val="20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9">
    <w:name w:val="_Style 27"/>
    <w:basedOn w:val="20"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30">
    <w:name w:val="Texto de balão Char"/>
    <w:basedOn w:val="8"/>
    <w:link w:val="15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VeQ8zIlRFljIaAhwiFh0KOmzPw==">AMUW2mVXPZoHWaY79J+hbUYPq/1OxAdapQpsdvKHUZW2WCorqa8DSt1AUMZ4lHvl8t+4uJ4VO7LbYd9gy763tjilzxgvqBdVyavY9ZL62UF7DTlw4X8eTU8LZPTOUrPcd2VSQ8NyEsT6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1185</Words>
  <Characters>6399</Characters>
  <Lines>53</Lines>
  <Paragraphs>15</Paragraphs>
  <TotalTime>34</TotalTime>
  <ScaleCrop>false</ScaleCrop>
  <LinksUpToDate>false</LinksUpToDate>
  <CharactersWithSpaces>7569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2022-02-10T04:14:00Z</dcterms:created>
  <dc:creator>UFF</dc:creator>
  <cp:lastModifiedBy>Juliana Borsoi</cp:lastModifiedBy>
  <cp:lastPrinted>2022-02-10T04:14:00Z</cp:lastPrinted>
  <dcterms:modified xsi:type="dcterms:W3CDTF">2022-02-18T20:37:06Z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7171AC91D15E48F5A277701E47C36970</vt:lpwstr>
  </property>
</Properties>
</file>