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ascii="TTE431A0A0t00" w:hAnsi="TTE431A0A0t00" w:cs="TTE431A0A0t00"/>
          <w:b/>
          <w:color w:val="FF0000"/>
        </w:rPr>
      </w:pPr>
    </w:p>
    <w:p>
      <w:pPr>
        <w:pStyle w:val="10"/>
        <w:autoSpaceDE w:val="0"/>
        <w:autoSpaceDN w:val="0"/>
        <w:adjustRightInd w:val="0"/>
        <w:ind w:left="1276"/>
        <w:rPr>
          <w:rFonts w:ascii="TTE431A0A0t00" w:hAnsi="TTE431A0A0t00" w:cs="TTE431A0A0t00"/>
          <w:b/>
          <w:color w:val="FF0000"/>
          <w:sz w:val="28"/>
          <w:szCs w:val="28"/>
        </w:rPr>
      </w:pPr>
      <w:r>
        <w:rPr>
          <w:rFonts w:ascii="TTE431A0A0t00" w:hAnsi="TTE431A0A0t00" w:cs="TTE431A0A0t00"/>
          <w:b/>
          <w:color w:val="FF0000"/>
          <w:sz w:val="28"/>
          <w:szCs w:val="28"/>
        </w:rPr>
        <w:t xml:space="preserve">ANEXO VI DO EDITAL DO PREGÃO ELETRÔNICO </w:t>
      </w:r>
      <w:r>
        <w:rPr>
          <w:rFonts w:hint="default" w:ascii="TTE431A0A0t00" w:hAnsi="TTE431A0A0t00" w:cs="TTE431A0A0t00"/>
          <w:b/>
          <w:color w:val="FF0000"/>
          <w:sz w:val="28"/>
          <w:szCs w:val="28"/>
          <w:lang w:val="pt-BR"/>
        </w:rPr>
        <w:t>88</w:t>
      </w:r>
      <w:bookmarkStart w:id="0" w:name="_GoBack"/>
      <w:bookmarkEnd w:id="0"/>
      <w:r>
        <w:rPr>
          <w:rFonts w:ascii="TTE431A0A0t00" w:hAnsi="TTE431A0A0t00" w:cs="TTE431A0A0t00"/>
          <w:b/>
          <w:color w:val="FF0000"/>
          <w:sz w:val="28"/>
          <w:szCs w:val="28"/>
        </w:rPr>
        <w:t xml:space="preserve">/2021/AD </w:t>
      </w:r>
    </w:p>
    <w:p>
      <w:pPr>
        <w:autoSpaceDE w:val="0"/>
        <w:autoSpaceDN w:val="0"/>
        <w:adjustRightInd w:val="0"/>
        <w:jc w:val="center"/>
        <w:rPr>
          <w:rFonts w:ascii="TTE431A0A0t00" w:hAnsi="TTE431A0A0t00" w:cs="TTE431A0A0t00"/>
          <w:b/>
        </w:rPr>
      </w:pPr>
    </w:p>
    <w:p>
      <w:pPr>
        <w:autoSpaceDE w:val="0"/>
        <w:autoSpaceDN w:val="0"/>
        <w:adjustRightInd w:val="0"/>
        <w:jc w:val="center"/>
        <w:rPr>
          <w:rFonts w:ascii="TTE431A0A0t00" w:hAnsi="TTE431A0A0t00" w:cs="TTE431A0A0t00"/>
          <w:b/>
        </w:rPr>
      </w:pPr>
      <w:r>
        <w:rPr>
          <w:rFonts w:ascii="TTE431A0A0t00" w:hAnsi="TTE431A0A0t00" w:cs="TTE431A0A0t00"/>
          <w:b/>
        </w:rPr>
        <w:t>TERMO DE CONCILIAÇÃO JUDICIAL FIRMADO ENTRE O MINISTÉRIO PÚBLICO DO TRABALHO E A UNIÃO</w:t>
      </w:r>
    </w:p>
    <w:p>
      <w:pPr>
        <w:autoSpaceDE w:val="0"/>
        <w:autoSpaceDN w:val="0"/>
        <w:adjustRightInd w:val="0"/>
        <w:jc w:val="center"/>
        <w:rPr>
          <w:rFonts w:ascii="TTE431A0A0t00" w:hAnsi="TTE431A0A0t00" w:cs="TTE431A0A0t00"/>
          <w:b/>
        </w:rPr>
      </w:pP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  <w:b/>
        </w:rPr>
        <w:t xml:space="preserve">O </w:t>
      </w:r>
      <w:r>
        <w:rPr>
          <w:rFonts w:ascii="TTE431A0A0t00" w:hAnsi="TTE431A0A0t00" w:cs="TTE431A0A0t00"/>
          <w:b/>
        </w:rPr>
        <w:t>MINISTÉRIO PÚBLICO DO TRABALHO</w:t>
      </w:r>
      <w:r>
        <w:rPr>
          <w:rFonts w:ascii="TTE4E87780t00" w:hAnsi="TTE4E87780t00" w:cs="TTE4E87780t00"/>
        </w:rPr>
        <w:t xml:space="preserve">, neste ato representado pelo Procurador-Geral do Trabalho, Dr. Guilherme Mastrichi Basso, pela Vice-Procuradora-Geral do Trabalho, Dra. Guiomar Rechia Gomes, pelo Procurador-Chefe da PRT da 10ª. Região, Dr. Brasilino Santos Ramos e pelo Procurador do Trabalho Dr. Fábio Leal Cardoso, e a </w:t>
      </w:r>
      <w:r>
        <w:rPr>
          <w:rFonts w:ascii="TTE431A0A0t00" w:hAnsi="TTE431A0A0t00" w:cs="TTE431A0A0t00"/>
        </w:rPr>
        <w:t>UNIÃO</w:t>
      </w:r>
      <w:r>
        <w:rPr>
          <w:rFonts w:ascii="TTE4E87780t00" w:hAnsi="TTE4E87780t00" w:cs="TTE4E87780t00"/>
        </w:rPr>
        <w:t>, neste ato representada pelo Procurador-Geral da União, Dr. Moacir Antonio da Silva Machado, pela Sub Procuradora Regional da União - 1ª. Região, Dra. Helia Maria de Oliveira Bettero e pelo Advogado da União, Dr. Mário Luiz Guerreiro;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toda relação jurídica de trabalho cuja prestação laboral não eventual seja ofertada pessoalmente pelo obreiro, em estado de subordinação e mediante contraprestação pecuniária, será regida obrigatoriamente pela Consolidação das Leis do Trabalho ou por estatuto próprio, quando se tratar de relação de trabalho de natureza estatutária, com a Administração Pública;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a legislação consolidada em seu art. 9º, comina de nulidade absoluta todos os atos praticados com o intuito de desvirtuar, impedir ou fraudar a aplicação da lei trabalhista;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as sociedades cooperativas, segundo a Lei n</w:t>
      </w:r>
      <w:r>
        <w:rPr>
          <w:rFonts w:ascii="TTE4E87780t00" w:hAnsi="TTE4E87780t00" w:cs="TTE4E87780t00"/>
          <w:sz w:val="16"/>
          <w:szCs w:val="16"/>
        </w:rPr>
        <w:t>o</w:t>
      </w:r>
      <w:r>
        <w:rPr>
          <w:rFonts w:ascii="TTE4E87780t00" w:hAnsi="TTE4E87780t00" w:cs="TTE4E87780t00"/>
        </w:rPr>
        <w:t>. 5.764, de 16.12.1971, art. 4º., “(...) são sociedades de pessoas, com forma e natureza jurídica próprias, de natureza civil, não sujeitas à falência, constituídas para prestar serviços aos associados”.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as cooperativas podem prestar serviços a não associados somente em caráter excepcional e desde que tal faculdade atenda aos objetivos sociais previstos na sua norma estatutária, (art. 86, da Lei n</w:t>
      </w:r>
      <w:r>
        <w:rPr>
          <w:rFonts w:ascii="TTE4E87780t00" w:hAnsi="TTE4E87780t00" w:cs="TTE4E87780t00"/>
          <w:sz w:val="16"/>
          <w:szCs w:val="16"/>
        </w:rPr>
        <w:t>o</w:t>
      </w:r>
      <w:r>
        <w:rPr>
          <w:rFonts w:ascii="TTE4E87780t00" w:hAnsi="TTE4E87780t00" w:cs="TTE4E87780t00"/>
        </w:rPr>
        <w:t>. 5.764, de 16.12.1971), aspecto legal que revela a patente impossibilidade jurídica das cooperativas funcionarem como agências de locação de mão de obra terceirizada;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a administração pública está inexoravelmente jungida ao princípio da legalidade, e que a prática do merchandage é vedada pelo art. 3º, da CLT e repelida pela jurisprudência sumulada do C. TST (En. 331);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os trabalhadores aliciados por cooperativas de mão de obra, que prestam serviços de natureza subordinada à UNIÃO embora laborem em situação fática idêntica a dos empregados das empresas prestadoras de serviços terceirizáveis, encontram-se à margem de qualquer proteção jurídico-laboral, sendo-lhes sonegada a incidência de normas protetivas do trabalho, especialmente àquelas destinadas a tutelar a segurança e higidez do trabalho subordinado, o que afronta o princípio da isonomia, a dignidade da pessoa humana e os valores sociais do trabalho (art. 5º, caput e 1º, III e IV da Constituição Federal);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que num processo de terceirização o tomador dos serviços (no caso a administração pública) tem responsabilidade sucessiva por eventuais débitos trabalhistas do fornecedor de mão de obra, nos termos do Enunciado 331, do TST, o que poderia gerar graves prejuízos financeiros ao erário, na hipótese de se apurar a presença dos requisitos do art. 3º., da CLT na atividade de intermediação de mão de obra patrocinada por falsas cooperativas;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CONSIDERANDO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o teor da Recomendação Para a Promoção das Cooperativas aprovada na 90ª. sessão, da OIT – Organização Internacional do Trabalho, em junho de 2002, dispondo que os Estados devem implementar políticas nos sentido de: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“8.1.b Garantir que as cooperativas não sejam criadas para, ou direcionadas a, o não cumprimento das leis do trabalho ou usadas para estabelecer relações de emprego disfarçadas, e combater pseudocooperativas que violam os direitos dos trabalhadores velando para que a lei trabalhista seja aplicada em todas as empresas.”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31A0A0t00" w:hAnsi="TTE431A0A0t00" w:cs="TTE431A0A0t00"/>
          <w:b/>
        </w:rPr>
      </w:pPr>
      <w:r>
        <w:rPr>
          <w:rFonts w:ascii="TTE431A0A0t00" w:hAnsi="TTE431A0A0t00" w:cs="TTE431A0A0t00"/>
          <w:b/>
        </w:rPr>
        <w:t>RESOLVEM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Celebrar CONCILIAÇÃO nos autos do Processo 01082-2002-020-10-00-0, em tramitação perante a MM. Vigésima Vara do Trabalho de Brasília-DF, mediante os seguintes termos: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Primeira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A UNIÃO abster-se-á de contratar trabalhadores, por meio de cooperativas de mão de obra, para a prestação de serviços ligados às suas atividades-fim ou meio, quando o labor, por sua própria natureza, demandar execução em estado de subordinação, quer em relação ao tomador, ou em relação ao fornecedor dos serviços, constituindo elemento essencial ao desenvolvimento e à prestação dos serviços terceirizados, sendo eles: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a) – Serviços de limpeza;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b) – Serviços de conservação;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c) – Serviços de segurança, de vigilância e de portaria;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d) – Serviços de recepção;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e) – Serviços de copeiragem;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f) – Serviços de reprografia;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g) – Serviços de telefonia;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h) – Serviços de manutenção de prédios, de equipamentos, de veículos e de instalações;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i) – Serviços de secretariado e secretariado executivo;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j) – Serviços de auxiliar de escritório;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k) – Serviços de auxiliar administrativo;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 xml:space="preserve">l) – Serviços de </w:t>
      </w:r>
      <w:r>
        <w:rPr>
          <w:rFonts w:ascii="TTE4E9E668t00" w:hAnsi="TTE4E9E668t00" w:cs="TTE4E9E668t00"/>
        </w:rPr>
        <w:t xml:space="preserve">office boy </w:t>
      </w:r>
      <w:r>
        <w:rPr>
          <w:rFonts w:ascii="TTE4E87780t00" w:hAnsi="TTE4E87780t00" w:cs="TTE4E87780t00"/>
        </w:rPr>
        <w:t>(contínuo);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m) – Serviços de digitação;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n) – Serviços de assessoria de imprensa e de relações públicas;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o) – Serviços de motorista, no caso de os veículos serem fornecidos pelo próprio órgão licitante;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p) – Serviços de ascensorista;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q) – Serviços de enfermagem; e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r) – Serviços de agentes comunitários de saúde.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Primeiro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O disposto nesta Cláusula não autoriza outras formas de terceirização sem previsão legal.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Segundo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 xml:space="preserve">– As partes podem, a qualquer momento, mediante comunicação e acordos prévios, ampliar o rol de serviços elencados no </w:t>
      </w:r>
      <w:r>
        <w:rPr>
          <w:rFonts w:ascii="TTE4E9E668t00" w:hAnsi="TTE4E9E668t00" w:cs="TTE4E9E668t00"/>
        </w:rPr>
        <w:t>caput</w:t>
      </w:r>
      <w:r>
        <w:rPr>
          <w:rFonts w:ascii="TTE4E87780t00" w:hAnsi="TTE4E87780t00" w:cs="TTE4E87780t00"/>
        </w:rPr>
        <w:t>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Segunda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Considera-se cooperativa de mão de obra, aquela associação cuja atividade precípua seja a mera intermediação individual de trabalhadores de uma ou várias profissões (inexistindo assim vínculo de solidariedade entre seus associados), que não detenham qualquer meio de produção, e cujos serviços sejam prestados a terceiros, de forma individual (e não coletiva), pelos seus associados.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Terceira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A UNIÃO obriga-se a estabelecer regras claras nos editais de licitação, a fim de esclarecer a natureza dos serviços licitados, determinando, por conseguinte, se os mesmos podem ser prestados por empresas prestadoras de serviços (trabalhadores subordinados), cooperativas de trabalho, trabalhadores autônomos, avulsos ou eventuais;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Primeiro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É lícita a contratação de genuínas sociedades cooperativas desde que os serviços licitados não estejam incluídos no rol inserido nas alíneas “a” a “r” da Cláusula Primeira e sejam prestados em caráter coletivo e com absoluta autonomia dos cooperados, seja em relação às cooperativas, seja em relação ao tomador dos serviços, devendo ser juntada, na fase de habilitação, listagem contendo o nome de todos os associados. Esclarecem as partes que somente os serviços podem ser terceirizados, restando absolutamente vedado o fornecimento (intermediação de mão de obra) de trabalhadores a órgãos públicos por cooperativas de qualquer natureza.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Segundo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Os editais de licitação que se destinem a contratar os serviços disciplinados pela Cláusula Primeira deverão fazer expressa menção ao presente termo de conciliação e sua homologação, se possível transcrevendo-os na íntegra ou fazendo parte integrante desses editais, como anexo.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Terceiro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 xml:space="preserve">- Para a prestação de serviços em sua forma subordinada, o </w:t>
      </w:r>
      <w:r>
        <w:rPr>
          <w:rFonts w:ascii="TTE431A0A0t00" w:hAnsi="TTE431A0A0t00" w:cs="TTE431A0A0t00"/>
        </w:rPr>
        <w:t xml:space="preserve">licitante </w:t>
      </w:r>
      <w:r>
        <w:rPr>
          <w:rFonts w:ascii="TTE4E87780t00" w:hAnsi="TTE4E87780t00" w:cs="TTE4E87780t00"/>
        </w:rPr>
        <w:t>vencedor do certame deverá comprovar a condição de empregador dos prestadores de serviços para as quais se objetiva a contratação, constituindo-se esse requisito, condição obrigatória à assinatura do respectivo contrato.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31A0A0t00" w:hAnsi="TTE431A0A0t00" w:cs="TTE431A0A0t00"/>
          <w:b/>
        </w:rPr>
      </w:pPr>
      <w:r>
        <w:rPr>
          <w:rFonts w:ascii="TTE431A0A0t00" w:hAnsi="TTE431A0A0t00" w:cs="TTE431A0A0t00"/>
          <w:b/>
        </w:rPr>
        <w:t>DAS SANÇÕES PELO DESCUMPRIMENTO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Quarta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A UNIÃO obriga-se ao pagamento de multa (astreinte) correspondente a R$1.000,00 (um mil reais) por trabalhador que esteja em desacordo com as condições estabelecidas no presente Termo de Conciliação, sendo a mesma reversível ao Fundo de Amparo ao Trabalhador (FAT).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Primeiro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O servidor público que, em nome da Administração, firmar o contrato de prestação de serviços nas atividades relacionadas nas alíneas “a” a “r” da Cláusula Primeira, será responsável solidário por qualquer contratação irregular, respondendo pela multa prevista no caput, sem prejuízo das demais cominações legais.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Segundo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Em caso de notícia de descumprimento dos termos firmados neste ajuste, a UNIÃO, depois de intimada, terá prazo de 20 (vinte) dias para apresentar sua justificativa perante o Ministério Público do Trabalho.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31A0A0t00" w:hAnsi="TTE431A0A0t00" w:cs="TTE431A0A0t00"/>
          <w:b/>
        </w:rPr>
      </w:pPr>
      <w:r>
        <w:rPr>
          <w:rFonts w:ascii="TTE431A0A0t00" w:hAnsi="TTE431A0A0t00" w:cs="TTE431A0A0t00"/>
          <w:b/>
        </w:rPr>
        <w:t>DA EXTENSÃO DO AJUSTE À ADMINISTRAÇÃO PÚBLICA INDIRETA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Quinta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– A UNIÃO se compromete a recomendar o estabelecimento das mesmas diretrizes ora pactuadas em relação às autarquias, fundações públicas, empresas públicas e sociedades de economia mista, a fim de vincular todos os órgãos integrantes da administração pública indireta ao cumprimento do presente termo de conciliação, sendo que em relação às empresas públicas e sociedades de economia mista deverá ser dado conhecimento ao Departamento de Coordenação e Controle das Empresas Estatais – DEST, do Ministério do Planejamento, Orçamento e Gestão, ou órgão equivalente, para que discipline a matéria no âmbito de sua competência.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31A0A0t00" w:hAnsi="TTE431A0A0t00" w:cs="TTE431A0A0t00"/>
          <w:b/>
        </w:rPr>
      </w:pPr>
      <w:r>
        <w:rPr>
          <w:rFonts w:ascii="TTE431A0A0t00" w:hAnsi="TTE431A0A0t00" w:cs="TTE431A0A0t00"/>
          <w:b/>
        </w:rPr>
        <w:t>DA HOMOLOGAÇÃO JUDICIAL DO AJUSTE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Sexta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As partes submetem os termos da presente conciliação à homologação do Juízo da MM. Vigésima Vara do Trabalho, para que o ajuste gere os seus efeitos jurídicos.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Sétima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Os termos da presente avença gerarão seus efeitos jurídicos a partir da data de sua homologação judicial.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Parágrafo único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>- Os contratos em vigor entre a UNIÃO e as Cooperativas, que contrariem o presente acordo, não serão renovados ou prorrogados.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31A0A0t00" w:hAnsi="TTE431A0A0t00" w:cs="TTE431A0A0t00"/>
          <w:b/>
        </w:rPr>
        <w:t>Cláusula Oitava</w:t>
      </w:r>
      <w:r>
        <w:rPr>
          <w:rFonts w:ascii="TTE431A0A0t00" w:hAnsi="TTE431A0A0t00" w:cs="TTE431A0A0t00"/>
        </w:rPr>
        <w:t xml:space="preserve"> </w:t>
      </w:r>
      <w:r>
        <w:rPr>
          <w:rFonts w:ascii="TTE4E87780t00" w:hAnsi="TTE4E87780t00" w:cs="TTE4E87780t00"/>
        </w:rPr>
        <w:t xml:space="preserve">- A presente conciliação extingue o processo com exame do mérito apenas em relação à UNIÃO, prosseguindo o feito quanto aos demais réus. Dito isto, por estarem as partes ajustadas e compromissadas, firmam a presente conciliação em cinco vias, a qual terá eficácia de título judicial, nos termos dos artigos 831, parágrafo único, e 876, </w:t>
      </w:r>
      <w:r>
        <w:rPr>
          <w:rFonts w:ascii="TTE4E9E668t00" w:hAnsi="TTE4E9E668t00" w:cs="TTE4E9E668t00"/>
        </w:rPr>
        <w:t>caput</w:t>
      </w:r>
      <w:r>
        <w:rPr>
          <w:rFonts w:ascii="TTE4E87780t00" w:hAnsi="TTE4E87780t00" w:cs="TTE4E87780t00"/>
        </w:rPr>
        <w:t>, da CLT.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Brasília, 05 de junho de 2003.</w:t>
      </w:r>
    </w:p>
    <w:p>
      <w:pPr>
        <w:autoSpaceDE w:val="0"/>
        <w:autoSpaceDN w:val="0"/>
        <w:adjustRightInd w:val="0"/>
        <w:spacing w:after="120"/>
        <w:ind w:left="500" w:right="227"/>
        <w:jc w:val="both"/>
        <w:rPr>
          <w:rFonts w:ascii="TTE4E87780t00" w:hAnsi="TTE4E87780t00" w:cs="TTE4E87780t00"/>
        </w:rPr>
      </w:pP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GUILHERME MASTRICHI BASSO GUIOMAR RECHIA GOMES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Procurador-Geral do Trabalho Vice-Procuradora-Geral do Trabalho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BRASILINO SANTOS RAMOS FÁBIO LEAL CARDOSO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Procurador-Chefe/PRT 10ª. Região Procurador do Trabalho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MOACIR ANTONIO DA SILVA MACHADO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Procurador-Geral da União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HELIA MARIA DE OLIVEIRA BETTERO MÁRIO LUIZ GUERREIRO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Sub-Procuradora-Regional da União–1ª. Região Advogado da União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Testemunhas: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GRIJALBO FERNANDES COUTINHO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Presidente da Associação Nacional dos Magistrados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da Justiça do Trabalho - ANAMATRA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PAULO SÉRGIO DOMINGUES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Presidente da Associação dos Juízes Federais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do Brasil - AJUFE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REGINA BUTRUS</w:t>
      </w:r>
    </w:p>
    <w:p>
      <w:pPr>
        <w:autoSpaceDE w:val="0"/>
        <w:autoSpaceDN w:val="0"/>
        <w:adjustRightInd w:val="0"/>
        <w:spacing w:after="120"/>
        <w:ind w:left="500" w:right="227"/>
        <w:jc w:val="center"/>
        <w:rPr>
          <w:rFonts w:ascii="TTE4E87780t00" w:hAnsi="TTE4E87780t00" w:cs="TTE4E87780t00"/>
        </w:rPr>
      </w:pPr>
      <w:r>
        <w:rPr>
          <w:rFonts w:ascii="TTE4E87780t00" w:hAnsi="TTE4E87780t00" w:cs="TTE4E87780t00"/>
        </w:rPr>
        <w:t>Presidente da Associação Nacional dos Procuradores</w:t>
      </w:r>
    </w:p>
    <w:p>
      <w:pPr>
        <w:spacing w:after="120"/>
        <w:ind w:left="500" w:right="227"/>
        <w:jc w:val="center"/>
      </w:pPr>
      <w:r>
        <w:rPr>
          <w:rFonts w:ascii="TTE4E87780t00" w:hAnsi="TTE4E87780t00" w:cs="TTE4E87780t00"/>
        </w:rPr>
        <w:t>do Trabalho – ANPT</w:t>
      </w:r>
    </w:p>
    <w:sectPr>
      <w:headerReference r:id="rId3" w:type="default"/>
      <w:footerReference r:id="rId4" w:type="default"/>
      <w:type w:val="continuous"/>
      <w:pgSz w:w="11907" w:h="16840"/>
      <w:pgMar w:top="851" w:right="850" w:bottom="851" w:left="851" w:header="567" w:footer="851" w:gutter="0"/>
      <w:cols w:space="708" w:num="1"/>
      <w:docGrid w:linePitch="27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TE431A0A0t00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TE4E87780t00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TE4E9E668t00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Pág. </w:t>
    </w:r>
    <w:r>
      <w:rPr>
        <w:rStyle w:val="4"/>
        <w:rFonts w:ascii="Verdana" w:hAnsi="Verdana"/>
        <w:sz w:val="18"/>
        <w:szCs w:val="18"/>
      </w:rPr>
      <w:fldChar w:fldCharType="begin"/>
    </w:r>
    <w:r>
      <w:rPr>
        <w:rStyle w:val="4"/>
        <w:rFonts w:ascii="Verdana" w:hAnsi="Verdana"/>
        <w:sz w:val="18"/>
        <w:szCs w:val="18"/>
      </w:rPr>
      <w:instrText xml:space="preserve"> PAGE </w:instrText>
    </w:r>
    <w:r>
      <w:rPr>
        <w:rStyle w:val="4"/>
        <w:rFonts w:ascii="Verdana" w:hAnsi="Verdana"/>
        <w:sz w:val="18"/>
        <w:szCs w:val="18"/>
      </w:rPr>
      <w:fldChar w:fldCharType="separate"/>
    </w:r>
    <w:r>
      <w:rPr>
        <w:rStyle w:val="4"/>
        <w:rFonts w:ascii="Verdana" w:hAnsi="Verdana"/>
        <w:sz w:val="18"/>
        <w:szCs w:val="18"/>
      </w:rPr>
      <w:t>1</w:t>
    </w:r>
    <w:r>
      <w:rPr>
        <w:rStyle w:val="4"/>
        <w:rFonts w:ascii="Verdana" w:hAnsi="Verdana"/>
        <w:sz w:val="18"/>
        <w:szCs w:val="18"/>
      </w:rPr>
      <w:fldChar w:fldCharType="end"/>
    </w:r>
    <w:r>
      <w:rPr>
        <w:rStyle w:val="4"/>
        <w:rFonts w:ascii="Verdana" w:hAnsi="Verdana"/>
        <w:sz w:val="18"/>
        <w:szCs w:val="18"/>
      </w:rPr>
      <w:t>/</w:t>
    </w:r>
    <w:r>
      <w:rPr>
        <w:rStyle w:val="4"/>
        <w:rFonts w:ascii="Verdana" w:hAnsi="Verdana"/>
        <w:sz w:val="18"/>
        <w:szCs w:val="18"/>
      </w:rPr>
      <w:fldChar w:fldCharType="begin"/>
    </w:r>
    <w:r>
      <w:rPr>
        <w:rStyle w:val="4"/>
        <w:rFonts w:ascii="Verdana" w:hAnsi="Verdana"/>
        <w:sz w:val="18"/>
        <w:szCs w:val="18"/>
      </w:rPr>
      <w:instrText xml:space="preserve"> NUMPAGES </w:instrText>
    </w:r>
    <w:r>
      <w:rPr>
        <w:rStyle w:val="4"/>
        <w:rFonts w:ascii="Verdana" w:hAnsi="Verdana"/>
        <w:sz w:val="18"/>
        <w:szCs w:val="18"/>
      </w:rPr>
      <w:fldChar w:fldCharType="separate"/>
    </w:r>
    <w:r>
      <w:rPr>
        <w:rStyle w:val="4"/>
        <w:rFonts w:ascii="Verdana" w:hAnsi="Verdana"/>
        <w:sz w:val="18"/>
        <w:szCs w:val="18"/>
      </w:rPr>
      <w:t>4</w:t>
    </w:r>
    <w:r>
      <w:rPr>
        <w:rStyle w:val="4"/>
        <w:rFonts w:ascii="Verdana" w:hAnsi="Verdana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Processo n.º 23069.167552/2021-41</w:t>
    </w:r>
  </w:p>
  <w:p>
    <w:pPr>
      <w:pStyle w:val="5"/>
      <w:jc w:val="right"/>
      <w:rPr>
        <w:rFonts w:ascii="Verdana" w:hAnsi="Verdan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11"/>
    <w:rsid w:val="0000760E"/>
    <w:rsid w:val="000421C0"/>
    <w:rsid w:val="000812A5"/>
    <w:rsid w:val="000B7F4E"/>
    <w:rsid w:val="00106AE1"/>
    <w:rsid w:val="001218EE"/>
    <w:rsid w:val="00151B2E"/>
    <w:rsid w:val="00173E1B"/>
    <w:rsid w:val="00190E3C"/>
    <w:rsid w:val="001A1161"/>
    <w:rsid w:val="001C198F"/>
    <w:rsid w:val="001D7F90"/>
    <w:rsid w:val="001E1F01"/>
    <w:rsid w:val="00203C9A"/>
    <w:rsid w:val="002220E1"/>
    <w:rsid w:val="0027193E"/>
    <w:rsid w:val="00272694"/>
    <w:rsid w:val="00274871"/>
    <w:rsid w:val="002817CB"/>
    <w:rsid w:val="0029364D"/>
    <w:rsid w:val="002B7069"/>
    <w:rsid w:val="002B7646"/>
    <w:rsid w:val="002D2AB6"/>
    <w:rsid w:val="002D43CF"/>
    <w:rsid w:val="00391440"/>
    <w:rsid w:val="003E15B3"/>
    <w:rsid w:val="00462850"/>
    <w:rsid w:val="00490943"/>
    <w:rsid w:val="004C6111"/>
    <w:rsid w:val="004C6724"/>
    <w:rsid w:val="004D37D0"/>
    <w:rsid w:val="004D6AAB"/>
    <w:rsid w:val="004F0853"/>
    <w:rsid w:val="004F0990"/>
    <w:rsid w:val="00507FEB"/>
    <w:rsid w:val="005133D8"/>
    <w:rsid w:val="0051395B"/>
    <w:rsid w:val="00544124"/>
    <w:rsid w:val="00566C72"/>
    <w:rsid w:val="00583B99"/>
    <w:rsid w:val="005849FF"/>
    <w:rsid w:val="005E16A2"/>
    <w:rsid w:val="005F5B01"/>
    <w:rsid w:val="00625964"/>
    <w:rsid w:val="00633EE8"/>
    <w:rsid w:val="006767AE"/>
    <w:rsid w:val="006E0379"/>
    <w:rsid w:val="00705221"/>
    <w:rsid w:val="00777AAE"/>
    <w:rsid w:val="00787221"/>
    <w:rsid w:val="007B4E6A"/>
    <w:rsid w:val="007F4959"/>
    <w:rsid w:val="007F7476"/>
    <w:rsid w:val="00802210"/>
    <w:rsid w:val="00817305"/>
    <w:rsid w:val="0082090E"/>
    <w:rsid w:val="0083073C"/>
    <w:rsid w:val="008A7E9B"/>
    <w:rsid w:val="008A7FC6"/>
    <w:rsid w:val="008D267C"/>
    <w:rsid w:val="008F5ED0"/>
    <w:rsid w:val="00910C62"/>
    <w:rsid w:val="00926B5F"/>
    <w:rsid w:val="00931D50"/>
    <w:rsid w:val="009404B8"/>
    <w:rsid w:val="0096600C"/>
    <w:rsid w:val="009C2015"/>
    <w:rsid w:val="009C2612"/>
    <w:rsid w:val="00A233C1"/>
    <w:rsid w:val="00A32286"/>
    <w:rsid w:val="00AA04E4"/>
    <w:rsid w:val="00AB3077"/>
    <w:rsid w:val="00B019FB"/>
    <w:rsid w:val="00B031C6"/>
    <w:rsid w:val="00B10BBC"/>
    <w:rsid w:val="00B10DC9"/>
    <w:rsid w:val="00B406B6"/>
    <w:rsid w:val="00B60E03"/>
    <w:rsid w:val="00B61346"/>
    <w:rsid w:val="00B61711"/>
    <w:rsid w:val="00BA08CB"/>
    <w:rsid w:val="00BD2623"/>
    <w:rsid w:val="00C5291D"/>
    <w:rsid w:val="00CE33B4"/>
    <w:rsid w:val="00CE7C3E"/>
    <w:rsid w:val="00D147C3"/>
    <w:rsid w:val="00D260DC"/>
    <w:rsid w:val="00D7104C"/>
    <w:rsid w:val="00D821AC"/>
    <w:rsid w:val="00DC68D6"/>
    <w:rsid w:val="00DF084A"/>
    <w:rsid w:val="00E203D1"/>
    <w:rsid w:val="00E5524D"/>
    <w:rsid w:val="00E55655"/>
    <w:rsid w:val="00EB1722"/>
    <w:rsid w:val="00EE40AD"/>
    <w:rsid w:val="00F56666"/>
    <w:rsid w:val="00FA770B"/>
    <w:rsid w:val="00FC65B5"/>
    <w:rsid w:val="00FE21AB"/>
    <w:rsid w:val="7442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uiPriority w:val="0"/>
  </w:style>
  <w:style w:type="paragraph" w:styleId="5">
    <w:name w:val="header"/>
    <w:basedOn w:val="1"/>
    <w:link w:val="9"/>
    <w:uiPriority w:val="99"/>
    <w:pPr>
      <w:tabs>
        <w:tab w:val="center" w:pos="4419"/>
        <w:tab w:val="right" w:pos="8838"/>
      </w:tabs>
    </w:pPr>
  </w:style>
  <w:style w:type="paragraph" w:styleId="6">
    <w:name w:val="footer"/>
    <w:basedOn w:val="1"/>
    <w:uiPriority w:val="0"/>
    <w:pPr>
      <w:tabs>
        <w:tab w:val="center" w:pos="4419"/>
        <w:tab w:val="right" w:pos="8838"/>
      </w:tabs>
    </w:pPr>
  </w:style>
  <w:style w:type="paragraph" w:styleId="7">
    <w:name w:val="Balloon Text"/>
    <w:basedOn w:val="1"/>
    <w:link w:val="8"/>
    <w:uiPriority w:val="0"/>
    <w:rPr>
      <w:rFonts w:ascii="Tahoma" w:hAnsi="Tahoma" w:cs="Tahoma"/>
      <w:sz w:val="16"/>
      <w:szCs w:val="16"/>
    </w:rPr>
  </w:style>
  <w:style w:type="character" w:customStyle="1" w:styleId="8">
    <w:name w:val="Texto de balão Char"/>
    <w:basedOn w:val="2"/>
    <w:link w:val="7"/>
    <w:qFormat/>
    <w:uiPriority w:val="0"/>
    <w:rPr>
      <w:rFonts w:ascii="Tahoma" w:hAnsi="Tahoma" w:cs="Tahoma"/>
      <w:sz w:val="16"/>
      <w:szCs w:val="16"/>
    </w:rPr>
  </w:style>
  <w:style w:type="character" w:customStyle="1" w:styleId="9">
    <w:name w:val="Cabeçalho Char"/>
    <w:basedOn w:val="2"/>
    <w:link w:val="5"/>
    <w:uiPriority w:val="99"/>
    <w:rPr>
      <w:sz w:val="24"/>
      <w:szCs w:val="24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Universidade Federal Fluminense</Company>
  <Pages>1</Pages>
  <Words>1652</Words>
  <Characters>8921</Characters>
  <Lines>74</Lines>
  <Paragraphs>21</Paragraphs>
  <TotalTime>1</TotalTime>
  <ScaleCrop>false</ScaleCrop>
  <LinksUpToDate>false</LinksUpToDate>
  <CharactersWithSpaces>10552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2021-11-29T01:02:00Z</dcterms:created>
  <dc:creator>CPL 3</dc:creator>
  <cp:lastModifiedBy>Juliana Borsoi</cp:lastModifiedBy>
  <cp:lastPrinted>2021-12-02T03:33:00Z</cp:lastPrinted>
  <dcterms:modified xsi:type="dcterms:W3CDTF">2021-12-15T19:07:30Z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1046-11.2.0.10351</vt:lpwstr>
  </property>
  <property fmtid="{D5CDD505-2E9C-101B-9397-08002B2CF9AE}" pid="3" name="ICV">
    <vt:lpwstr>D517569F8746486B829335BEAC55F188</vt:lpwstr>
  </property>
</Properties>
</file>