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>
      <w:pPr>
        <w:pStyle w:val="10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ANEXO VI DO EDITAL DO PREGÃO ELETRÔNICO </w:t>
      </w:r>
      <w:r>
        <w:rPr>
          <w:rFonts w:hint="default" w:ascii="TTE431A0A0t00" w:hAnsi="TTE431A0A0t00" w:cs="TTE431A0A0t00"/>
          <w:b/>
          <w:color w:val="FF0000"/>
          <w:sz w:val="28"/>
          <w:szCs w:val="28"/>
          <w:lang w:val="pt-BR"/>
        </w:rPr>
        <w:t>48</w:t>
      </w:r>
      <w:bookmarkStart w:id="0" w:name="_GoBack"/>
      <w:bookmarkEnd w:id="0"/>
      <w:r>
        <w:rPr>
          <w:rFonts w:ascii="TTE431A0A0t00" w:hAnsi="TTE431A0A0t00" w:cs="TTE431A0A0t00"/>
          <w:b/>
          <w:color w:val="FF0000"/>
          <w:sz w:val="28"/>
          <w:szCs w:val="28"/>
        </w:rPr>
        <w:t xml:space="preserve">/2022/AD 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TERMO DE CONCILIAÇÃO JUDICIAL FIRMADO ENTRE O MINISTÉRIO PÚBLICO DO TRABALHO E A UNIÃO</w:t>
      </w:r>
    </w:p>
    <w:p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  <w:b/>
        </w:rPr>
        <w:t xml:space="preserve">O </w:t>
      </w:r>
      <w:r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Mastrichi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>, neste ato representada pelo Procurador-Geral da União, Dr. Moacir Antonio da Silva Machado, pela Sub Procuradora Regional da União - 1ª. Região, Dra. Helia Maria de Oliveira Bettero e pelo Advogado da União, Dr. Mário Luiz Guerreiro;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administração pública está inexoravelmente jungida ao princípio da legalidade, e que a prática do merchandage é vedada pelo art. 3º, da CLT e repelida pela jurisprudência sumulada do C. TST (En. 331);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 subordinado, o que afronta o princípio da isonomia, a dignidade da pessoa humana e os valores sociais do trabalho (art. 5º, caput e 1º, III e IV da Constituição Federal);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 administração pública) tem responsabilidade sucessiva por eventuais débitos trabalhistas do fornecedor de mão de obra, nos termos do Enunciado 331, do TST, o que poderia gerar graves prejuízos financeiros ao erário, na hipótese de se apurar a presença dos requisitos do art. 3º., da CLT na atividade de intermediação de mão de obra patrocinada por falsas cooperativas;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 sessão, da OIT – Organização Internacional do Trabalho, em junho de 2002, dispondo que os Estados devem implementar políticas nos sentido de: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“8.1.b Garantir que as cooperativas não sejam criadas para, ou direcionadas a, o não cumprimento das leis do trabalho ou usadas para estabelecer relações de emprego disfarçadas, e combater pseudocooperativas que violam os direitos dos trabalhadores velando para que a lei trabalhista seja aplicada em todas as empresas.”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RESOLVEM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 a MM. Vigésima Vara do Trabalho de Brasília-DF, mediante os seguintes termos: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 de mão de obra, para a prestação de serviços ligados às suas atividades-fim ou meio, quando o labor, por sua própria natureza, demandar execução em estado de subordinação, quer em relação ao tomador, ou em relação ao fornecedor dos serviços, constituindo elemento essencial ao desenvolvimento e à prestação dos serviços terceirizados, sendo eles: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 sem previsão legal.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– As partes podem, a qualquer momento, mediante comunicação e acordos 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 precípua seja a mera intermediação individual de trabalhadores de uma ou várias profissões (inexistindo assim vínculo de solidariedade entre seus associados), que não detenham qualquer meio de produção, e cujos serviços sejam prestados a terceiros, de forma individual (e não coletiva), pelos seus associados.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 de esclarecer a natureza dos serviços licitados, determinando, por conseguinte, se os mesmos podem ser prestados por empresas prestadoras de serviços (trabalhadores subordinados), cooperativas de trabalho, trabalhadores autônomos, avulsos ou eventuais;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 serviços licitados não estejam incluídos no rol inserido nas alíneas “a” a “r” da Cláusula Primeira e sejam prestados em caráter coletivo e com absoluta autonomia dos cooperados, seja em relação às cooperativas, seja em relação ao tomador dos serviços, devendo ser juntada, na fase de habilitação, listagem contendo o nome de todos os associados. Esclarecem as partes que somente os serviços podem ser terceirizados, restando absolutamente vedado o fornecimento (intermediação de mão de obra) de trabalhadores a órgãos públicos por cooperativas de qualquer natureza.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 disciplinados pela Cláusula Primeira deverão fazer expressa menção ao presente termo de conciliação e sua homologação, se possível transcrevendo-os na íntegra ou fazendo parte integrante desses editais, como anexo.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 xml:space="preserve">licitante </w:t>
      </w:r>
      <w:r>
        <w:rPr>
          <w:rFonts w:ascii="TTE4E87780t00" w:hAnsi="TTE4E87780t00" w:cs="TTE4E87780t00"/>
        </w:rPr>
        <w:t>vencedor do certame deverá comprovar a condição de empregador dos prestadores de serviços para as quais se objetiva a contratação, constituindo-se esse requisito, condição obrigatória à assinatura do respectivo contrato.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DAS SANÇÕES PELO DESCUMPRIMENTO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 R$1.000,00 (um mil reais) por trabalhador que esteja em desacordo com as condições estabelecidas no presente Termo de Conciliação, sendo a mesma reversível ao Fundo de Amparo ao Trabalhador (FAT).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 prestação de serviços nas atividades relacionadas nas alíneas “a” a “r” da Cláusula Primeira, será responsável solidário por qualquer contratação irregular, respondendo pela multa prevista no caput, sem prejuízo das demais cominações legais.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 a UNIÃO, depois de intimada, terá prazo de 20 (vinte) dias para apresentar sua justificativa perante o Ministério Público do Trabalho.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EXTENSÃO DO AJUSTE À ADMINISTRAÇÃO PÚBLICA INDIRETA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 diretrizes ora pactuadas em relação às autarquias, fundações públicas, empresas públicas e sociedades de economia mista, a fim de vincular todos os órgãos integrantes da administração pública indireta ao cumprimento do presente termo de conciliação, sendo que em relação às empresas públicas e sociedades de economia mista deverá ser dado conhecimento ao Departamento de Coordenação e Controle das Empresas Estatais – DEST, do Ministério do Planejamento, Orçamento e Gestão, ou órgão equivalente, para que discipline a matéria no âmbito de sua competência.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>
        <w:rPr>
          <w:rFonts w:ascii="TTE431A0A0t00" w:hAnsi="TTE431A0A0t00" w:cs="TTE431A0A0t00"/>
          <w:b/>
        </w:rPr>
        <w:t>DA HOMOLOGAÇÃO JUDICIAL DO AJUSTE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 Juízo da MM. Vigésima Vara do Trabalho, para que o ajuste gere os seus efeitos jurídicos.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 de sua homologação judicial.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 presente acordo, não serão renovados ou prorrogados.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A presente conciliação extingue o processo com exame do mérito apenas em relação à UNIÃO, prosseguindo o feito quanto aos demais réus. Dito isto, por estarem as partes ajustadas e compromissadas, firmam a presente conciliação em cinco vias, a qual terá eficácia 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>
      <w:headerReference r:id="rId3" w:type="default"/>
      <w:footerReference r:id="rId4" w:type="default"/>
      <w:type w:val="continuous"/>
      <w:pgSz w:w="11907" w:h="16840"/>
      <w:pgMar w:top="851" w:right="850" w:bottom="851" w:left="851" w:header="567" w:footer="851" w:gutter="0"/>
      <w:cols w:space="708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TE431A0A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 xml:space="preserve">Pág. 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PAGE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1</w:t>
    </w:r>
    <w:r>
      <w:rPr>
        <w:rStyle w:val="4"/>
        <w:rFonts w:ascii="Verdana" w:hAnsi="Verdana"/>
        <w:sz w:val="18"/>
        <w:szCs w:val="18"/>
      </w:rPr>
      <w:fldChar w:fldCharType="end"/>
    </w:r>
    <w:r>
      <w:rPr>
        <w:rStyle w:val="4"/>
        <w:rFonts w:ascii="Verdana" w:hAnsi="Verdana"/>
        <w:sz w:val="18"/>
        <w:szCs w:val="18"/>
      </w:rPr>
      <w:t>/</w:t>
    </w:r>
    <w:r>
      <w:rPr>
        <w:rStyle w:val="4"/>
        <w:rFonts w:ascii="Verdana" w:hAnsi="Verdana"/>
        <w:sz w:val="18"/>
        <w:szCs w:val="18"/>
      </w:rPr>
      <w:fldChar w:fldCharType="begin"/>
    </w:r>
    <w:r>
      <w:rPr>
        <w:rStyle w:val="4"/>
        <w:rFonts w:ascii="Verdana" w:hAnsi="Verdana"/>
        <w:sz w:val="18"/>
        <w:szCs w:val="18"/>
      </w:rPr>
      <w:instrText xml:space="preserve"> NUMPAGES </w:instrText>
    </w:r>
    <w:r>
      <w:rPr>
        <w:rStyle w:val="4"/>
        <w:rFonts w:ascii="Verdana" w:hAnsi="Verdana"/>
        <w:sz w:val="18"/>
        <w:szCs w:val="18"/>
      </w:rPr>
      <w:fldChar w:fldCharType="separate"/>
    </w:r>
    <w:r>
      <w:rPr>
        <w:rStyle w:val="4"/>
        <w:rFonts w:ascii="Verdana" w:hAnsi="Verdana"/>
        <w:sz w:val="18"/>
        <w:szCs w:val="18"/>
      </w:rPr>
      <w:t>4</w:t>
    </w:r>
    <w:r>
      <w:rPr>
        <w:rStyle w:val="4"/>
        <w:rFonts w:ascii="Verdana" w:hAnsi="Verdana"/>
        <w:sz w:val="18"/>
        <w:szCs w:val="1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8"/>
        <w:szCs w:val="18"/>
      </w:rPr>
    </w:pPr>
    <w:r>
      <w:rPr>
        <w:rFonts w:ascii="Verdana" w:hAnsi="Verdana"/>
        <w:sz w:val="18"/>
        <w:szCs w:val="18"/>
      </w:rPr>
      <w:t>Processo n.º 23069.159888/2022-11</w:t>
    </w:r>
  </w:p>
  <w:p>
    <w:pPr>
      <w:pStyle w:val="5"/>
      <w:jc w:val="right"/>
      <w:rPr>
        <w:rFonts w:ascii="Verdana" w:hAnsi="Verdana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 w:val="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11"/>
    <w:rsid w:val="0000760E"/>
    <w:rsid w:val="000421C0"/>
    <w:rsid w:val="000812A5"/>
    <w:rsid w:val="000B7F4E"/>
    <w:rsid w:val="00106AE1"/>
    <w:rsid w:val="001218EE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3514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E16A2"/>
    <w:rsid w:val="005F5B01"/>
    <w:rsid w:val="00606497"/>
    <w:rsid w:val="00625964"/>
    <w:rsid w:val="00633EE8"/>
    <w:rsid w:val="006767AE"/>
    <w:rsid w:val="006C344B"/>
    <w:rsid w:val="006E0379"/>
    <w:rsid w:val="00705221"/>
    <w:rsid w:val="00711236"/>
    <w:rsid w:val="00777AAE"/>
    <w:rsid w:val="00787221"/>
    <w:rsid w:val="007B4E6A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C2015"/>
    <w:rsid w:val="009C2612"/>
    <w:rsid w:val="00A233C1"/>
    <w:rsid w:val="00A32286"/>
    <w:rsid w:val="00AA04E4"/>
    <w:rsid w:val="00AB3077"/>
    <w:rsid w:val="00AB50AB"/>
    <w:rsid w:val="00B019FB"/>
    <w:rsid w:val="00B031C6"/>
    <w:rsid w:val="00B10BBC"/>
    <w:rsid w:val="00B10DC9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C65B5"/>
    <w:rsid w:val="00FE21AB"/>
    <w:rsid w:val="0266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2"/>
    <w:qFormat/>
    <w:uiPriority w:val="0"/>
  </w:style>
  <w:style w:type="paragraph" w:styleId="5">
    <w:name w:val="header"/>
    <w:basedOn w:val="1"/>
    <w:link w:val="9"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uiPriority w:val="0"/>
    <w:pPr>
      <w:tabs>
        <w:tab w:val="center" w:pos="4419"/>
        <w:tab w:val="right" w:pos="8838"/>
      </w:tabs>
    </w:pPr>
  </w:style>
  <w:style w:type="paragraph" w:styleId="7">
    <w:name w:val="Balloon Text"/>
    <w:basedOn w:val="1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8">
    <w:name w:val="Texto de balão Char"/>
    <w:basedOn w:val="2"/>
    <w:link w:val="7"/>
    <w:uiPriority w:val="0"/>
    <w:rPr>
      <w:rFonts w:ascii="Tahoma" w:hAnsi="Tahoma" w:cs="Tahoma"/>
      <w:sz w:val="16"/>
      <w:szCs w:val="16"/>
    </w:rPr>
  </w:style>
  <w:style w:type="character" w:customStyle="1" w:styleId="9">
    <w:name w:val="Cabeçalho Char"/>
    <w:basedOn w:val="2"/>
    <w:link w:val="5"/>
    <w:uiPriority w:val="99"/>
    <w:rPr>
      <w:sz w:val="24"/>
      <w:szCs w:val="24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Universidade Federal Fluminense</Company>
  <Pages>1</Pages>
  <Words>1651</Words>
  <Characters>8921</Characters>
  <Lines>74</Lines>
  <Paragraphs>21</Paragraphs>
  <TotalTime>1</TotalTime>
  <ScaleCrop>false</ScaleCrop>
  <LinksUpToDate>false</LinksUpToDate>
  <CharactersWithSpaces>10551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2022-04-21T04:25:00Z</dcterms:created>
  <dc:creator>CPL 3</dc:creator>
  <cp:lastModifiedBy>UFF</cp:lastModifiedBy>
  <cp:lastPrinted>2022-04-21T04:33:00Z</cp:lastPrinted>
  <dcterms:modified xsi:type="dcterms:W3CDTF">2022-05-18T15:45:27Z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1046-11.2.0.11130</vt:lpwstr>
  </property>
  <property fmtid="{D5CDD505-2E9C-101B-9397-08002B2CF9AE}" pid="3" name="ICV">
    <vt:lpwstr>3AF351CC7A1A4619BCE87EF7546028F4</vt:lpwstr>
  </property>
</Properties>
</file>