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4123A" w14:textId="1D2CA0B7" w:rsidR="00613FAA" w:rsidRPr="00C364F2" w:rsidRDefault="00606734" w:rsidP="00176A0A">
      <w:pPr>
        <w:keepNext/>
        <w:keepLines/>
        <w:suppressLineNumbers/>
        <w:tabs>
          <w:tab w:val="left" w:pos="9639"/>
        </w:tabs>
        <w:suppressAutoHyphens/>
        <w:autoSpaceDE w:val="0"/>
        <w:autoSpaceDN w:val="0"/>
        <w:spacing w:before="101" w:after="0" w:line="360" w:lineRule="auto"/>
        <w:ind w:right="3"/>
        <w:jc w:val="center"/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</w:pPr>
      <w:bookmarkStart w:id="0" w:name="_GoBack"/>
      <w:r w:rsidRPr="00C364F2"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  <w:t>ANEXO IV</w:t>
      </w:r>
      <w:r w:rsidR="00125ECF" w:rsidRPr="00C364F2"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  <w:t xml:space="preserve"> PREG</w:t>
      </w:r>
      <w:r w:rsidR="00125ECF" w:rsidRPr="00C364F2"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  <w:t>Ã</w:t>
      </w:r>
      <w:r w:rsidR="00125ECF" w:rsidRPr="00C364F2"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  <w:t>O ELETR</w:t>
      </w:r>
      <w:r w:rsidR="00125ECF" w:rsidRPr="00C364F2"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  <w:t>Ô</w:t>
      </w:r>
      <w:r w:rsidR="00125ECF" w:rsidRPr="00C364F2"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  <w:t>NICO N</w:t>
      </w:r>
      <w:r w:rsidR="00125ECF" w:rsidRPr="00C364F2"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  <w:t>º</w:t>
      </w:r>
      <w:r w:rsidR="00125ECF" w:rsidRPr="00C364F2">
        <w:rPr>
          <w:rFonts w:ascii="Verdana" w:eastAsia="Liberation Sans Narrow" w:hAnsi="Liberation Sans Narrow" w:cs="Liberation Sans Narrow"/>
          <w:b/>
          <w:color w:val="000000" w:themeColor="text1"/>
          <w:szCs w:val="20"/>
          <w:lang w:bidi="pt-BR"/>
        </w:rPr>
        <w:t xml:space="preserve"> 67/2021</w:t>
      </w:r>
    </w:p>
    <w:bookmarkEnd w:id="0"/>
    <w:p w14:paraId="64EBF79C" w14:textId="77777777" w:rsidR="00606734" w:rsidRPr="00176A0A" w:rsidRDefault="00606734" w:rsidP="00176A0A">
      <w:pPr>
        <w:keepNext/>
        <w:keepLines/>
        <w:suppressLineNumbers/>
        <w:tabs>
          <w:tab w:val="left" w:pos="9639"/>
        </w:tabs>
        <w:suppressAutoHyphens/>
        <w:autoSpaceDE w:val="0"/>
        <w:autoSpaceDN w:val="0"/>
        <w:spacing w:before="101" w:after="0" w:line="360" w:lineRule="auto"/>
        <w:ind w:right="3"/>
        <w:jc w:val="center"/>
        <w:rPr>
          <w:rFonts w:ascii="Verdana" w:eastAsia="Liberation Sans Narrow" w:hAnsi="Liberation Sans Narrow" w:cs="Liberation Sans Narrow"/>
          <w:b/>
          <w:color w:val="FF0000"/>
          <w:szCs w:val="20"/>
          <w:lang w:bidi="pt-BR"/>
        </w:rPr>
      </w:pPr>
    </w:p>
    <w:p w14:paraId="4B8712E2" w14:textId="77777777" w:rsidR="00613FAA" w:rsidRPr="00176A0A" w:rsidRDefault="00734303" w:rsidP="00176A0A">
      <w:pPr>
        <w:spacing w:after="0" w:line="360" w:lineRule="auto"/>
        <w:jc w:val="center"/>
        <w:rPr>
          <w:rFonts w:cstheme="minorHAnsi"/>
          <w:b/>
          <w:szCs w:val="20"/>
        </w:rPr>
      </w:pPr>
      <w:r w:rsidRPr="00176A0A">
        <w:rPr>
          <w:rFonts w:cstheme="minorHAnsi"/>
          <w:b/>
          <w:szCs w:val="20"/>
        </w:rPr>
        <w:t xml:space="preserve">INDICE DE MEDIÇÃO DE RESULTADO </w:t>
      </w:r>
      <w:r w:rsidRPr="00176A0A">
        <w:rPr>
          <w:rFonts w:eastAsia="Arial" w:cstheme="minorHAnsi"/>
          <w:b/>
          <w:bCs/>
          <w:szCs w:val="20"/>
        </w:rPr>
        <w:t>(IMR)</w:t>
      </w:r>
    </w:p>
    <w:p w14:paraId="17EC4192" w14:textId="77777777" w:rsidR="00613FAA" w:rsidRPr="001D4A30" w:rsidRDefault="00613FAA" w:rsidP="00176A0A">
      <w:pPr>
        <w:pStyle w:val="Ttulo1"/>
        <w:keepNext w:val="0"/>
        <w:keepLines w:val="0"/>
        <w:widowControl w:val="0"/>
        <w:tabs>
          <w:tab w:val="left" w:pos="284"/>
          <w:tab w:val="left" w:pos="1326"/>
        </w:tabs>
        <w:autoSpaceDE w:val="0"/>
        <w:autoSpaceDN w:val="0"/>
        <w:spacing w:before="0" w:line="360" w:lineRule="auto"/>
        <w:ind w:left="792" w:hanging="508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</w:p>
    <w:p w14:paraId="5D9C2CDE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A GESTÃO INTEGRADA DA INFRAESTRUTURA deverá ter como base os princípios da Gestão Integrada por Resultados, prestando o melhor serviço a fim de proporcionar uma melhoria contínua no ambiente físico e equipamentos da UFF.</w:t>
      </w:r>
    </w:p>
    <w:p w14:paraId="4B722EA5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O modelo de gestão a ser implementado na UFF deve ser sistêmico no que tange à integração de todas as áreas necessárias ao seu pleno funcionamento, sendo responsável tanto pela infraestrutura e equipamentos quanto pelo seu funcionamento operacional.</w:t>
      </w:r>
    </w:p>
    <w:p w14:paraId="76743C4A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O modelo de gestão proposto pela empresa Contratada deverá, para fins de organização, dividir-se em 3 (três) grandes segmentos, conforme informado no item 3, porém todos os segmentos serão integrados e dependentes entre si para o pleno monitoramento e funcionamento de toda a UNIVERSIDADE FEDERAL FLUMINENSE em tempo integral 24h por dia.</w:t>
      </w:r>
    </w:p>
    <w:p w14:paraId="6439E69B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Será de responsabilidade da Contratada coordenar e executar em tempo integral os serviços descritos para cada posto de trabalho e as rotinas de manutenção predial, conforme Encarte B deste Termo.</w:t>
      </w:r>
    </w:p>
    <w:p w14:paraId="1C50AEBD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Cada segmento de serviço terá sua rotina própria e definida de acordo com os requisitos e Acordos de Níveis de Serviço mínimos definidos neste Termo.</w:t>
      </w:r>
    </w:p>
    <w:p w14:paraId="5E4C47C0" w14:textId="77777777" w:rsidR="001D4A30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 xml:space="preserve">O </w:t>
      </w:r>
      <w:r w:rsidR="0087442B"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Instrumento de Medição de Resultados (IMR)</w:t>
      </w: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 xml:space="preserve"> corresponde a cada uma das categorias abaixo, conforme o tipo e a dificuldade para a exec</w:t>
      </w:r>
      <w:r w:rsidR="001D4A30"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ução dos serviços de manutenção.</w:t>
      </w:r>
    </w:p>
    <w:p w14:paraId="2F696858" w14:textId="77777777" w:rsidR="00613FAA" w:rsidRPr="001D4A30" w:rsidRDefault="00613FAA" w:rsidP="00176A0A">
      <w:pPr>
        <w:pStyle w:val="PargrafodaLista1"/>
        <w:tabs>
          <w:tab w:val="left" w:pos="2552"/>
        </w:tabs>
        <w:spacing w:line="360" w:lineRule="auto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79D4B867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Grau de Manutenção:</w:t>
      </w:r>
    </w:p>
    <w:tbl>
      <w:tblPr>
        <w:tblW w:w="4871" w:type="pct"/>
        <w:tblInd w:w="255" w:type="dxa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748"/>
        <w:gridCol w:w="7857"/>
      </w:tblGrid>
      <w:tr w:rsidR="00613FAA" w:rsidRPr="001D4A30" w14:paraId="3ED0B7DA" w14:textId="77777777" w:rsidTr="00176A0A">
        <w:tc>
          <w:tcPr>
            <w:tcW w:w="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B34FB6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1º GRAU</w:t>
            </w:r>
          </w:p>
        </w:tc>
        <w:tc>
          <w:tcPr>
            <w:tcW w:w="4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5E28B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Manutenção preventiva, aplicada aos sistemas, no todo ou em parte, caracterizada por sua simplicidade</w:t>
            </w:r>
            <w:r w:rsidR="00176A0A">
              <w:rPr>
                <w:rStyle w:val="Fontepargpadro6"/>
                <w:rFonts w:cs="Times New Roman"/>
                <w:sz w:val="20"/>
                <w:szCs w:val="20"/>
              </w:rPr>
              <w:t>.</w:t>
            </w:r>
          </w:p>
        </w:tc>
      </w:tr>
      <w:tr w:rsidR="00613FAA" w:rsidRPr="001D4A30" w14:paraId="7E1168AB" w14:textId="77777777" w:rsidTr="00176A0A">
        <w:tc>
          <w:tcPr>
            <w:tcW w:w="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829F95D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2º GRAU</w:t>
            </w:r>
          </w:p>
        </w:tc>
        <w:tc>
          <w:tcPr>
            <w:tcW w:w="4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05674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Manutenção preventiva, aplicada aos sistemas, no todo ou em parte, caracterizada por sua maior complexidade tecnológica, envolvendo apenas os recursos disponíveis ou anteriormente previstos para sua execução</w:t>
            </w:r>
            <w:r w:rsidR="00176A0A">
              <w:rPr>
                <w:rStyle w:val="Fontepargpadro6"/>
                <w:rFonts w:cs="Times New Roman"/>
                <w:sz w:val="20"/>
                <w:szCs w:val="20"/>
              </w:rPr>
              <w:t>..</w:t>
            </w:r>
          </w:p>
        </w:tc>
      </w:tr>
      <w:tr w:rsidR="00613FAA" w:rsidRPr="001D4A30" w14:paraId="47D8369C" w14:textId="77777777" w:rsidTr="00176A0A">
        <w:tc>
          <w:tcPr>
            <w:tcW w:w="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CE961BA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3º GRAU</w:t>
            </w:r>
          </w:p>
        </w:tc>
        <w:tc>
          <w:tcPr>
            <w:tcW w:w="4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71548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Manutenção corretiva aplicada aos sistemas, no todo ou em parte, de relativa simplicidade envolvendo apenas os recursos disponíveis ou anteriormente previstos para sua execução</w:t>
            </w:r>
            <w:r w:rsidR="00176A0A">
              <w:rPr>
                <w:rStyle w:val="Fontepargpadro6"/>
                <w:rFonts w:cs="Times New Roman"/>
                <w:sz w:val="20"/>
                <w:szCs w:val="20"/>
              </w:rPr>
              <w:t>.</w:t>
            </w:r>
          </w:p>
        </w:tc>
      </w:tr>
    </w:tbl>
    <w:p w14:paraId="4CB3D524" w14:textId="77777777" w:rsidR="00613FAA" w:rsidRDefault="00613FAA" w:rsidP="00176A0A">
      <w:pPr>
        <w:pStyle w:val="PargrafodaLista1"/>
        <w:tabs>
          <w:tab w:val="left" w:pos="2552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A049115" w14:textId="77777777" w:rsidR="00176A0A" w:rsidRDefault="00176A0A" w:rsidP="00176A0A">
      <w:pPr>
        <w:pStyle w:val="PargrafodaLista1"/>
        <w:tabs>
          <w:tab w:val="left" w:pos="2552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C3EA5A7" w14:textId="77777777" w:rsidR="00176A0A" w:rsidRDefault="00176A0A" w:rsidP="00176A0A">
      <w:pPr>
        <w:pStyle w:val="PargrafodaLista1"/>
        <w:tabs>
          <w:tab w:val="left" w:pos="2552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A65B508" w14:textId="77777777" w:rsidR="00176A0A" w:rsidRPr="001D4A30" w:rsidRDefault="00176A0A" w:rsidP="00176A0A">
      <w:pPr>
        <w:pStyle w:val="PargrafodaLista1"/>
        <w:tabs>
          <w:tab w:val="left" w:pos="2552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ADEEB0C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lastRenderedPageBreak/>
        <w:t>Níveis de Situação Anormal:</w:t>
      </w:r>
    </w:p>
    <w:p w14:paraId="24EBD77E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É a graduação de consequências que as falhas e defeitos poderão acarretar nos equipamentos ou nos sistemas.</w:t>
      </w:r>
    </w:p>
    <w:p w14:paraId="06B6D617" w14:textId="77777777" w:rsidR="00613FAA" w:rsidRPr="001D4A30" w:rsidRDefault="00613FAA" w:rsidP="00176A0A">
      <w:pPr>
        <w:pStyle w:val="PargrafodaLista1"/>
        <w:tabs>
          <w:tab w:val="left" w:pos="2552"/>
        </w:tabs>
        <w:spacing w:line="360" w:lineRule="auto"/>
        <w:ind w:left="1440"/>
        <w:jc w:val="both"/>
        <w:rPr>
          <w:rStyle w:val="Fontepargpadro6"/>
          <w:rFonts w:asciiTheme="minorHAnsi" w:hAnsiTheme="minorHAnsi" w:cstheme="minorHAnsi"/>
          <w:sz w:val="20"/>
          <w:szCs w:val="20"/>
        </w:rPr>
      </w:pPr>
    </w:p>
    <w:tbl>
      <w:tblPr>
        <w:tblW w:w="4871" w:type="pct"/>
        <w:tblInd w:w="255" w:type="dxa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910"/>
        <w:gridCol w:w="6695"/>
      </w:tblGrid>
      <w:tr w:rsidR="00613FAA" w:rsidRPr="001D4A30" w14:paraId="77BAE33E" w14:textId="77777777" w:rsidTr="00176A0A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F3FF79D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Nível I</w:t>
            </w:r>
            <w:r w:rsidR="00176A0A">
              <w:rPr>
                <w:rStyle w:val="Fontepargpadro6"/>
                <w:rFonts w:cs="Times New Roman"/>
                <w:sz w:val="20"/>
                <w:szCs w:val="20"/>
              </w:rPr>
              <w:t xml:space="preserve"> - </w:t>
            </w: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Emergência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B11E9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Ocorrência de defeito ou falha num equipamento, componente ou sistema que resulte na paralisação parcial ou total de atividades operacionais da UFF.</w:t>
            </w:r>
          </w:p>
        </w:tc>
      </w:tr>
      <w:tr w:rsidR="00613FAA" w:rsidRPr="001D4A30" w14:paraId="200D4C80" w14:textId="77777777" w:rsidTr="00176A0A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7ACCC4A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Nível II</w:t>
            </w:r>
            <w:r w:rsidR="00176A0A">
              <w:rPr>
                <w:rStyle w:val="Fontepargpadro6"/>
                <w:rFonts w:cs="Times New Roman"/>
                <w:sz w:val="20"/>
                <w:szCs w:val="20"/>
              </w:rPr>
              <w:t xml:space="preserve"> - </w:t>
            </w: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Alerta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61C03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Ocorrência de defeito ou falha em equipamento, componente ou sistema que poderá acarretar uma situação de Nível I</w:t>
            </w:r>
            <w:r w:rsidR="00176A0A">
              <w:rPr>
                <w:rStyle w:val="Fontepargpadro6"/>
                <w:rFonts w:cs="Times New Roman"/>
                <w:sz w:val="20"/>
                <w:szCs w:val="20"/>
              </w:rPr>
              <w:t>.</w:t>
            </w:r>
          </w:p>
        </w:tc>
      </w:tr>
      <w:tr w:rsidR="00613FAA" w:rsidRPr="001D4A30" w14:paraId="2D4EC002" w14:textId="77777777" w:rsidTr="00176A0A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3C80D3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Nível III</w:t>
            </w:r>
            <w:r w:rsidR="00176A0A">
              <w:rPr>
                <w:rStyle w:val="Fontepargpadro6"/>
                <w:rFonts w:cs="Times New Roman"/>
                <w:sz w:val="20"/>
                <w:szCs w:val="20"/>
              </w:rPr>
              <w:t xml:space="preserve"> - </w:t>
            </w: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Falha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6EC93" w14:textId="77777777" w:rsidR="00613FAA" w:rsidRPr="001D4A30" w:rsidRDefault="00734303" w:rsidP="00176A0A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Ocorrência de falha em equipamento, componente ou sistema, mas sem atingir as consequências do Nível II</w:t>
            </w:r>
            <w:r w:rsidR="00176A0A">
              <w:rPr>
                <w:rStyle w:val="Fontepargpadro6"/>
                <w:rFonts w:cs="Times New Roman"/>
                <w:sz w:val="20"/>
                <w:szCs w:val="20"/>
              </w:rPr>
              <w:t>.</w:t>
            </w:r>
          </w:p>
        </w:tc>
      </w:tr>
    </w:tbl>
    <w:p w14:paraId="4128E930" w14:textId="77777777" w:rsidR="00613FAA" w:rsidRPr="001D4A30" w:rsidRDefault="00613FAA" w:rsidP="00176A0A">
      <w:pPr>
        <w:pStyle w:val="PargrafodaLista1"/>
        <w:tabs>
          <w:tab w:val="left" w:pos="2552"/>
        </w:tabs>
        <w:spacing w:line="360" w:lineRule="auto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5986B5D2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Tempo de Atendimento:</w:t>
      </w:r>
    </w:p>
    <w:p w14:paraId="1FFA1BE6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É o tempo ou período determinado para mobilização pela Contratada dos recursos necessários visando sanar um defeito ou falha. A medição do tempo de atendimento será a diferença entre o horário da abertura do chamado na CMA/SOMA e o horário de chegada de profissional de manutenção ao local da ocorrência.</w:t>
      </w:r>
    </w:p>
    <w:p w14:paraId="590CFB87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De acordo com os níveis de Situação Anormal o tempo de atendimento das equipes de manutenção corretiva deverá ser de:</w:t>
      </w:r>
    </w:p>
    <w:tbl>
      <w:tblPr>
        <w:tblW w:w="4872" w:type="pct"/>
        <w:jc w:val="center"/>
        <w:tblCellMar>
          <w:left w:w="113" w:type="dxa"/>
        </w:tblCellMar>
        <w:tblLook w:val="0000" w:firstRow="0" w:lastRow="0" w:firstColumn="0" w:lastColumn="0" w:noHBand="0" w:noVBand="0"/>
      </w:tblPr>
      <w:tblGrid>
        <w:gridCol w:w="3549"/>
        <w:gridCol w:w="6058"/>
      </w:tblGrid>
      <w:tr w:rsidR="00613FAA" w:rsidRPr="001D4A30" w14:paraId="6D52A1CF" w14:textId="77777777" w:rsidTr="004857E9">
        <w:trPr>
          <w:jc w:val="center"/>
        </w:trPr>
        <w:tc>
          <w:tcPr>
            <w:tcW w:w="1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1A53FD" w14:textId="77777777" w:rsidR="00613FAA" w:rsidRPr="001D4A30" w:rsidRDefault="00734303" w:rsidP="004857E9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Nível I</w:t>
            </w:r>
          </w:p>
        </w:tc>
        <w:tc>
          <w:tcPr>
            <w:tcW w:w="3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50AF8" w14:textId="77777777" w:rsidR="00613FAA" w:rsidRPr="001D4A30" w:rsidRDefault="00734303" w:rsidP="004857E9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Até 90 minutos</w:t>
            </w:r>
          </w:p>
        </w:tc>
      </w:tr>
      <w:tr w:rsidR="00613FAA" w:rsidRPr="001D4A30" w14:paraId="4D07D5FC" w14:textId="77777777" w:rsidTr="004857E9">
        <w:trPr>
          <w:jc w:val="center"/>
        </w:trPr>
        <w:tc>
          <w:tcPr>
            <w:tcW w:w="1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6167A9D" w14:textId="77777777" w:rsidR="00613FAA" w:rsidRPr="001D4A30" w:rsidRDefault="00734303" w:rsidP="004857E9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Nível II</w:t>
            </w:r>
          </w:p>
        </w:tc>
        <w:tc>
          <w:tcPr>
            <w:tcW w:w="3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A889D" w14:textId="77777777" w:rsidR="00613FAA" w:rsidRPr="001D4A30" w:rsidRDefault="00734303" w:rsidP="004857E9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Até 120 minutos</w:t>
            </w:r>
          </w:p>
        </w:tc>
      </w:tr>
      <w:tr w:rsidR="00613FAA" w:rsidRPr="001D4A30" w14:paraId="1A9ACF3E" w14:textId="77777777" w:rsidTr="004857E9">
        <w:trPr>
          <w:jc w:val="center"/>
        </w:trPr>
        <w:tc>
          <w:tcPr>
            <w:tcW w:w="1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A91491" w14:textId="77777777" w:rsidR="00613FAA" w:rsidRPr="001D4A30" w:rsidRDefault="00734303" w:rsidP="004857E9">
            <w:pPr>
              <w:pStyle w:val="PargrafodaLista1"/>
              <w:tabs>
                <w:tab w:val="left" w:pos="2552"/>
              </w:tabs>
              <w:spacing w:line="360" w:lineRule="auto"/>
              <w:ind w:right="34"/>
              <w:jc w:val="center"/>
              <w:rPr>
                <w:rStyle w:val="Fontepargpadro6"/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Nível III</w:t>
            </w:r>
          </w:p>
        </w:tc>
        <w:tc>
          <w:tcPr>
            <w:tcW w:w="3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6C75C" w14:textId="77777777" w:rsidR="00613FAA" w:rsidRPr="001D4A30" w:rsidRDefault="00734303" w:rsidP="004857E9">
            <w:pPr>
              <w:pStyle w:val="PargrafodaLista1"/>
              <w:tabs>
                <w:tab w:val="left" w:pos="2552"/>
              </w:tabs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D4A30">
              <w:rPr>
                <w:rStyle w:val="Fontepargpadro6"/>
                <w:rFonts w:cs="Times New Roman"/>
                <w:sz w:val="20"/>
                <w:szCs w:val="20"/>
              </w:rPr>
              <w:t>Até 180 minutos</w:t>
            </w:r>
          </w:p>
        </w:tc>
      </w:tr>
    </w:tbl>
    <w:p w14:paraId="400D478E" w14:textId="77777777" w:rsidR="00613FAA" w:rsidRPr="001D4A30" w:rsidRDefault="00613FAA" w:rsidP="00176A0A">
      <w:pPr>
        <w:pStyle w:val="PargrafodaLista1"/>
        <w:tabs>
          <w:tab w:val="left" w:pos="8505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87ED7BE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O relatório técnico mensal de atividades deverá ser entregue até o quinto dia útil do mês subsequente, comprovado através de protocolo assinado pela Contratante. Caso o prazo não seja cumprido, a glosa a ser aplicada será de 5% sobre a fatura mensal.</w:t>
      </w:r>
    </w:p>
    <w:p w14:paraId="152786F7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O relatório técnico mensal de todos os serviços executados deverá estar devidamente assinado pelos profissionais envolvidos, contendo:</w:t>
      </w:r>
    </w:p>
    <w:p w14:paraId="28717DA2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Nome e função dos profissionais alocados para execução dos serviços no mês de referência do relatório;</w:t>
      </w:r>
    </w:p>
    <w:p w14:paraId="24ED89C4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Descrição dos serviços preventivos e corretivos executados no mês, bem como falhas de testes, incluindo a data, o horário e o local dos mesmos;</w:t>
      </w:r>
    </w:p>
    <w:p w14:paraId="47CAFCD8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Relação de peças, componentes e materiais substituídos por defeito/desgaste ou utilizadas em ampliações/modificações;</w:t>
      </w:r>
    </w:p>
    <w:p w14:paraId="5152BFBD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lastRenderedPageBreak/>
        <w:t>Relação de serviços em andamento com estimativa de prazo de conclusão, e a executar com estimativa de prazo de início;</w:t>
      </w:r>
    </w:p>
    <w:p w14:paraId="6E928442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Leitura dos instrumentos de medida antes e depois dos serviços;</w:t>
      </w:r>
    </w:p>
    <w:p w14:paraId="05E8C693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Análise dos testes;</w:t>
      </w:r>
    </w:p>
    <w:p w14:paraId="4E16ACC6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Resumo das anormalidades e dos fatos ocorridos no período, incluindo a falta de energia e picos de consumo de energia;</w:t>
      </w:r>
    </w:p>
    <w:p w14:paraId="56EF0AAF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Relação de pendências, razões de sua existência e quais destas dependem de solução do Contratante;</w:t>
      </w:r>
    </w:p>
    <w:p w14:paraId="2B79C4DA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Acidentes de trabalho porventura ocorridos e suas causas;</w:t>
      </w:r>
    </w:p>
    <w:p w14:paraId="79819A89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Estudos e levantamentos realizados;</w:t>
      </w:r>
    </w:p>
    <w:p w14:paraId="7C127493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Informações sobre a situação dos sistemas e equipamentos, indicando deficiências;</w:t>
      </w:r>
    </w:p>
    <w:p w14:paraId="6B0F2083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Sugestões de modificações nas instalações, objetivando otimizar os sistemas e economizar energia;</w:t>
      </w:r>
    </w:p>
    <w:p w14:paraId="3E5F3E32" w14:textId="77777777" w:rsidR="00613FAA" w:rsidRPr="001D4A30" w:rsidRDefault="00734303" w:rsidP="00176A0A">
      <w:pPr>
        <w:pStyle w:val="PargrafodaLista"/>
        <w:numPr>
          <w:ilvl w:val="2"/>
          <w:numId w:val="1"/>
        </w:numPr>
        <w:tabs>
          <w:tab w:val="left" w:pos="1560"/>
        </w:tabs>
        <w:spacing w:after="0" w:line="360" w:lineRule="auto"/>
        <w:ind w:left="1560" w:hanging="709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Dados relevantes registrados no Livro de Ocorrências;</w:t>
      </w:r>
    </w:p>
    <w:p w14:paraId="66E1E0B3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 xml:space="preserve">Todas as rotinas e </w:t>
      </w:r>
      <w:r w:rsidR="0087442B"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Instrumento de Medição de Resultados (IMR)</w:t>
      </w: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 xml:space="preserve"> possuem elementos e princípios oriundos do conceito de Gestão Integrada, tais como: celeridade, atenção e integralidade do atendimento ao cliente paciente, usuário e colaborador, buscando humanização do atendimento e otimização da força de trabalho com padronização dos serviços.</w:t>
      </w:r>
    </w:p>
    <w:p w14:paraId="02761962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Todas as recomendações de conformidade e readequação das rotinas executadas pela Contratada serão informadas por está à Contratante, que deverá colaborar no que couber com relação ao cumprimento destas, sobretudo quando se tratar de funcionários ou servidores que não pertençam ao quadro de pessoal da Contratada.</w:t>
      </w:r>
    </w:p>
    <w:p w14:paraId="07B87CBA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A Contratada deverá utilizar canais de comunicação e, a critério a ser definido junto à Contratante, promover treinamentos e palestras através de equipes interdisciplinares que atuarão junto aos servidores e empregados públicos da UFF, a fim de conscientizar a todos dos novos parâmetros e políticas de gestão integrada de manutenção.</w:t>
      </w:r>
    </w:p>
    <w:p w14:paraId="4B95A0EC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Deverão ser considerados como serviços a serem executadas todas as rotinas, informações e recomendações contidas nos Boletins Técnicos, Catálogos, Manuais de Operação e de Manutenção dos fabricantes dos equipamentos em questão.</w:t>
      </w:r>
    </w:p>
    <w:p w14:paraId="464B54CB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Nos finais de semana, feriados e após o expediente normal de serviços, os plantonistas deverão estar equipados com rádios de comunicação, podendo assim ser acionados em qualquer emergência.</w:t>
      </w:r>
    </w:p>
    <w:p w14:paraId="5300BCD9" w14:textId="77777777" w:rsidR="00613FAA" w:rsidRPr="001D4A30" w:rsidRDefault="00734303" w:rsidP="004857E9">
      <w:pPr>
        <w:pStyle w:val="PargrafodaList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Caberá à Contratada manter uma equipe de plantão (no mínimo o bombeiro hidráulico e o eletricista) para garantir a disponibilidade de atendimento rápido em caso de necessidade de execução de manutenção corretiva.</w:t>
      </w:r>
    </w:p>
    <w:p w14:paraId="5E59A726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>A Contratada deverá fornecer o livro de registros de manutenção e submeter o modelo que pretende utilizar para análise da Fiscalização do Contrato até 10 (dez) dias úteis após a assinatura do Contrato.</w:t>
      </w:r>
    </w:p>
    <w:p w14:paraId="306E403C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O Livro de Registro deve ter suas páginas numeradas na forma de um Livro Ata.</w:t>
      </w:r>
    </w:p>
    <w:p w14:paraId="10A31910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lastRenderedPageBreak/>
        <w:t>Deverão ser registradas no Livro as seguintes informações: data e período da solicitação, solicitante, equipamento/instalação envolvida, tipo de ação realizada e descrição e quantitativo das peças e materiais substituídos/utilizados.</w:t>
      </w:r>
    </w:p>
    <w:p w14:paraId="5C05376E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Todos os relatos no livro deverão exibir a identificação e a assinatura do responsável pelas informações apresentadas.</w:t>
      </w:r>
    </w:p>
    <w:p w14:paraId="4F2C4EC7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 xml:space="preserve">Caso não haja ocorrência no dia, deverá ser anotada a data e a expressão “sem ocorrências”. </w:t>
      </w:r>
    </w:p>
    <w:p w14:paraId="71D6FDA2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O Livro deverá ser assinado mensalmente pelos engenheiros responsáveis técnicos pelo Contrato, anotada a expressão “fechamento do mês”.</w:t>
      </w:r>
    </w:p>
    <w:p w14:paraId="5FCD2BC8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O volume em aberto bem como o volume encerrado deverão permanecer sempre na CMA/SOMA para consulta ou arquivamento.</w:t>
      </w:r>
    </w:p>
    <w:p w14:paraId="5D158247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>Se previamente aprovado pela Fiscalização, a Contratada poderá adotar meio eletrônico alternativo para registro, desde que esse seja tecnicamente compatível.</w:t>
      </w:r>
    </w:p>
    <w:p w14:paraId="1D33C9D8" w14:textId="77777777" w:rsidR="00613FAA" w:rsidRPr="001D4A30" w:rsidRDefault="00734303" w:rsidP="00176A0A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  <w:tab w:val="left" w:pos="1326"/>
        </w:tabs>
        <w:autoSpaceDE w:val="0"/>
        <w:autoSpaceDN w:val="0"/>
        <w:spacing w:before="0" w:line="360" w:lineRule="auto"/>
        <w:jc w:val="both"/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</w:pPr>
      <w:r w:rsidRPr="001D4A30">
        <w:rPr>
          <w:rFonts w:ascii="Times New Roman" w:eastAsia="Arial" w:hAnsi="Times New Roman" w:cs="Times New Roman"/>
          <w:b w:val="0"/>
          <w:color w:val="auto"/>
          <w:sz w:val="20"/>
          <w:szCs w:val="20"/>
          <w:lang w:val="pt-PT" w:eastAsia="en-US"/>
        </w:rPr>
        <w:t xml:space="preserve">A remuneração dos serviços prestados na Gestão Integrada da Infraestrutura deverá ser constituída por remuneração fixa sendo, no entanto, permitido à Contratante descontar em até 15% (quinze por cento) do valor mensal do contrato. O percentual do desconto será mensurado de acordo com os critérios abaixo descritos: </w:t>
      </w:r>
    </w:p>
    <w:p w14:paraId="66D31418" w14:textId="77777777" w:rsidR="00613FAA" w:rsidRDefault="00734303" w:rsidP="00176A0A">
      <w:pPr>
        <w:pStyle w:val="PargrafodaList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szCs w:val="20"/>
          <w:lang w:val="pt-PT" w:eastAsia="en-US"/>
        </w:rPr>
        <w:t xml:space="preserve">Tempo de atendimento de Ordens de Serviço Corretivas: </w:t>
      </w:r>
    </w:p>
    <w:p w14:paraId="4AB6D880" w14:textId="77777777" w:rsidR="001D4A30" w:rsidRPr="001D4A30" w:rsidRDefault="001D4A30" w:rsidP="00176A0A">
      <w:pPr>
        <w:spacing w:after="0" w:line="360" w:lineRule="auto"/>
        <w:rPr>
          <w:rFonts w:ascii="Times New Roman" w:hAnsi="Times New Roman" w:cs="Times New Roman"/>
          <w:sz w:val="20"/>
          <w:szCs w:val="20"/>
          <w:lang w:val="pt-PT" w:eastAsia="en-US"/>
        </w:rPr>
      </w:pPr>
    </w:p>
    <w:p w14:paraId="639C8309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jc w:val="center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b/>
          <w:sz w:val="20"/>
          <w:szCs w:val="20"/>
        </w:rPr>
        <w:t>AOSC (%) = QTosa / QTos</w:t>
      </w:r>
    </w:p>
    <w:p w14:paraId="065BD6A0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jc w:val="center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>Sendo que:</w:t>
      </w:r>
    </w:p>
    <w:p w14:paraId="0C457040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jc w:val="center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>Se AOSC (%) &lt; 95%, o VTD (%) = 5%</w:t>
      </w:r>
    </w:p>
    <w:p w14:paraId="5EEFFC99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jc w:val="center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>Se AOSC (%) &gt; 95%, o VTD (%) = 0%</w:t>
      </w:r>
    </w:p>
    <w:p w14:paraId="37BA6003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 xml:space="preserve">Onde, </w:t>
      </w:r>
    </w:p>
    <w:p w14:paraId="0402122F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 xml:space="preserve">AOSC (%) = Percentual Inicial de Ordens de Serviço Corretivas atendidas; </w:t>
      </w:r>
    </w:p>
    <w:p w14:paraId="5E80464D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 xml:space="preserve">QTos = Quantidade de Ordens de Serviço Corretivas solicitadas; </w:t>
      </w:r>
    </w:p>
    <w:p w14:paraId="7A15DEC5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 xml:space="preserve">QTosa = Quantidade de Ordens de Serviço Corretivas atendidas; </w:t>
      </w:r>
    </w:p>
    <w:p w14:paraId="341033DD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 xml:space="preserve">VTD = Percentual do desconto a ser aplicado sobre a fatura mensal. </w:t>
      </w:r>
    </w:p>
    <w:p w14:paraId="6CA26858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b/>
          <w:bCs/>
          <w:sz w:val="20"/>
          <w:szCs w:val="20"/>
        </w:rPr>
      </w:pPr>
      <w:r w:rsidRPr="001D4A30">
        <w:rPr>
          <w:rStyle w:val="Fontepargpadro6"/>
          <w:rFonts w:cs="Times New Roman"/>
          <w:b/>
          <w:bCs/>
          <w:sz w:val="20"/>
          <w:szCs w:val="20"/>
        </w:rPr>
        <w:t>Obs.: consideram-se OS’s atendidas todas aquelas que forem finalizadas dentro dos prazos estipulados.</w:t>
      </w:r>
    </w:p>
    <w:p w14:paraId="2D89E79D" w14:textId="77777777" w:rsidR="00613FAA" w:rsidRPr="001D4A30" w:rsidRDefault="00613FAA" w:rsidP="00176A0A">
      <w:pPr>
        <w:pStyle w:val="PargrafodaLista1"/>
        <w:tabs>
          <w:tab w:val="left" w:pos="8505"/>
        </w:tabs>
        <w:spacing w:line="360" w:lineRule="auto"/>
        <w:ind w:left="720"/>
        <w:jc w:val="both"/>
        <w:rPr>
          <w:rStyle w:val="Fontepargpadro6"/>
          <w:rFonts w:asciiTheme="minorHAnsi" w:hAnsiTheme="minorHAnsi" w:cstheme="minorHAnsi"/>
          <w:sz w:val="20"/>
          <w:szCs w:val="20"/>
        </w:rPr>
      </w:pPr>
    </w:p>
    <w:p w14:paraId="1E873E64" w14:textId="77777777" w:rsidR="00613FAA" w:rsidRPr="001D4A30" w:rsidRDefault="00734303" w:rsidP="00176A0A">
      <w:pPr>
        <w:pStyle w:val="PargrafodaList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18"/>
          <w:szCs w:val="20"/>
          <w:lang w:val="pt-PT" w:eastAsia="en-US"/>
        </w:rPr>
      </w:pPr>
      <w:r w:rsidRPr="001D4A30">
        <w:rPr>
          <w:rFonts w:ascii="Times New Roman" w:hAnsi="Times New Roman" w:cs="Times New Roman"/>
          <w:sz w:val="20"/>
          <w:lang w:val="pt-PT" w:eastAsia="en-US"/>
        </w:rPr>
        <w:t xml:space="preserve">Manutenção preventiva: </w:t>
      </w:r>
    </w:p>
    <w:p w14:paraId="45713953" w14:textId="77777777" w:rsidR="00613FAA" w:rsidRPr="001D4A30" w:rsidRDefault="00613FAA" w:rsidP="00176A0A">
      <w:pPr>
        <w:pStyle w:val="PargrafodaLista1"/>
        <w:tabs>
          <w:tab w:val="left" w:pos="8505"/>
        </w:tabs>
        <w:spacing w:line="360" w:lineRule="auto"/>
        <w:jc w:val="both"/>
        <w:rPr>
          <w:rFonts w:cs="Times New Roman"/>
          <w:sz w:val="20"/>
          <w:szCs w:val="20"/>
          <w:highlight w:val="yellow"/>
        </w:rPr>
      </w:pPr>
    </w:p>
    <w:p w14:paraId="23B10B6E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jc w:val="center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b/>
          <w:sz w:val="20"/>
          <w:szCs w:val="20"/>
        </w:rPr>
        <w:t>MPE (%) = QTmpe / QTmpp</w:t>
      </w:r>
    </w:p>
    <w:p w14:paraId="5A10527A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jc w:val="center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>Sendo que:</w:t>
      </w:r>
    </w:p>
    <w:p w14:paraId="3F38F227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jc w:val="center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>se MPE (%) &lt; 95%, o VTD (%) = 5%</w:t>
      </w:r>
    </w:p>
    <w:p w14:paraId="06AEA839" w14:textId="77777777" w:rsidR="00613FAA" w:rsidRPr="001D4A30" w:rsidRDefault="00734303" w:rsidP="00176A0A">
      <w:pPr>
        <w:pStyle w:val="PargrafodaLista1"/>
        <w:tabs>
          <w:tab w:val="left" w:pos="8505"/>
        </w:tabs>
        <w:spacing w:line="360" w:lineRule="auto"/>
        <w:jc w:val="center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>se MPE (%) &gt; 95%, o VTD (%) = 0%</w:t>
      </w:r>
    </w:p>
    <w:p w14:paraId="75785551" w14:textId="77777777" w:rsidR="00613FAA" w:rsidRPr="001D4A30" w:rsidRDefault="00734303" w:rsidP="00176A0A">
      <w:pPr>
        <w:pStyle w:val="PargrafodaLista1"/>
        <w:tabs>
          <w:tab w:val="left" w:pos="426"/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 xml:space="preserve">Onde, </w:t>
      </w:r>
    </w:p>
    <w:p w14:paraId="246DF0A0" w14:textId="77777777" w:rsidR="00613FAA" w:rsidRPr="001D4A30" w:rsidRDefault="00734303" w:rsidP="00176A0A">
      <w:pPr>
        <w:pStyle w:val="PargrafodaLista1"/>
        <w:tabs>
          <w:tab w:val="left" w:pos="426"/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lastRenderedPageBreak/>
        <w:t xml:space="preserve">MPE (%) = Percentual Inicial de Ordens de Serviço Preventivas executadas; </w:t>
      </w:r>
    </w:p>
    <w:p w14:paraId="28B4E8B1" w14:textId="77777777" w:rsidR="00613FAA" w:rsidRPr="001D4A30" w:rsidRDefault="00734303" w:rsidP="00176A0A">
      <w:pPr>
        <w:pStyle w:val="PargrafodaLista1"/>
        <w:tabs>
          <w:tab w:val="left" w:pos="426"/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 xml:space="preserve">QTmpe = Quantidade de Ordens de Serviço Preventivas executadas; </w:t>
      </w:r>
    </w:p>
    <w:p w14:paraId="3F4F9B7A" w14:textId="77777777" w:rsidR="00613FAA" w:rsidRPr="001D4A30" w:rsidRDefault="00734303" w:rsidP="00176A0A">
      <w:pPr>
        <w:pStyle w:val="PargrafodaLista1"/>
        <w:tabs>
          <w:tab w:val="left" w:pos="426"/>
          <w:tab w:val="left" w:pos="8505"/>
        </w:tabs>
        <w:spacing w:line="360" w:lineRule="auto"/>
        <w:ind w:left="426"/>
        <w:jc w:val="both"/>
        <w:rPr>
          <w:rStyle w:val="Fontepargpadro6"/>
          <w:rFonts w:cs="Times New Roman"/>
          <w:sz w:val="20"/>
          <w:szCs w:val="20"/>
        </w:rPr>
      </w:pPr>
      <w:r w:rsidRPr="001D4A30">
        <w:rPr>
          <w:rStyle w:val="Fontepargpadro6"/>
          <w:rFonts w:cs="Times New Roman"/>
          <w:sz w:val="20"/>
          <w:szCs w:val="20"/>
        </w:rPr>
        <w:t xml:space="preserve">QTmpp = Quantidade de Ordens de Serviço Preventivas programadas; </w:t>
      </w:r>
    </w:p>
    <w:p w14:paraId="6C0C749B" w14:textId="77777777" w:rsidR="00613FAA" w:rsidRPr="001D4A30" w:rsidRDefault="00734303" w:rsidP="00176A0A">
      <w:pPr>
        <w:tabs>
          <w:tab w:val="left" w:pos="426"/>
        </w:tabs>
        <w:spacing w:line="360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1D4A30">
        <w:rPr>
          <w:rStyle w:val="Fontepargpadro6"/>
          <w:rFonts w:ascii="Times New Roman" w:hAnsi="Times New Roman" w:cs="Times New Roman"/>
          <w:sz w:val="20"/>
          <w:szCs w:val="20"/>
        </w:rPr>
        <w:t>VTD = Percentual do desconto a ser aplicado sobre a fatura mensal.</w:t>
      </w:r>
    </w:p>
    <w:p w14:paraId="34E23D9E" w14:textId="77777777" w:rsidR="00613FAA" w:rsidRPr="001D4A30" w:rsidRDefault="00613FAA" w:rsidP="00176A0A">
      <w:pPr>
        <w:spacing w:line="360" w:lineRule="auto"/>
        <w:rPr>
          <w:rFonts w:cstheme="minorHAnsi"/>
          <w:sz w:val="20"/>
          <w:szCs w:val="20"/>
        </w:rPr>
      </w:pPr>
    </w:p>
    <w:p w14:paraId="6662B209" w14:textId="77777777" w:rsidR="00613FAA" w:rsidRPr="004857E9" w:rsidRDefault="00734303" w:rsidP="004857E9">
      <w:pPr>
        <w:spacing w:line="360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4857E9">
        <w:rPr>
          <w:rFonts w:ascii="Times New Roman" w:hAnsi="Times New Roman" w:cs="Times New Roman"/>
          <w:sz w:val="20"/>
          <w:szCs w:val="20"/>
        </w:rPr>
        <w:t xml:space="preserve">Niterói, </w:t>
      </w:r>
      <w:r w:rsidR="004857E9" w:rsidRPr="004857E9">
        <w:rPr>
          <w:rFonts w:ascii="Times New Roman" w:hAnsi="Times New Roman" w:cs="Times New Roman"/>
          <w:sz w:val="20"/>
          <w:szCs w:val="20"/>
        </w:rPr>
        <w:t>24</w:t>
      </w:r>
      <w:r w:rsidRPr="004857E9">
        <w:rPr>
          <w:rFonts w:ascii="Times New Roman" w:hAnsi="Times New Roman" w:cs="Times New Roman"/>
          <w:sz w:val="20"/>
          <w:szCs w:val="20"/>
        </w:rPr>
        <w:t xml:space="preserve"> de </w:t>
      </w:r>
      <w:r w:rsidR="00EB7ED1" w:rsidRPr="004857E9">
        <w:rPr>
          <w:rFonts w:ascii="Times New Roman" w:hAnsi="Times New Roman" w:cs="Times New Roman"/>
          <w:sz w:val="20"/>
          <w:szCs w:val="20"/>
        </w:rPr>
        <w:t>ma</w:t>
      </w:r>
      <w:r w:rsidR="004857E9" w:rsidRPr="004857E9">
        <w:rPr>
          <w:rFonts w:ascii="Times New Roman" w:hAnsi="Times New Roman" w:cs="Times New Roman"/>
          <w:sz w:val="20"/>
          <w:szCs w:val="20"/>
        </w:rPr>
        <w:t>I</w:t>
      </w:r>
      <w:r w:rsidR="00EB7ED1" w:rsidRPr="004857E9">
        <w:rPr>
          <w:rFonts w:ascii="Times New Roman" w:hAnsi="Times New Roman" w:cs="Times New Roman"/>
          <w:sz w:val="20"/>
          <w:szCs w:val="20"/>
        </w:rPr>
        <w:t>o</w:t>
      </w:r>
      <w:r w:rsidRPr="004857E9">
        <w:rPr>
          <w:rFonts w:ascii="Times New Roman" w:hAnsi="Times New Roman" w:cs="Times New Roman"/>
          <w:sz w:val="20"/>
          <w:szCs w:val="20"/>
        </w:rPr>
        <w:t xml:space="preserve"> de 20</w:t>
      </w:r>
      <w:r w:rsidR="00EB7ED1" w:rsidRPr="004857E9">
        <w:rPr>
          <w:rFonts w:ascii="Times New Roman" w:hAnsi="Times New Roman" w:cs="Times New Roman"/>
          <w:sz w:val="20"/>
          <w:szCs w:val="20"/>
        </w:rPr>
        <w:t>2</w:t>
      </w:r>
      <w:r w:rsidR="004857E9" w:rsidRPr="004857E9">
        <w:rPr>
          <w:rFonts w:ascii="Times New Roman" w:hAnsi="Times New Roman" w:cs="Times New Roman"/>
          <w:sz w:val="20"/>
          <w:szCs w:val="20"/>
        </w:rPr>
        <w:t>1</w:t>
      </w:r>
      <w:r w:rsidRPr="004857E9">
        <w:rPr>
          <w:rFonts w:ascii="Times New Roman" w:hAnsi="Times New Roman" w:cs="Times New Roman"/>
          <w:sz w:val="20"/>
          <w:szCs w:val="20"/>
        </w:rPr>
        <w:t>.</w:t>
      </w:r>
    </w:p>
    <w:p w14:paraId="7354E2BA" w14:textId="77777777" w:rsidR="00613FAA" w:rsidRPr="001D4A30" w:rsidRDefault="00613FAA" w:rsidP="00176A0A">
      <w:pPr>
        <w:spacing w:line="360" w:lineRule="auto"/>
        <w:rPr>
          <w:rFonts w:cstheme="minorHAnsi"/>
          <w:sz w:val="20"/>
          <w:szCs w:val="20"/>
        </w:rPr>
      </w:pPr>
    </w:p>
    <w:p w14:paraId="1A8AE326" w14:textId="77777777" w:rsidR="00613FAA" w:rsidRPr="001D4A30" w:rsidRDefault="00613FAA" w:rsidP="00176A0A">
      <w:pPr>
        <w:spacing w:after="0"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5D38D9BB" w14:textId="77777777" w:rsidR="00EB7ED1" w:rsidRPr="001D4A30" w:rsidRDefault="00EB7ED1" w:rsidP="00176A0A">
      <w:pPr>
        <w:pStyle w:val="Lista"/>
        <w:spacing w:line="360" w:lineRule="auto"/>
        <w:jc w:val="center"/>
        <w:rPr>
          <w:rFonts w:ascii="Verdana" w:hAnsi="Verdana"/>
          <w:sz w:val="20"/>
          <w:szCs w:val="20"/>
        </w:rPr>
      </w:pPr>
      <w:r w:rsidRPr="001D4A30">
        <w:rPr>
          <w:rFonts w:ascii="Verdana" w:hAnsi="Verdana"/>
          <w:sz w:val="20"/>
          <w:szCs w:val="20"/>
        </w:rPr>
        <w:t>______________________________________________</w:t>
      </w:r>
    </w:p>
    <w:p w14:paraId="6905CC39" w14:textId="77777777" w:rsidR="00EB7ED1" w:rsidRPr="001D4A30" w:rsidRDefault="00EB7ED1" w:rsidP="00176A0A">
      <w:pPr>
        <w:pStyle w:val="Corpodetexto"/>
        <w:spacing w:line="360" w:lineRule="auto"/>
        <w:jc w:val="center"/>
        <w:rPr>
          <w:rFonts w:ascii="Verdana" w:hAnsi="Verdana"/>
          <w:sz w:val="20"/>
          <w:szCs w:val="20"/>
        </w:rPr>
      </w:pPr>
      <w:r w:rsidRPr="001D4A30">
        <w:rPr>
          <w:rFonts w:ascii="Verdana" w:hAnsi="Verdana"/>
          <w:sz w:val="20"/>
          <w:szCs w:val="20"/>
        </w:rPr>
        <w:t>[Assinatura]</w:t>
      </w:r>
    </w:p>
    <w:p w14:paraId="1E789920" w14:textId="77777777" w:rsidR="00613FAA" w:rsidRPr="001D4A30" w:rsidRDefault="00613FAA" w:rsidP="00176A0A">
      <w:pPr>
        <w:spacing w:line="360" w:lineRule="auto"/>
        <w:rPr>
          <w:rFonts w:cstheme="minorHAnsi"/>
          <w:sz w:val="20"/>
          <w:szCs w:val="20"/>
        </w:rPr>
      </w:pPr>
    </w:p>
    <w:sectPr w:rsidR="00613FAA" w:rsidRPr="001D4A30" w:rsidSect="00606734">
      <w:headerReference w:type="default" r:id="rId7"/>
      <w:pgSz w:w="11906" w:h="16838"/>
      <w:pgMar w:top="1134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D0ADA" w14:textId="77777777" w:rsidR="00892DB1" w:rsidRDefault="00892DB1">
      <w:pPr>
        <w:spacing w:after="0" w:line="240" w:lineRule="auto"/>
      </w:pPr>
      <w:r>
        <w:separator/>
      </w:r>
    </w:p>
  </w:endnote>
  <w:endnote w:type="continuationSeparator" w:id="0">
    <w:p w14:paraId="7C0ABBBE" w14:textId="77777777" w:rsidR="00892DB1" w:rsidRDefault="0089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ans Narrow">
    <w:altName w:val="Arial"/>
    <w:panose1 w:val="020B0604020202020204"/>
    <w:charset w:val="00"/>
    <w:family w:val="swiss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892FD" w14:textId="77777777" w:rsidR="00892DB1" w:rsidRDefault="00892DB1">
      <w:pPr>
        <w:spacing w:after="0" w:line="240" w:lineRule="auto"/>
      </w:pPr>
      <w:r>
        <w:separator/>
      </w:r>
    </w:p>
  </w:footnote>
  <w:footnote w:type="continuationSeparator" w:id="0">
    <w:p w14:paraId="21305E22" w14:textId="77777777" w:rsidR="00892DB1" w:rsidRDefault="0089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2D560" w14:textId="77777777" w:rsidR="00606734" w:rsidRDefault="00606734" w:rsidP="00606734">
    <w:pPr>
      <w:jc w:val="center"/>
      <w:rPr>
        <w:rFonts w:ascii="Calibri" w:eastAsia="Calibri" w:hAnsi="Calibri" w:cs="Calibri"/>
        <w:b/>
        <w:color w:val="FF0000"/>
      </w:rPr>
    </w:pPr>
    <w:r>
      <w:rPr>
        <w:rFonts w:ascii="Calibri" w:eastAsia="Calibri" w:hAnsi="Calibri" w:cs="Calibri"/>
        <w:b/>
        <w:noProof/>
        <w:color w:val="FF0000"/>
      </w:rPr>
      <w:drawing>
        <wp:inline distT="0" distB="0" distL="0" distR="0" wp14:anchorId="4DE6D4D9" wp14:editId="2B805BEE">
          <wp:extent cx="5829300" cy="748048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imbo soma 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72148" cy="7535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40A102" w14:textId="77777777" w:rsidR="00606734" w:rsidRDefault="00606734" w:rsidP="00606734">
    <w:pPr>
      <w:spacing w:after="0" w:line="240" w:lineRule="auto"/>
      <w:jc w:val="center"/>
      <w:rPr>
        <w:rFonts w:ascii="Calibri" w:eastAsia="Calibri" w:hAnsi="Calibri" w:cs="Calibri"/>
        <w:b/>
      </w:rPr>
    </w:pPr>
    <w:r>
      <w:rPr>
        <w:rFonts w:ascii="Calibri" w:eastAsia="Calibri" w:hAnsi="Calibri" w:cs="Calibri"/>
        <w:b/>
      </w:rPr>
      <w:t>Ministério da Educação</w:t>
    </w:r>
  </w:p>
  <w:p w14:paraId="066DC177" w14:textId="77777777" w:rsidR="00606734" w:rsidRDefault="00606734" w:rsidP="00606734">
    <w:pPr>
      <w:spacing w:after="0" w:line="240" w:lineRule="auto"/>
      <w:jc w:val="center"/>
      <w:rPr>
        <w:rFonts w:ascii="Calibri" w:eastAsia="Calibri" w:hAnsi="Calibri" w:cs="Calibri"/>
        <w:b/>
      </w:rPr>
    </w:pPr>
    <w:r>
      <w:rPr>
        <w:rFonts w:ascii="Calibri" w:eastAsia="Calibri" w:hAnsi="Calibri" w:cs="Calibri"/>
        <w:b/>
      </w:rPr>
      <w:t>Universidade Federal Fluminense</w:t>
    </w:r>
  </w:p>
  <w:p w14:paraId="3BA3AFE6" w14:textId="77777777" w:rsidR="00606734" w:rsidRDefault="00606734" w:rsidP="00606734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Calibri"/>
        <w:b/>
      </w:rPr>
    </w:pPr>
    <w:r>
      <w:rPr>
        <w:rFonts w:ascii="Calibri" w:eastAsia="Calibri" w:hAnsi="Calibri" w:cs="Calibri"/>
        <w:b/>
      </w:rPr>
      <w:t>Superintendência de Operações e Manutenção - SOMA</w:t>
    </w:r>
  </w:p>
  <w:p w14:paraId="119FD0D7" w14:textId="77777777" w:rsidR="00606734" w:rsidRDefault="00606734" w:rsidP="00606734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Calibri"/>
        <w:b/>
      </w:rPr>
    </w:pPr>
    <w:r>
      <w:rPr>
        <w:rFonts w:ascii="Calibri" w:eastAsia="Calibri" w:hAnsi="Calibri" w:cs="Calibri"/>
        <w:b/>
      </w:rPr>
      <w:t>Coordenação de Manutenção - CMA</w:t>
    </w:r>
  </w:p>
  <w:p w14:paraId="3B1B8A1E" w14:textId="77777777" w:rsidR="00613FAA" w:rsidRDefault="00613FAA" w:rsidP="00606734">
    <w:pPr>
      <w:suppressAutoHyphens/>
      <w:spacing w:after="0" w:line="240" w:lineRule="auto"/>
      <w:jc w:val="center"/>
      <w:rPr>
        <w:rFonts w:eastAsia="Times New Roman" w:cstheme="minorHAnsi"/>
        <w:color w:val="000000"/>
        <w:sz w:val="18"/>
        <w:szCs w:val="18"/>
        <w:lang w:eastAsia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B46E9"/>
    <w:multiLevelType w:val="multilevel"/>
    <w:tmpl w:val="2FEA6A48"/>
    <w:lvl w:ilvl="0">
      <w:start w:val="1"/>
      <w:numFmt w:val="decimal"/>
      <w:lvlText w:val="%1."/>
      <w:lvlJc w:val="left"/>
      <w:pPr>
        <w:ind w:left="360" w:hanging="360"/>
      </w:pPr>
      <w:rPr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0BF5433"/>
    <w:multiLevelType w:val="hybridMultilevel"/>
    <w:tmpl w:val="F66C501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3FAA"/>
    <w:rsid w:val="00125ECF"/>
    <w:rsid w:val="00176A0A"/>
    <w:rsid w:val="001A0B6B"/>
    <w:rsid w:val="001D4A30"/>
    <w:rsid w:val="0038686A"/>
    <w:rsid w:val="003A6029"/>
    <w:rsid w:val="004857E9"/>
    <w:rsid w:val="00606734"/>
    <w:rsid w:val="00613FAA"/>
    <w:rsid w:val="00666AB9"/>
    <w:rsid w:val="00734303"/>
    <w:rsid w:val="00766D7C"/>
    <w:rsid w:val="008109BD"/>
    <w:rsid w:val="0087442B"/>
    <w:rsid w:val="00892DB1"/>
    <w:rsid w:val="00985D18"/>
    <w:rsid w:val="00C364F2"/>
    <w:rsid w:val="00CA3363"/>
    <w:rsid w:val="00EB7E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0DC7C2"/>
  <w15:docId w15:val="{81C50B26-7025-4893-B66D-169B7FF84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6029"/>
    <w:pPr>
      <w:spacing w:after="200" w:line="276" w:lineRule="auto"/>
    </w:pPr>
    <w:rPr>
      <w:sz w:val="22"/>
    </w:rPr>
  </w:style>
  <w:style w:type="paragraph" w:styleId="Ttulo1">
    <w:name w:val="heading 1"/>
    <w:basedOn w:val="Normal"/>
    <w:next w:val="Normal"/>
    <w:link w:val="Ttulo1Char"/>
    <w:uiPriority w:val="1"/>
    <w:qFormat/>
    <w:rsid w:val="001D4A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6">
    <w:name w:val="Fonte parág. padrão6"/>
    <w:qFormat/>
    <w:rsid w:val="00152D9D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D9D"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qFormat/>
    <w:rsid w:val="006F3AD8"/>
  </w:style>
  <w:style w:type="character" w:customStyle="1" w:styleId="RodapChar">
    <w:name w:val="Rodapé Char"/>
    <w:basedOn w:val="Fontepargpadro"/>
    <w:link w:val="Rodap"/>
    <w:uiPriority w:val="99"/>
    <w:qFormat/>
    <w:rsid w:val="006F3AD8"/>
  </w:style>
  <w:style w:type="paragraph" w:styleId="Ttulo">
    <w:name w:val="Title"/>
    <w:basedOn w:val="Normal"/>
    <w:next w:val="Corpodetexto"/>
    <w:qFormat/>
    <w:rsid w:val="003A602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3A6029"/>
    <w:pPr>
      <w:spacing w:after="140"/>
    </w:pPr>
  </w:style>
  <w:style w:type="paragraph" w:styleId="Lista">
    <w:name w:val="List"/>
    <w:basedOn w:val="Corpodetexto"/>
    <w:rsid w:val="003A6029"/>
    <w:rPr>
      <w:rFonts w:cs="Arial"/>
    </w:rPr>
  </w:style>
  <w:style w:type="paragraph" w:styleId="Legenda">
    <w:name w:val="caption"/>
    <w:basedOn w:val="Normal"/>
    <w:qFormat/>
    <w:rsid w:val="003A602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A6029"/>
    <w:pPr>
      <w:suppressLineNumbers/>
    </w:pPr>
    <w:rPr>
      <w:rFonts w:cs="Arial"/>
    </w:rPr>
  </w:style>
  <w:style w:type="paragraph" w:customStyle="1" w:styleId="PargrafodaLista1">
    <w:name w:val="Parágrafo da Lista1"/>
    <w:basedOn w:val="Normal"/>
    <w:qFormat/>
    <w:rsid w:val="00152D9D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D9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3A6029"/>
  </w:style>
  <w:style w:type="paragraph" w:styleId="Cabealho">
    <w:name w:val="header"/>
    <w:aliases w:val="Cabeçalho superior,Heading 1a"/>
    <w:basedOn w:val="Normal"/>
    <w:link w:val="CabealhoChar"/>
    <w:unhideWhenUsed/>
    <w:rsid w:val="006F3AD8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6F3AD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Nivel1">
    <w:name w:val="Nivel1"/>
    <w:basedOn w:val="Ttulo1"/>
    <w:link w:val="Nivel1Char"/>
    <w:qFormat/>
    <w:rsid w:val="001D4A30"/>
    <w:pPr>
      <w:suppressAutoHyphens/>
    </w:pPr>
    <w:rPr>
      <w:rFonts w:ascii="Arial" w:eastAsia="MS Gothic" w:hAnsi="Arial" w:cs="Times New Roman"/>
      <w:bCs w:val="0"/>
      <w:color w:val="000000"/>
      <w:szCs w:val="20"/>
      <w:lang w:bidi="pt-BR"/>
    </w:rPr>
  </w:style>
  <w:style w:type="character" w:customStyle="1" w:styleId="Nivel1Char">
    <w:name w:val="Nivel1 Char"/>
    <w:basedOn w:val="Ttulo1Char"/>
    <w:link w:val="Nivel1"/>
    <w:rsid w:val="001D4A30"/>
    <w:rPr>
      <w:rFonts w:ascii="Arial" w:eastAsia="MS Gothic" w:hAnsi="Arial" w:cs="Times New Roman"/>
      <w:b/>
      <w:bCs w:val="0"/>
      <w:color w:val="000000"/>
      <w:sz w:val="28"/>
      <w:szCs w:val="20"/>
      <w:lang w:bidi="pt-BR"/>
    </w:rPr>
  </w:style>
  <w:style w:type="character" w:customStyle="1" w:styleId="Ttulo1Char">
    <w:name w:val="Título 1 Char"/>
    <w:basedOn w:val="Fontepargpadro"/>
    <w:link w:val="Ttulo1"/>
    <w:rsid w:val="001D4A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1D4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1350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Julia Lopes</cp:lastModifiedBy>
  <cp:revision>7</cp:revision>
  <dcterms:created xsi:type="dcterms:W3CDTF">2020-05-18T16:32:00Z</dcterms:created>
  <dcterms:modified xsi:type="dcterms:W3CDTF">2021-09-30T14:36:00Z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