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1EE83D08">
            <wp:simplePos x="0" y="0"/>
            <wp:positionH relativeFrom="column">
              <wp:posOffset>-144145</wp:posOffset>
            </wp:positionH>
            <wp:positionV relativeFrom="paragraph">
              <wp:posOffset>-314960</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073BFE7B" w:rsidR="00146AC4" w:rsidRPr="00F60A70" w:rsidRDefault="00146AC4" w:rsidP="00146AC4">
      <w:pPr>
        <w:pStyle w:val="Ttulo1"/>
        <w:shd w:val="clear" w:color="auto" w:fill="E7E6E6"/>
        <w:rPr>
          <w:rFonts w:asciiTheme="minorHAnsi" w:hAnsiTheme="minorHAnsi" w:cstheme="minorHAnsi"/>
          <w:sz w:val="22"/>
          <w:szCs w:val="22"/>
        </w:rPr>
      </w:pPr>
      <w:r w:rsidRPr="00F60A70">
        <w:rPr>
          <w:rFonts w:asciiTheme="minorHAnsi" w:hAnsiTheme="minorHAnsi" w:cstheme="minorHAnsi"/>
          <w:sz w:val="22"/>
          <w:szCs w:val="22"/>
        </w:rPr>
        <w:t xml:space="preserve">ANEXO </w:t>
      </w:r>
      <w:r w:rsidR="003811FD" w:rsidRPr="00F60A70">
        <w:rPr>
          <w:rFonts w:asciiTheme="minorHAnsi" w:hAnsiTheme="minorHAnsi" w:cstheme="minorHAnsi"/>
          <w:sz w:val="22"/>
          <w:szCs w:val="22"/>
        </w:rPr>
        <w:t>III</w:t>
      </w:r>
      <w:r w:rsidR="00777603" w:rsidRPr="00F60A70">
        <w:rPr>
          <w:rFonts w:asciiTheme="minorHAnsi" w:hAnsiTheme="minorHAnsi" w:cstheme="minorHAnsi"/>
          <w:sz w:val="22"/>
          <w:szCs w:val="22"/>
        </w:rPr>
        <w:t xml:space="preserve"> </w:t>
      </w:r>
      <w:r w:rsidRPr="00F60A70">
        <w:rPr>
          <w:rFonts w:asciiTheme="minorHAnsi" w:hAnsiTheme="minorHAnsi" w:cstheme="minorHAnsi"/>
          <w:sz w:val="22"/>
          <w:szCs w:val="22"/>
        </w:rPr>
        <w:t>– INSTRUMENTO DE MEDIÇÃO DE RESULTADO</w:t>
      </w:r>
    </w:p>
    <w:p w14:paraId="65824008" w14:textId="77777777" w:rsidR="00146AC4" w:rsidRPr="00F60A70" w:rsidRDefault="00146AC4" w:rsidP="00146AC4">
      <w:pPr>
        <w:pStyle w:val="PargrafodaLista"/>
        <w:tabs>
          <w:tab w:val="left" w:pos="426"/>
        </w:tabs>
        <w:ind w:left="0"/>
        <w:jc w:val="both"/>
        <w:rPr>
          <w:rFonts w:asciiTheme="minorHAnsi" w:eastAsia="Arial Unicode MS" w:hAnsiTheme="minorHAnsi" w:cstheme="minorHAnsi"/>
          <w:sz w:val="22"/>
          <w:szCs w:val="22"/>
          <w:lang w:val="x-none"/>
        </w:rPr>
      </w:pPr>
    </w:p>
    <w:bookmarkEnd w:id="1"/>
    <w:p w14:paraId="44ABEE82" w14:textId="10E6BC62" w:rsidR="00DD5D63" w:rsidRPr="00F60A70" w:rsidRDefault="005913FE" w:rsidP="003C2ACF">
      <w:pPr>
        <w:pStyle w:val="PargrafodaLista"/>
        <w:tabs>
          <w:tab w:val="left" w:pos="426"/>
        </w:tabs>
        <w:spacing w:line="276" w:lineRule="auto"/>
        <w:ind w:left="0"/>
        <w:jc w:val="center"/>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INSTRUMENTO DE MEDIÇÃO DE RESULTADOS</w:t>
      </w:r>
      <w:r w:rsidR="00DD5D63" w:rsidRPr="00F60A70">
        <w:rPr>
          <w:rFonts w:asciiTheme="minorHAnsi" w:eastAsia="Arial Unicode MS" w:hAnsiTheme="minorHAnsi" w:cstheme="minorHAnsi"/>
          <w:b/>
          <w:sz w:val="22"/>
          <w:szCs w:val="22"/>
          <w:lang w:val="x-none"/>
        </w:rPr>
        <w:t xml:space="preserve"> DE ATIVIDADES </w:t>
      </w:r>
      <w:r w:rsidR="00D75A6A">
        <w:rPr>
          <w:rFonts w:asciiTheme="minorHAnsi" w:eastAsia="Arial Unicode MS" w:hAnsiTheme="minorHAnsi" w:cstheme="minorHAnsi"/>
          <w:b/>
          <w:sz w:val="22"/>
          <w:szCs w:val="22"/>
        </w:rPr>
        <w:t>SEM CESSÃO DE</w:t>
      </w:r>
      <w:r w:rsidR="00DD5D63" w:rsidRPr="00F60A70">
        <w:rPr>
          <w:rFonts w:asciiTheme="minorHAnsi" w:eastAsia="Arial Unicode MS" w:hAnsiTheme="minorHAnsi" w:cstheme="minorHAnsi"/>
          <w:b/>
          <w:sz w:val="22"/>
          <w:szCs w:val="22"/>
          <w:lang w:val="x-none"/>
        </w:rPr>
        <w:t xml:space="preserve"> </w:t>
      </w:r>
      <w:r w:rsidR="00DD5D63" w:rsidRPr="00F60A70">
        <w:rPr>
          <w:rFonts w:asciiTheme="minorHAnsi" w:eastAsia="Arial Unicode MS" w:hAnsiTheme="minorHAnsi" w:cstheme="minorHAnsi"/>
          <w:b/>
          <w:sz w:val="22"/>
          <w:szCs w:val="22"/>
        </w:rPr>
        <w:t xml:space="preserve">MÃO DE OBRA PARA SERVIÇOS </w:t>
      </w:r>
      <w:r w:rsidR="00D75A6A">
        <w:rPr>
          <w:rFonts w:asciiTheme="minorHAnsi" w:eastAsia="Arial Unicode MS" w:hAnsiTheme="minorHAnsi" w:cstheme="minorHAnsi"/>
          <w:b/>
          <w:sz w:val="22"/>
          <w:szCs w:val="22"/>
        </w:rPr>
        <w:t xml:space="preserve">NÃO </w:t>
      </w:r>
      <w:r w:rsidR="00DD5D63" w:rsidRPr="00F60A70">
        <w:rPr>
          <w:rFonts w:asciiTheme="minorHAnsi" w:eastAsia="Arial Unicode MS" w:hAnsiTheme="minorHAnsi" w:cstheme="minorHAnsi"/>
          <w:b/>
          <w:sz w:val="22"/>
          <w:szCs w:val="22"/>
        </w:rPr>
        <w:t>CONTINUADOS DE NA UNIVERSIDADE FEDERAL FLUMINENSE</w:t>
      </w:r>
    </w:p>
    <w:p w14:paraId="12E9BD6F" w14:textId="77777777" w:rsidR="00DD5D63" w:rsidRPr="00F60A70" w:rsidRDefault="00DD5D63" w:rsidP="003C2ACF">
      <w:pPr>
        <w:pStyle w:val="PargrafodaLista"/>
        <w:tabs>
          <w:tab w:val="left" w:pos="426"/>
        </w:tabs>
        <w:spacing w:line="276" w:lineRule="auto"/>
        <w:ind w:left="0"/>
        <w:jc w:val="both"/>
        <w:rPr>
          <w:rFonts w:asciiTheme="minorHAnsi" w:eastAsia="Arial Unicode MS" w:hAnsiTheme="minorHAnsi" w:cstheme="minorHAnsi"/>
          <w:sz w:val="22"/>
          <w:szCs w:val="22"/>
        </w:rPr>
      </w:pPr>
    </w:p>
    <w:p w14:paraId="2C14F463" w14:textId="77777777" w:rsidR="00DD5D63" w:rsidRPr="003C2ACF" w:rsidRDefault="00DD5D63" w:rsidP="003C2ACF">
      <w:pPr>
        <w:pStyle w:val="PargrafodaLista"/>
        <w:numPr>
          <w:ilvl w:val="0"/>
          <w:numId w:val="3"/>
        </w:numPr>
        <w:tabs>
          <w:tab w:val="left" w:pos="426"/>
        </w:tabs>
        <w:spacing w:line="276" w:lineRule="auto"/>
        <w:jc w:val="both"/>
        <w:rPr>
          <w:rFonts w:asciiTheme="minorHAnsi" w:eastAsia="Arial Unicode MS" w:hAnsiTheme="minorHAnsi" w:cstheme="minorHAnsi"/>
          <w:b/>
          <w:sz w:val="22"/>
          <w:szCs w:val="22"/>
        </w:rPr>
      </w:pPr>
      <w:r w:rsidRPr="003C2ACF">
        <w:rPr>
          <w:rFonts w:asciiTheme="minorHAnsi" w:eastAsia="Arial Unicode MS" w:hAnsiTheme="minorHAnsi" w:cstheme="minorHAnsi"/>
          <w:b/>
          <w:sz w:val="22"/>
          <w:szCs w:val="22"/>
        </w:rPr>
        <w:t>INTRODUÇÃO</w:t>
      </w:r>
    </w:p>
    <w:p w14:paraId="009617C2" w14:textId="77777777" w:rsidR="00C6037F" w:rsidRPr="003C2ACF" w:rsidRDefault="00C6037F" w:rsidP="003C2ACF">
      <w:pPr>
        <w:pStyle w:val="PargrafodaLista"/>
        <w:tabs>
          <w:tab w:val="left" w:pos="0"/>
        </w:tabs>
        <w:spacing w:line="276" w:lineRule="auto"/>
        <w:ind w:left="426"/>
        <w:jc w:val="both"/>
        <w:rPr>
          <w:rFonts w:asciiTheme="minorHAnsi" w:eastAsia="Arial Unicode MS" w:hAnsiTheme="minorHAnsi" w:cstheme="minorHAnsi"/>
          <w:sz w:val="22"/>
          <w:szCs w:val="22"/>
        </w:rPr>
      </w:pPr>
    </w:p>
    <w:p w14:paraId="3997AA2B" w14:textId="77777777" w:rsidR="003C2ACF" w:rsidRDefault="003C2ACF" w:rsidP="003C2ACF">
      <w:pPr>
        <w:pStyle w:val="PargrafodaLista"/>
        <w:numPr>
          <w:ilvl w:val="1"/>
          <w:numId w:val="3"/>
        </w:numPr>
        <w:autoSpaceDE w:val="0"/>
        <w:autoSpaceDN w:val="0"/>
        <w:adjustRightInd w:val="0"/>
        <w:spacing w:line="276" w:lineRule="auto"/>
        <w:ind w:left="284" w:hanging="290"/>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sz w:val="22"/>
          <w:szCs w:val="22"/>
          <w:lang w:eastAsia="en-US"/>
        </w:rPr>
        <w:t>O IMR é, conforme Instrução Normativa nº 05 de 2017, o “mecanismo que define, em bases compreensíveis, tangíveis, objetivamente observáveis e comprováveis, os níveis esperados de qualidade da prestação do serviço e respectivas adequações de pagamento” para os serviços prestados.</w:t>
      </w:r>
    </w:p>
    <w:p w14:paraId="124AC8C5" w14:textId="77777777" w:rsidR="003C2ACF" w:rsidRPr="003C2ACF" w:rsidRDefault="003C2ACF" w:rsidP="003C2ACF">
      <w:pPr>
        <w:pStyle w:val="PargrafodaLista"/>
        <w:numPr>
          <w:ilvl w:val="1"/>
          <w:numId w:val="3"/>
        </w:numPr>
        <w:autoSpaceDE w:val="0"/>
        <w:autoSpaceDN w:val="0"/>
        <w:adjustRightInd w:val="0"/>
        <w:spacing w:line="276" w:lineRule="auto"/>
        <w:ind w:left="284" w:hanging="290"/>
        <w:jc w:val="both"/>
        <w:rPr>
          <w:rFonts w:asciiTheme="minorHAnsi" w:eastAsiaTheme="minorHAnsi" w:hAnsiTheme="minorHAnsi" w:cstheme="minorHAnsi"/>
          <w:b/>
          <w:bCs/>
          <w:sz w:val="22"/>
          <w:szCs w:val="22"/>
          <w:lang w:eastAsia="en-US"/>
        </w:rPr>
      </w:pPr>
      <w:r w:rsidRPr="003C2ACF">
        <w:rPr>
          <w:rFonts w:asciiTheme="minorHAnsi" w:eastAsiaTheme="minorHAnsi" w:hAnsiTheme="minorHAnsi" w:cstheme="minorHAnsi"/>
          <w:sz w:val="22"/>
          <w:szCs w:val="22"/>
          <w:lang w:eastAsia="en-US"/>
        </w:rPr>
        <w:t xml:space="preserve">A Fiscalização Técnica medirá a eficiência da execução contratual em função de indicadores referenciais descritos a seguir como atividades críticas do contrato, que são critérios objetivos e mensuráveis estabelecidos com a finalidade de aferir e avaliar diversos fatores relacionados com os serviços contratados, quais sejam: qualidade, desempenho e disponibilidade de uso. </w:t>
      </w:r>
    </w:p>
    <w:p w14:paraId="6A91FF30" w14:textId="77777777" w:rsidR="003C2ACF" w:rsidRPr="003C2ACF" w:rsidRDefault="003C2ACF" w:rsidP="003C2ACF">
      <w:pPr>
        <w:pStyle w:val="PargrafodaLista"/>
        <w:numPr>
          <w:ilvl w:val="1"/>
          <w:numId w:val="3"/>
        </w:numPr>
        <w:autoSpaceDE w:val="0"/>
        <w:autoSpaceDN w:val="0"/>
        <w:adjustRightInd w:val="0"/>
        <w:spacing w:line="276" w:lineRule="auto"/>
        <w:ind w:left="284" w:hanging="290"/>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sz w:val="22"/>
          <w:szCs w:val="22"/>
          <w:lang w:eastAsia="en-US"/>
        </w:rPr>
        <w:t xml:space="preserve">Para mensurar esses fatores serão utilizados indicadores relacionados com a natureza e características dos itens contratados, para os quais foi estabelecida meta quantificável a ser cumprida pela CONTRATADA. Esses indicadores são expressos em unidades de medida exata e claramente mensuráveis visando o </w:t>
      </w:r>
      <w:r w:rsidRPr="003C2ACF">
        <w:rPr>
          <w:rFonts w:asciiTheme="minorHAnsi" w:eastAsiaTheme="minorHAnsi" w:hAnsiTheme="minorHAnsi" w:cstheme="minorHAnsi"/>
          <w:b/>
          <w:bCs/>
          <w:sz w:val="22"/>
          <w:szCs w:val="22"/>
          <w:lang w:eastAsia="en-US"/>
        </w:rPr>
        <w:t>Cumprimento de Metas Técnicas Contratuais.</w:t>
      </w:r>
    </w:p>
    <w:p w14:paraId="3E0D649C" w14:textId="77777777" w:rsidR="003C2ACF" w:rsidRDefault="003C2ACF" w:rsidP="003C2ACF">
      <w:pPr>
        <w:pStyle w:val="PargrafodaLista"/>
        <w:numPr>
          <w:ilvl w:val="1"/>
          <w:numId w:val="3"/>
        </w:numPr>
        <w:autoSpaceDE w:val="0"/>
        <w:autoSpaceDN w:val="0"/>
        <w:adjustRightInd w:val="0"/>
        <w:spacing w:line="276" w:lineRule="auto"/>
        <w:ind w:left="284" w:hanging="290"/>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b/>
          <w:bCs/>
          <w:sz w:val="22"/>
          <w:szCs w:val="22"/>
          <w:lang w:eastAsia="en-US"/>
        </w:rPr>
        <w:t>A aferição e avaliação dos indicadores serão feitas a cada medição/faturamento</w:t>
      </w:r>
      <w:r w:rsidRPr="003C2ACF">
        <w:rPr>
          <w:rFonts w:asciiTheme="minorHAnsi" w:eastAsiaTheme="minorHAnsi" w:hAnsiTheme="minorHAnsi" w:cstheme="minorHAnsi"/>
          <w:sz w:val="22"/>
          <w:szCs w:val="22"/>
          <w:lang w:eastAsia="en-US"/>
        </w:rPr>
        <w:t xml:space="preserve">, devendo a Contratada apresentá-lo dentro do Relatório de Medição. Devem constar dentro deste relatório o indicador e meta de níveis de serviço alcançado. O conteúdo detalhado e a forma da apresentação serão definidos pelas partes. </w:t>
      </w:r>
    </w:p>
    <w:p w14:paraId="2DB55061" w14:textId="77777777" w:rsidR="003C2ACF" w:rsidRDefault="003C2ACF" w:rsidP="003C2ACF">
      <w:pPr>
        <w:pStyle w:val="PargrafodaLista"/>
        <w:numPr>
          <w:ilvl w:val="1"/>
          <w:numId w:val="3"/>
        </w:numPr>
        <w:autoSpaceDE w:val="0"/>
        <w:autoSpaceDN w:val="0"/>
        <w:adjustRightInd w:val="0"/>
        <w:spacing w:line="276" w:lineRule="auto"/>
        <w:ind w:left="284" w:hanging="290"/>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sz w:val="22"/>
          <w:szCs w:val="22"/>
          <w:lang w:eastAsia="en-US"/>
        </w:rPr>
        <w:t xml:space="preserve">Os primeiros 90 (noventa) dias, após o início da execução dos serviços serão considerados como período de estabilização, durante o qual a Contratada deverá proceder a todos os ajustes que se mostrarem necessários, bem como nos procedimentos adotados e demais aspectos da prestação dos serviços, de modo a assegurar o alcance dos níveis das metas estabelecidos. Caso haja prorrogação da vigência contratual, não haverá novo período de estabilização. </w:t>
      </w:r>
    </w:p>
    <w:p w14:paraId="6FB290FF" w14:textId="77777777" w:rsidR="003C2ACF" w:rsidRDefault="003C2ACF" w:rsidP="003C2ACF">
      <w:pPr>
        <w:pStyle w:val="PargrafodaLista"/>
        <w:numPr>
          <w:ilvl w:val="1"/>
          <w:numId w:val="3"/>
        </w:numPr>
        <w:autoSpaceDE w:val="0"/>
        <w:autoSpaceDN w:val="0"/>
        <w:adjustRightInd w:val="0"/>
        <w:spacing w:line="276" w:lineRule="auto"/>
        <w:ind w:left="284" w:hanging="290"/>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sz w:val="22"/>
          <w:szCs w:val="22"/>
          <w:lang w:eastAsia="en-US"/>
        </w:rPr>
        <w:t xml:space="preserve">Em função do dito acima, </w:t>
      </w:r>
      <w:r w:rsidRPr="003C2ACF">
        <w:rPr>
          <w:rFonts w:asciiTheme="minorHAnsi" w:eastAsiaTheme="minorHAnsi" w:hAnsiTheme="minorHAnsi" w:cstheme="minorHAnsi"/>
          <w:b/>
          <w:bCs/>
          <w:sz w:val="22"/>
          <w:szCs w:val="22"/>
          <w:lang w:eastAsia="en-US"/>
        </w:rPr>
        <w:t xml:space="preserve">será aplicada um método de carência sobre a aplicação das metas nos primeiros 90 (noventa) dias do contrato </w:t>
      </w:r>
      <w:r w:rsidRPr="003C2ACF">
        <w:rPr>
          <w:rFonts w:asciiTheme="minorHAnsi" w:eastAsiaTheme="minorHAnsi" w:hAnsiTheme="minorHAnsi" w:cstheme="minorHAnsi"/>
          <w:sz w:val="22"/>
          <w:szCs w:val="22"/>
          <w:lang w:eastAsia="en-US"/>
        </w:rPr>
        <w:t>conforme metodologia explicitada a seguir.</w:t>
      </w:r>
    </w:p>
    <w:p w14:paraId="55D80C00" w14:textId="77777777" w:rsidR="003C2ACF" w:rsidRDefault="003C2ACF" w:rsidP="003C2ACF">
      <w:pPr>
        <w:pStyle w:val="PargrafodaLista"/>
        <w:numPr>
          <w:ilvl w:val="2"/>
          <w:numId w:val="21"/>
        </w:numPr>
        <w:autoSpaceDE w:val="0"/>
        <w:autoSpaceDN w:val="0"/>
        <w:adjustRightInd w:val="0"/>
        <w:spacing w:line="276" w:lineRule="auto"/>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sz w:val="22"/>
          <w:szCs w:val="22"/>
          <w:lang w:eastAsia="en-US"/>
        </w:rPr>
        <w:t>para o 1º mês de execução contratual: cobrança de 50% das metas;</w:t>
      </w:r>
    </w:p>
    <w:p w14:paraId="5D25CD23" w14:textId="28C3E109" w:rsidR="003C2ACF" w:rsidRPr="003C2ACF" w:rsidRDefault="003C2ACF" w:rsidP="003C2ACF">
      <w:pPr>
        <w:pStyle w:val="PargrafodaLista"/>
        <w:numPr>
          <w:ilvl w:val="2"/>
          <w:numId w:val="21"/>
        </w:numPr>
        <w:autoSpaceDE w:val="0"/>
        <w:autoSpaceDN w:val="0"/>
        <w:adjustRightInd w:val="0"/>
        <w:spacing w:line="276" w:lineRule="auto"/>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sz w:val="22"/>
          <w:szCs w:val="22"/>
          <w:lang w:eastAsia="en-US"/>
        </w:rPr>
        <w:t>para o 2º mês de execução contratual: cobrança de 70% das metas;</w:t>
      </w:r>
    </w:p>
    <w:p w14:paraId="7C715E6F" w14:textId="783D279E" w:rsidR="003C2ACF" w:rsidRPr="003C2ACF" w:rsidRDefault="003C2ACF" w:rsidP="003C2ACF">
      <w:pPr>
        <w:pStyle w:val="PargrafodaLista"/>
        <w:numPr>
          <w:ilvl w:val="2"/>
          <w:numId w:val="21"/>
        </w:numPr>
        <w:autoSpaceDE w:val="0"/>
        <w:autoSpaceDN w:val="0"/>
        <w:adjustRightInd w:val="0"/>
        <w:spacing w:line="276" w:lineRule="auto"/>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sz w:val="22"/>
          <w:szCs w:val="22"/>
          <w:lang w:eastAsia="en-US"/>
        </w:rPr>
        <w:t>para o 3º mês de execução contratual: cobrança de 90% das metas;</w:t>
      </w:r>
    </w:p>
    <w:p w14:paraId="690FFB68" w14:textId="63097243" w:rsidR="003C2ACF" w:rsidRPr="003C2ACF" w:rsidRDefault="003C2ACF" w:rsidP="003C2ACF">
      <w:pPr>
        <w:pStyle w:val="PargrafodaLista"/>
        <w:numPr>
          <w:ilvl w:val="2"/>
          <w:numId w:val="21"/>
        </w:numPr>
        <w:tabs>
          <w:tab w:val="left" w:pos="0"/>
        </w:tabs>
        <w:autoSpaceDE w:val="0"/>
        <w:autoSpaceDN w:val="0"/>
        <w:adjustRightInd w:val="0"/>
        <w:spacing w:line="276" w:lineRule="auto"/>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sz w:val="22"/>
          <w:szCs w:val="22"/>
          <w:lang w:eastAsia="en-US"/>
        </w:rPr>
        <w:t>a partir do 4º mês de execução contratual serão cobradas 100% das metas.</w:t>
      </w:r>
    </w:p>
    <w:p w14:paraId="7A7B905D" w14:textId="715E472E" w:rsidR="003C2ACF" w:rsidRPr="003C2ACF" w:rsidRDefault="003C2ACF" w:rsidP="003C2ACF">
      <w:pPr>
        <w:pStyle w:val="PargrafodaLista"/>
        <w:tabs>
          <w:tab w:val="left" w:pos="0"/>
        </w:tabs>
        <w:spacing w:line="276" w:lineRule="auto"/>
        <w:ind w:left="426"/>
        <w:jc w:val="both"/>
        <w:rPr>
          <w:rFonts w:asciiTheme="minorHAnsi" w:eastAsiaTheme="minorHAnsi" w:hAnsiTheme="minorHAnsi" w:cstheme="minorHAnsi"/>
          <w:sz w:val="22"/>
          <w:szCs w:val="22"/>
          <w:lang w:eastAsia="en-US"/>
        </w:rPr>
      </w:pPr>
    </w:p>
    <w:p w14:paraId="6315798A" w14:textId="77777777" w:rsidR="003C2ACF" w:rsidRDefault="003C2ACF" w:rsidP="003C2ACF">
      <w:pPr>
        <w:pStyle w:val="PargrafodaLista"/>
        <w:numPr>
          <w:ilvl w:val="1"/>
          <w:numId w:val="21"/>
        </w:numPr>
        <w:autoSpaceDE w:val="0"/>
        <w:autoSpaceDN w:val="0"/>
        <w:adjustRightInd w:val="0"/>
        <w:spacing w:line="276" w:lineRule="auto"/>
        <w:jc w:val="both"/>
        <w:rPr>
          <w:rFonts w:asciiTheme="minorHAnsi" w:eastAsiaTheme="minorHAnsi" w:hAnsiTheme="minorHAnsi" w:cstheme="minorHAnsi"/>
          <w:b/>
          <w:bCs/>
          <w:sz w:val="22"/>
          <w:szCs w:val="22"/>
          <w:lang w:eastAsia="en-US"/>
        </w:rPr>
      </w:pPr>
      <w:r w:rsidRPr="003C2ACF">
        <w:rPr>
          <w:rFonts w:asciiTheme="minorHAnsi" w:eastAsiaTheme="minorHAnsi" w:hAnsiTheme="minorHAnsi" w:cstheme="minorHAnsi"/>
          <w:b/>
          <w:bCs/>
          <w:sz w:val="22"/>
          <w:szCs w:val="22"/>
          <w:lang w:eastAsia="en-US"/>
        </w:rPr>
        <w:t>Indicador e Parâmetros de Cálculo do IMR</w:t>
      </w:r>
    </w:p>
    <w:p w14:paraId="708CC9B6" w14:textId="77777777" w:rsidR="003C2ACF" w:rsidRDefault="003C2ACF" w:rsidP="003C2ACF">
      <w:pPr>
        <w:pStyle w:val="PargrafodaLista"/>
        <w:numPr>
          <w:ilvl w:val="2"/>
          <w:numId w:val="21"/>
        </w:numPr>
        <w:autoSpaceDE w:val="0"/>
        <w:autoSpaceDN w:val="0"/>
        <w:adjustRightInd w:val="0"/>
        <w:spacing w:line="276" w:lineRule="auto"/>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sz w:val="22"/>
          <w:szCs w:val="22"/>
          <w:lang w:eastAsia="en-US"/>
        </w:rPr>
        <w:t xml:space="preserve">O indicador, metas, faixas de adequação e percentuais de glosa aplicáveis são estabelecidos na Tabela de Cálculo do IMR a seguir, que define os percentuais esperados, em função de meta </w:t>
      </w:r>
      <w:proofErr w:type="spellStart"/>
      <w:r w:rsidRPr="003C2ACF">
        <w:rPr>
          <w:rFonts w:asciiTheme="minorHAnsi" w:eastAsiaTheme="minorHAnsi" w:hAnsiTheme="minorHAnsi" w:cstheme="minorHAnsi"/>
          <w:sz w:val="22"/>
          <w:szCs w:val="22"/>
          <w:lang w:eastAsia="en-US"/>
        </w:rPr>
        <w:t>pré</w:t>
      </w:r>
      <w:proofErr w:type="spellEnd"/>
      <w:r w:rsidRPr="003C2ACF">
        <w:rPr>
          <w:rFonts w:asciiTheme="minorHAnsi" w:eastAsiaTheme="minorHAnsi" w:hAnsiTheme="minorHAnsi" w:cstheme="minorHAnsi"/>
          <w:sz w:val="22"/>
          <w:szCs w:val="22"/>
          <w:lang w:eastAsia="en-US"/>
        </w:rPr>
        <w:t xml:space="preserve"> estabelecida, e os percentuais de desconto no valor mensal do contrato a ser pago a CONTRATADA, no caso destes índices não serem alcançados.</w:t>
      </w:r>
    </w:p>
    <w:p w14:paraId="48DD923E" w14:textId="7A0BEDE9" w:rsidR="003C2ACF" w:rsidRDefault="003C2ACF" w:rsidP="003C2ACF">
      <w:pPr>
        <w:pStyle w:val="PargrafodaLista"/>
        <w:numPr>
          <w:ilvl w:val="2"/>
          <w:numId w:val="21"/>
        </w:numPr>
        <w:autoSpaceDE w:val="0"/>
        <w:autoSpaceDN w:val="0"/>
        <w:adjustRightInd w:val="0"/>
        <w:spacing w:line="276" w:lineRule="auto"/>
        <w:ind w:left="426" w:hanging="426"/>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sz w:val="22"/>
          <w:szCs w:val="22"/>
          <w:lang w:eastAsia="en-US"/>
        </w:rPr>
        <w:t xml:space="preserve">Foram considerados críticos e alinhados diretamente com o objetivo do contrato os seguintes </w:t>
      </w:r>
      <w:r w:rsidRPr="003C2ACF">
        <w:rPr>
          <w:rFonts w:asciiTheme="minorHAnsi" w:eastAsiaTheme="minorHAnsi" w:hAnsiTheme="minorHAnsi" w:cstheme="minorHAnsi"/>
          <w:b/>
          <w:bCs/>
          <w:sz w:val="22"/>
          <w:szCs w:val="22"/>
          <w:lang w:eastAsia="en-US"/>
        </w:rPr>
        <w:t>indicadores e metas mensais</w:t>
      </w:r>
      <w:r w:rsidRPr="003C2ACF">
        <w:rPr>
          <w:rFonts w:asciiTheme="minorHAnsi" w:eastAsiaTheme="minorHAnsi" w:hAnsiTheme="minorHAnsi" w:cstheme="minorHAnsi"/>
          <w:sz w:val="22"/>
          <w:szCs w:val="22"/>
          <w:lang w:eastAsia="en-US"/>
        </w:rPr>
        <w:t>:</w:t>
      </w:r>
    </w:p>
    <w:p w14:paraId="36B2EDE5" w14:textId="77777777" w:rsidR="003C2ACF" w:rsidRPr="003C2ACF" w:rsidRDefault="003C2ACF" w:rsidP="003C2ACF">
      <w:pPr>
        <w:pStyle w:val="PargrafodaLista"/>
        <w:autoSpaceDE w:val="0"/>
        <w:autoSpaceDN w:val="0"/>
        <w:adjustRightInd w:val="0"/>
        <w:ind w:left="426"/>
        <w:jc w:val="both"/>
        <w:rPr>
          <w:rFonts w:asciiTheme="minorHAnsi" w:eastAsiaTheme="minorHAnsi" w:hAnsiTheme="minorHAnsi" w:cstheme="minorHAnsi"/>
          <w:sz w:val="22"/>
          <w:szCs w:val="22"/>
          <w:lang w:eastAsia="en-US"/>
        </w:rPr>
      </w:pPr>
    </w:p>
    <w:p w14:paraId="5B71AEF8" w14:textId="4BAB2653" w:rsidR="003C2ACF" w:rsidRDefault="003C2ACF" w:rsidP="003C2ACF">
      <w:pPr>
        <w:tabs>
          <w:tab w:val="left" w:pos="0"/>
        </w:tabs>
        <w:jc w:val="both"/>
        <w:rPr>
          <w:rFonts w:ascii="Arial" w:eastAsiaTheme="minorHAnsi" w:hAnsi="Arial" w:cs="Arial"/>
          <w:sz w:val="18"/>
          <w:szCs w:val="18"/>
          <w:lang w:eastAsia="en-US"/>
        </w:rPr>
      </w:pPr>
    </w:p>
    <w:tbl>
      <w:tblPr>
        <w:tblStyle w:val="TabeladeGrade4-nfase1"/>
        <w:tblW w:w="7585" w:type="dxa"/>
        <w:tblLook w:val="04A0" w:firstRow="1" w:lastRow="0" w:firstColumn="1" w:lastColumn="0" w:noHBand="0" w:noVBand="1"/>
      </w:tblPr>
      <w:tblGrid>
        <w:gridCol w:w="686"/>
        <w:gridCol w:w="2297"/>
        <w:gridCol w:w="2134"/>
        <w:gridCol w:w="2468"/>
      </w:tblGrid>
      <w:tr w:rsidR="003C2ACF" w14:paraId="07E1F271" w14:textId="77777777" w:rsidTr="00D75A6A">
        <w:trPr>
          <w:cnfStyle w:val="100000000000" w:firstRow="1" w:lastRow="0" w:firstColumn="0" w:lastColumn="0" w:oddVBand="0" w:evenVBand="0" w:oddHBand="0" w:evenHBand="0" w:firstRowFirstColumn="0" w:firstRowLastColumn="0" w:lastRowFirstColumn="0" w:lastRowLastColumn="0"/>
          <w:trHeight w:val="402"/>
        </w:trPr>
        <w:tc>
          <w:tcPr>
            <w:cnfStyle w:val="001000000000" w:firstRow="0" w:lastRow="0" w:firstColumn="1" w:lastColumn="0" w:oddVBand="0" w:evenVBand="0" w:oddHBand="0" w:evenHBand="0" w:firstRowFirstColumn="0" w:firstRowLastColumn="0" w:lastRowFirstColumn="0" w:lastRowLastColumn="0"/>
            <w:tcW w:w="0" w:type="auto"/>
            <w:noWrap/>
            <w:hideMark/>
          </w:tcPr>
          <w:p w14:paraId="3B601224" w14:textId="77777777" w:rsidR="003C2ACF" w:rsidRDefault="003C2ACF">
            <w:pPr>
              <w:jc w:val="center"/>
              <w:rPr>
                <w:rFonts w:ascii="Calibri" w:hAnsi="Calibri" w:cs="Calibri"/>
                <w:color w:val="000000"/>
                <w:sz w:val="22"/>
                <w:szCs w:val="22"/>
              </w:rPr>
            </w:pPr>
            <w:r>
              <w:rPr>
                <w:rFonts w:ascii="Calibri" w:hAnsi="Calibri" w:cs="Calibri"/>
                <w:color w:val="000000"/>
                <w:sz w:val="22"/>
                <w:szCs w:val="22"/>
              </w:rPr>
              <w:t>ITEM</w:t>
            </w:r>
          </w:p>
        </w:tc>
        <w:tc>
          <w:tcPr>
            <w:tcW w:w="2297" w:type="dxa"/>
            <w:hideMark/>
          </w:tcPr>
          <w:p w14:paraId="6FA4CFA8" w14:textId="77777777" w:rsidR="003C2ACF" w:rsidRPr="003C2ACF" w:rsidRDefault="003C2ACF">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3C2ACF">
              <w:rPr>
                <w:rFonts w:ascii="Calibri" w:hAnsi="Calibri" w:cs="Calibri"/>
                <w:color w:val="000000"/>
                <w:sz w:val="22"/>
                <w:szCs w:val="22"/>
              </w:rPr>
              <w:t>INDICADOR</w:t>
            </w:r>
          </w:p>
        </w:tc>
        <w:tc>
          <w:tcPr>
            <w:tcW w:w="2134" w:type="dxa"/>
            <w:hideMark/>
          </w:tcPr>
          <w:p w14:paraId="20BF6568" w14:textId="77777777" w:rsidR="003C2ACF" w:rsidRPr="003C2ACF" w:rsidRDefault="003C2ACF">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3C2ACF">
              <w:rPr>
                <w:rFonts w:ascii="Calibri" w:hAnsi="Calibri" w:cs="Calibri"/>
                <w:color w:val="000000"/>
                <w:sz w:val="22"/>
                <w:szCs w:val="22"/>
              </w:rPr>
              <w:t>UNIDADE DE MEDIDA</w:t>
            </w:r>
          </w:p>
        </w:tc>
        <w:tc>
          <w:tcPr>
            <w:tcW w:w="2468" w:type="dxa"/>
            <w:hideMark/>
          </w:tcPr>
          <w:p w14:paraId="69A2068B" w14:textId="77777777" w:rsidR="003C2ACF" w:rsidRPr="003C2ACF" w:rsidRDefault="003C2ACF">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3C2ACF">
              <w:rPr>
                <w:rFonts w:ascii="Calibri" w:hAnsi="Calibri" w:cs="Calibri"/>
                <w:color w:val="000000"/>
                <w:sz w:val="22"/>
                <w:szCs w:val="22"/>
              </w:rPr>
              <w:t>METAS PARA CADA MEDIÇÃO</w:t>
            </w:r>
          </w:p>
        </w:tc>
      </w:tr>
      <w:tr w:rsidR="003C2ACF" w14:paraId="1101AA52" w14:textId="77777777" w:rsidTr="00D75A6A">
        <w:trPr>
          <w:cnfStyle w:val="000000100000" w:firstRow="0" w:lastRow="0" w:firstColumn="0" w:lastColumn="0" w:oddVBand="0" w:evenVBand="0" w:oddHBand="1" w:evenHBand="0" w:firstRowFirstColumn="0" w:firstRowLastColumn="0" w:lastRowFirstColumn="0" w:lastRowLastColumn="0"/>
          <w:trHeight w:val="683"/>
        </w:trPr>
        <w:tc>
          <w:tcPr>
            <w:cnfStyle w:val="001000000000" w:firstRow="0" w:lastRow="0" w:firstColumn="1" w:lastColumn="0" w:oddVBand="0" w:evenVBand="0" w:oddHBand="0" w:evenHBand="0" w:firstRowFirstColumn="0" w:firstRowLastColumn="0" w:lastRowFirstColumn="0" w:lastRowLastColumn="0"/>
            <w:tcW w:w="0" w:type="auto"/>
            <w:vMerge w:val="restart"/>
            <w:noWrap/>
            <w:hideMark/>
          </w:tcPr>
          <w:p w14:paraId="021E9AC4" w14:textId="77777777" w:rsidR="003C2ACF" w:rsidRDefault="003C2ACF">
            <w:pPr>
              <w:jc w:val="center"/>
              <w:rPr>
                <w:rFonts w:ascii="Calibri" w:hAnsi="Calibri" w:cs="Calibri"/>
                <w:b w:val="0"/>
                <w:bCs w:val="0"/>
                <w:color w:val="000000"/>
                <w:sz w:val="22"/>
                <w:szCs w:val="22"/>
              </w:rPr>
            </w:pPr>
            <w:r>
              <w:rPr>
                <w:rFonts w:ascii="Calibri" w:hAnsi="Calibri" w:cs="Calibri"/>
                <w:color w:val="000000"/>
                <w:sz w:val="22"/>
                <w:szCs w:val="22"/>
              </w:rPr>
              <w:t>1</w:t>
            </w:r>
          </w:p>
        </w:tc>
        <w:tc>
          <w:tcPr>
            <w:tcW w:w="2297" w:type="dxa"/>
            <w:vMerge w:val="restart"/>
            <w:hideMark/>
          </w:tcPr>
          <w:p w14:paraId="6B241024" w14:textId="77777777" w:rsidR="003C2ACF" w:rsidRDefault="003C2AC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Pontualidade na entrega do Relatório Técnico Mensal</w:t>
            </w:r>
          </w:p>
        </w:tc>
        <w:tc>
          <w:tcPr>
            <w:tcW w:w="2134" w:type="dxa"/>
            <w:vMerge w:val="restart"/>
            <w:hideMark/>
          </w:tcPr>
          <w:p w14:paraId="618C2519" w14:textId="77777777" w:rsidR="003C2ACF" w:rsidRDefault="003C2AC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Dias úteis de Atraso em relação ao prazo estabelecido</w:t>
            </w:r>
          </w:p>
        </w:tc>
        <w:tc>
          <w:tcPr>
            <w:tcW w:w="2468" w:type="dxa"/>
            <w:vMerge w:val="restart"/>
            <w:hideMark/>
          </w:tcPr>
          <w:p w14:paraId="58780FC4" w14:textId="5BB305ED" w:rsidR="003C2ACF" w:rsidRDefault="003C2ACF" w:rsidP="003C2AC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Arial" w:eastAsiaTheme="minorHAnsi" w:hAnsi="Arial" w:cs="Arial"/>
                <w:b/>
                <w:bCs/>
                <w:sz w:val="18"/>
                <w:szCs w:val="18"/>
                <w:lang w:eastAsia="en-US"/>
              </w:rPr>
              <w:t>Até o 5º dia útil do mês subsequente</w:t>
            </w:r>
          </w:p>
        </w:tc>
      </w:tr>
      <w:tr w:rsidR="003C2ACF" w14:paraId="479F81C4" w14:textId="77777777" w:rsidTr="00D75A6A">
        <w:trPr>
          <w:trHeight w:val="517"/>
        </w:trPr>
        <w:tc>
          <w:tcPr>
            <w:cnfStyle w:val="001000000000" w:firstRow="0" w:lastRow="0" w:firstColumn="1" w:lastColumn="0" w:oddVBand="0" w:evenVBand="0" w:oddHBand="0" w:evenHBand="0" w:firstRowFirstColumn="0" w:firstRowLastColumn="0" w:lastRowFirstColumn="0" w:lastRowLastColumn="0"/>
            <w:tcW w:w="0" w:type="auto"/>
            <w:vMerge/>
            <w:hideMark/>
          </w:tcPr>
          <w:p w14:paraId="07EFD6A5" w14:textId="77777777" w:rsidR="003C2ACF" w:rsidRDefault="003C2ACF">
            <w:pPr>
              <w:rPr>
                <w:rFonts w:ascii="Calibri" w:hAnsi="Calibri" w:cs="Calibri"/>
                <w:color w:val="000000"/>
                <w:sz w:val="22"/>
                <w:szCs w:val="22"/>
              </w:rPr>
            </w:pPr>
          </w:p>
        </w:tc>
        <w:tc>
          <w:tcPr>
            <w:tcW w:w="2297" w:type="dxa"/>
            <w:vMerge/>
            <w:hideMark/>
          </w:tcPr>
          <w:p w14:paraId="170A3D07"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2134" w:type="dxa"/>
            <w:vMerge/>
            <w:hideMark/>
          </w:tcPr>
          <w:p w14:paraId="7ED3FB26"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2468" w:type="dxa"/>
            <w:vMerge/>
            <w:hideMark/>
          </w:tcPr>
          <w:p w14:paraId="2556D731"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3C2ACF" w14:paraId="25F6C90F" w14:textId="77777777" w:rsidTr="00D75A6A">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0" w:type="auto"/>
            <w:vMerge/>
            <w:hideMark/>
          </w:tcPr>
          <w:p w14:paraId="4D422614" w14:textId="77777777" w:rsidR="003C2ACF" w:rsidRDefault="003C2ACF">
            <w:pPr>
              <w:rPr>
                <w:rFonts w:ascii="Calibri" w:hAnsi="Calibri" w:cs="Calibri"/>
                <w:color w:val="000000"/>
                <w:sz w:val="22"/>
                <w:szCs w:val="22"/>
              </w:rPr>
            </w:pPr>
          </w:p>
        </w:tc>
        <w:tc>
          <w:tcPr>
            <w:tcW w:w="2297" w:type="dxa"/>
            <w:vMerge/>
            <w:hideMark/>
          </w:tcPr>
          <w:p w14:paraId="7DBB99FD"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2134" w:type="dxa"/>
            <w:vMerge/>
            <w:hideMark/>
          </w:tcPr>
          <w:p w14:paraId="210F7F1D"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2468" w:type="dxa"/>
            <w:vMerge/>
            <w:hideMark/>
          </w:tcPr>
          <w:p w14:paraId="6A8C4D48"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r>
      <w:tr w:rsidR="003C2ACF" w14:paraId="5F876381" w14:textId="77777777" w:rsidTr="00D75A6A">
        <w:trPr>
          <w:trHeight w:val="517"/>
        </w:trPr>
        <w:tc>
          <w:tcPr>
            <w:cnfStyle w:val="001000000000" w:firstRow="0" w:lastRow="0" w:firstColumn="1" w:lastColumn="0" w:oddVBand="0" w:evenVBand="0" w:oddHBand="0" w:evenHBand="0" w:firstRowFirstColumn="0" w:firstRowLastColumn="0" w:lastRowFirstColumn="0" w:lastRowLastColumn="0"/>
            <w:tcW w:w="0" w:type="auto"/>
            <w:vMerge/>
            <w:hideMark/>
          </w:tcPr>
          <w:p w14:paraId="078C1095" w14:textId="77777777" w:rsidR="003C2ACF" w:rsidRDefault="003C2ACF">
            <w:pPr>
              <w:rPr>
                <w:rFonts w:ascii="Calibri" w:hAnsi="Calibri" w:cs="Calibri"/>
                <w:color w:val="000000"/>
                <w:sz w:val="22"/>
                <w:szCs w:val="22"/>
              </w:rPr>
            </w:pPr>
          </w:p>
        </w:tc>
        <w:tc>
          <w:tcPr>
            <w:tcW w:w="2297" w:type="dxa"/>
            <w:vMerge/>
            <w:hideMark/>
          </w:tcPr>
          <w:p w14:paraId="2364C639"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2134" w:type="dxa"/>
            <w:vMerge/>
            <w:hideMark/>
          </w:tcPr>
          <w:p w14:paraId="6C1544FB"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2468" w:type="dxa"/>
            <w:vMerge/>
            <w:hideMark/>
          </w:tcPr>
          <w:p w14:paraId="07044DF1"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3C2ACF" w14:paraId="2F36E969" w14:textId="77777777" w:rsidTr="00D75A6A">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0" w:type="auto"/>
            <w:vMerge w:val="restart"/>
            <w:noWrap/>
            <w:hideMark/>
          </w:tcPr>
          <w:p w14:paraId="68012B18" w14:textId="77777777" w:rsidR="003C2ACF" w:rsidRDefault="003C2ACF">
            <w:pPr>
              <w:jc w:val="center"/>
              <w:rPr>
                <w:rFonts w:ascii="Calibri" w:hAnsi="Calibri" w:cs="Calibri"/>
                <w:color w:val="000000"/>
                <w:sz w:val="22"/>
                <w:szCs w:val="22"/>
              </w:rPr>
            </w:pPr>
            <w:r>
              <w:rPr>
                <w:rFonts w:ascii="Calibri" w:hAnsi="Calibri" w:cs="Calibri"/>
                <w:color w:val="000000"/>
                <w:sz w:val="22"/>
                <w:szCs w:val="22"/>
              </w:rPr>
              <w:t>2</w:t>
            </w:r>
          </w:p>
        </w:tc>
        <w:tc>
          <w:tcPr>
            <w:tcW w:w="2297" w:type="dxa"/>
            <w:vMerge w:val="restart"/>
            <w:hideMark/>
          </w:tcPr>
          <w:p w14:paraId="0FDF32C1" w14:textId="77777777" w:rsidR="003C2ACF" w:rsidRDefault="003C2AC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Ocorrência de Eventos por Equipamento</w:t>
            </w:r>
          </w:p>
        </w:tc>
        <w:tc>
          <w:tcPr>
            <w:tcW w:w="2134" w:type="dxa"/>
            <w:vMerge w:val="restart"/>
            <w:noWrap/>
            <w:hideMark/>
          </w:tcPr>
          <w:p w14:paraId="00AAD355" w14:textId="77777777" w:rsidR="003C2ACF" w:rsidRDefault="003C2AC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Eventos Por mês</w:t>
            </w:r>
          </w:p>
        </w:tc>
        <w:tc>
          <w:tcPr>
            <w:tcW w:w="2468" w:type="dxa"/>
            <w:vMerge w:val="restart"/>
            <w:hideMark/>
          </w:tcPr>
          <w:p w14:paraId="347A26B7" w14:textId="77777777" w:rsidR="003C2ACF" w:rsidRDefault="003C2AC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Até 3</w:t>
            </w:r>
            <w:r>
              <w:rPr>
                <w:rFonts w:ascii="Calibri" w:hAnsi="Calibri" w:cs="Calibri"/>
                <w:color w:val="000000"/>
                <w:sz w:val="22"/>
                <w:szCs w:val="22"/>
              </w:rPr>
              <w:br/>
              <w:t xml:space="preserve">Eventos mensais por </w:t>
            </w:r>
            <w:proofErr w:type="spellStart"/>
            <w:r>
              <w:rPr>
                <w:rFonts w:ascii="Calibri" w:hAnsi="Calibri" w:cs="Calibri"/>
                <w:color w:val="000000"/>
                <w:sz w:val="22"/>
                <w:szCs w:val="22"/>
              </w:rPr>
              <w:t>Equipto</w:t>
            </w:r>
            <w:proofErr w:type="spellEnd"/>
          </w:p>
        </w:tc>
      </w:tr>
      <w:tr w:rsidR="003C2ACF" w14:paraId="414D5777" w14:textId="77777777" w:rsidTr="00D75A6A">
        <w:trPr>
          <w:trHeight w:val="517"/>
        </w:trPr>
        <w:tc>
          <w:tcPr>
            <w:cnfStyle w:val="001000000000" w:firstRow="0" w:lastRow="0" w:firstColumn="1" w:lastColumn="0" w:oddVBand="0" w:evenVBand="0" w:oddHBand="0" w:evenHBand="0" w:firstRowFirstColumn="0" w:firstRowLastColumn="0" w:lastRowFirstColumn="0" w:lastRowLastColumn="0"/>
            <w:tcW w:w="0" w:type="auto"/>
            <w:vMerge/>
            <w:hideMark/>
          </w:tcPr>
          <w:p w14:paraId="68A53E0E" w14:textId="77777777" w:rsidR="003C2ACF" w:rsidRDefault="003C2ACF">
            <w:pPr>
              <w:rPr>
                <w:rFonts w:ascii="Calibri" w:hAnsi="Calibri" w:cs="Calibri"/>
                <w:color w:val="000000"/>
                <w:sz w:val="22"/>
                <w:szCs w:val="22"/>
              </w:rPr>
            </w:pPr>
          </w:p>
        </w:tc>
        <w:tc>
          <w:tcPr>
            <w:tcW w:w="2297" w:type="dxa"/>
            <w:vMerge/>
            <w:hideMark/>
          </w:tcPr>
          <w:p w14:paraId="264A81EB"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2134" w:type="dxa"/>
            <w:vMerge/>
            <w:hideMark/>
          </w:tcPr>
          <w:p w14:paraId="1366DE41"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2468" w:type="dxa"/>
            <w:vMerge/>
            <w:hideMark/>
          </w:tcPr>
          <w:p w14:paraId="6C691AD5"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3C2ACF" w14:paraId="59C193C8" w14:textId="77777777" w:rsidTr="00D75A6A">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0" w:type="auto"/>
            <w:vMerge/>
            <w:hideMark/>
          </w:tcPr>
          <w:p w14:paraId="4F215130" w14:textId="77777777" w:rsidR="003C2ACF" w:rsidRDefault="003C2ACF">
            <w:pPr>
              <w:rPr>
                <w:rFonts w:ascii="Calibri" w:hAnsi="Calibri" w:cs="Calibri"/>
                <w:color w:val="000000"/>
                <w:sz w:val="22"/>
                <w:szCs w:val="22"/>
              </w:rPr>
            </w:pPr>
          </w:p>
        </w:tc>
        <w:tc>
          <w:tcPr>
            <w:tcW w:w="2297" w:type="dxa"/>
            <w:vMerge/>
            <w:hideMark/>
          </w:tcPr>
          <w:p w14:paraId="4C3479ED"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2134" w:type="dxa"/>
            <w:vMerge/>
            <w:hideMark/>
          </w:tcPr>
          <w:p w14:paraId="14364A9F"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2468" w:type="dxa"/>
            <w:vMerge/>
            <w:hideMark/>
          </w:tcPr>
          <w:p w14:paraId="01D98138"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r>
      <w:tr w:rsidR="003C2ACF" w14:paraId="4F264784" w14:textId="77777777" w:rsidTr="00D75A6A">
        <w:trPr>
          <w:trHeight w:val="517"/>
        </w:trPr>
        <w:tc>
          <w:tcPr>
            <w:cnfStyle w:val="001000000000" w:firstRow="0" w:lastRow="0" w:firstColumn="1" w:lastColumn="0" w:oddVBand="0" w:evenVBand="0" w:oddHBand="0" w:evenHBand="0" w:firstRowFirstColumn="0" w:firstRowLastColumn="0" w:lastRowFirstColumn="0" w:lastRowLastColumn="0"/>
            <w:tcW w:w="0" w:type="auto"/>
            <w:vMerge/>
            <w:hideMark/>
          </w:tcPr>
          <w:p w14:paraId="724F49AD" w14:textId="77777777" w:rsidR="003C2ACF" w:rsidRDefault="003C2ACF">
            <w:pPr>
              <w:rPr>
                <w:rFonts w:ascii="Calibri" w:hAnsi="Calibri" w:cs="Calibri"/>
                <w:color w:val="000000"/>
                <w:sz w:val="22"/>
                <w:szCs w:val="22"/>
              </w:rPr>
            </w:pPr>
          </w:p>
        </w:tc>
        <w:tc>
          <w:tcPr>
            <w:tcW w:w="2297" w:type="dxa"/>
            <w:vMerge/>
            <w:hideMark/>
          </w:tcPr>
          <w:p w14:paraId="66CA72DF"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2134" w:type="dxa"/>
            <w:vMerge/>
            <w:hideMark/>
          </w:tcPr>
          <w:p w14:paraId="7FA5CD1E"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2468" w:type="dxa"/>
            <w:vMerge/>
            <w:hideMark/>
          </w:tcPr>
          <w:p w14:paraId="16BAFE9F"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3C2ACF" w14:paraId="01D2ED72" w14:textId="77777777" w:rsidTr="00D75A6A">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0" w:type="auto"/>
            <w:vMerge/>
            <w:hideMark/>
          </w:tcPr>
          <w:p w14:paraId="1DA1CB93" w14:textId="77777777" w:rsidR="003C2ACF" w:rsidRDefault="003C2ACF">
            <w:pPr>
              <w:rPr>
                <w:rFonts w:ascii="Calibri" w:hAnsi="Calibri" w:cs="Calibri"/>
                <w:color w:val="000000"/>
                <w:sz w:val="22"/>
                <w:szCs w:val="22"/>
              </w:rPr>
            </w:pPr>
          </w:p>
        </w:tc>
        <w:tc>
          <w:tcPr>
            <w:tcW w:w="2297" w:type="dxa"/>
            <w:vMerge/>
            <w:hideMark/>
          </w:tcPr>
          <w:p w14:paraId="630B874A"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2134" w:type="dxa"/>
            <w:vMerge/>
            <w:hideMark/>
          </w:tcPr>
          <w:p w14:paraId="4C520743"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2468" w:type="dxa"/>
            <w:vMerge/>
            <w:hideMark/>
          </w:tcPr>
          <w:p w14:paraId="01ED65F8"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r>
      <w:tr w:rsidR="003C2ACF" w14:paraId="67C9C9D4" w14:textId="77777777" w:rsidTr="00D75A6A">
        <w:trPr>
          <w:trHeight w:val="517"/>
        </w:trPr>
        <w:tc>
          <w:tcPr>
            <w:cnfStyle w:val="001000000000" w:firstRow="0" w:lastRow="0" w:firstColumn="1" w:lastColumn="0" w:oddVBand="0" w:evenVBand="0" w:oddHBand="0" w:evenHBand="0" w:firstRowFirstColumn="0" w:firstRowLastColumn="0" w:lastRowFirstColumn="0" w:lastRowLastColumn="0"/>
            <w:tcW w:w="0" w:type="auto"/>
            <w:vMerge/>
            <w:hideMark/>
          </w:tcPr>
          <w:p w14:paraId="13EBE58E" w14:textId="77777777" w:rsidR="003C2ACF" w:rsidRDefault="003C2ACF">
            <w:pPr>
              <w:rPr>
                <w:rFonts w:ascii="Calibri" w:hAnsi="Calibri" w:cs="Calibri"/>
                <w:color w:val="000000"/>
                <w:sz w:val="22"/>
                <w:szCs w:val="22"/>
              </w:rPr>
            </w:pPr>
          </w:p>
        </w:tc>
        <w:tc>
          <w:tcPr>
            <w:tcW w:w="2297" w:type="dxa"/>
            <w:vMerge/>
            <w:hideMark/>
          </w:tcPr>
          <w:p w14:paraId="5BD2372E"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2134" w:type="dxa"/>
            <w:vMerge/>
            <w:hideMark/>
          </w:tcPr>
          <w:p w14:paraId="2A9BCB4A"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2468" w:type="dxa"/>
            <w:vMerge/>
            <w:hideMark/>
          </w:tcPr>
          <w:p w14:paraId="35D2B14C"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3C2ACF" w14:paraId="1A8BBF6B" w14:textId="77777777" w:rsidTr="00D75A6A">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0" w:type="auto"/>
            <w:vMerge/>
            <w:hideMark/>
          </w:tcPr>
          <w:p w14:paraId="4350C69F" w14:textId="77777777" w:rsidR="003C2ACF" w:rsidRDefault="003C2ACF">
            <w:pPr>
              <w:rPr>
                <w:rFonts w:ascii="Calibri" w:hAnsi="Calibri" w:cs="Calibri"/>
                <w:color w:val="000000"/>
                <w:sz w:val="22"/>
                <w:szCs w:val="22"/>
              </w:rPr>
            </w:pPr>
          </w:p>
        </w:tc>
        <w:tc>
          <w:tcPr>
            <w:tcW w:w="2297" w:type="dxa"/>
            <w:vMerge/>
            <w:hideMark/>
          </w:tcPr>
          <w:p w14:paraId="0CE09E3A"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2134" w:type="dxa"/>
            <w:vMerge/>
            <w:hideMark/>
          </w:tcPr>
          <w:p w14:paraId="2022D018"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2468" w:type="dxa"/>
            <w:vMerge/>
            <w:hideMark/>
          </w:tcPr>
          <w:p w14:paraId="7295E4F5"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r>
      <w:tr w:rsidR="003C2ACF" w14:paraId="369159FE" w14:textId="77777777" w:rsidTr="00D75A6A">
        <w:trPr>
          <w:trHeight w:val="517"/>
        </w:trPr>
        <w:tc>
          <w:tcPr>
            <w:cnfStyle w:val="001000000000" w:firstRow="0" w:lastRow="0" w:firstColumn="1" w:lastColumn="0" w:oddVBand="0" w:evenVBand="0" w:oddHBand="0" w:evenHBand="0" w:firstRowFirstColumn="0" w:firstRowLastColumn="0" w:lastRowFirstColumn="0" w:lastRowLastColumn="0"/>
            <w:tcW w:w="0" w:type="auto"/>
            <w:vMerge/>
            <w:hideMark/>
          </w:tcPr>
          <w:p w14:paraId="10891888" w14:textId="77777777" w:rsidR="003C2ACF" w:rsidRDefault="003C2ACF">
            <w:pPr>
              <w:rPr>
                <w:rFonts w:ascii="Calibri" w:hAnsi="Calibri" w:cs="Calibri"/>
                <w:color w:val="000000"/>
                <w:sz w:val="22"/>
                <w:szCs w:val="22"/>
              </w:rPr>
            </w:pPr>
          </w:p>
        </w:tc>
        <w:tc>
          <w:tcPr>
            <w:tcW w:w="2297" w:type="dxa"/>
            <w:vMerge/>
            <w:hideMark/>
          </w:tcPr>
          <w:p w14:paraId="767ED7AB"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2134" w:type="dxa"/>
            <w:vMerge/>
            <w:hideMark/>
          </w:tcPr>
          <w:p w14:paraId="7B24B926"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2468" w:type="dxa"/>
            <w:vMerge/>
            <w:hideMark/>
          </w:tcPr>
          <w:p w14:paraId="4ADFD4B9"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3C2ACF" w14:paraId="2F33E144" w14:textId="77777777" w:rsidTr="00D75A6A">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0" w:type="auto"/>
            <w:vMerge/>
            <w:hideMark/>
          </w:tcPr>
          <w:p w14:paraId="0136470F" w14:textId="77777777" w:rsidR="003C2ACF" w:rsidRDefault="003C2ACF">
            <w:pPr>
              <w:rPr>
                <w:rFonts w:ascii="Calibri" w:hAnsi="Calibri" w:cs="Calibri"/>
                <w:color w:val="000000"/>
                <w:sz w:val="22"/>
                <w:szCs w:val="22"/>
              </w:rPr>
            </w:pPr>
          </w:p>
        </w:tc>
        <w:tc>
          <w:tcPr>
            <w:tcW w:w="2297" w:type="dxa"/>
            <w:vMerge/>
            <w:hideMark/>
          </w:tcPr>
          <w:p w14:paraId="1A50BF80"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2134" w:type="dxa"/>
            <w:vMerge/>
            <w:hideMark/>
          </w:tcPr>
          <w:p w14:paraId="26CF5C0F"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2468" w:type="dxa"/>
            <w:vMerge/>
            <w:hideMark/>
          </w:tcPr>
          <w:p w14:paraId="7C0B6028"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r>
      <w:tr w:rsidR="003C2ACF" w14:paraId="0A96AF94" w14:textId="77777777" w:rsidTr="00D75A6A">
        <w:trPr>
          <w:trHeight w:val="517"/>
        </w:trPr>
        <w:tc>
          <w:tcPr>
            <w:cnfStyle w:val="001000000000" w:firstRow="0" w:lastRow="0" w:firstColumn="1" w:lastColumn="0" w:oddVBand="0" w:evenVBand="0" w:oddHBand="0" w:evenHBand="0" w:firstRowFirstColumn="0" w:firstRowLastColumn="0" w:lastRowFirstColumn="0" w:lastRowLastColumn="0"/>
            <w:tcW w:w="0" w:type="auto"/>
            <w:vMerge/>
            <w:hideMark/>
          </w:tcPr>
          <w:p w14:paraId="7455B961" w14:textId="77777777" w:rsidR="003C2ACF" w:rsidRDefault="003C2ACF">
            <w:pPr>
              <w:rPr>
                <w:rFonts w:ascii="Calibri" w:hAnsi="Calibri" w:cs="Calibri"/>
                <w:color w:val="000000"/>
                <w:sz w:val="22"/>
                <w:szCs w:val="22"/>
              </w:rPr>
            </w:pPr>
          </w:p>
        </w:tc>
        <w:tc>
          <w:tcPr>
            <w:tcW w:w="2297" w:type="dxa"/>
            <w:vMerge/>
            <w:hideMark/>
          </w:tcPr>
          <w:p w14:paraId="17B5A99D"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2134" w:type="dxa"/>
            <w:vMerge/>
            <w:hideMark/>
          </w:tcPr>
          <w:p w14:paraId="2F38AAC0"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2468" w:type="dxa"/>
            <w:vMerge/>
            <w:hideMark/>
          </w:tcPr>
          <w:p w14:paraId="2BFB62DD"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bl>
    <w:p w14:paraId="7FEA1DFB" w14:textId="77777777" w:rsidR="003C2ACF" w:rsidRPr="003C2ACF" w:rsidRDefault="003C2ACF" w:rsidP="003C2ACF">
      <w:pPr>
        <w:tabs>
          <w:tab w:val="left" w:pos="0"/>
        </w:tabs>
        <w:jc w:val="both"/>
        <w:rPr>
          <w:rFonts w:ascii="Arial" w:eastAsiaTheme="minorHAnsi" w:hAnsi="Arial" w:cs="Arial"/>
          <w:sz w:val="18"/>
          <w:szCs w:val="18"/>
          <w:lang w:eastAsia="en-US"/>
        </w:rPr>
      </w:pPr>
    </w:p>
    <w:p w14:paraId="1AF43DDE" w14:textId="77777777" w:rsidR="003C2ACF" w:rsidRPr="003C2ACF" w:rsidRDefault="003C2ACF" w:rsidP="003C2ACF">
      <w:pPr>
        <w:autoSpaceDE w:val="0"/>
        <w:autoSpaceDN w:val="0"/>
        <w:adjustRightInd w:val="0"/>
        <w:spacing w:line="276" w:lineRule="auto"/>
        <w:jc w:val="both"/>
        <w:rPr>
          <w:rFonts w:asciiTheme="minorHAnsi" w:eastAsiaTheme="minorHAnsi" w:hAnsiTheme="minorHAnsi" w:cstheme="minorHAnsi"/>
          <w:b/>
          <w:bCs/>
          <w:sz w:val="22"/>
          <w:szCs w:val="22"/>
          <w:lang w:eastAsia="en-US"/>
        </w:rPr>
      </w:pPr>
      <w:r w:rsidRPr="003C2ACF">
        <w:rPr>
          <w:rFonts w:asciiTheme="minorHAnsi" w:eastAsiaTheme="minorHAnsi" w:hAnsiTheme="minorHAnsi" w:cstheme="minorHAnsi"/>
          <w:b/>
          <w:bCs/>
          <w:sz w:val="22"/>
          <w:szCs w:val="22"/>
          <w:lang w:eastAsia="en-US"/>
        </w:rPr>
        <w:t>Notas:</w:t>
      </w:r>
    </w:p>
    <w:p w14:paraId="28A53407" w14:textId="77777777" w:rsidR="003C2ACF" w:rsidRDefault="003C2ACF" w:rsidP="003C2ACF">
      <w:pPr>
        <w:pStyle w:val="PargrafodaLista"/>
        <w:numPr>
          <w:ilvl w:val="0"/>
          <w:numId w:val="19"/>
        </w:numPr>
        <w:autoSpaceDE w:val="0"/>
        <w:autoSpaceDN w:val="0"/>
        <w:adjustRightInd w:val="0"/>
        <w:spacing w:line="276" w:lineRule="auto"/>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sz w:val="22"/>
          <w:szCs w:val="22"/>
          <w:lang w:eastAsia="en-US"/>
        </w:rPr>
        <w:t xml:space="preserve">O relatório técnico é um item contratual e de responsabilidade técnica, por isso, considerado condição básica para atendimento ao contrato. </w:t>
      </w:r>
    </w:p>
    <w:p w14:paraId="1BC08694" w14:textId="77777777" w:rsidR="003C2ACF" w:rsidRDefault="003C2ACF" w:rsidP="003C2ACF">
      <w:pPr>
        <w:pStyle w:val="PargrafodaLista"/>
        <w:numPr>
          <w:ilvl w:val="0"/>
          <w:numId w:val="19"/>
        </w:numPr>
        <w:autoSpaceDE w:val="0"/>
        <w:autoSpaceDN w:val="0"/>
        <w:adjustRightInd w:val="0"/>
        <w:spacing w:line="276" w:lineRule="auto"/>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sz w:val="22"/>
          <w:szCs w:val="22"/>
          <w:lang w:eastAsia="en-US"/>
        </w:rPr>
        <w:t>Evento é qualquer falha que ocorra com o equipamento que não inviabilize seu funcionamento e/ou que não o mantenha parado por mais de 24 horas. Ex. Lâmpada queimada, botoeira em mau contato, porta raspando no piso, etc. Em caso de um contrato ter mais de um equipamento, tal índice será a contabilização de todas as ocorrências mensais divididas pela quantidade de equipamentos do mesmo item contratual.</w:t>
      </w:r>
    </w:p>
    <w:p w14:paraId="146844C2" w14:textId="77777777" w:rsidR="003C2ACF" w:rsidRDefault="003C2ACF" w:rsidP="003C2ACF">
      <w:pPr>
        <w:pStyle w:val="PargrafodaLista"/>
        <w:numPr>
          <w:ilvl w:val="0"/>
          <w:numId w:val="19"/>
        </w:numPr>
        <w:autoSpaceDE w:val="0"/>
        <w:autoSpaceDN w:val="0"/>
        <w:adjustRightInd w:val="0"/>
        <w:spacing w:line="276" w:lineRule="auto"/>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sz w:val="22"/>
          <w:szCs w:val="22"/>
          <w:lang w:eastAsia="en-US"/>
        </w:rPr>
        <w:t>Paralisação é qualquer falha que ocorra com o equipamento que inviabilize a operação por mais de 24 horas.</w:t>
      </w:r>
    </w:p>
    <w:p w14:paraId="384C838E" w14:textId="05850965" w:rsidR="003C2ACF" w:rsidRPr="003C2ACF" w:rsidRDefault="003C2ACF" w:rsidP="003C2ACF">
      <w:pPr>
        <w:pStyle w:val="PargrafodaLista"/>
        <w:numPr>
          <w:ilvl w:val="0"/>
          <w:numId w:val="19"/>
        </w:numPr>
        <w:autoSpaceDE w:val="0"/>
        <w:autoSpaceDN w:val="0"/>
        <w:adjustRightInd w:val="0"/>
        <w:spacing w:line="276" w:lineRule="auto"/>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sz w:val="22"/>
          <w:szCs w:val="22"/>
          <w:lang w:eastAsia="en-US"/>
        </w:rPr>
        <w:t xml:space="preserve">Eventos de Atrasos a Retirada de Passageiros é uma espera maior que os períodos de espera para retirada de passageiros presos estabelecidos em função das necessidades da </w:t>
      </w:r>
      <w:r>
        <w:rPr>
          <w:rFonts w:asciiTheme="minorHAnsi" w:eastAsiaTheme="minorHAnsi" w:hAnsiTheme="minorHAnsi" w:cstheme="minorHAnsi"/>
          <w:sz w:val="22"/>
          <w:szCs w:val="22"/>
          <w:lang w:eastAsia="en-US"/>
        </w:rPr>
        <w:t>UFF</w:t>
      </w:r>
      <w:r w:rsidRPr="003C2ACF">
        <w:rPr>
          <w:rFonts w:asciiTheme="minorHAnsi" w:eastAsiaTheme="minorHAnsi" w:hAnsiTheme="minorHAnsi" w:cstheme="minorHAnsi"/>
          <w:sz w:val="22"/>
          <w:szCs w:val="22"/>
          <w:lang w:eastAsia="en-US"/>
        </w:rPr>
        <w:t xml:space="preserve"> e variam em função dos horários estabelecidos no item 7.3.d deste documento.</w:t>
      </w:r>
    </w:p>
    <w:p w14:paraId="5849C699" w14:textId="77777777" w:rsidR="003C2ACF" w:rsidRDefault="003C2ACF" w:rsidP="003C2ACF">
      <w:pPr>
        <w:autoSpaceDE w:val="0"/>
        <w:autoSpaceDN w:val="0"/>
        <w:adjustRightInd w:val="0"/>
        <w:spacing w:line="276" w:lineRule="auto"/>
        <w:jc w:val="both"/>
        <w:rPr>
          <w:rFonts w:asciiTheme="minorHAnsi" w:eastAsiaTheme="minorHAnsi" w:hAnsiTheme="minorHAnsi" w:cstheme="minorHAnsi"/>
          <w:b/>
          <w:bCs/>
          <w:sz w:val="22"/>
          <w:szCs w:val="22"/>
          <w:lang w:eastAsia="en-US"/>
        </w:rPr>
      </w:pPr>
    </w:p>
    <w:p w14:paraId="6A5FA996" w14:textId="30B347E2" w:rsidR="003C2ACF" w:rsidRPr="003C2ACF" w:rsidRDefault="003C2ACF" w:rsidP="003C2ACF">
      <w:pPr>
        <w:pStyle w:val="PargrafodaLista"/>
        <w:numPr>
          <w:ilvl w:val="0"/>
          <w:numId w:val="21"/>
        </w:numPr>
        <w:autoSpaceDE w:val="0"/>
        <w:autoSpaceDN w:val="0"/>
        <w:adjustRightInd w:val="0"/>
        <w:spacing w:line="276" w:lineRule="auto"/>
        <w:jc w:val="both"/>
        <w:rPr>
          <w:rFonts w:asciiTheme="minorHAnsi" w:eastAsiaTheme="minorHAnsi" w:hAnsiTheme="minorHAnsi" w:cstheme="minorHAnsi"/>
          <w:b/>
          <w:bCs/>
          <w:sz w:val="22"/>
          <w:szCs w:val="22"/>
          <w:lang w:eastAsia="en-US"/>
        </w:rPr>
      </w:pPr>
      <w:r w:rsidRPr="003C2ACF">
        <w:rPr>
          <w:rFonts w:asciiTheme="minorHAnsi" w:eastAsiaTheme="minorHAnsi" w:hAnsiTheme="minorHAnsi" w:cstheme="minorHAnsi"/>
          <w:b/>
          <w:bCs/>
          <w:sz w:val="22"/>
          <w:szCs w:val="22"/>
          <w:lang w:eastAsia="en-US"/>
        </w:rPr>
        <w:t>Metodologia de Cálculo do IMR</w:t>
      </w:r>
    </w:p>
    <w:p w14:paraId="500F2881" w14:textId="77777777" w:rsidR="003C2ACF" w:rsidRDefault="003C2ACF" w:rsidP="003C2ACF">
      <w:pPr>
        <w:autoSpaceDE w:val="0"/>
        <w:autoSpaceDN w:val="0"/>
        <w:adjustRightInd w:val="0"/>
        <w:spacing w:line="276" w:lineRule="auto"/>
        <w:jc w:val="both"/>
        <w:rPr>
          <w:rFonts w:asciiTheme="minorHAnsi" w:eastAsiaTheme="minorHAnsi" w:hAnsiTheme="minorHAnsi" w:cstheme="minorHAnsi"/>
          <w:sz w:val="22"/>
          <w:szCs w:val="22"/>
          <w:lang w:eastAsia="en-US"/>
        </w:rPr>
      </w:pPr>
      <w:r>
        <w:rPr>
          <w:rFonts w:asciiTheme="minorHAnsi" w:eastAsiaTheme="minorHAnsi" w:hAnsiTheme="minorHAnsi" w:cstheme="minorHAnsi"/>
          <w:sz w:val="22"/>
          <w:szCs w:val="22"/>
          <w:lang w:eastAsia="en-US"/>
        </w:rPr>
        <w:t xml:space="preserve">2.1. </w:t>
      </w:r>
      <w:r w:rsidRPr="003C2ACF">
        <w:rPr>
          <w:rFonts w:asciiTheme="minorHAnsi" w:eastAsiaTheme="minorHAnsi" w:hAnsiTheme="minorHAnsi" w:cstheme="minorHAnsi"/>
          <w:sz w:val="22"/>
          <w:szCs w:val="22"/>
          <w:lang w:eastAsia="en-US"/>
        </w:rPr>
        <w:t xml:space="preserve">O IMR – Instrumento de Medição de Resultados será calculado a partir da tabela a seguir: </w:t>
      </w:r>
      <w:r>
        <w:rPr>
          <w:rFonts w:asciiTheme="minorHAnsi" w:eastAsiaTheme="minorHAnsi" w:hAnsiTheme="minorHAnsi" w:cstheme="minorHAnsi"/>
          <w:sz w:val="22"/>
          <w:szCs w:val="22"/>
          <w:lang w:eastAsia="en-US"/>
        </w:rPr>
        <w:t xml:space="preserve"> </w:t>
      </w:r>
    </w:p>
    <w:p w14:paraId="17BF9E47" w14:textId="77777777" w:rsidR="003C2ACF" w:rsidRDefault="003C2ACF" w:rsidP="003C2ACF">
      <w:pPr>
        <w:pStyle w:val="PargrafodaLista"/>
        <w:numPr>
          <w:ilvl w:val="2"/>
          <w:numId w:val="22"/>
        </w:numPr>
        <w:autoSpaceDE w:val="0"/>
        <w:autoSpaceDN w:val="0"/>
        <w:adjustRightInd w:val="0"/>
        <w:spacing w:line="276" w:lineRule="auto"/>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sz w:val="22"/>
          <w:szCs w:val="22"/>
          <w:lang w:eastAsia="en-US"/>
        </w:rPr>
        <w:t>É desejado que a Contratada atinja a faixa de adequação “A” para todas as medições mensais consideradas, caracterizando o atingimento da meta preestabelecida e, consequentemente, não ensejando qualquer desconto.</w:t>
      </w:r>
    </w:p>
    <w:p w14:paraId="45F5E211" w14:textId="2D27C284" w:rsidR="003C2ACF" w:rsidRDefault="003C2ACF" w:rsidP="003C2ACF">
      <w:pPr>
        <w:pStyle w:val="PargrafodaLista"/>
        <w:numPr>
          <w:ilvl w:val="2"/>
          <w:numId w:val="22"/>
        </w:numPr>
        <w:autoSpaceDE w:val="0"/>
        <w:autoSpaceDN w:val="0"/>
        <w:adjustRightInd w:val="0"/>
        <w:spacing w:line="276" w:lineRule="auto"/>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b/>
          <w:bCs/>
          <w:sz w:val="22"/>
          <w:szCs w:val="22"/>
          <w:lang w:eastAsia="en-US"/>
        </w:rPr>
        <w:t xml:space="preserve">O IMR será calculado </w:t>
      </w:r>
      <w:r w:rsidRPr="003C2ACF">
        <w:rPr>
          <w:rFonts w:asciiTheme="minorHAnsi" w:eastAsiaTheme="minorHAnsi" w:hAnsiTheme="minorHAnsi" w:cstheme="minorHAnsi"/>
          <w:sz w:val="22"/>
          <w:szCs w:val="22"/>
          <w:lang w:eastAsia="en-US"/>
        </w:rPr>
        <w:t>em função do percentual de atendimento às metas, conforme tabela do item a seguir. Caso não seja atingido o nível de execução esperado para o escopo de fornecimento, a empresa CONTRATADA terá desconto no valor a ser pago mensalmente pela CONTRATANTE.</w:t>
      </w:r>
    </w:p>
    <w:p w14:paraId="695E08AF" w14:textId="77777777" w:rsidR="003C2ACF" w:rsidRPr="003C2ACF" w:rsidRDefault="003C2ACF" w:rsidP="003C2ACF">
      <w:pPr>
        <w:autoSpaceDE w:val="0"/>
        <w:autoSpaceDN w:val="0"/>
        <w:adjustRightInd w:val="0"/>
        <w:jc w:val="both"/>
        <w:rPr>
          <w:rFonts w:asciiTheme="minorHAnsi" w:eastAsiaTheme="minorHAnsi" w:hAnsiTheme="minorHAnsi" w:cstheme="minorHAnsi"/>
          <w:sz w:val="22"/>
          <w:szCs w:val="22"/>
          <w:lang w:eastAsia="en-US"/>
        </w:rPr>
      </w:pPr>
    </w:p>
    <w:tbl>
      <w:tblPr>
        <w:tblStyle w:val="TabeladeGrade4-nfase1"/>
        <w:tblW w:w="10135" w:type="dxa"/>
        <w:tblLook w:val="04A0" w:firstRow="1" w:lastRow="0" w:firstColumn="1" w:lastColumn="0" w:noHBand="0" w:noVBand="1"/>
      </w:tblPr>
      <w:tblGrid>
        <w:gridCol w:w="684"/>
        <w:gridCol w:w="2205"/>
        <w:gridCol w:w="2552"/>
        <w:gridCol w:w="1789"/>
        <w:gridCol w:w="76"/>
        <w:gridCol w:w="774"/>
        <w:gridCol w:w="170"/>
        <w:gridCol w:w="1085"/>
        <w:gridCol w:w="52"/>
        <w:gridCol w:w="794"/>
        <w:gridCol w:w="45"/>
      </w:tblGrid>
      <w:tr w:rsidR="003C2ACF" w14:paraId="12A87C61" w14:textId="77777777" w:rsidTr="00D75A6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306" w:type="dxa"/>
            <w:gridSpan w:val="5"/>
            <w:noWrap/>
            <w:hideMark/>
          </w:tcPr>
          <w:p w14:paraId="68C32D5E" w14:textId="77777777" w:rsidR="003C2ACF" w:rsidRPr="003C2ACF" w:rsidRDefault="003C2ACF" w:rsidP="003C2ACF">
            <w:pPr>
              <w:jc w:val="center"/>
              <w:rPr>
                <w:rFonts w:ascii="Calibri" w:hAnsi="Calibri" w:cs="Calibri"/>
                <w:b w:val="0"/>
                <w:bCs w:val="0"/>
                <w:color w:val="000000"/>
                <w:sz w:val="22"/>
                <w:szCs w:val="22"/>
              </w:rPr>
            </w:pPr>
            <w:r w:rsidRPr="003C2ACF">
              <w:rPr>
                <w:rFonts w:ascii="Calibri" w:hAnsi="Calibri" w:cs="Calibri"/>
                <w:color w:val="000000"/>
                <w:sz w:val="22"/>
                <w:szCs w:val="22"/>
              </w:rPr>
              <w:t>Tabela de Cálculo do IMR - Instrumento de Medição de Resultados</w:t>
            </w:r>
          </w:p>
        </w:tc>
        <w:tc>
          <w:tcPr>
            <w:tcW w:w="911" w:type="dxa"/>
            <w:gridSpan w:val="2"/>
            <w:noWrap/>
            <w:hideMark/>
          </w:tcPr>
          <w:p w14:paraId="4408B666" w14:textId="77777777" w:rsidR="003C2ACF" w:rsidRDefault="003C2ACF">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p>
          <w:p w14:paraId="22B06503" w14:textId="77B3B3E1" w:rsidR="003C2ACF" w:rsidRDefault="003C2ACF">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1180" w:type="dxa"/>
            <w:gridSpan w:val="2"/>
            <w:hideMark/>
          </w:tcPr>
          <w:p w14:paraId="641FF336" w14:textId="77777777" w:rsidR="003C2ACF" w:rsidRDefault="003C2ACF">
            <w:pPr>
              <w:cnfStyle w:val="100000000000" w:firstRow="1" w:lastRow="0" w:firstColumn="0" w:lastColumn="0" w:oddVBand="0" w:evenVBand="0" w:oddHBand="0" w:evenHBand="0" w:firstRowFirstColumn="0" w:firstRowLastColumn="0" w:lastRowFirstColumn="0" w:lastRowLastColumn="0"/>
              <w:rPr>
                <w:sz w:val="20"/>
                <w:szCs w:val="20"/>
              </w:rPr>
            </w:pPr>
          </w:p>
        </w:tc>
        <w:tc>
          <w:tcPr>
            <w:tcW w:w="738" w:type="dxa"/>
            <w:gridSpan w:val="2"/>
            <w:noWrap/>
            <w:hideMark/>
          </w:tcPr>
          <w:p w14:paraId="38C257A1" w14:textId="77777777" w:rsidR="003C2ACF" w:rsidRDefault="003C2ACF">
            <w:pPr>
              <w:cnfStyle w:val="100000000000" w:firstRow="1" w:lastRow="0" w:firstColumn="0" w:lastColumn="0" w:oddVBand="0" w:evenVBand="0" w:oddHBand="0" w:evenHBand="0" w:firstRowFirstColumn="0" w:firstRowLastColumn="0" w:lastRowFirstColumn="0" w:lastRowLastColumn="0"/>
              <w:rPr>
                <w:sz w:val="20"/>
                <w:szCs w:val="20"/>
              </w:rPr>
            </w:pPr>
          </w:p>
        </w:tc>
      </w:tr>
      <w:tr w:rsidR="003C2ACF" w14:paraId="627569E7" w14:textId="77777777" w:rsidTr="00D75A6A">
        <w:trPr>
          <w:gridAfter w:val="1"/>
          <w:cnfStyle w:val="000000100000" w:firstRow="0" w:lastRow="0" w:firstColumn="0" w:lastColumn="0" w:oddVBand="0" w:evenVBand="0" w:oddHBand="1" w:evenHBand="0" w:firstRowFirstColumn="0" w:firstRowLastColumn="0" w:lastRowFirstColumn="0" w:lastRowLastColumn="0"/>
          <w:wAfter w:w="45" w:type="dxa"/>
          <w:trHeight w:val="1200"/>
        </w:trPr>
        <w:tc>
          <w:tcPr>
            <w:cnfStyle w:val="001000000000" w:firstRow="0" w:lastRow="0" w:firstColumn="1" w:lastColumn="0" w:oddVBand="0" w:evenVBand="0" w:oddHBand="0" w:evenHBand="0" w:firstRowFirstColumn="0" w:firstRowLastColumn="0" w:lastRowFirstColumn="0" w:lastRowLastColumn="0"/>
            <w:tcW w:w="630" w:type="dxa"/>
            <w:noWrap/>
            <w:hideMark/>
          </w:tcPr>
          <w:p w14:paraId="64B85440" w14:textId="77777777" w:rsidR="003C2ACF" w:rsidRDefault="003C2ACF">
            <w:pPr>
              <w:jc w:val="center"/>
              <w:rPr>
                <w:rFonts w:ascii="Calibri" w:hAnsi="Calibri" w:cs="Calibri"/>
                <w:b w:val="0"/>
                <w:bCs w:val="0"/>
                <w:color w:val="000000"/>
                <w:sz w:val="22"/>
                <w:szCs w:val="22"/>
              </w:rPr>
            </w:pPr>
            <w:r>
              <w:rPr>
                <w:rFonts w:ascii="Calibri" w:hAnsi="Calibri" w:cs="Calibri"/>
                <w:color w:val="000000"/>
                <w:sz w:val="22"/>
                <w:szCs w:val="22"/>
              </w:rPr>
              <w:t>ITEM</w:t>
            </w:r>
          </w:p>
        </w:tc>
        <w:tc>
          <w:tcPr>
            <w:tcW w:w="2205" w:type="dxa"/>
            <w:hideMark/>
          </w:tcPr>
          <w:p w14:paraId="0E85123D" w14:textId="77777777" w:rsidR="003C2ACF" w:rsidRDefault="003C2AC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Pr>
                <w:rFonts w:ascii="Calibri" w:hAnsi="Calibri" w:cs="Calibri"/>
                <w:b/>
                <w:bCs/>
                <w:color w:val="000000"/>
                <w:sz w:val="22"/>
                <w:szCs w:val="22"/>
              </w:rPr>
              <w:t>INDICADOR</w:t>
            </w:r>
          </w:p>
        </w:tc>
        <w:tc>
          <w:tcPr>
            <w:tcW w:w="2552" w:type="dxa"/>
            <w:hideMark/>
          </w:tcPr>
          <w:p w14:paraId="221972B9" w14:textId="77777777" w:rsidR="003C2ACF" w:rsidRDefault="003C2AC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Pr>
                <w:rFonts w:ascii="Calibri" w:hAnsi="Calibri" w:cs="Calibri"/>
                <w:b/>
                <w:bCs/>
                <w:color w:val="000000"/>
                <w:sz w:val="22"/>
                <w:szCs w:val="22"/>
              </w:rPr>
              <w:t>UNIDADE DE MEDIDA</w:t>
            </w:r>
          </w:p>
        </w:tc>
        <w:tc>
          <w:tcPr>
            <w:tcW w:w="1843" w:type="dxa"/>
            <w:hideMark/>
          </w:tcPr>
          <w:p w14:paraId="4552DE66" w14:textId="77777777" w:rsidR="003C2ACF" w:rsidRDefault="003C2AC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Pr>
                <w:rFonts w:ascii="Calibri" w:hAnsi="Calibri" w:cs="Calibri"/>
                <w:b/>
                <w:bCs/>
                <w:color w:val="000000"/>
                <w:sz w:val="22"/>
                <w:szCs w:val="22"/>
              </w:rPr>
              <w:t>METAS PARA CADA MEDIÇÃO</w:t>
            </w:r>
          </w:p>
        </w:tc>
        <w:tc>
          <w:tcPr>
            <w:tcW w:w="2090" w:type="dxa"/>
            <w:gridSpan w:val="4"/>
            <w:hideMark/>
          </w:tcPr>
          <w:p w14:paraId="172ADBEE" w14:textId="77777777" w:rsidR="003C2ACF" w:rsidRDefault="003C2AC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Pr>
                <w:rFonts w:ascii="Calibri" w:hAnsi="Calibri" w:cs="Calibri"/>
                <w:b/>
                <w:bCs/>
                <w:color w:val="000000"/>
                <w:sz w:val="22"/>
                <w:szCs w:val="22"/>
              </w:rPr>
              <w:t>FAIXA DE ADEQUAÇÃO DO INDICADOR (I)</w:t>
            </w:r>
          </w:p>
        </w:tc>
        <w:tc>
          <w:tcPr>
            <w:tcW w:w="770" w:type="dxa"/>
            <w:gridSpan w:val="2"/>
            <w:hideMark/>
          </w:tcPr>
          <w:p w14:paraId="6243EA03" w14:textId="77777777" w:rsidR="003C2ACF" w:rsidRDefault="003C2ACF" w:rsidP="003C2AC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Pr>
                <w:rFonts w:ascii="Calibri" w:hAnsi="Calibri" w:cs="Calibri"/>
                <w:b/>
                <w:bCs/>
                <w:color w:val="000000"/>
                <w:sz w:val="22"/>
                <w:szCs w:val="22"/>
              </w:rPr>
              <w:t>VALOR DO IMR</w:t>
            </w:r>
          </w:p>
        </w:tc>
      </w:tr>
      <w:tr w:rsidR="003C2ACF" w14:paraId="59CB5F52" w14:textId="77777777" w:rsidTr="00D75A6A">
        <w:trPr>
          <w:gridAfter w:val="1"/>
          <w:wAfter w:w="45" w:type="dxa"/>
          <w:trHeight w:val="1200"/>
        </w:trPr>
        <w:tc>
          <w:tcPr>
            <w:cnfStyle w:val="001000000000" w:firstRow="0" w:lastRow="0" w:firstColumn="1" w:lastColumn="0" w:oddVBand="0" w:evenVBand="0" w:oddHBand="0" w:evenHBand="0" w:firstRowFirstColumn="0" w:firstRowLastColumn="0" w:lastRowFirstColumn="0" w:lastRowLastColumn="0"/>
            <w:tcW w:w="630" w:type="dxa"/>
            <w:vMerge w:val="restart"/>
            <w:noWrap/>
            <w:hideMark/>
          </w:tcPr>
          <w:p w14:paraId="4D6CA393" w14:textId="77777777" w:rsidR="003C2ACF" w:rsidRDefault="003C2ACF">
            <w:pPr>
              <w:jc w:val="center"/>
              <w:rPr>
                <w:rFonts w:ascii="Calibri" w:hAnsi="Calibri" w:cs="Calibri"/>
                <w:color w:val="000000"/>
                <w:sz w:val="22"/>
                <w:szCs w:val="22"/>
              </w:rPr>
            </w:pPr>
            <w:r>
              <w:rPr>
                <w:rFonts w:ascii="Calibri" w:hAnsi="Calibri" w:cs="Calibri"/>
                <w:color w:val="000000"/>
                <w:sz w:val="22"/>
                <w:szCs w:val="22"/>
              </w:rPr>
              <w:t>1</w:t>
            </w:r>
          </w:p>
        </w:tc>
        <w:tc>
          <w:tcPr>
            <w:tcW w:w="2205" w:type="dxa"/>
            <w:vMerge w:val="restart"/>
            <w:hideMark/>
          </w:tcPr>
          <w:p w14:paraId="5BCC2461" w14:textId="77777777" w:rsidR="003C2ACF" w:rsidRDefault="003C2AC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Pontualidade na entrega do Relatório Técnico Mensal</w:t>
            </w:r>
          </w:p>
        </w:tc>
        <w:tc>
          <w:tcPr>
            <w:tcW w:w="2552" w:type="dxa"/>
            <w:vMerge w:val="restart"/>
            <w:hideMark/>
          </w:tcPr>
          <w:p w14:paraId="419C7F3F" w14:textId="77777777" w:rsidR="003C2ACF" w:rsidRDefault="003C2AC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Dias úteis de Atraso em relação ao prazo estabelecido</w:t>
            </w:r>
          </w:p>
        </w:tc>
        <w:tc>
          <w:tcPr>
            <w:tcW w:w="1843" w:type="dxa"/>
            <w:vMerge w:val="restart"/>
            <w:hideMark/>
          </w:tcPr>
          <w:p w14:paraId="2BCA5DD8" w14:textId="77777777" w:rsidR="003C2ACF" w:rsidRDefault="003C2AC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0 (zero) dias de atraso</w:t>
            </w:r>
          </w:p>
        </w:tc>
        <w:tc>
          <w:tcPr>
            <w:tcW w:w="850" w:type="dxa"/>
            <w:gridSpan w:val="2"/>
            <w:noWrap/>
            <w:hideMark/>
          </w:tcPr>
          <w:p w14:paraId="0D7EE5AA"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A</w:t>
            </w:r>
          </w:p>
        </w:tc>
        <w:tc>
          <w:tcPr>
            <w:tcW w:w="1240" w:type="dxa"/>
            <w:gridSpan w:val="2"/>
            <w:hideMark/>
          </w:tcPr>
          <w:p w14:paraId="583D5517"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Sem atraso</w:t>
            </w:r>
          </w:p>
        </w:tc>
        <w:tc>
          <w:tcPr>
            <w:tcW w:w="770" w:type="dxa"/>
            <w:gridSpan w:val="2"/>
            <w:noWrap/>
            <w:hideMark/>
          </w:tcPr>
          <w:p w14:paraId="43F6453F" w14:textId="77777777" w:rsidR="003C2ACF" w:rsidRDefault="003C2ACF">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100%</w:t>
            </w:r>
          </w:p>
        </w:tc>
      </w:tr>
      <w:tr w:rsidR="003C2ACF" w14:paraId="776C5A90" w14:textId="77777777" w:rsidTr="00D75A6A">
        <w:trPr>
          <w:gridAfter w:val="1"/>
          <w:cnfStyle w:val="000000100000" w:firstRow="0" w:lastRow="0" w:firstColumn="0" w:lastColumn="0" w:oddVBand="0" w:evenVBand="0" w:oddHBand="1" w:evenHBand="0" w:firstRowFirstColumn="0" w:firstRowLastColumn="0" w:lastRowFirstColumn="0" w:lastRowLastColumn="0"/>
          <w:wAfter w:w="45" w:type="dxa"/>
          <w:trHeight w:val="600"/>
        </w:trPr>
        <w:tc>
          <w:tcPr>
            <w:cnfStyle w:val="001000000000" w:firstRow="0" w:lastRow="0" w:firstColumn="1" w:lastColumn="0" w:oddVBand="0" w:evenVBand="0" w:oddHBand="0" w:evenHBand="0" w:firstRowFirstColumn="0" w:firstRowLastColumn="0" w:lastRowFirstColumn="0" w:lastRowLastColumn="0"/>
            <w:tcW w:w="630" w:type="dxa"/>
            <w:vMerge/>
            <w:hideMark/>
          </w:tcPr>
          <w:p w14:paraId="6A14BA08" w14:textId="77777777" w:rsidR="003C2ACF" w:rsidRDefault="003C2ACF">
            <w:pPr>
              <w:rPr>
                <w:rFonts w:ascii="Calibri" w:hAnsi="Calibri" w:cs="Calibri"/>
                <w:color w:val="000000"/>
                <w:sz w:val="22"/>
                <w:szCs w:val="22"/>
              </w:rPr>
            </w:pPr>
          </w:p>
        </w:tc>
        <w:tc>
          <w:tcPr>
            <w:tcW w:w="2205" w:type="dxa"/>
            <w:vMerge/>
            <w:hideMark/>
          </w:tcPr>
          <w:p w14:paraId="3831BEAA"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2552" w:type="dxa"/>
            <w:vMerge/>
            <w:hideMark/>
          </w:tcPr>
          <w:p w14:paraId="676C5FF7"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1843" w:type="dxa"/>
            <w:vMerge/>
            <w:hideMark/>
          </w:tcPr>
          <w:p w14:paraId="43AA6943"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0" w:type="dxa"/>
            <w:gridSpan w:val="2"/>
            <w:noWrap/>
            <w:hideMark/>
          </w:tcPr>
          <w:p w14:paraId="7B9503B5"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B</w:t>
            </w:r>
          </w:p>
        </w:tc>
        <w:tc>
          <w:tcPr>
            <w:tcW w:w="1240" w:type="dxa"/>
            <w:gridSpan w:val="2"/>
            <w:hideMark/>
          </w:tcPr>
          <w:p w14:paraId="1EBC24D3"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Acima de 1 até 5 dias</w:t>
            </w:r>
          </w:p>
        </w:tc>
        <w:tc>
          <w:tcPr>
            <w:tcW w:w="770" w:type="dxa"/>
            <w:gridSpan w:val="2"/>
            <w:noWrap/>
            <w:hideMark/>
          </w:tcPr>
          <w:p w14:paraId="32DD860C" w14:textId="0C2E802A" w:rsidR="003C2ACF" w:rsidRDefault="003C2ACF">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9</w:t>
            </w:r>
            <w:r w:rsidR="00F65770">
              <w:rPr>
                <w:rFonts w:ascii="Calibri" w:hAnsi="Calibri" w:cs="Calibri"/>
                <w:color w:val="000000"/>
                <w:sz w:val="22"/>
                <w:szCs w:val="22"/>
              </w:rPr>
              <w:t>9</w:t>
            </w:r>
            <w:r>
              <w:rPr>
                <w:rFonts w:ascii="Calibri" w:hAnsi="Calibri" w:cs="Calibri"/>
                <w:color w:val="000000"/>
                <w:sz w:val="22"/>
                <w:szCs w:val="22"/>
              </w:rPr>
              <w:t>%</w:t>
            </w:r>
          </w:p>
        </w:tc>
      </w:tr>
      <w:tr w:rsidR="003C2ACF" w14:paraId="6962FBB7" w14:textId="77777777" w:rsidTr="00D75A6A">
        <w:trPr>
          <w:gridAfter w:val="1"/>
          <w:wAfter w:w="45" w:type="dxa"/>
          <w:trHeight w:val="600"/>
        </w:trPr>
        <w:tc>
          <w:tcPr>
            <w:cnfStyle w:val="001000000000" w:firstRow="0" w:lastRow="0" w:firstColumn="1" w:lastColumn="0" w:oddVBand="0" w:evenVBand="0" w:oddHBand="0" w:evenHBand="0" w:firstRowFirstColumn="0" w:firstRowLastColumn="0" w:lastRowFirstColumn="0" w:lastRowLastColumn="0"/>
            <w:tcW w:w="630" w:type="dxa"/>
            <w:vMerge/>
            <w:hideMark/>
          </w:tcPr>
          <w:p w14:paraId="12DB4F36" w14:textId="77777777" w:rsidR="003C2ACF" w:rsidRDefault="003C2ACF">
            <w:pPr>
              <w:rPr>
                <w:rFonts w:ascii="Calibri" w:hAnsi="Calibri" w:cs="Calibri"/>
                <w:color w:val="000000"/>
                <w:sz w:val="22"/>
                <w:szCs w:val="22"/>
              </w:rPr>
            </w:pPr>
          </w:p>
        </w:tc>
        <w:tc>
          <w:tcPr>
            <w:tcW w:w="2205" w:type="dxa"/>
            <w:vMerge/>
            <w:hideMark/>
          </w:tcPr>
          <w:p w14:paraId="027A78B4"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2552" w:type="dxa"/>
            <w:vMerge/>
            <w:hideMark/>
          </w:tcPr>
          <w:p w14:paraId="2F7539B4"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1843" w:type="dxa"/>
            <w:vMerge/>
            <w:hideMark/>
          </w:tcPr>
          <w:p w14:paraId="3F337D98"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850" w:type="dxa"/>
            <w:gridSpan w:val="2"/>
            <w:noWrap/>
            <w:hideMark/>
          </w:tcPr>
          <w:p w14:paraId="3565FA79"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C</w:t>
            </w:r>
          </w:p>
        </w:tc>
        <w:tc>
          <w:tcPr>
            <w:tcW w:w="1240" w:type="dxa"/>
            <w:gridSpan w:val="2"/>
            <w:hideMark/>
          </w:tcPr>
          <w:p w14:paraId="2446CE06"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Acima de 5 até 10 dias</w:t>
            </w:r>
          </w:p>
        </w:tc>
        <w:tc>
          <w:tcPr>
            <w:tcW w:w="770" w:type="dxa"/>
            <w:gridSpan w:val="2"/>
            <w:noWrap/>
            <w:hideMark/>
          </w:tcPr>
          <w:p w14:paraId="4B5A7C65" w14:textId="3609A60C" w:rsidR="003C2ACF" w:rsidRDefault="003C2ACF">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9</w:t>
            </w:r>
            <w:r w:rsidR="00F65770">
              <w:rPr>
                <w:rFonts w:ascii="Calibri" w:hAnsi="Calibri" w:cs="Calibri"/>
                <w:color w:val="000000"/>
                <w:sz w:val="22"/>
                <w:szCs w:val="22"/>
              </w:rPr>
              <w:t>8,5</w:t>
            </w:r>
            <w:r>
              <w:rPr>
                <w:rFonts w:ascii="Calibri" w:hAnsi="Calibri" w:cs="Calibri"/>
                <w:color w:val="000000"/>
                <w:sz w:val="22"/>
                <w:szCs w:val="22"/>
              </w:rPr>
              <w:t>%</w:t>
            </w:r>
          </w:p>
        </w:tc>
      </w:tr>
      <w:tr w:rsidR="003C2ACF" w14:paraId="6DC06286" w14:textId="77777777" w:rsidTr="00D75A6A">
        <w:trPr>
          <w:gridAfter w:val="1"/>
          <w:cnfStyle w:val="000000100000" w:firstRow="0" w:lastRow="0" w:firstColumn="0" w:lastColumn="0" w:oddVBand="0" w:evenVBand="0" w:oddHBand="1" w:evenHBand="0" w:firstRowFirstColumn="0" w:firstRowLastColumn="0" w:lastRowFirstColumn="0" w:lastRowLastColumn="0"/>
          <w:wAfter w:w="45" w:type="dxa"/>
          <w:trHeight w:val="600"/>
        </w:trPr>
        <w:tc>
          <w:tcPr>
            <w:cnfStyle w:val="001000000000" w:firstRow="0" w:lastRow="0" w:firstColumn="1" w:lastColumn="0" w:oddVBand="0" w:evenVBand="0" w:oddHBand="0" w:evenHBand="0" w:firstRowFirstColumn="0" w:firstRowLastColumn="0" w:lastRowFirstColumn="0" w:lastRowLastColumn="0"/>
            <w:tcW w:w="630" w:type="dxa"/>
            <w:vMerge/>
            <w:hideMark/>
          </w:tcPr>
          <w:p w14:paraId="155F9132" w14:textId="77777777" w:rsidR="003C2ACF" w:rsidRDefault="003C2ACF">
            <w:pPr>
              <w:rPr>
                <w:rFonts w:ascii="Calibri" w:hAnsi="Calibri" w:cs="Calibri"/>
                <w:color w:val="000000"/>
                <w:sz w:val="22"/>
                <w:szCs w:val="22"/>
              </w:rPr>
            </w:pPr>
          </w:p>
        </w:tc>
        <w:tc>
          <w:tcPr>
            <w:tcW w:w="2205" w:type="dxa"/>
            <w:vMerge/>
            <w:hideMark/>
          </w:tcPr>
          <w:p w14:paraId="0E51EC5B"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2552" w:type="dxa"/>
            <w:vMerge/>
            <w:hideMark/>
          </w:tcPr>
          <w:p w14:paraId="77E51395"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1843" w:type="dxa"/>
            <w:vMerge/>
            <w:hideMark/>
          </w:tcPr>
          <w:p w14:paraId="2A2D21A2"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0" w:type="dxa"/>
            <w:gridSpan w:val="2"/>
            <w:noWrap/>
            <w:hideMark/>
          </w:tcPr>
          <w:p w14:paraId="207009E9"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w:t>
            </w:r>
          </w:p>
        </w:tc>
        <w:tc>
          <w:tcPr>
            <w:tcW w:w="1240" w:type="dxa"/>
            <w:gridSpan w:val="2"/>
            <w:hideMark/>
          </w:tcPr>
          <w:p w14:paraId="0539031E"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Acima de 10 dias atraso</w:t>
            </w:r>
          </w:p>
        </w:tc>
        <w:tc>
          <w:tcPr>
            <w:tcW w:w="770" w:type="dxa"/>
            <w:gridSpan w:val="2"/>
            <w:noWrap/>
            <w:hideMark/>
          </w:tcPr>
          <w:p w14:paraId="773956B5" w14:textId="017CED9A" w:rsidR="003C2ACF" w:rsidRDefault="003C2ACF">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9</w:t>
            </w:r>
            <w:r w:rsidR="00F65770">
              <w:rPr>
                <w:rFonts w:ascii="Calibri" w:hAnsi="Calibri" w:cs="Calibri"/>
                <w:color w:val="000000"/>
                <w:sz w:val="22"/>
                <w:szCs w:val="22"/>
              </w:rPr>
              <w:t>8</w:t>
            </w:r>
            <w:r>
              <w:rPr>
                <w:rFonts w:ascii="Calibri" w:hAnsi="Calibri" w:cs="Calibri"/>
                <w:color w:val="000000"/>
                <w:sz w:val="22"/>
                <w:szCs w:val="22"/>
              </w:rPr>
              <w:t>%</w:t>
            </w:r>
          </w:p>
        </w:tc>
      </w:tr>
      <w:tr w:rsidR="003C2ACF" w14:paraId="64FD6587" w14:textId="77777777" w:rsidTr="00D75A6A">
        <w:trPr>
          <w:gridAfter w:val="1"/>
          <w:wAfter w:w="45" w:type="dxa"/>
          <w:trHeight w:val="600"/>
        </w:trPr>
        <w:tc>
          <w:tcPr>
            <w:cnfStyle w:val="001000000000" w:firstRow="0" w:lastRow="0" w:firstColumn="1" w:lastColumn="0" w:oddVBand="0" w:evenVBand="0" w:oddHBand="0" w:evenHBand="0" w:firstRowFirstColumn="0" w:firstRowLastColumn="0" w:lastRowFirstColumn="0" w:lastRowLastColumn="0"/>
            <w:tcW w:w="630" w:type="dxa"/>
            <w:vMerge w:val="restart"/>
            <w:noWrap/>
            <w:hideMark/>
          </w:tcPr>
          <w:p w14:paraId="0890A9CA" w14:textId="77777777" w:rsidR="003C2ACF" w:rsidRDefault="003C2ACF">
            <w:pPr>
              <w:jc w:val="center"/>
              <w:rPr>
                <w:rFonts w:ascii="Calibri" w:hAnsi="Calibri" w:cs="Calibri"/>
                <w:color w:val="000000"/>
                <w:sz w:val="22"/>
                <w:szCs w:val="22"/>
              </w:rPr>
            </w:pPr>
            <w:r>
              <w:rPr>
                <w:rFonts w:ascii="Calibri" w:hAnsi="Calibri" w:cs="Calibri"/>
                <w:color w:val="000000"/>
                <w:sz w:val="22"/>
                <w:szCs w:val="22"/>
              </w:rPr>
              <w:t>2</w:t>
            </w:r>
          </w:p>
        </w:tc>
        <w:tc>
          <w:tcPr>
            <w:tcW w:w="2205" w:type="dxa"/>
            <w:vMerge w:val="restart"/>
            <w:hideMark/>
          </w:tcPr>
          <w:p w14:paraId="30CE6EA5" w14:textId="04D6C7B8" w:rsidR="003C2ACF" w:rsidRDefault="00F6577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Prejudicar ou deixar de cumprir serviços parcialmente por falta de ferramentas, materiais e equipamentos</w:t>
            </w:r>
          </w:p>
        </w:tc>
        <w:tc>
          <w:tcPr>
            <w:tcW w:w="2552" w:type="dxa"/>
            <w:vMerge w:val="restart"/>
            <w:noWrap/>
            <w:hideMark/>
          </w:tcPr>
          <w:p w14:paraId="7A77759F" w14:textId="51637498" w:rsidR="003C2ACF" w:rsidRDefault="00F6577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Ocorrência de Atrasos por mês</w:t>
            </w:r>
          </w:p>
        </w:tc>
        <w:tc>
          <w:tcPr>
            <w:tcW w:w="1843" w:type="dxa"/>
            <w:vMerge w:val="restart"/>
            <w:hideMark/>
          </w:tcPr>
          <w:p w14:paraId="53E8521E" w14:textId="7B0C6D97" w:rsidR="003C2ACF" w:rsidRDefault="00F6577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ZERO ocorrências</w:t>
            </w:r>
          </w:p>
        </w:tc>
        <w:tc>
          <w:tcPr>
            <w:tcW w:w="850" w:type="dxa"/>
            <w:gridSpan w:val="2"/>
            <w:noWrap/>
            <w:hideMark/>
          </w:tcPr>
          <w:p w14:paraId="12A31E65"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A</w:t>
            </w:r>
          </w:p>
        </w:tc>
        <w:tc>
          <w:tcPr>
            <w:tcW w:w="1240" w:type="dxa"/>
            <w:gridSpan w:val="2"/>
            <w:hideMark/>
          </w:tcPr>
          <w:p w14:paraId="16D1C5D6" w14:textId="5680B9FC" w:rsidR="003C2ACF" w:rsidRDefault="00F65770">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ZERO ocorrências</w:t>
            </w:r>
          </w:p>
        </w:tc>
        <w:tc>
          <w:tcPr>
            <w:tcW w:w="770" w:type="dxa"/>
            <w:gridSpan w:val="2"/>
            <w:noWrap/>
            <w:hideMark/>
          </w:tcPr>
          <w:p w14:paraId="089F5E9D" w14:textId="77777777" w:rsidR="003C2ACF" w:rsidRDefault="003C2ACF">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100%</w:t>
            </w:r>
          </w:p>
        </w:tc>
      </w:tr>
      <w:tr w:rsidR="003C2ACF" w14:paraId="05AE2345" w14:textId="77777777" w:rsidTr="00D75A6A">
        <w:trPr>
          <w:gridAfter w:val="1"/>
          <w:cnfStyle w:val="000000100000" w:firstRow="0" w:lastRow="0" w:firstColumn="0" w:lastColumn="0" w:oddVBand="0" w:evenVBand="0" w:oddHBand="1" w:evenHBand="0" w:firstRowFirstColumn="0" w:firstRowLastColumn="0" w:lastRowFirstColumn="0" w:lastRowLastColumn="0"/>
          <w:wAfter w:w="45" w:type="dxa"/>
          <w:trHeight w:val="600"/>
        </w:trPr>
        <w:tc>
          <w:tcPr>
            <w:cnfStyle w:val="001000000000" w:firstRow="0" w:lastRow="0" w:firstColumn="1" w:lastColumn="0" w:oddVBand="0" w:evenVBand="0" w:oddHBand="0" w:evenHBand="0" w:firstRowFirstColumn="0" w:firstRowLastColumn="0" w:lastRowFirstColumn="0" w:lastRowLastColumn="0"/>
            <w:tcW w:w="630" w:type="dxa"/>
            <w:vMerge/>
            <w:hideMark/>
          </w:tcPr>
          <w:p w14:paraId="682CEA98" w14:textId="77777777" w:rsidR="003C2ACF" w:rsidRDefault="003C2ACF">
            <w:pPr>
              <w:rPr>
                <w:rFonts w:ascii="Calibri" w:hAnsi="Calibri" w:cs="Calibri"/>
                <w:color w:val="000000"/>
                <w:sz w:val="22"/>
                <w:szCs w:val="22"/>
              </w:rPr>
            </w:pPr>
          </w:p>
        </w:tc>
        <w:tc>
          <w:tcPr>
            <w:tcW w:w="2205" w:type="dxa"/>
            <w:vMerge/>
            <w:hideMark/>
          </w:tcPr>
          <w:p w14:paraId="1E30C168"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2552" w:type="dxa"/>
            <w:vMerge/>
            <w:hideMark/>
          </w:tcPr>
          <w:p w14:paraId="4F7873BE"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1843" w:type="dxa"/>
            <w:vMerge/>
            <w:hideMark/>
          </w:tcPr>
          <w:p w14:paraId="5AFD2C5E"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0" w:type="dxa"/>
            <w:gridSpan w:val="2"/>
            <w:noWrap/>
            <w:hideMark/>
          </w:tcPr>
          <w:p w14:paraId="3D9C0504"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B</w:t>
            </w:r>
          </w:p>
        </w:tc>
        <w:tc>
          <w:tcPr>
            <w:tcW w:w="1240" w:type="dxa"/>
            <w:gridSpan w:val="2"/>
            <w:hideMark/>
          </w:tcPr>
          <w:p w14:paraId="25792F64" w14:textId="50382DEA" w:rsidR="003C2ACF" w:rsidRDefault="00F6577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 1 até 4 ocorrências</w:t>
            </w:r>
          </w:p>
        </w:tc>
        <w:tc>
          <w:tcPr>
            <w:tcW w:w="770" w:type="dxa"/>
            <w:gridSpan w:val="2"/>
            <w:noWrap/>
            <w:hideMark/>
          </w:tcPr>
          <w:p w14:paraId="351BC700" w14:textId="34994C16" w:rsidR="003C2ACF" w:rsidRDefault="003C2ACF">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9</w:t>
            </w:r>
            <w:r w:rsidR="00F65770">
              <w:rPr>
                <w:rFonts w:ascii="Calibri" w:hAnsi="Calibri" w:cs="Calibri"/>
                <w:color w:val="000000"/>
                <w:sz w:val="22"/>
                <w:szCs w:val="22"/>
              </w:rPr>
              <w:t>9</w:t>
            </w:r>
            <w:r>
              <w:rPr>
                <w:rFonts w:ascii="Calibri" w:hAnsi="Calibri" w:cs="Calibri"/>
                <w:color w:val="000000"/>
                <w:sz w:val="22"/>
                <w:szCs w:val="22"/>
              </w:rPr>
              <w:t>%</w:t>
            </w:r>
          </w:p>
        </w:tc>
      </w:tr>
      <w:tr w:rsidR="003C2ACF" w14:paraId="2F480EB5" w14:textId="77777777" w:rsidTr="00D75A6A">
        <w:trPr>
          <w:gridAfter w:val="1"/>
          <w:wAfter w:w="45" w:type="dxa"/>
          <w:trHeight w:val="600"/>
        </w:trPr>
        <w:tc>
          <w:tcPr>
            <w:cnfStyle w:val="001000000000" w:firstRow="0" w:lastRow="0" w:firstColumn="1" w:lastColumn="0" w:oddVBand="0" w:evenVBand="0" w:oddHBand="0" w:evenHBand="0" w:firstRowFirstColumn="0" w:firstRowLastColumn="0" w:lastRowFirstColumn="0" w:lastRowLastColumn="0"/>
            <w:tcW w:w="630" w:type="dxa"/>
            <w:vMerge/>
            <w:hideMark/>
          </w:tcPr>
          <w:p w14:paraId="048BC07F" w14:textId="77777777" w:rsidR="003C2ACF" w:rsidRDefault="003C2ACF">
            <w:pPr>
              <w:rPr>
                <w:rFonts w:ascii="Calibri" w:hAnsi="Calibri" w:cs="Calibri"/>
                <w:color w:val="000000"/>
                <w:sz w:val="22"/>
                <w:szCs w:val="22"/>
              </w:rPr>
            </w:pPr>
          </w:p>
        </w:tc>
        <w:tc>
          <w:tcPr>
            <w:tcW w:w="2205" w:type="dxa"/>
            <w:vMerge/>
            <w:hideMark/>
          </w:tcPr>
          <w:p w14:paraId="006484FC"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2552" w:type="dxa"/>
            <w:vMerge/>
            <w:hideMark/>
          </w:tcPr>
          <w:p w14:paraId="2B4E578B"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1843" w:type="dxa"/>
            <w:vMerge/>
            <w:hideMark/>
          </w:tcPr>
          <w:p w14:paraId="7781387A"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850" w:type="dxa"/>
            <w:gridSpan w:val="2"/>
            <w:noWrap/>
            <w:hideMark/>
          </w:tcPr>
          <w:p w14:paraId="33608566" w14:textId="77777777" w:rsidR="003C2ACF" w:rsidRDefault="003C2AC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C</w:t>
            </w:r>
          </w:p>
        </w:tc>
        <w:tc>
          <w:tcPr>
            <w:tcW w:w="1240" w:type="dxa"/>
            <w:gridSpan w:val="2"/>
            <w:hideMark/>
          </w:tcPr>
          <w:p w14:paraId="18EA753F" w14:textId="3BB905F7" w:rsidR="003C2ACF" w:rsidRDefault="00F65770">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 4 até 6 ocorrências</w:t>
            </w:r>
          </w:p>
        </w:tc>
        <w:tc>
          <w:tcPr>
            <w:tcW w:w="770" w:type="dxa"/>
            <w:gridSpan w:val="2"/>
            <w:noWrap/>
            <w:hideMark/>
          </w:tcPr>
          <w:p w14:paraId="75A0A788" w14:textId="4C4EE73C" w:rsidR="003C2ACF" w:rsidRDefault="003C2ACF">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9</w:t>
            </w:r>
            <w:r w:rsidR="00F65770">
              <w:rPr>
                <w:rFonts w:ascii="Calibri" w:hAnsi="Calibri" w:cs="Calibri"/>
                <w:color w:val="000000"/>
                <w:sz w:val="22"/>
                <w:szCs w:val="22"/>
              </w:rPr>
              <w:t>8,5</w:t>
            </w:r>
            <w:r>
              <w:rPr>
                <w:rFonts w:ascii="Calibri" w:hAnsi="Calibri" w:cs="Calibri"/>
                <w:color w:val="000000"/>
                <w:sz w:val="22"/>
                <w:szCs w:val="22"/>
              </w:rPr>
              <w:t>%</w:t>
            </w:r>
          </w:p>
        </w:tc>
      </w:tr>
      <w:tr w:rsidR="003C2ACF" w14:paraId="2F861180" w14:textId="77777777" w:rsidTr="00D75A6A">
        <w:trPr>
          <w:gridAfter w:val="1"/>
          <w:cnfStyle w:val="000000100000" w:firstRow="0" w:lastRow="0" w:firstColumn="0" w:lastColumn="0" w:oddVBand="0" w:evenVBand="0" w:oddHBand="1" w:evenHBand="0" w:firstRowFirstColumn="0" w:firstRowLastColumn="0" w:lastRowFirstColumn="0" w:lastRowLastColumn="0"/>
          <w:wAfter w:w="45" w:type="dxa"/>
          <w:trHeight w:val="600"/>
        </w:trPr>
        <w:tc>
          <w:tcPr>
            <w:cnfStyle w:val="001000000000" w:firstRow="0" w:lastRow="0" w:firstColumn="1" w:lastColumn="0" w:oddVBand="0" w:evenVBand="0" w:oddHBand="0" w:evenHBand="0" w:firstRowFirstColumn="0" w:firstRowLastColumn="0" w:lastRowFirstColumn="0" w:lastRowLastColumn="0"/>
            <w:tcW w:w="630" w:type="dxa"/>
            <w:vMerge/>
            <w:hideMark/>
          </w:tcPr>
          <w:p w14:paraId="7A690ACB" w14:textId="77777777" w:rsidR="003C2ACF" w:rsidRDefault="003C2ACF">
            <w:pPr>
              <w:rPr>
                <w:rFonts w:ascii="Calibri" w:hAnsi="Calibri" w:cs="Calibri"/>
                <w:color w:val="000000"/>
                <w:sz w:val="22"/>
                <w:szCs w:val="22"/>
              </w:rPr>
            </w:pPr>
          </w:p>
        </w:tc>
        <w:tc>
          <w:tcPr>
            <w:tcW w:w="2205" w:type="dxa"/>
            <w:vMerge/>
            <w:hideMark/>
          </w:tcPr>
          <w:p w14:paraId="2AD0142B"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2552" w:type="dxa"/>
            <w:vMerge/>
            <w:hideMark/>
          </w:tcPr>
          <w:p w14:paraId="0BA28A5E"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1843" w:type="dxa"/>
            <w:vMerge/>
            <w:hideMark/>
          </w:tcPr>
          <w:p w14:paraId="75A2FC55"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0" w:type="dxa"/>
            <w:gridSpan w:val="2"/>
            <w:noWrap/>
            <w:hideMark/>
          </w:tcPr>
          <w:p w14:paraId="08B72DF6" w14:textId="77777777" w:rsidR="003C2ACF" w:rsidRDefault="003C2AC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w:t>
            </w:r>
          </w:p>
        </w:tc>
        <w:tc>
          <w:tcPr>
            <w:tcW w:w="1240" w:type="dxa"/>
            <w:gridSpan w:val="2"/>
            <w:hideMark/>
          </w:tcPr>
          <w:p w14:paraId="766AEB30" w14:textId="6984AD35" w:rsidR="003C2ACF" w:rsidRDefault="00F6577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Acima de 6 ocorrências</w:t>
            </w:r>
          </w:p>
        </w:tc>
        <w:tc>
          <w:tcPr>
            <w:tcW w:w="770" w:type="dxa"/>
            <w:gridSpan w:val="2"/>
            <w:noWrap/>
            <w:hideMark/>
          </w:tcPr>
          <w:p w14:paraId="7ECD92CF" w14:textId="66656241" w:rsidR="003C2ACF" w:rsidRDefault="003C2ACF">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9</w:t>
            </w:r>
            <w:r w:rsidR="00F65770">
              <w:rPr>
                <w:rFonts w:ascii="Calibri" w:hAnsi="Calibri" w:cs="Calibri"/>
                <w:color w:val="000000"/>
                <w:sz w:val="22"/>
                <w:szCs w:val="22"/>
              </w:rPr>
              <w:t>8</w:t>
            </w:r>
            <w:r>
              <w:rPr>
                <w:rFonts w:ascii="Calibri" w:hAnsi="Calibri" w:cs="Calibri"/>
                <w:color w:val="000000"/>
                <w:sz w:val="22"/>
                <w:szCs w:val="22"/>
              </w:rPr>
              <w:t>%</w:t>
            </w:r>
          </w:p>
        </w:tc>
      </w:tr>
    </w:tbl>
    <w:p w14:paraId="3258B57A" w14:textId="4B291CA4" w:rsidR="003C2ACF" w:rsidRDefault="003C2ACF" w:rsidP="003C2ACF">
      <w:pPr>
        <w:pStyle w:val="PargrafodaLista"/>
        <w:tabs>
          <w:tab w:val="left" w:pos="0"/>
        </w:tabs>
        <w:ind w:left="426"/>
        <w:jc w:val="both"/>
        <w:rPr>
          <w:rFonts w:ascii="Arial" w:eastAsiaTheme="minorHAnsi" w:hAnsi="Arial" w:cs="Arial"/>
          <w:sz w:val="18"/>
          <w:szCs w:val="18"/>
          <w:lang w:eastAsia="en-US"/>
        </w:rPr>
      </w:pPr>
    </w:p>
    <w:p w14:paraId="033CA27D" w14:textId="77777777" w:rsidR="003C2ACF" w:rsidRDefault="003C2ACF" w:rsidP="003C2ACF">
      <w:pPr>
        <w:pStyle w:val="PargrafodaLista"/>
        <w:tabs>
          <w:tab w:val="left" w:pos="0"/>
        </w:tabs>
        <w:ind w:left="426"/>
        <w:jc w:val="both"/>
        <w:rPr>
          <w:rFonts w:ascii="Arial" w:eastAsiaTheme="minorHAnsi" w:hAnsi="Arial" w:cs="Arial"/>
          <w:sz w:val="18"/>
          <w:szCs w:val="18"/>
          <w:lang w:eastAsia="en-US"/>
        </w:rPr>
      </w:pPr>
    </w:p>
    <w:p w14:paraId="07B5B03D" w14:textId="77777777" w:rsidR="003C2ACF" w:rsidRPr="003C2ACF" w:rsidRDefault="003C2ACF" w:rsidP="003C2ACF">
      <w:pPr>
        <w:autoSpaceDE w:val="0"/>
        <w:autoSpaceDN w:val="0"/>
        <w:adjustRightInd w:val="0"/>
        <w:spacing w:line="276" w:lineRule="auto"/>
        <w:jc w:val="both"/>
        <w:rPr>
          <w:rFonts w:asciiTheme="minorHAnsi" w:eastAsiaTheme="minorHAnsi" w:hAnsiTheme="minorHAnsi" w:cstheme="minorHAnsi"/>
          <w:b/>
          <w:bCs/>
          <w:sz w:val="22"/>
          <w:szCs w:val="22"/>
          <w:lang w:eastAsia="en-US"/>
        </w:rPr>
      </w:pPr>
      <w:r w:rsidRPr="003C2ACF">
        <w:rPr>
          <w:rFonts w:asciiTheme="minorHAnsi" w:eastAsiaTheme="minorHAnsi" w:hAnsiTheme="minorHAnsi" w:cstheme="minorHAnsi"/>
          <w:b/>
          <w:bCs/>
          <w:sz w:val="22"/>
          <w:szCs w:val="22"/>
          <w:lang w:eastAsia="en-US"/>
        </w:rPr>
        <w:t>NOTAS:</w:t>
      </w:r>
    </w:p>
    <w:p w14:paraId="7ACD6CAD" w14:textId="77777777" w:rsidR="003C2ACF" w:rsidRDefault="003C2ACF" w:rsidP="003C2ACF">
      <w:pPr>
        <w:autoSpaceDE w:val="0"/>
        <w:autoSpaceDN w:val="0"/>
        <w:adjustRightInd w:val="0"/>
        <w:spacing w:line="276" w:lineRule="auto"/>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b/>
          <w:bCs/>
          <w:sz w:val="22"/>
          <w:szCs w:val="22"/>
          <w:lang w:eastAsia="en-US"/>
        </w:rPr>
        <w:t xml:space="preserve">1) </w:t>
      </w:r>
      <w:r w:rsidRPr="003C2ACF">
        <w:rPr>
          <w:rFonts w:asciiTheme="minorHAnsi" w:eastAsiaTheme="minorHAnsi" w:hAnsiTheme="minorHAnsi" w:cstheme="minorHAnsi"/>
          <w:sz w:val="22"/>
          <w:szCs w:val="22"/>
          <w:lang w:eastAsia="en-US"/>
        </w:rPr>
        <w:t>O desconto realizado em função do IMR não impede outras penalidades por</w:t>
      </w:r>
      <w:r>
        <w:rPr>
          <w:rFonts w:asciiTheme="minorHAnsi" w:eastAsiaTheme="minorHAnsi" w:hAnsiTheme="minorHAnsi" w:cstheme="minorHAnsi"/>
          <w:sz w:val="22"/>
          <w:szCs w:val="22"/>
          <w:lang w:eastAsia="en-US"/>
        </w:rPr>
        <w:t xml:space="preserve"> </w:t>
      </w:r>
      <w:r w:rsidRPr="003C2ACF">
        <w:rPr>
          <w:rFonts w:asciiTheme="minorHAnsi" w:eastAsiaTheme="minorHAnsi" w:hAnsiTheme="minorHAnsi" w:cstheme="minorHAnsi"/>
          <w:sz w:val="22"/>
          <w:szCs w:val="22"/>
          <w:lang w:eastAsia="en-US"/>
        </w:rPr>
        <w:t>descumprimentos contratuais de aspectos não relacionados ao mesmo.</w:t>
      </w:r>
      <w:r>
        <w:rPr>
          <w:rFonts w:asciiTheme="minorHAnsi" w:eastAsiaTheme="minorHAnsi" w:hAnsiTheme="minorHAnsi" w:cstheme="minorHAnsi"/>
          <w:sz w:val="22"/>
          <w:szCs w:val="22"/>
          <w:lang w:eastAsia="en-US"/>
        </w:rPr>
        <w:t xml:space="preserve"> </w:t>
      </w:r>
    </w:p>
    <w:p w14:paraId="20A1FC84" w14:textId="6A9B5846" w:rsidR="003C2ACF" w:rsidRPr="003C2ACF" w:rsidRDefault="003C2ACF" w:rsidP="003C2ACF">
      <w:pPr>
        <w:autoSpaceDE w:val="0"/>
        <w:autoSpaceDN w:val="0"/>
        <w:adjustRightInd w:val="0"/>
        <w:spacing w:line="276" w:lineRule="auto"/>
        <w:jc w:val="both"/>
        <w:rPr>
          <w:rFonts w:asciiTheme="minorHAnsi" w:eastAsiaTheme="minorHAnsi" w:hAnsiTheme="minorHAnsi" w:cstheme="minorHAnsi"/>
          <w:sz w:val="22"/>
          <w:szCs w:val="22"/>
          <w:lang w:eastAsia="en-US"/>
        </w:rPr>
      </w:pPr>
      <w:r w:rsidRPr="003C2ACF">
        <w:rPr>
          <w:rFonts w:asciiTheme="minorHAnsi" w:eastAsiaTheme="minorHAnsi" w:hAnsiTheme="minorHAnsi" w:cstheme="minorHAnsi"/>
          <w:b/>
          <w:bCs/>
          <w:sz w:val="22"/>
          <w:szCs w:val="22"/>
          <w:lang w:eastAsia="en-US"/>
        </w:rPr>
        <w:t xml:space="preserve">2) </w:t>
      </w:r>
      <w:r w:rsidRPr="003C2ACF">
        <w:rPr>
          <w:rFonts w:asciiTheme="minorHAnsi" w:eastAsiaTheme="minorHAnsi" w:hAnsiTheme="minorHAnsi" w:cstheme="minorHAnsi"/>
          <w:sz w:val="22"/>
          <w:szCs w:val="22"/>
          <w:lang w:eastAsia="en-US"/>
        </w:rPr>
        <w:t>Deverão ser descontadas do cálculo IMR os itens previstos não executados por falta da</w:t>
      </w:r>
      <w:r>
        <w:rPr>
          <w:rFonts w:asciiTheme="minorHAnsi" w:eastAsiaTheme="minorHAnsi" w:hAnsiTheme="minorHAnsi" w:cstheme="minorHAnsi"/>
          <w:sz w:val="22"/>
          <w:szCs w:val="22"/>
          <w:lang w:eastAsia="en-US"/>
        </w:rPr>
        <w:t xml:space="preserve"> </w:t>
      </w:r>
      <w:r w:rsidRPr="003C2ACF">
        <w:rPr>
          <w:rFonts w:asciiTheme="minorHAnsi" w:eastAsiaTheme="minorHAnsi" w:hAnsiTheme="minorHAnsi" w:cstheme="minorHAnsi"/>
          <w:sz w:val="22"/>
          <w:szCs w:val="22"/>
          <w:lang w:eastAsia="en-US"/>
        </w:rPr>
        <w:t>Contratante e/ou de ações alheias à capacidade de atuação da Contratada, conforme</w:t>
      </w:r>
      <w:r>
        <w:rPr>
          <w:rFonts w:asciiTheme="minorHAnsi" w:eastAsiaTheme="minorHAnsi" w:hAnsiTheme="minorHAnsi" w:cstheme="minorHAnsi"/>
          <w:sz w:val="22"/>
          <w:szCs w:val="22"/>
          <w:lang w:eastAsia="en-US"/>
        </w:rPr>
        <w:t xml:space="preserve"> </w:t>
      </w:r>
      <w:r w:rsidRPr="003C2ACF">
        <w:rPr>
          <w:rFonts w:asciiTheme="minorHAnsi" w:eastAsiaTheme="minorHAnsi" w:hAnsiTheme="minorHAnsi" w:cstheme="minorHAnsi"/>
          <w:sz w:val="22"/>
          <w:szCs w:val="22"/>
          <w:lang w:eastAsia="en-US"/>
        </w:rPr>
        <w:t>julgamento da Fiscalização do Contrato.</w:t>
      </w:r>
    </w:p>
    <w:sectPr w:rsidR="003C2ACF" w:rsidRPr="003C2ACF" w:rsidSect="003C2ACF">
      <w:footerReference w:type="default" r:id="rId10"/>
      <w:pgSz w:w="11906" w:h="16838"/>
      <w:pgMar w:top="720" w:right="720" w:bottom="1418"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C74297" w14:textId="77777777" w:rsidR="00E8524F" w:rsidRDefault="00E8524F" w:rsidP="00A116FB">
      <w:r>
        <w:separator/>
      </w:r>
    </w:p>
  </w:endnote>
  <w:endnote w:type="continuationSeparator" w:id="0">
    <w:p w14:paraId="5AD72E6C" w14:textId="77777777" w:rsidR="00E8524F" w:rsidRDefault="00E8524F"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85159" w14:textId="278E4865" w:rsidR="005E4DB5" w:rsidRPr="005E4DB5" w:rsidRDefault="004C7509">
    <w:pPr>
      <w:pStyle w:val="Rodap"/>
      <w:rPr>
        <w:rFonts w:asciiTheme="minorHAnsi" w:hAnsiTheme="minorHAnsi" w:cstheme="minorHAnsi"/>
        <w:i/>
        <w:iCs/>
        <w:sz w:val="20"/>
        <w:szCs w:val="20"/>
      </w:rPr>
    </w:pPr>
    <w:r>
      <w:rPr>
        <w:rFonts w:asciiTheme="minorHAnsi" w:hAnsiTheme="minorHAnsi" w:cstheme="minorHAnsi"/>
        <w:i/>
        <w:iCs/>
        <w:sz w:val="20"/>
        <w:szCs w:val="20"/>
      </w:rPr>
      <w:fldChar w:fldCharType="begin"/>
    </w:r>
    <w:r>
      <w:rPr>
        <w:rFonts w:asciiTheme="minorHAnsi" w:hAnsiTheme="minorHAnsi" w:cstheme="minorHAnsi"/>
        <w:i/>
        <w:iCs/>
        <w:sz w:val="20"/>
        <w:szCs w:val="20"/>
      </w:rPr>
      <w:instrText xml:space="preserve"> FILENAME \* MERGEFORMAT </w:instrText>
    </w:r>
    <w:r>
      <w:rPr>
        <w:rFonts w:asciiTheme="minorHAnsi" w:hAnsiTheme="minorHAnsi" w:cstheme="minorHAnsi"/>
        <w:i/>
        <w:iCs/>
        <w:sz w:val="20"/>
        <w:szCs w:val="20"/>
      </w:rPr>
      <w:fldChar w:fldCharType="separate"/>
    </w:r>
    <w:r w:rsidR="00047B47">
      <w:rPr>
        <w:rFonts w:asciiTheme="minorHAnsi" w:hAnsiTheme="minorHAnsi" w:cstheme="minorHAnsi"/>
        <w:i/>
        <w:iCs/>
        <w:noProof/>
        <w:sz w:val="20"/>
        <w:szCs w:val="20"/>
      </w:rPr>
      <w:t>Anexo III - PE XX.2023 IMR</w:t>
    </w:r>
    <w:r>
      <w:rPr>
        <w:rFonts w:asciiTheme="minorHAnsi" w:hAnsiTheme="minorHAnsi" w:cstheme="minorHAnsi"/>
        <w:i/>
        <w:iCs/>
        <w:sz w:val="20"/>
        <w:szCs w:val="20"/>
      </w:rPr>
      <w:fldChar w:fldCharType="end"/>
    </w:r>
    <w:r w:rsidR="005E4DB5">
      <w:rPr>
        <w:rFonts w:asciiTheme="minorHAnsi" w:hAnsiTheme="minorHAnsi" w:cstheme="minorHAnsi"/>
        <w:i/>
        <w:iCs/>
        <w:sz w:val="20"/>
        <w:szCs w:val="20"/>
      </w:rPr>
      <w:tab/>
    </w:r>
    <w:r w:rsidR="005E4DB5">
      <w:rPr>
        <w:rFonts w:asciiTheme="minorHAnsi" w:hAnsiTheme="minorHAnsi" w:cstheme="minorHAnsi"/>
        <w:i/>
        <w:iCs/>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C9B0E5" w14:textId="77777777" w:rsidR="00E8524F" w:rsidRDefault="00E8524F" w:rsidP="00A116FB">
      <w:r>
        <w:separator/>
      </w:r>
    </w:p>
  </w:footnote>
  <w:footnote w:type="continuationSeparator" w:id="0">
    <w:p w14:paraId="676D61C0" w14:textId="77777777" w:rsidR="00E8524F" w:rsidRDefault="00E8524F" w:rsidP="00A116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08D6206F"/>
    <w:multiLevelType w:val="multilevel"/>
    <w:tmpl w:val="F9B8CC44"/>
    <w:lvl w:ilvl="0">
      <w:start w:val="1"/>
      <w:numFmt w:val="decimal"/>
      <w:lvlText w:val="%1."/>
      <w:lvlJc w:val="left"/>
      <w:pPr>
        <w:ind w:left="495" w:hanging="495"/>
      </w:pPr>
      <w:rPr>
        <w:rFonts w:hint="default"/>
      </w:rPr>
    </w:lvl>
    <w:lvl w:ilvl="1">
      <w:start w:val="7"/>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542016"/>
    <w:multiLevelType w:val="multilevel"/>
    <w:tmpl w:val="CED8C774"/>
    <w:lvl w:ilvl="0">
      <w:start w:val="2"/>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0"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1"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68D3978"/>
    <w:multiLevelType w:val="multilevel"/>
    <w:tmpl w:val="CED8C774"/>
    <w:lvl w:ilvl="0">
      <w:start w:val="1"/>
      <w:numFmt w:val="decimal"/>
      <w:lvlText w:val="%1."/>
      <w:lvlJc w:val="left"/>
      <w:pPr>
        <w:ind w:left="495" w:hanging="495"/>
      </w:pPr>
      <w:rPr>
        <w:rFonts w:hint="default"/>
      </w:rPr>
    </w:lvl>
    <w:lvl w:ilvl="1">
      <w:start w:val="6"/>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20" w15:restartNumberingAfterBreak="0">
    <w:nsid w:val="66B916D7"/>
    <w:multiLevelType w:val="hybridMultilevel"/>
    <w:tmpl w:val="BB0AEC5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16cid:durableId="1034502595">
    <w:abstractNumId w:val="10"/>
  </w:num>
  <w:num w:numId="2" w16cid:durableId="1542981066">
    <w:abstractNumId w:val="11"/>
  </w:num>
  <w:num w:numId="3" w16cid:durableId="1624995370">
    <w:abstractNumId w:val="18"/>
  </w:num>
  <w:num w:numId="4" w16cid:durableId="1845512330">
    <w:abstractNumId w:val="12"/>
  </w:num>
  <w:num w:numId="5" w16cid:durableId="558248567">
    <w:abstractNumId w:val="1"/>
  </w:num>
  <w:num w:numId="6" w16cid:durableId="1383141711">
    <w:abstractNumId w:val="14"/>
  </w:num>
  <w:num w:numId="7" w16cid:durableId="1032074301">
    <w:abstractNumId w:val="17"/>
  </w:num>
  <w:num w:numId="8" w16cid:durableId="148837477">
    <w:abstractNumId w:val="13"/>
  </w:num>
  <w:num w:numId="9" w16cid:durableId="997030895">
    <w:abstractNumId w:val="2"/>
  </w:num>
  <w:num w:numId="10" w16cid:durableId="1803814904">
    <w:abstractNumId w:val="6"/>
  </w:num>
  <w:num w:numId="11" w16cid:durableId="1348407135">
    <w:abstractNumId w:val="8"/>
  </w:num>
  <w:num w:numId="12" w16cid:durableId="1917933601">
    <w:abstractNumId w:val="3"/>
  </w:num>
  <w:num w:numId="13" w16cid:durableId="1335180098">
    <w:abstractNumId w:val="0"/>
  </w:num>
  <w:num w:numId="14" w16cid:durableId="1191409631">
    <w:abstractNumId w:val="19"/>
  </w:num>
  <w:num w:numId="15" w16cid:durableId="1940018158">
    <w:abstractNumId w:val="16"/>
  </w:num>
  <w:num w:numId="16" w16cid:durableId="1576162551">
    <w:abstractNumId w:val="9"/>
  </w:num>
  <w:num w:numId="17" w16cid:durableId="984628081">
    <w:abstractNumId w:val="4"/>
  </w:num>
  <w:num w:numId="18" w16cid:durableId="634795613">
    <w:abstractNumId w:val="21"/>
  </w:num>
  <w:num w:numId="19" w16cid:durableId="1036807260">
    <w:abstractNumId w:val="20"/>
  </w:num>
  <w:num w:numId="20" w16cid:durableId="1830244167">
    <w:abstractNumId w:val="5"/>
  </w:num>
  <w:num w:numId="21" w16cid:durableId="785588143">
    <w:abstractNumId w:val="15"/>
  </w:num>
  <w:num w:numId="22" w16cid:durableId="86082649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04E30"/>
    <w:rsid w:val="000239F4"/>
    <w:rsid w:val="0003130F"/>
    <w:rsid w:val="0003496D"/>
    <w:rsid w:val="00047B47"/>
    <w:rsid w:val="000523CA"/>
    <w:rsid w:val="00106F74"/>
    <w:rsid w:val="001149FE"/>
    <w:rsid w:val="00125AF5"/>
    <w:rsid w:val="001347A0"/>
    <w:rsid w:val="00146AC4"/>
    <w:rsid w:val="00150B06"/>
    <w:rsid w:val="00153CB1"/>
    <w:rsid w:val="00185559"/>
    <w:rsid w:val="001E33C4"/>
    <w:rsid w:val="00232D24"/>
    <w:rsid w:val="002764D1"/>
    <w:rsid w:val="002D315C"/>
    <w:rsid w:val="002E3C88"/>
    <w:rsid w:val="002F3AB3"/>
    <w:rsid w:val="002F63BF"/>
    <w:rsid w:val="003229E7"/>
    <w:rsid w:val="003811FD"/>
    <w:rsid w:val="003B716D"/>
    <w:rsid w:val="003C2ACF"/>
    <w:rsid w:val="003D48BF"/>
    <w:rsid w:val="003F7B77"/>
    <w:rsid w:val="00400A94"/>
    <w:rsid w:val="00425222"/>
    <w:rsid w:val="00441A6E"/>
    <w:rsid w:val="004500FD"/>
    <w:rsid w:val="00474BEB"/>
    <w:rsid w:val="004C7509"/>
    <w:rsid w:val="004D323F"/>
    <w:rsid w:val="00505200"/>
    <w:rsid w:val="005224BB"/>
    <w:rsid w:val="0057035B"/>
    <w:rsid w:val="005913FE"/>
    <w:rsid w:val="005B1931"/>
    <w:rsid w:val="005C1E22"/>
    <w:rsid w:val="005E1ACB"/>
    <w:rsid w:val="005E4DB5"/>
    <w:rsid w:val="00606C14"/>
    <w:rsid w:val="00635738"/>
    <w:rsid w:val="006726D7"/>
    <w:rsid w:val="00672A05"/>
    <w:rsid w:val="00676FA4"/>
    <w:rsid w:val="00697934"/>
    <w:rsid w:val="006C3158"/>
    <w:rsid w:val="00710F68"/>
    <w:rsid w:val="007326A7"/>
    <w:rsid w:val="00746448"/>
    <w:rsid w:val="00761918"/>
    <w:rsid w:val="00777603"/>
    <w:rsid w:val="00783B66"/>
    <w:rsid w:val="00792BA7"/>
    <w:rsid w:val="007B4C1C"/>
    <w:rsid w:val="007C7C62"/>
    <w:rsid w:val="007F4B2B"/>
    <w:rsid w:val="00806BDC"/>
    <w:rsid w:val="00821189"/>
    <w:rsid w:val="008B6A77"/>
    <w:rsid w:val="008F0018"/>
    <w:rsid w:val="00997ED6"/>
    <w:rsid w:val="009A1D81"/>
    <w:rsid w:val="009F46EC"/>
    <w:rsid w:val="00A03318"/>
    <w:rsid w:val="00A116FB"/>
    <w:rsid w:val="00A11BC2"/>
    <w:rsid w:val="00A36CE3"/>
    <w:rsid w:val="00A6222D"/>
    <w:rsid w:val="00A74E78"/>
    <w:rsid w:val="00AB2F4F"/>
    <w:rsid w:val="00AC3D95"/>
    <w:rsid w:val="00AE3D56"/>
    <w:rsid w:val="00B3224C"/>
    <w:rsid w:val="00B541F6"/>
    <w:rsid w:val="00B731D5"/>
    <w:rsid w:val="00B75C81"/>
    <w:rsid w:val="00B7769F"/>
    <w:rsid w:val="00BB09BB"/>
    <w:rsid w:val="00BB0CF6"/>
    <w:rsid w:val="00BF709A"/>
    <w:rsid w:val="00C27039"/>
    <w:rsid w:val="00C30570"/>
    <w:rsid w:val="00C40D25"/>
    <w:rsid w:val="00C42008"/>
    <w:rsid w:val="00C42086"/>
    <w:rsid w:val="00C425E0"/>
    <w:rsid w:val="00C6037F"/>
    <w:rsid w:val="00C93BFF"/>
    <w:rsid w:val="00CC78BD"/>
    <w:rsid w:val="00CD1813"/>
    <w:rsid w:val="00CE3964"/>
    <w:rsid w:val="00CE5121"/>
    <w:rsid w:val="00CF1E5C"/>
    <w:rsid w:val="00D75A6A"/>
    <w:rsid w:val="00D97F19"/>
    <w:rsid w:val="00DA11D0"/>
    <w:rsid w:val="00DA229F"/>
    <w:rsid w:val="00DA5F31"/>
    <w:rsid w:val="00DC77CF"/>
    <w:rsid w:val="00DD5D63"/>
    <w:rsid w:val="00E6083F"/>
    <w:rsid w:val="00E8524F"/>
    <w:rsid w:val="00E94B74"/>
    <w:rsid w:val="00EC3E01"/>
    <w:rsid w:val="00F41FB6"/>
    <w:rsid w:val="00F46A4B"/>
    <w:rsid w:val="00F571CB"/>
    <w:rsid w:val="00F60A70"/>
    <w:rsid w:val="00F65770"/>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 w:type="table" w:styleId="TabeladeGrade4-nfase1">
    <w:name w:val="Grid Table 4 Accent 1"/>
    <w:basedOn w:val="Tabelanormal"/>
    <w:uiPriority w:val="49"/>
    <w:rsid w:val="00606C14"/>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eladeGrade4-nfase2">
    <w:name w:val="Grid Table 4 Accent 2"/>
    <w:basedOn w:val="Tabelanormal"/>
    <w:uiPriority w:val="49"/>
    <w:rsid w:val="003C2ACF"/>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eladeGrade4-nfase5">
    <w:name w:val="Grid Table 4 Accent 5"/>
    <w:basedOn w:val="Tabelanormal"/>
    <w:uiPriority w:val="49"/>
    <w:rsid w:val="003C2ACF"/>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eladeGradeClara">
    <w:name w:val="Grid Table Light"/>
    <w:basedOn w:val="Tabelanormal"/>
    <w:uiPriority w:val="40"/>
    <w:rsid w:val="003C2AC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3C2AC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72798">
      <w:bodyDiv w:val="1"/>
      <w:marLeft w:val="0"/>
      <w:marRight w:val="0"/>
      <w:marTop w:val="0"/>
      <w:marBottom w:val="0"/>
      <w:divBdr>
        <w:top w:val="none" w:sz="0" w:space="0" w:color="auto"/>
        <w:left w:val="none" w:sz="0" w:space="0" w:color="auto"/>
        <w:bottom w:val="none" w:sz="0" w:space="0" w:color="auto"/>
        <w:right w:val="none" w:sz="0" w:space="0" w:color="auto"/>
      </w:divBdr>
    </w:div>
    <w:div w:id="524371516">
      <w:bodyDiv w:val="1"/>
      <w:marLeft w:val="0"/>
      <w:marRight w:val="0"/>
      <w:marTop w:val="0"/>
      <w:marBottom w:val="0"/>
      <w:divBdr>
        <w:top w:val="none" w:sz="0" w:space="0" w:color="auto"/>
        <w:left w:val="none" w:sz="0" w:space="0" w:color="auto"/>
        <w:bottom w:val="none" w:sz="0" w:space="0" w:color="auto"/>
        <w:right w:val="none" w:sz="0" w:space="0" w:color="auto"/>
      </w:divBdr>
    </w:div>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698746295">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113550065">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 w:id="1864975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7AABE-71DE-4875-A1C1-0917663DC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930</Words>
  <Characters>5027</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4</cp:revision>
  <cp:lastPrinted>2023-03-12T06:00:00Z</cp:lastPrinted>
  <dcterms:created xsi:type="dcterms:W3CDTF">2023-03-12T05:59:00Z</dcterms:created>
  <dcterms:modified xsi:type="dcterms:W3CDTF">2023-03-12T06:01:00Z</dcterms:modified>
</cp:coreProperties>
</file>