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7"/>
      </w:pPr>
      <w: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2571750</wp:posOffset>
            </wp:positionH>
            <wp:positionV relativeFrom="paragraph">
              <wp:posOffset>635</wp:posOffset>
            </wp:positionV>
            <wp:extent cx="640080" cy="619125"/>
            <wp:effectExtent l="0" t="0" r="0" b="0"/>
            <wp:wrapNone/>
            <wp:docPr id="1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8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40080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</w:t>
      </w:r>
      <w:r>
        <w:br w:type="textWrapping"/>
      </w:r>
    </w:p>
    <w:p>
      <w:pPr>
        <w:jc w:val="center"/>
        <w:rPr>
          <w:rFonts w:cs="Arial" w:asciiTheme="minorHAnsi" w:hAnsiTheme="minorHAnsi"/>
          <w:sz w:val="16"/>
          <w:szCs w:val="16"/>
        </w:rPr>
      </w:pPr>
    </w:p>
    <w:p>
      <w:pPr>
        <w:jc w:val="center"/>
        <w:rPr>
          <w:rFonts w:cs="Arial" w:asciiTheme="minorHAnsi" w:hAnsiTheme="minorHAnsi"/>
          <w:sz w:val="16"/>
          <w:szCs w:val="16"/>
        </w:rPr>
      </w:pPr>
    </w:p>
    <w:p>
      <w:pPr>
        <w:jc w:val="center"/>
        <w:rPr>
          <w:rFonts w:cs="Arial" w:asciiTheme="minorHAnsi" w:hAnsiTheme="minorHAnsi"/>
          <w:sz w:val="16"/>
          <w:szCs w:val="16"/>
        </w:rPr>
      </w:pPr>
    </w:p>
    <w:p>
      <w:pPr>
        <w:jc w:val="center"/>
        <w:rPr>
          <w:rFonts w:cs="Arial" w:asciiTheme="minorHAnsi" w:hAnsiTheme="minorHAnsi"/>
          <w:sz w:val="16"/>
          <w:szCs w:val="16"/>
        </w:rPr>
      </w:pPr>
    </w:p>
    <w:p>
      <w:pPr>
        <w:tabs>
          <w:tab w:val="left" w:pos="6284"/>
        </w:tabs>
        <w:jc w:val="center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MINISTÉRIO DA EDUCAÇÃO</w:t>
      </w:r>
    </w:p>
    <w:p>
      <w:pPr>
        <w:pStyle w:val="2"/>
        <w:spacing w:before="0"/>
        <w:jc w:val="center"/>
        <w:rPr>
          <w:rFonts w:asciiTheme="minorHAnsi" w:hAnsiTheme="minorHAnsi" w:cstheme="minorHAnsi"/>
          <w:b w:val="0"/>
          <w:color w:val="auto"/>
          <w:sz w:val="20"/>
          <w:szCs w:val="20"/>
        </w:rPr>
      </w:pPr>
      <w:r>
        <w:rPr>
          <w:rFonts w:asciiTheme="minorHAnsi" w:hAnsiTheme="minorHAnsi" w:cstheme="minorHAnsi"/>
          <w:color w:val="auto"/>
          <w:sz w:val="20"/>
          <w:szCs w:val="20"/>
        </w:rPr>
        <w:t>UNIVERSIDADE FEDERAL FLUMINENSE</w:t>
      </w:r>
    </w:p>
    <w:p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PRO REITORIA DE ADMINISTR</w:t>
      </w:r>
      <w:bookmarkStart w:id="2" w:name="_GoBack"/>
      <w:bookmarkEnd w:id="2"/>
      <w:r>
        <w:rPr>
          <w:rFonts w:asciiTheme="minorHAnsi" w:hAnsiTheme="minorHAnsi" w:cstheme="minorHAnsi"/>
          <w:b/>
        </w:rPr>
        <w:t>AÇÃO</w:t>
      </w:r>
    </w:p>
    <w:p>
      <w:pPr>
        <w:pStyle w:val="54"/>
        <w:rPr>
          <w:rFonts w:asciiTheme="minorHAnsi" w:hAnsiTheme="minorHAnsi"/>
          <w:b/>
          <w:sz w:val="16"/>
          <w:szCs w:val="16"/>
        </w:rPr>
      </w:pPr>
    </w:p>
    <w:p>
      <w:pPr>
        <w:jc w:val="center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PREGÃO ELETRÔNICO Nº 88/2021</w:t>
      </w:r>
    </w:p>
    <w:p>
      <w:pPr>
        <w:pStyle w:val="54"/>
        <w:rPr>
          <w:rFonts w:asciiTheme="minorHAnsi" w:hAnsiTheme="minorHAnsi"/>
          <w:b/>
          <w:sz w:val="16"/>
          <w:szCs w:val="16"/>
        </w:rPr>
      </w:pPr>
    </w:p>
    <w:p>
      <w:pPr>
        <w:pStyle w:val="5"/>
        <w:rPr>
          <w:rFonts w:cs="Arial" w:asciiTheme="minorHAnsi" w:hAnsiTheme="minorHAnsi"/>
          <w:color w:val="FF0000"/>
          <w:sz w:val="22"/>
          <w:szCs w:val="22"/>
          <w:u w:val="none"/>
        </w:rPr>
      </w:pPr>
      <w:r>
        <w:rPr>
          <w:rFonts w:cs="Arial" w:asciiTheme="minorHAnsi" w:hAnsiTheme="minorHAnsi"/>
          <w:color w:val="FF0000"/>
          <w:sz w:val="22"/>
          <w:szCs w:val="22"/>
          <w:u w:val="none"/>
        </w:rPr>
        <w:t>ANEXO  X DO EDITAL</w:t>
      </w:r>
    </w:p>
    <w:p>
      <w:pPr>
        <w:jc w:val="center"/>
        <w:rPr>
          <w:rFonts w:hint="default"/>
          <w:b/>
          <w:bCs/>
          <w:color w:val="auto"/>
          <w:lang w:val="pt-BR"/>
        </w:rPr>
      </w:pPr>
      <w:r>
        <w:rPr>
          <w:rFonts w:hint="default" w:cs="Arial" w:asciiTheme="minorHAnsi" w:hAnsiTheme="minorHAnsi"/>
          <w:b/>
          <w:bCs/>
          <w:color w:val="auto"/>
          <w:sz w:val="22"/>
          <w:szCs w:val="22"/>
          <w:u w:val="none"/>
          <w:lang w:val="pt-BR"/>
        </w:rPr>
        <w:t>Alteração nº 01</w:t>
      </w:r>
    </w:p>
    <w:p>
      <w:pPr>
        <w:rPr>
          <w:rFonts w:hint="default"/>
          <w:lang w:val="pt-BR"/>
        </w:rPr>
      </w:pPr>
    </w:p>
    <w:p>
      <w:pPr>
        <w:rPr>
          <w:lang w:val="pt-PT"/>
        </w:rPr>
      </w:pPr>
    </w:p>
    <w:p>
      <w:pPr>
        <w:rPr>
          <w:lang w:val="pt-PT"/>
        </w:rPr>
      </w:pPr>
    </w:p>
    <w:p>
      <w:pPr>
        <w:pStyle w:val="5"/>
        <w:rPr>
          <w:rFonts w:cs="Arial" w:asciiTheme="minorHAnsi" w:hAnsiTheme="minorHAnsi"/>
          <w:sz w:val="16"/>
          <w:szCs w:val="16"/>
        </w:rPr>
      </w:pPr>
    </w:p>
    <w:p>
      <w:pPr>
        <w:pStyle w:val="5"/>
        <w:rPr>
          <w:rFonts w:cs="Arial" w:asciiTheme="minorHAnsi" w:hAnsiTheme="minorHAnsi"/>
          <w:sz w:val="20"/>
        </w:rPr>
      </w:pPr>
      <w:r>
        <w:rPr>
          <w:rFonts w:cs="Arial" w:asciiTheme="minorHAnsi" w:hAnsiTheme="minorHAnsi"/>
          <w:sz w:val="20"/>
        </w:rPr>
        <w:t>MEMÓRIA DE CÁLCULO DA PLANILHA DE CUSTO E FORMAÇÃO DE PREÇO</w:t>
      </w:r>
    </w:p>
    <w:p>
      <w:pPr>
        <w:rPr>
          <w:rFonts w:cs="Arial" w:asciiTheme="minorHAnsi" w:hAnsiTheme="minorHAnsi"/>
          <w:sz w:val="16"/>
          <w:szCs w:val="16"/>
          <w:lang w:val="pt-PT"/>
        </w:rPr>
      </w:pPr>
    </w:p>
    <w:p>
      <w:pPr>
        <w:rPr>
          <w:rFonts w:cs="Arial" w:asciiTheme="minorHAnsi" w:hAnsiTheme="minorHAnsi"/>
          <w:b/>
          <w:sz w:val="16"/>
          <w:szCs w:val="16"/>
          <w:u w:val="single"/>
          <w:lang w:val="pt-PT"/>
        </w:rPr>
      </w:pPr>
    </w:p>
    <w:p>
      <w:pPr>
        <w:pStyle w:val="60"/>
        <w:rPr>
          <w:rFonts w:ascii="Calibri" w:hAnsi="Calibri" w:cs="Arial"/>
          <w:b/>
          <w:i/>
          <w:sz w:val="22"/>
          <w:szCs w:val="22"/>
        </w:rPr>
      </w:pPr>
      <w:r>
        <w:rPr>
          <w:rFonts w:ascii="Calibri" w:hAnsi="Calibri" w:cs="Arial"/>
          <w:b/>
          <w:i/>
          <w:sz w:val="22"/>
          <w:szCs w:val="22"/>
        </w:rPr>
        <w:t>A empresa deverá declarar em qual REGIME DE TRIBUTAÇÃO se enquadra, e não poderá se beneficiar da condição de optante pelo Simples Nacional, salvo as exceções previstas no § 5º-C do art. 18 da Lei Complementar nº 123, de 14 de dezembro de 2006; pois se caso vencedora será obrigatória à exclusão desse regime, logo os custos atribuídos a esta prestação de serviço, com cessão de mão de obra deverão estar corretamente previstos.</w:t>
      </w:r>
    </w:p>
    <w:p>
      <w:pPr>
        <w:pStyle w:val="54"/>
        <w:jc w:val="both"/>
        <w:rPr>
          <w:rFonts w:ascii="Calibri" w:hAnsi="Calibri"/>
          <w:bCs/>
          <w:color w:val="auto"/>
          <w:sz w:val="22"/>
          <w:szCs w:val="22"/>
        </w:rPr>
      </w:pPr>
    </w:p>
    <w:p>
      <w:pPr>
        <w:pStyle w:val="54"/>
        <w:jc w:val="both"/>
        <w:rPr>
          <w:rFonts w:ascii="Calibri" w:hAnsi="Calibri"/>
          <w:b/>
          <w:sz w:val="22"/>
          <w:szCs w:val="22"/>
          <w:u w:val="single"/>
        </w:rPr>
      </w:pPr>
    </w:p>
    <w:p>
      <w:pPr>
        <w:rPr>
          <w:rFonts w:ascii="Calibri" w:hAnsi="Calibri" w:cs="Arial"/>
          <w:b/>
          <w:sz w:val="22"/>
          <w:szCs w:val="22"/>
          <w:u w:val="single"/>
          <w:lang w:val="pt-PT"/>
        </w:rPr>
      </w:pPr>
      <w:r>
        <w:rPr>
          <w:rFonts w:ascii="Calibri" w:hAnsi="Calibri" w:cs="Arial"/>
          <w:b/>
          <w:sz w:val="22"/>
          <w:szCs w:val="22"/>
          <w:u w:val="single"/>
          <w:lang w:val="pt-PT"/>
        </w:rPr>
        <w:t>Módulo 1 – Composição da Remuneração</w:t>
      </w:r>
    </w:p>
    <w:p>
      <w:pPr>
        <w:rPr>
          <w:rFonts w:ascii="Calibri" w:hAnsi="Calibri" w:cs="Arial"/>
          <w:sz w:val="22"/>
          <w:szCs w:val="22"/>
        </w:rPr>
      </w:pPr>
    </w:p>
    <w:p>
      <w:pPr>
        <w:spacing w:line="276" w:lineRule="auto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A) Salário Base </w:t>
      </w:r>
    </w:p>
    <w:p>
      <w:pPr>
        <w:pStyle w:val="54"/>
        <w:jc w:val="both"/>
        <w:rPr>
          <w:rStyle w:val="35"/>
          <w:rFonts w:ascii="Calibri" w:hAnsi="Calibri"/>
          <w:sz w:val="22"/>
          <w:szCs w:val="22"/>
        </w:rPr>
      </w:pPr>
    </w:p>
    <w:p>
      <w:pPr>
        <w:pStyle w:val="54"/>
        <w:jc w:val="both"/>
        <w:rPr>
          <w:rStyle w:val="35"/>
          <w:rFonts w:ascii="Calibri" w:hAnsi="Calibri"/>
          <w:sz w:val="22"/>
          <w:szCs w:val="22"/>
        </w:rPr>
      </w:pPr>
      <w:r>
        <w:rPr>
          <w:rStyle w:val="35"/>
          <w:rFonts w:ascii="Calibri" w:hAnsi="Calibri"/>
          <w:sz w:val="22"/>
          <w:szCs w:val="22"/>
        </w:rPr>
        <w:t xml:space="preserve">A empresa deverá indicar qual seu enquadramento sindical, sendo a elaboração de sua proposta de acordo com a convenção coletiva do sindicato relacionado à sua atividade preponderante (Arts. 570, 577 e 581, §2º da CLT, Art. 8º, II, CF e Acórdão TCU 1097/2019, Plenário). Os valores dos salários e benefícios dos profissionais previstos neste Edital foram considerados de acordo com o estabelecido </w:t>
      </w:r>
      <w:r>
        <w:rPr>
          <w:rStyle w:val="35"/>
          <w:rFonts w:ascii="Calibri" w:hAnsi="Calibri"/>
          <w:b/>
          <w:bCs/>
          <w:sz w:val="22"/>
          <w:szCs w:val="22"/>
        </w:rPr>
        <w:t>SINDICATO DAS EMP SEGURANÇA PRIVADA, VIGILÂNCIA PATRIMONIAL, SISTEMAS DE SEGURANÇA E ESCOLTA, SEG. PESSOAL  E CURSOS DE FORMAÇÃO NO EST DO RIO DE JANEIRO</w:t>
      </w:r>
      <w:r>
        <w:rPr>
          <w:rStyle w:val="35"/>
          <w:rFonts w:ascii="Calibri" w:hAnsi="Calibri"/>
          <w:sz w:val="22"/>
          <w:szCs w:val="22"/>
        </w:rPr>
        <w:t xml:space="preserve">, por meio da Convenção Coletiva de Trabalho 2020/2021, registrada sob o nº </w:t>
      </w:r>
      <w:r>
        <w:rPr>
          <w:rStyle w:val="35"/>
          <w:rFonts w:ascii="Calibri" w:hAnsi="Calibri"/>
          <w:b/>
          <w:sz w:val="22"/>
          <w:szCs w:val="22"/>
        </w:rPr>
        <w:t>RJ002081/2021</w:t>
      </w:r>
      <w:r>
        <w:rPr>
          <w:rStyle w:val="35"/>
          <w:rFonts w:ascii="Calibri" w:hAnsi="Calibri"/>
          <w:sz w:val="22"/>
          <w:szCs w:val="22"/>
        </w:rPr>
        <w:t>.</w:t>
      </w:r>
    </w:p>
    <w:p>
      <w:pPr>
        <w:pStyle w:val="54"/>
        <w:jc w:val="both"/>
        <w:rPr>
          <w:rStyle w:val="35"/>
          <w:rFonts w:ascii="Calibri" w:hAnsi="Calibri"/>
          <w:sz w:val="22"/>
          <w:szCs w:val="22"/>
        </w:rPr>
      </w:pPr>
    </w:p>
    <w:p>
      <w:pPr>
        <w:pStyle w:val="54"/>
        <w:jc w:val="both"/>
        <w:rPr>
          <w:rStyle w:val="35"/>
          <w:rFonts w:ascii="Calibri" w:hAnsi="Calibri"/>
          <w:bCs/>
          <w:sz w:val="22"/>
          <w:szCs w:val="22"/>
          <w:highlight w:val="yellow"/>
        </w:rPr>
      </w:pPr>
      <w:r>
        <w:rPr>
          <w:rStyle w:val="35"/>
          <w:rFonts w:ascii="Calibri" w:hAnsi="Calibri"/>
          <w:sz w:val="22"/>
          <w:szCs w:val="22"/>
        </w:rPr>
        <w:t xml:space="preserve">Observação: Conforme Cláusula Quarta da CCT registrada sob o nº </w:t>
      </w:r>
      <w:r>
        <w:rPr>
          <w:rStyle w:val="35"/>
          <w:rFonts w:ascii="Calibri" w:hAnsi="Calibri"/>
          <w:b/>
          <w:sz w:val="22"/>
          <w:szCs w:val="22"/>
        </w:rPr>
        <w:t xml:space="preserve">RJ002081/2021, </w:t>
      </w:r>
      <w:r>
        <w:rPr>
          <w:rStyle w:val="35"/>
          <w:rFonts w:ascii="Calibri" w:hAnsi="Calibri"/>
          <w:bCs/>
          <w:sz w:val="22"/>
          <w:szCs w:val="22"/>
        </w:rPr>
        <w:t>o salário dos profissionais será:</w:t>
      </w:r>
    </w:p>
    <w:p>
      <w:pPr>
        <w:pStyle w:val="54"/>
        <w:jc w:val="both"/>
        <w:rPr>
          <w:rFonts w:ascii="Calibri" w:hAnsi="Calibri"/>
          <w:b/>
          <w:u w:val="single"/>
        </w:rPr>
      </w:pPr>
    </w:p>
    <w:tbl>
      <w:tblPr>
        <w:tblStyle w:val="70"/>
        <w:tblW w:w="9351" w:type="dxa"/>
        <w:tblInd w:w="0" w:type="dxa"/>
        <w:tblBorders>
          <w:top w:val="single" w:color="95B3D7" w:themeColor="accent1" w:themeTint="99" w:sz="4" w:space="0"/>
          <w:left w:val="single" w:color="95B3D7" w:themeColor="accent1" w:themeTint="99" w:sz="4" w:space="0"/>
          <w:bottom w:val="single" w:color="95B3D7" w:themeColor="accent1" w:themeTint="99" w:sz="4" w:space="0"/>
          <w:right w:val="single" w:color="95B3D7" w:themeColor="accent1" w:themeTint="99" w:sz="4" w:space="0"/>
          <w:insideH w:val="single" w:color="95B3D7" w:themeColor="accent1" w:themeTint="99" w:sz="4" w:space="0"/>
          <w:insideV w:val="single" w:color="95B3D7" w:themeColor="accent1" w:themeTint="99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80"/>
        <w:gridCol w:w="1559"/>
        <w:gridCol w:w="4112"/>
      </w:tblGrid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2" w:hRule="atLeast"/>
        </w:trPr>
        <w:tc>
          <w:tcPr>
            <w:tcW w:w="3680" w:type="dxa"/>
            <w:tcBorders>
              <w:top w:val="single" w:color="4F81BD" w:themeColor="accent1" w:sz="4" w:space="0"/>
              <w:left w:val="single" w:color="4F81BD" w:themeColor="accent1" w:sz="4" w:space="0"/>
              <w:bottom w:val="single" w:color="4F81BD" w:themeColor="accent1" w:sz="4" w:space="0"/>
              <w:right w:val="nil"/>
              <w:insideH w:val="single" w:sz="4" w:space="0"/>
              <w:insideV w:val="nil"/>
            </w:tcBorders>
            <w:shd w:val="clear" w:color="auto" w:fill="4F81BD" w:themeFill="accent1"/>
          </w:tcPr>
          <w:p>
            <w:pPr>
              <w:jc w:val="center"/>
              <w:rPr>
                <w:rFonts w:asciiTheme="minorHAnsi" w:hAnsiTheme="minorHAnsi" w:cstheme="minorHAnsi"/>
                <w:b w:val="0"/>
                <w:bCs w:val="0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>CATEGORIA</w:t>
            </w:r>
          </w:p>
        </w:tc>
        <w:tc>
          <w:tcPr>
            <w:tcW w:w="1559" w:type="dxa"/>
            <w:tcBorders>
              <w:top w:val="single" w:color="4F81BD" w:themeColor="accent1" w:sz="4" w:space="0"/>
              <w:bottom w:val="single" w:color="4F81BD" w:themeColor="accent1" w:sz="4" w:space="0"/>
              <w:right w:val="nil"/>
              <w:insideH w:val="single" w:sz="4" w:space="0"/>
              <w:insideV w:val="nil"/>
            </w:tcBorders>
            <w:shd w:val="clear" w:color="auto" w:fill="4F81BD" w:themeFill="accent1"/>
          </w:tcPr>
          <w:p>
            <w:pPr>
              <w:jc w:val="center"/>
              <w:rPr>
                <w:rFonts w:asciiTheme="minorHAnsi" w:hAnsiTheme="minorHAnsi" w:cstheme="minorHAnsi"/>
                <w:b w:val="0"/>
                <w:bCs w:val="0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>SALÁRIO (R$)</w:t>
            </w:r>
          </w:p>
        </w:tc>
        <w:tc>
          <w:tcPr>
            <w:tcW w:w="4112" w:type="dxa"/>
            <w:tcBorders>
              <w:top w:val="single" w:color="4F81BD" w:themeColor="accent1" w:sz="4" w:space="0"/>
              <w:bottom w:val="single" w:color="4F81BD" w:themeColor="accent1" w:sz="4" w:space="0"/>
              <w:right w:val="single" w:color="4F81BD" w:themeColor="accent1" w:sz="4" w:space="0"/>
              <w:insideH w:val="single" w:sz="4" w:space="0"/>
              <w:insideV w:val="nil"/>
            </w:tcBorders>
            <w:shd w:val="clear" w:color="auto" w:fill="4F81BD" w:themeFill="accent1"/>
          </w:tcPr>
          <w:p>
            <w:pPr>
              <w:jc w:val="center"/>
              <w:rPr>
                <w:rFonts w:asciiTheme="minorHAnsi" w:hAnsiTheme="minorHAnsi" w:cstheme="minorHAnsi"/>
                <w:b w:val="0"/>
                <w:bCs w:val="0"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Theme="minorHAnsi" w:hAnsiTheme="minorHAnsi" w:cstheme="minorHAnsi"/>
                <w:b/>
                <w:bCs/>
                <w:color w:val="auto"/>
                <w:sz w:val="22"/>
                <w:szCs w:val="22"/>
              </w:rPr>
              <w:t xml:space="preserve">REFERÊNCIA </w:t>
            </w:r>
          </w:p>
        </w:tc>
      </w:tr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80" w:type="dxa"/>
            <w:shd w:val="clear" w:color="auto" w:fill="DBE5F1" w:themeFill="accent1" w:themeFillTint="33"/>
          </w:tcPr>
          <w:p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Vigilante (CBO 5173-30)</w:t>
            </w:r>
          </w:p>
        </w:tc>
        <w:tc>
          <w:tcPr>
            <w:tcW w:w="1559" w:type="dxa"/>
            <w:shd w:val="clear" w:color="auto" w:fill="DBE5F1" w:themeFill="accent1" w:themeFillTint="33"/>
          </w:tcPr>
          <w:p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R$1.508,90</w:t>
            </w:r>
          </w:p>
        </w:tc>
        <w:tc>
          <w:tcPr>
            <w:tcW w:w="4112" w:type="dxa"/>
            <w:shd w:val="clear" w:color="auto" w:fill="DBE5F1" w:themeFill="accent1" w:themeFillTint="33"/>
          </w:tcPr>
          <w:p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CCT 2020/2021 – RJ002081/2020</w:t>
            </w:r>
          </w:p>
        </w:tc>
      </w:tr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80" w:type="dxa"/>
          </w:tcPr>
          <w:p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Vigilante Motociclista (CBO 5173-30)</w:t>
            </w:r>
          </w:p>
        </w:tc>
        <w:tc>
          <w:tcPr>
            <w:tcW w:w="1559" w:type="dxa"/>
          </w:tcPr>
          <w:p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R$1.810,68</w:t>
            </w:r>
          </w:p>
        </w:tc>
        <w:tc>
          <w:tcPr>
            <w:tcW w:w="4112" w:type="dxa"/>
          </w:tcPr>
          <w:p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CCT 2020/2021 – RJ002081/2020</w:t>
            </w:r>
          </w:p>
        </w:tc>
      </w:tr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80" w:type="dxa"/>
            <w:tcBorders>
              <w:top w:val="double" w:color="4F81BD" w:themeColor="accent1" w:sz="4" w:space="0"/>
            </w:tcBorders>
          </w:tcPr>
          <w:p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Supervisor (CBO 5103)</w:t>
            </w:r>
          </w:p>
        </w:tc>
        <w:tc>
          <w:tcPr>
            <w:tcW w:w="1559" w:type="dxa"/>
            <w:tcBorders>
              <w:top w:val="double" w:color="4F81BD" w:themeColor="accent1" w:sz="4" w:space="0"/>
            </w:tcBorders>
          </w:tcPr>
          <w:p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R$2.264,51</w:t>
            </w:r>
          </w:p>
        </w:tc>
        <w:tc>
          <w:tcPr>
            <w:tcW w:w="4112" w:type="dxa"/>
            <w:tcBorders>
              <w:top w:val="double" w:color="4F81BD" w:themeColor="accent1" w:sz="4" w:space="0"/>
            </w:tcBorders>
          </w:tcPr>
          <w:p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CCT 2020/2021 – RJ002081/2020</w:t>
            </w:r>
          </w:p>
        </w:tc>
      </w:tr>
    </w:tbl>
    <w:p>
      <w:pPr>
        <w:spacing w:line="276" w:lineRule="auto"/>
        <w:jc w:val="both"/>
        <w:rPr>
          <w:rFonts w:ascii="Calibri" w:hAnsi="Calibri" w:cs="Arial"/>
          <w:b/>
        </w:rPr>
      </w:pPr>
    </w:p>
    <w:p>
      <w:pPr>
        <w:spacing w:line="276" w:lineRule="auto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B) Gratificação transitória</w:t>
      </w:r>
    </w:p>
    <w:p>
      <w:pPr>
        <w:spacing w:line="276" w:lineRule="auto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Cs/>
          <w:sz w:val="22"/>
          <w:szCs w:val="22"/>
        </w:rPr>
        <w:t>O Vigilante fará jus a gratificação transitória de 20% sob o piso da categoria (R$1508,90) quando estiver exercendo as funções de vigilante motorista.</w:t>
      </w:r>
      <w:r>
        <w:rPr>
          <w:rFonts w:ascii="Calibri" w:hAnsi="Calibri" w:cs="Arial"/>
          <w:b/>
          <w:sz w:val="22"/>
          <w:szCs w:val="22"/>
        </w:rPr>
        <w:t xml:space="preserve"> </w:t>
      </w:r>
    </w:p>
    <w:p>
      <w:pPr>
        <w:spacing w:line="276" w:lineRule="auto"/>
        <w:jc w:val="both"/>
        <w:rPr>
          <w:rFonts w:ascii="Calibri" w:hAnsi="Calibri" w:cs="Arial"/>
          <w:b/>
          <w:sz w:val="22"/>
          <w:szCs w:val="22"/>
        </w:rPr>
      </w:pPr>
    </w:p>
    <w:p>
      <w:pPr>
        <w:spacing w:line="276" w:lineRule="auto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C) Adicional de Insalubridade/Periculosidade</w:t>
      </w:r>
    </w:p>
    <w:p>
      <w:pPr>
        <w:spacing w:line="276" w:lineRule="auto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Há previsão de 30% de adicional de periculosidade, conforme Lei 12.997 de 18/06/2014.</w:t>
      </w:r>
    </w:p>
    <w:p>
      <w:pPr>
        <w:spacing w:line="276" w:lineRule="auto"/>
        <w:jc w:val="both"/>
        <w:rPr>
          <w:rFonts w:ascii="Calibri" w:hAnsi="Calibri" w:cs="Arial"/>
          <w:b/>
          <w:sz w:val="22"/>
          <w:szCs w:val="22"/>
        </w:rPr>
      </w:pPr>
    </w:p>
    <w:p>
      <w:pPr>
        <w:spacing w:line="276" w:lineRule="auto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D) Adicional Noturno</w:t>
      </w:r>
    </w:p>
    <w:p>
      <w:pPr>
        <w:autoSpaceDE w:val="0"/>
        <w:autoSpaceDN w:val="0"/>
        <w:adjustRightInd w:val="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O adicional noturno foi previsto para os postos de Vigilantes Armados, Desarmados e Motociclistas Armados Noturnos na composição de custos, sendo de caráter estimativo e só será alvo de cobrança quando da sua efetiva necessidade e comprovação de uso. </w:t>
      </w:r>
    </w:p>
    <w:p>
      <w:pPr>
        <w:autoSpaceDE w:val="0"/>
        <w:autoSpaceDN w:val="0"/>
        <w:adjustRightInd w:val="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Fórmula: (salário base) / 220h x 20% x (1,1429 x 7) x MMDT </w:t>
      </w:r>
    </w:p>
    <w:p>
      <w:pPr>
        <w:autoSpaceDE w:val="0"/>
        <w:autoSpaceDN w:val="0"/>
        <w:adjustRightInd w:val="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Estimativa de 7 horas noturnas por dia. </w:t>
      </w:r>
    </w:p>
    <w:p>
      <w:pPr>
        <w:spacing w:line="276" w:lineRule="auto"/>
        <w:jc w:val="both"/>
        <w:rPr>
          <w:rFonts w:ascii="Calibri" w:hAnsi="Calibri" w:cs="Arial"/>
        </w:rPr>
      </w:pPr>
      <w:r>
        <w:rPr>
          <w:rFonts w:ascii="Calibri" w:hAnsi="Calibri" w:cs="Arial"/>
          <w:sz w:val="22"/>
          <w:szCs w:val="22"/>
        </w:rPr>
        <w:t>As horas serão computadas como 52 min e 30 segundos. 1:52,5 x 60 = 1,1429 horas, com adicional de 20% - Art. 73 da CLT</w:t>
      </w:r>
    </w:p>
    <w:p>
      <w:pPr>
        <w:spacing w:line="276" w:lineRule="auto"/>
        <w:jc w:val="both"/>
        <w:rPr>
          <w:rFonts w:cs="Arial" w:asciiTheme="minorHAnsi" w:hAnsiTheme="minorHAnsi"/>
          <w:b/>
          <w:sz w:val="22"/>
          <w:szCs w:val="22"/>
        </w:rPr>
      </w:pPr>
      <w:r>
        <w:rPr>
          <w:rStyle w:val="8"/>
          <w:rFonts w:cs="Arial" w:asciiTheme="minorHAnsi" w:hAnsiTheme="minorHAnsi"/>
          <w:color w:val="000000"/>
          <w:sz w:val="22"/>
          <w:szCs w:val="22"/>
          <w:shd w:val="clear" w:color="auto" w:fill="FFFFFF"/>
        </w:rPr>
        <w:t>Nota 1: </w:t>
      </w:r>
      <w:r>
        <w:rPr>
          <w:rFonts w:cs="Arial" w:asciiTheme="minorHAnsi" w:hAnsiTheme="minorHAnsi"/>
          <w:color w:val="000000"/>
          <w:sz w:val="22"/>
          <w:szCs w:val="22"/>
          <w:shd w:val="clear" w:color="auto" w:fill="FFFFFF"/>
        </w:rPr>
        <w:t>O Módulo 1 refere-se ao </w:t>
      </w:r>
      <w:r>
        <w:rPr>
          <w:rStyle w:val="8"/>
          <w:rFonts w:cs="Arial" w:asciiTheme="minorHAnsi" w:hAnsiTheme="minorHAnsi"/>
          <w:color w:val="000000"/>
          <w:sz w:val="22"/>
          <w:szCs w:val="22"/>
          <w:shd w:val="clear" w:color="auto" w:fill="FFFFFF"/>
        </w:rPr>
        <w:t>valor mensal devido ao empregado</w:t>
      </w:r>
      <w:r>
        <w:rPr>
          <w:rFonts w:cs="Arial" w:asciiTheme="minorHAnsi" w:hAnsiTheme="minorHAnsi"/>
          <w:color w:val="000000"/>
          <w:sz w:val="22"/>
          <w:szCs w:val="22"/>
          <w:shd w:val="clear" w:color="auto" w:fill="FFFFFF"/>
        </w:rPr>
        <w:t> pela prestação do serviço no período de 12 meses.</w:t>
      </w:r>
    </w:p>
    <w:p>
      <w:pPr>
        <w:spacing w:line="276" w:lineRule="auto"/>
        <w:jc w:val="both"/>
        <w:rPr>
          <w:rFonts w:ascii="Calibri" w:hAnsi="Calibri" w:cs="Arial"/>
          <w:b/>
          <w:sz w:val="22"/>
          <w:szCs w:val="22"/>
        </w:rPr>
      </w:pPr>
    </w:p>
    <w:p>
      <w:pPr>
        <w:spacing w:line="276" w:lineRule="auto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E) Adicional de hora noturna reduzida</w:t>
      </w:r>
    </w:p>
    <w:p>
      <w:pPr>
        <w:autoSpaceDE w:val="0"/>
        <w:autoSpaceDN w:val="0"/>
        <w:adjustRightInd w:val="0"/>
        <w:rPr>
          <w:rFonts w:ascii="Calibri" w:hAnsi="Calibri" w:cs="Calibri" w:eastAsiaTheme="minorHAnsi"/>
          <w:color w:val="000000"/>
          <w:sz w:val="22"/>
          <w:szCs w:val="22"/>
          <w:lang w:eastAsia="en-US"/>
        </w:rPr>
      </w:pPr>
      <w:r>
        <w:rPr>
          <w:rFonts w:ascii="Calibri" w:hAnsi="Calibri" w:cs="Calibri" w:eastAsiaTheme="minorHAnsi"/>
          <w:color w:val="000000"/>
          <w:sz w:val="22"/>
          <w:szCs w:val="22"/>
          <w:lang w:eastAsia="en-US"/>
        </w:rPr>
        <w:t xml:space="preserve">Foi calculado na fórmula do adicional noturno. </w:t>
      </w:r>
    </w:p>
    <w:p>
      <w:pPr>
        <w:spacing w:line="276" w:lineRule="auto"/>
        <w:jc w:val="both"/>
        <w:rPr>
          <w:rFonts w:ascii="Calibri" w:hAnsi="Calibri" w:cs="Arial"/>
          <w:b/>
          <w:sz w:val="22"/>
          <w:szCs w:val="22"/>
        </w:rPr>
      </w:pPr>
    </w:p>
    <w:p>
      <w:pPr>
        <w:spacing w:line="276" w:lineRule="auto"/>
        <w:jc w:val="both"/>
        <w:rPr>
          <w:rFonts w:ascii="Calibri" w:hAnsi="Calibri" w:cs="Arial"/>
          <w:b/>
          <w:sz w:val="22"/>
          <w:szCs w:val="22"/>
        </w:rPr>
      </w:pPr>
    </w:p>
    <w:p>
      <w:pPr>
        <w:spacing w:line="276" w:lineRule="auto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1-A) Intrajornada</w:t>
      </w:r>
    </w:p>
    <w:p>
      <w:pPr>
        <w:tabs>
          <w:tab w:val="left" w:pos="8130"/>
        </w:tabs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Não haverá previsão de indenização pelo intervalor de intrajornada</w:t>
      </w:r>
    </w:p>
    <w:p>
      <w:pPr>
        <w:tabs>
          <w:tab w:val="left" w:pos="8130"/>
        </w:tabs>
        <w:jc w:val="both"/>
        <w:rPr>
          <w:rFonts w:asciiTheme="minorHAnsi" w:hAnsiTheme="minorHAnsi" w:cstheme="minorHAnsi"/>
          <w:sz w:val="22"/>
          <w:szCs w:val="22"/>
        </w:rPr>
      </w:pPr>
    </w:p>
    <w:p>
      <w:pPr>
        <w:tabs>
          <w:tab w:val="left" w:pos="8130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</w:p>
    <w:p>
      <w:pPr>
        <w:tabs>
          <w:tab w:val="left" w:pos="8130"/>
        </w:tabs>
        <w:ind w:left="720"/>
        <w:jc w:val="both"/>
        <w:rPr>
          <w:rFonts w:asciiTheme="minorHAnsi" w:hAnsiTheme="minorHAnsi" w:cstheme="minorHAnsi"/>
        </w:rPr>
      </w:pPr>
    </w:p>
    <w:p>
      <w:pPr>
        <w:jc w:val="both"/>
        <w:rPr>
          <w:rFonts w:asciiTheme="minorHAnsi" w:hAnsiTheme="minorHAnsi"/>
          <w:iCs/>
          <w:sz w:val="22"/>
          <w:szCs w:val="22"/>
          <w:u w:val="single"/>
        </w:rPr>
      </w:pPr>
      <w:r>
        <w:rPr>
          <w:rFonts w:asciiTheme="minorHAnsi" w:hAnsiTheme="minorHAnsi"/>
          <w:b/>
          <w:iCs/>
          <w:sz w:val="22"/>
          <w:szCs w:val="22"/>
          <w:u w:val="single"/>
        </w:rPr>
        <w:t>Média Mensal de Dias Trabalhados (44 horas semanais) – 2ª a 6ª Feira</w:t>
      </w:r>
    </w:p>
    <w:p>
      <w:pPr>
        <w:pStyle w:val="63"/>
        <w:spacing w:beforeAutospacing="0" w:afterAutospacing="0"/>
        <w:jc w:val="center"/>
        <w:rPr>
          <w:rFonts w:asciiTheme="minorHAnsi" w:hAnsiTheme="minorHAnsi"/>
          <w:iCs/>
          <w:sz w:val="22"/>
          <w:szCs w:val="22"/>
          <w:u w:val="single"/>
        </w:rPr>
      </w:pPr>
    </w:p>
    <w:p>
      <w:pPr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>Considerando 8 feriados nacionais, 01 feriado estadual (data magna), 04 feriados municipais (incluindo sexta-feira da paixão).</w:t>
      </w:r>
    </w:p>
    <w:p>
      <w:pPr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>13 feriados por ano, sendo 10 com data fixa.</w:t>
      </w:r>
    </w:p>
    <w:p>
      <w:pPr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>Sendo assim, considerando 05 dias de trabalho (jornada de 44 horas), temos:</w:t>
      </w:r>
    </w:p>
    <w:p>
      <w:pPr>
        <w:rPr>
          <w:rFonts w:asciiTheme="minorHAnsi" w:hAnsiTheme="minorHAnsi"/>
          <w:iCs/>
          <w:sz w:val="22"/>
          <w:szCs w:val="22"/>
        </w:rPr>
      </w:pPr>
    </w:p>
    <w:p>
      <w:pPr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b/>
          <w:iCs/>
          <w:sz w:val="22"/>
          <w:szCs w:val="22"/>
        </w:rPr>
        <w:t>(a)</w:t>
      </w:r>
      <w:r>
        <w:rPr>
          <w:rFonts w:asciiTheme="minorHAnsi" w:hAnsiTheme="minorHAnsi"/>
          <w:iCs/>
          <w:sz w:val="22"/>
          <w:szCs w:val="22"/>
        </w:rPr>
        <w:t xml:space="preserve"> 10 x (5/7)    = 7,1429    </w:t>
      </w:r>
    </w:p>
    <w:p>
      <w:pPr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 xml:space="preserve">              </w:t>
      </w:r>
    </w:p>
    <w:p>
      <w:pPr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 xml:space="preserve">Somando-se aos feriados com data móvel (03):   7,1429 + 3= </w:t>
      </w:r>
      <w:r>
        <w:rPr>
          <w:rFonts w:asciiTheme="minorHAnsi" w:hAnsiTheme="minorHAnsi"/>
          <w:b/>
          <w:iCs/>
          <w:sz w:val="22"/>
          <w:szCs w:val="22"/>
        </w:rPr>
        <w:t>10,1429</w:t>
      </w:r>
      <w:r>
        <w:rPr>
          <w:rFonts w:asciiTheme="minorHAnsi" w:hAnsiTheme="minorHAnsi"/>
          <w:iCs/>
          <w:sz w:val="22"/>
          <w:szCs w:val="22"/>
        </w:rPr>
        <w:t xml:space="preserve"> (por ano)</w:t>
      </w:r>
    </w:p>
    <w:p>
      <w:pPr>
        <w:rPr>
          <w:rFonts w:asciiTheme="minorHAnsi" w:hAnsiTheme="minorHAnsi"/>
          <w:iCs/>
          <w:sz w:val="22"/>
          <w:szCs w:val="22"/>
        </w:rPr>
      </w:pPr>
    </w:p>
    <w:p>
      <w:pPr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b/>
          <w:iCs/>
          <w:sz w:val="22"/>
          <w:szCs w:val="22"/>
        </w:rPr>
        <w:t>(b)</w:t>
      </w:r>
      <w:r>
        <w:rPr>
          <w:rFonts w:asciiTheme="minorHAnsi" w:hAnsiTheme="minorHAnsi"/>
          <w:iCs/>
          <w:sz w:val="22"/>
          <w:szCs w:val="22"/>
        </w:rPr>
        <w:t xml:space="preserve"> 365:7 = 52,1429   (semanas no ano)</w:t>
      </w:r>
    </w:p>
    <w:p>
      <w:pPr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b/>
          <w:iCs/>
          <w:sz w:val="22"/>
          <w:szCs w:val="22"/>
        </w:rPr>
        <w:t>(c)</w:t>
      </w:r>
      <w:r>
        <w:rPr>
          <w:rFonts w:asciiTheme="minorHAnsi" w:hAnsiTheme="minorHAnsi"/>
          <w:iCs/>
          <w:sz w:val="22"/>
          <w:szCs w:val="22"/>
        </w:rPr>
        <w:t xml:space="preserve"> 52,1429 x 2 = 104,2858  (dias de final de semana no ano)</w:t>
      </w:r>
    </w:p>
    <w:p>
      <w:pPr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b/>
          <w:iCs/>
          <w:sz w:val="22"/>
          <w:szCs w:val="22"/>
        </w:rPr>
        <w:t>(d)</w:t>
      </w:r>
      <w:r>
        <w:rPr>
          <w:rFonts w:asciiTheme="minorHAnsi" w:hAnsiTheme="minorHAnsi"/>
          <w:iCs/>
          <w:sz w:val="22"/>
          <w:szCs w:val="22"/>
        </w:rPr>
        <w:t xml:space="preserve"> 104,2858 + 10,1429 = 114,4287 (dias não trabalhados no ano)</w:t>
      </w:r>
    </w:p>
    <w:p>
      <w:pPr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b/>
          <w:iCs/>
          <w:sz w:val="22"/>
          <w:szCs w:val="22"/>
        </w:rPr>
        <w:t>(e)</w:t>
      </w:r>
      <w:r>
        <w:rPr>
          <w:rFonts w:asciiTheme="minorHAnsi" w:hAnsiTheme="minorHAnsi"/>
          <w:iCs/>
          <w:sz w:val="22"/>
          <w:szCs w:val="22"/>
        </w:rPr>
        <w:t xml:space="preserve"> 365 – 114,4287 = 250,5713 (dias de trabalho no ano)</w:t>
      </w:r>
    </w:p>
    <w:p>
      <w:pPr>
        <w:rPr>
          <w:rFonts w:asciiTheme="minorHAnsi" w:hAnsiTheme="minorHAnsi"/>
          <w:iCs/>
          <w:color w:val="FF0000"/>
          <w:sz w:val="22"/>
          <w:szCs w:val="22"/>
        </w:rPr>
      </w:pPr>
      <w:r>
        <w:rPr>
          <w:rFonts w:asciiTheme="minorHAnsi" w:hAnsiTheme="minorHAnsi"/>
          <w:b/>
          <w:iCs/>
          <w:sz w:val="22"/>
          <w:szCs w:val="22"/>
        </w:rPr>
        <w:t>(f)</w:t>
      </w:r>
      <w:r>
        <w:rPr>
          <w:rFonts w:asciiTheme="minorHAnsi" w:hAnsiTheme="minorHAnsi"/>
          <w:iCs/>
          <w:sz w:val="22"/>
          <w:szCs w:val="22"/>
        </w:rPr>
        <w:t xml:space="preserve"> 250,5713 : 12 = </w:t>
      </w:r>
      <w:r>
        <w:rPr>
          <w:rFonts w:asciiTheme="minorHAnsi" w:hAnsiTheme="minorHAnsi"/>
          <w:b/>
          <w:iCs/>
          <w:color w:val="FF0000"/>
          <w:sz w:val="22"/>
          <w:szCs w:val="22"/>
        </w:rPr>
        <w:t>20,88</w:t>
      </w:r>
      <w:r>
        <w:rPr>
          <w:rFonts w:asciiTheme="minorHAnsi" w:hAnsiTheme="minorHAnsi"/>
          <w:iCs/>
          <w:color w:val="FF0000"/>
          <w:sz w:val="22"/>
          <w:szCs w:val="22"/>
        </w:rPr>
        <w:t xml:space="preserve"> (</w:t>
      </w:r>
      <w:r>
        <w:rPr>
          <w:rFonts w:asciiTheme="minorHAnsi" w:hAnsiTheme="minorHAnsi"/>
          <w:b/>
          <w:iCs/>
          <w:color w:val="FF0000"/>
          <w:sz w:val="22"/>
          <w:szCs w:val="22"/>
        </w:rPr>
        <w:t>MMDT</w:t>
      </w:r>
      <w:r>
        <w:rPr>
          <w:rFonts w:asciiTheme="minorHAnsi" w:hAnsiTheme="minorHAnsi"/>
          <w:iCs/>
          <w:color w:val="FF0000"/>
          <w:sz w:val="22"/>
          <w:szCs w:val="22"/>
        </w:rPr>
        <w:t xml:space="preserve"> – Média mensal de dias trabalhados)</w:t>
      </w:r>
    </w:p>
    <w:p>
      <w:pPr>
        <w:spacing w:line="276" w:lineRule="auto"/>
        <w:jc w:val="both"/>
        <w:rPr>
          <w:rFonts w:ascii="Calibri" w:hAnsi="Calibri" w:cs="Arial"/>
          <w:b/>
          <w:sz w:val="22"/>
          <w:szCs w:val="22"/>
        </w:rPr>
      </w:pPr>
    </w:p>
    <w:p>
      <w:pPr>
        <w:pStyle w:val="63"/>
        <w:spacing w:beforeAutospacing="0" w:afterAutospacing="0"/>
        <w:rPr>
          <w:rFonts w:asciiTheme="minorHAnsi" w:hAnsiTheme="minorHAnsi"/>
          <w:b/>
          <w:iCs/>
          <w:sz w:val="20"/>
          <w:szCs w:val="20"/>
          <w:u w:val="single"/>
        </w:rPr>
      </w:pPr>
    </w:p>
    <w:p>
      <w:pPr>
        <w:jc w:val="both"/>
        <w:rPr>
          <w:rFonts w:asciiTheme="minorHAnsi" w:hAnsiTheme="minorHAnsi"/>
          <w:iCs/>
          <w:sz w:val="22"/>
          <w:szCs w:val="22"/>
          <w:u w:val="single"/>
        </w:rPr>
      </w:pPr>
      <w:r>
        <w:rPr>
          <w:rFonts w:ascii="Calibri" w:hAnsi="Calibri" w:cs="Arial"/>
          <w:b/>
          <w:sz w:val="22"/>
          <w:szCs w:val="22"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337820</wp:posOffset>
                </wp:positionH>
                <wp:positionV relativeFrom="paragraph">
                  <wp:posOffset>1436370</wp:posOffset>
                </wp:positionV>
                <wp:extent cx="222250" cy="0"/>
                <wp:effectExtent l="0" t="0" r="25400" b="19050"/>
                <wp:wrapNone/>
                <wp:docPr id="3" name="Conector Re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22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6.6pt;margin-top:113.1pt;height:0pt;width:17.5pt;z-index:251662336;mso-width-relative:page;mso-height-relative:page;" filled="f" stroked="t" coordsize="21600,21600" o:gfxdata="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">
                <v:fill on="f" focussize="0,0"/>
                <v:stroke color="#000000 [3200]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Theme="minorHAnsi" w:hAnsiTheme="minorHAnsi"/>
          <w:b/>
          <w:iCs/>
          <w:sz w:val="22"/>
          <w:szCs w:val="22"/>
          <w:u w:val="single"/>
        </w:rPr>
        <w:t>Média Mensal de Dias Trabalhados (44 horas semanais) – 2ª feira à Sábado</w:t>
      </w:r>
      <w:r>
        <w:rPr>
          <w:rFonts w:asciiTheme="minorHAnsi" w:hAnsiTheme="minorHAnsi"/>
          <w:iCs/>
          <w:sz w:val="22"/>
          <w:szCs w:val="22"/>
          <w:u w:val="single"/>
        </w:rPr>
        <w:t>:</w:t>
      </w:r>
    </w:p>
    <w:p>
      <w:pPr>
        <w:pStyle w:val="63"/>
        <w:spacing w:beforeAutospacing="0" w:afterAutospacing="0"/>
        <w:jc w:val="center"/>
        <w:rPr>
          <w:rFonts w:asciiTheme="minorHAnsi" w:hAnsiTheme="minorHAnsi"/>
          <w:iCs/>
          <w:sz w:val="22"/>
          <w:szCs w:val="22"/>
          <w:u w:val="single"/>
        </w:rPr>
      </w:pPr>
    </w:p>
    <w:p>
      <w:pPr>
        <w:pStyle w:val="63"/>
        <w:spacing w:beforeAutospacing="0" w:afterAutospacing="0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>Considerando 8 feriados nacionais, 01 feriado estadual (data magna), 04 feriados municipais (incluindo sexta-feira da paixão).</w:t>
      </w:r>
    </w:p>
    <w:p>
      <w:pPr>
        <w:pStyle w:val="63"/>
        <w:spacing w:beforeAutospacing="0" w:afterAutospacing="0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>13 feriados por ano, sendo 10 com data fixa.</w:t>
      </w:r>
    </w:p>
    <w:p>
      <w:pPr>
        <w:pStyle w:val="63"/>
        <w:spacing w:beforeAutospacing="0" w:afterAutospacing="0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>Sendo assim, considerando 06 dias de trabalho por semana (jornada de 44 horas), temos:</w:t>
      </w:r>
    </w:p>
    <w:p>
      <w:pPr>
        <w:pStyle w:val="63"/>
        <w:spacing w:beforeAutospacing="0" w:afterAutospacing="0"/>
        <w:rPr>
          <w:rFonts w:asciiTheme="minorHAnsi" w:hAnsiTheme="minorHAnsi"/>
          <w:iCs/>
          <w:sz w:val="22"/>
          <w:szCs w:val="22"/>
        </w:rPr>
      </w:pPr>
    </w:p>
    <w:p>
      <w:pPr>
        <w:pStyle w:val="63"/>
        <w:spacing w:beforeAutospacing="0" w:afterAutospacing="0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b/>
          <w:iCs/>
          <w:sz w:val="22"/>
          <w:szCs w:val="22"/>
        </w:rPr>
        <w:t>(a)</w:t>
      </w:r>
      <w:r>
        <w:rPr>
          <w:rFonts w:asciiTheme="minorHAnsi" w:hAnsiTheme="minorHAnsi"/>
          <w:iCs/>
          <w:sz w:val="22"/>
          <w:szCs w:val="22"/>
        </w:rPr>
        <w:t xml:space="preserve"> 10 x (6/7)  = 8,5714</w:t>
      </w:r>
    </w:p>
    <w:p>
      <w:pPr>
        <w:pStyle w:val="63"/>
        <w:spacing w:beforeAutospacing="0" w:afterAutospacing="0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 xml:space="preserve">              </w:t>
      </w:r>
    </w:p>
    <w:p>
      <w:pPr>
        <w:pStyle w:val="63"/>
        <w:spacing w:beforeAutospacing="0" w:afterAutospacing="0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iCs/>
          <w:sz w:val="22"/>
          <w:szCs w:val="22"/>
        </w:rPr>
        <w:t xml:space="preserve">Somando-se aos feriados com data móvel (03):   8,5714 + 3= </w:t>
      </w:r>
      <w:r>
        <w:rPr>
          <w:rFonts w:asciiTheme="minorHAnsi" w:hAnsiTheme="minorHAnsi"/>
          <w:b/>
          <w:iCs/>
          <w:sz w:val="22"/>
          <w:szCs w:val="22"/>
        </w:rPr>
        <w:t>11,5714</w:t>
      </w:r>
      <w:r>
        <w:rPr>
          <w:rFonts w:asciiTheme="minorHAnsi" w:hAnsiTheme="minorHAnsi"/>
          <w:iCs/>
          <w:sz w:val="22"/>
          <w:szCs w:val="22"/>
        </w:rPr>
        <w:t xml:space="preserve"> (por ano)</w:t>
      </w:r>
    </w:p>
    <w:p>
      <w:pPr>
        <w:pStyle w:val="63"/>
        <w:spacing w:beforeAutospacing="0" w:afterAutospacing="0"/>
        <w:rPr>
          <w:rFonts w:asciiTheme="minorHAnsi" w:hAnsiTheme="minorHAnsi"/>
          <w:iCs/>
          <w:sz w:val="22"/>
          <w:szCs w:val="22"/>
        </w:rPr>
      </w:pPr>
    </w:p>
    <w:p>
      <w:pPr>
        <w:pStyle w:val="63"/>
        <w:spacing w:beforeAutospacing="0" w:afterAutospacing="0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b/>
          <w:iCs/>
          <w:sz w:val="22"/>
          <w:szCs w:val="22"/>
        </w:rPr>
        <w:t>(b)</w:t>
      </w:r>
      <w:r>
        <w:rPr>
          <w:rFonts w:asciiTheme="minorHAnsi" w:hAnsiTheme="minorHAnsi"/>
          <w:iCs/>
          <w:sz w:val="22"/>
          <w:szCs w:val="22"/>
        </w:rPr>
        <w:t xml:space="preserve"> 365:7 = 52,1429   (semanas no ano)</w:t>
      </w:r>
    </w:p>
    <w:p>
      <w:pPr>
        <w:pStyle w:val="63"/>
        <w:spacing w:beforeAutospacing="0" w:afterAutospacing="0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b/>
          <w:iCs/>
          <w:sz w:val="22"/>
          <w:szCs w:val="22"/>
        </w:rPr>
        <w:t>(c)</w:t>
      </w:r>
      <w:r>
        <w:rPr>
          <w:rFonts w:asciiTheme="minorHAnsi" w:hAnsiTheme="minorHAnsi"/>
          <w:iCs/>
          <w:sz w:val="22"/>
          <w:szCs w:val="22"/>
        </w:rPr>
        <w:t xml:space="preserve"> 52,1429 x 1 = 52,1429  (dias de final de semana no ano)</w:t>
      </w:r>
    </w:p>
    <w:p>
      <w:pPr>
        <w:pStyle w:val="63"/>
        <w:spacing w:beforeAutospacing="0" w:afterAutospacing="0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b/>
          <w:iCs/>
          <w:sz w:val="22"/>
          <w:szCs w:val="22"/>
        </w:rPr>
        <w:t>(d)</w:t>
      </w:r>
      <w:r>
        <w:rPr>
          <w:rFonts w:asciiTheme="minorHAnsi" w:hAnsiTheme="minorHAnsi"/>
          <w:iCs/>
          <w:sz w:val="22"/>
          <w:szCs w:val="22"/>
        </w:rPr>
        <w:t xml:space="preserve"> 52,1429 + 11,5714 = 63,7143 (dias não trabalhados no ano)</w:t>
      </w:r>
    </w:p>
    <w:p>
      <w:pPr>
        <w:pStyle w:val="63"/>
        <w:spacing w:beforeAutospacing="0" w:afterAutospacing="0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b/>
          <w:iCs/>
          <w:sz w:val="22"/>
          <w:szCs w:val="22"/>
        </w:rPr>
        <w:t>(e)</w:t>
      </w:r>
      <w:r>
        <w:rPr>
          <w:rFonts w:asciiTheme="minorHAnsi" w:hAnsiTheme="minorHAnsi"/>
          <w:iCs/>
          <w:sz w:val="22"/>
          <w:szCs w:val="22"/>
        </w:rPr>
        <w:t xml:space="preserve"> 365 – 63,7143 = 301,2857 (dias de trabalho no ano)</w:t>
      </w:r>
    </w:p>
    <w:p>
      <w:pPr>
        <w:pStyle w:val="63"/>
        <w:spacing w:beforeAutospacing="0" w:afterAutospacing="0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b/>
          <w:iCs/>
          <w:sz w:val="22"/>
          <w:szCs w:val="22"/>
        </w:rPr>
        <w:t>(f)</w:t>
      </w:r>
      <w:r>
        <w:rPr>
          <w:rFonts w:asciiTheme="minorHAnsi" w:hAnsiTheme="minorHAnsi"/>
          <w:iCs/>
          <w:sz w:val="22"/>
          <w:szCs w:val="22"/>
        </w:rPr>
        <w:t xml:space="preserve"> 301,2857 : 12 = </w:t>
      </w:r>
      <w:r>
        <w:rPr>
          <w:rFonts w:asciiTheme="minorHAnsi" w:hAnsiTheme="minorHAnsi"/>
          <w:b/>
          <w:iCs/>
          <w:color w:val="FF0000"/>
          <w:sz w:val="22"/>
          <w:szCs w:val="22"/>
        </w:rPr>
        <w:t>25,11</w:t>
      </w:r>
      <w:r>
        <w:rPr>
          <w:rFonts w:asciiTheme="minorHAnsi" w:hAnsiTheme="minorHAnsi"/>
          <w:iCs/>
          <w:color w:val="FF0000"/>
          <w:sz w:val="22"/>
          <w:szCs w:val="22"/>
        </w:rPr>
        <w:t xml:space="preserve"> (</w:t>
      </w:r>
      <w:r>
        <w:rPr>
          <w:rFonts w:asciiTheme="minorHAnsi" w:hAnsiTheme="minorHAnsi"/>
          <w:b/>
          <w:iCs/>
          <w:color w:val="FF0000"/>
          <w:sz w:val="22"/>
          <w:szCs w:val="22"/>
        </w:rPr>
        <w:t>MMDT</w:t>
      </w:r>
      <w:r>
        <w:rPr>
          <w:rFonts w:asciiTheme="minorHAnsi" w:hAnsiTheme="minorHAnsi"/>
          <w:iCs/>
          <w:color w:val="FF0000"/>
          <w:sz w:val="22"/>
          <w:szCs w:val="22"/>
        </w:rPr>
        <w:t xml:space="preserve"> – Média mensal de dias trabalhados)</w:t>
      </w:r>
    </w:p>
    <w:p>
      <w:pPr>
        <w:pStyle w:val="63"/>
        <w:spacing w:beforeAutospacing="0" w:afterAutospacing="0"/>
        <w:rPr>
          <w:rFonts w:asciiTheme="minorHAnsi" w:hAnsiTheme="minorHAnsi"/>
          <w:b/>
          <w:iCs/>
          <w:sz w:val="20"/>
          <w:szCs w:val="20"/>
          <w:u w:val="single"/>
        </w:rPr>
      </w:pPr>
    </w:p>
    <w:p>
      <w:pPr>
        <w:pStyle w:val="63"/>
        <w:spacing w:beforeAutospacing="0" w:afterAutospacing="0"/>
        <w:rPr>
          <w:rFonts w:asciiTheme="minorHAnsi" w:hAnsiTheme="minorHAnsi"/>
          <w:b/>
          <w:iCs/>
          <w:sz w:val="20"/>
          <w:szCs w:val="20"/>
          <w:u w:val="single"/>
        </w:rPr>
      </w:pPr>
    </w:p>
    <w:p>
      <w:pPr>
        <w:pStyle w:val="63"/>
        <w:spacing w:beforeAutospacing="0" w:afterAutospacing="0"/>
        <w:rPr>
          <w:rFonts w:asciiTheme="minorHAnsi" w:hAnsiTheme="minorHAnsi"/>
          <w:iCs/>
          <w:sz w:val="20"/>
          <w:szCs w:val="20"/>
          <w:u w:val="single"/>
        </w:rPr>
      </w:pPr>
      <w:r>
        <w:rPr>
          <w:rFonts w:asciiTheme="minorHAnsi" w:hAnsiTheme="minorHAnsi"/>
          <w:b/>
          <w:iCs/>
          <w:sz w:val="20"/>
          <w:szCs w:val="20"/>
          <w:u w:val="single"/>
        </w:rPr>
        <w:t>Média Mensal de Dias Trabalhados (12x36)</w:t>
      </w:r>
      <w:r>
        <w:rPr>
          <w:rFonts w:asciiTheme="minorHAnsi" w:hAnsiTheme="minorHAnsi"/>
          <w:iCs/>
          <w:sz w:val="20"/>
          <w:szCs w:val="20"/>
          <w:u w:val="single"/>
        </w:rPr>
        <w:t>:</w:t>
      </w:r>
    </w:p>
    <w:p>
      <w:pPr>
        <w:pStyle w:val="63"/>
        <w:spacing w:beforeAutospacing="0" w:afterAutospacing="0"/>
        <w:jc w:val="center"/>
        <w:rPr>
          <w:rFonts w:asciiTheme="minorHAnsi" w:hAnsiTheme="minorHAnsi"/>
          <w:iCs/>
          <w:sz w:val="20"/>
          <w:szCs w:val="20"/>
          <w:u w:val="single"/>
        </w:rPr>
      </w:pPr>
    </w:p>
    <w:p>
      <w:pPr>
        <w:pStyle w:val="63"/>
        <w:spacing w:beforeAutospacing="0" w:afterAutospacing="0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b/>
          <w:iCs/>
          <w:sz w:val="22"/>
          <w:szCs w:val="22"/>
        </w:rPr>
        <w:t>(a)</w:t>
      </w:r>
      <w:r>
        <w:rPr>
          <w:rFonts w:asciiTheme="minorHAnsi" w:hAnsiTheme="minorHAnsi"/>
          <w:iCs/>
          <w:sz w:val="22"/>
          <w:szCs w:val="22"/>
        </w:rPr>
        <w:t xml:space="preserve"> 365 : 12 = 30,42   (média de dias no mês)</w:t>
      </w:r>
    </w:p>
    <w:p>
      <w:pPr>
        <w:pStyle w:val="63"/>
        <w:spacing w:beforeAutospacing="0" w:afterAutospacing="0"/>
        <w:rPr>
          <w:rFonts w:asciiTheme="minorHAnsi" w:hAnsiTheme="minorHAnsi"/>
          <w:iCs/>
          <w:sz w:val="22"/>
          <w:szCs w:val="22"/>
        </w:rPr>
      </w:pPr>
      <w:r>
        <w:rPr>
          <w:rFonts w:asciiTheme="minorHAnsi" w:hAnsiTheme="minorHAnsi"/>
          <w:b/>
          <w:iCs/>
          <w:sz w:val="22"/>
          <w:szCs w:val="22"/>
        </w:rPr>
        <w:t>(b)</w:t>
      </w:r>
      <w:r>
        <w:rPr>
          <w:rFonts w:asciiTheme="minorHAnsi" w:hAnsiTheme="minorHAnsi"/>
          <w:iCs/>
          <w:sz w:val="22"/>
          <w:szCs w:val="22"/>
        </w:rPr>
        <w:t xml:space="preserve"> 30,42 : 2 = </w:t>
      </w:r>
      <w:r>
        <w:rPr>
          <w:rFonts w:asciiTheme="minorHAnsi" w:hAnsiTheme="minorHAnsi"/>
          <w:b/>
          <w:iCs/>
          <w:color w:val="FF0000"/>
          <w:sz w:val="22"/>
          <w:szCs w:val="22"/>
        </w:rPr>
        <w:t>15,21</w:t>
      </w:r>
      <w:r>
        <w:rPr>
          <w:rFonts w:asciiTheme="minorHAnsi" w:hAnsiTheme="minorHAnsi"/>
          <w:iCs/>
          <w:color w:val="FF0000"/>
          <w:sz w:val="22"/>
          <w:szCs w:val="22"/>
        </w:rPr>
        <w:t xml:space="preserve"> (</w:t>
      </w:r>
      <w:r>
        <w:rPr>
          <w:rFonts w:asciiTheme="minorHAnsi" w:hAnsiTheme="minorHAnsi"/>
          <w:b/>
          <w:iCs/>
          <w:color w:val="FF0000"/>
          <w:sz w:val="22"/>
          <w:szCs w:val="22"/>
        </w:rPr>
        <w:t>MMDT</w:t>
      </w:r>
      <w:r>
        <w:rPr>
          <w:rFonts w:asciiTheme="minorHAnsi" w:hAnsiTheme="minorHAnsi"/>
          <w:iCs/>
          <w:color w:val="FF0000"/>
          <w:sz w:val="22"/>
          <w:szCs w:val="22"/>
        </w:rPr>
        <w:t xml:space="preserve"> – Média mensal de dias trabalhado no mês para a jornada 12x36 horas) </w:t>
      </w:r>
    </w:p>
    <w:p>
      <w:pPr>
        <w:pStyle w:val="63"/>
        <w:spacing w:beforeAutospacing="0" w:afterAutospacing="0"/>
        <w:rPr>
          <w:rFonts w:asciiTheme="minorHAnsi" w:hAnsiTheme="minorHAnsi"/>
          <w:iCs/>
          <w:sz w:val="18"/>
          <w:szCs w:val="18"/>
        </w:rPr>
      </w:pPr>
    </w:p>
    <w:p>
      <w:pPr>
        <w:tabs>
          <w:tab w:val="left" w:pos="8130"/>
        </w:tabs>
        <w:ind w:left="720"/>
        <w:jc w:val="both"/>
        <w:rPr>
          <w:rFonts w:asciiTheme="minorHAnsi" w:hAnsiTheme="minorHAnsi" w:cstheme="minorHAnsi"/>
        </w:rPr>
      </w:pPr>
    </w:p>
    <w:p>
      <w:pPr>
        <w:spacing w:line="276" w:lineRule="auto"/>
        <w:jc w:val="both"/>
        <w:rPr>
          <w:rFonts w:ascii="Calibri" w:hAnsi="Calibri" w:cs="Arial"/>
          <w:b/>
          <w:sz w:val="16"/>
          <w:szCs w:val="16"/>
        </w:rPr>
      </w:pPr>
    </w:p>
    <w:p>
      <w:pPr>
        <w:spacing w:line="276" w:lineRule="auto"/>
        <w:jc w:val="both"/>
        <w:rPr>
          <w:rFonts w:ascii="Calibri" w:hAnsi="Calibri" w:cs="Arial"/>
          <w:b/>
        </w:rPr>
      </w:pPr>
    </w:p>
    <w:p>
      <w:pPr>
        <w:jc w:val="both"/>
        <w:rPr>
          <w:rFonts w:ascii="Calibri" w:hAnsi="Calibri" w:cs="Arial"/>
          <w:b/>
          <w:sz w:val="22"/>
          <w:szCs w:val="22"/>
          <w:u w:val="single"/>
        </w:rPr>
      </w:pPr>
      <w:r>
        <w:rPr>
          <w:sz w:val="22"/>
          <w:szCs w:val="22"/>
        </w:rPr>
        <mc:AlternateContent>
          <mc:Choice Requires="wps">
            <w:drawing>
              <wp:anchor distT="0" distB="0" distL="0" distR="0" simplePos="0" relativeHeight="251660288" behindDoc="0" locked="0" layoutInCell="1" allowOverlap="1">
                <wp:simplePos x="0" y="0"/>
                <wp:positionH relativeFrom="column">
                  <wp:posOffset>337820</wp:posOffset>
                </wp:positionH>
                <wp:positionV relativeFrom="paragraph">
                  <wp:posOffset>1437005</wp:posOffset>
                </wp:positionV>
                <wp:extent cx="222885" cy="635"/>
                <wp:effectExtent l="0" t="0" r="25400" b="19050"/>
                <wp:wrapNone/>
                <wp:docPr id="4" name="Conector re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2120" cy="0"/>
                        </a:xfrm>
                        <a:prstGeom prst="line">
                          <a:avLst/>
                        </a:prstGeom>
                        <a:ln>
                          <a:round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Conector reto 9" o:spid="_x0000_s1026" o:spt="20" style="position:absolute;left:0pt;margin-left:26.6pt;margin-top:113.15pt;height:0.05pt;width:17.55pt;z-index:251660288;mso-width-relative:page;mso-height-relative:page;" filled="f" stroked="t" coordsize="21600,21600" o:gfxdata="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">
                <v:fill on="f" focussize="0,0"/>
                <v:stroke color="#000000 [3200]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ascii="Calibri" w:hAnsi="Calibri" w:cs="Arial"/>
          <w:b/>
          <w:sz w:val="22"/>
          <w:szCs w:val="22"/>
          <w:u w:val="single"/>
        </w:rPr>
        <w:t>Modulo 2 – Encargos e Benefícios Anuais, Mensais e Diários</w:t>
      </w:r>
    </w:p>
    <w:p>
      <w:pPr>
        <w:jc w:val="both"/>
        <w:rPr>
          <w:rFonts w:ascii="Calibri" w:hAnsi="Calibri" w:cs="Arial"/>
          <w:b/>
          <w:sz w:val="22"/>
          <w:szCs w:val="22"/>
          <w:u w:val="single"/>
        </w:rPr>
      </w:pPr>
    </w:p>
    <w:p>
      <w:pPr>
        <w:jc w:val="both"/>
        <w:rPr>
          <w:rFonts w:ascii="Calibri" w:hAnsi="Calibri" w:cs="Arial"/>
          <w:sz w:val="22"/>
          <w:szCs w:val="22"/>
          <w:u w:val="single"/>
          <w:lang w:val="pt-PT"/>
        </w:rPr>
      </w:pPr>
      <w:r>
        <w:rPr>
          <w:rFonts w:ascii="Calibri" w:hAnsi="Calibri" w:cs="Arial"/>
          <w:sz w:val="22"/>
          <w:szCs w:val="22"/>
          <w:u w:val="single"/>
          <w:lang w:val="pt-PT"/>
        </w:rPr>
        <w:t>Submódulo 2.1 – 13º Salário, Férias e Adicional de Férias</w:t>
      </w:r>
    </w:p>
    <w:p>
      <w:pPr>
        <w:jc w:val="both"/>
        <w:rPr>
          <w:rFonts w:ascii="Calibri" w:hAnsi="Calibri" w:cs="Arial"/>
          <w:u w:val="single"/>
          <w:lang w:val="pt-PT"/>
        </w:rPr>
      </w:pPr>
    </w:p>
    <w:tbl>
      <w:tblPr>
        <w:tblStyle w:val="70"/>
        <w:tblW w:w="8917" w:type="dxa"/>
        <w:tblInd w:w="0" w:type="dxa"/>
        <w:tblBorders>
          <w:top w:val="single" w:color="95B3D7" w:themeColor="accent1" w:themeTint="99" w:sz="4" w:space="0"/>
          <w:left w:val="single" w:color="95B3D7" w:themeColor="accent1" w:themeTint="99" w:sz="4" w:space="0"/>
          <w:bottom w:val="single" w:color="95B3D7" w:themeColor="accent1" w:themeTint="99" w:sz="4" w:space="0"/>
          <w:right w:val="single" w:color="95B3D7" w:themeColor="accent1" w:themeTint="99" w:sz="4" w:space="0"/>
          <w:insideH w:val="single" w:color="95B3D7" w:themeColor="accent1" w:themeTint="99" w:sz="4" w:space="0"/>
          <w:insideV w:val="single" w:color="95B3D7" w:themeColor="accent1" w:themeTint="99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40"/>
        <w:gridCol w:w="22"/>
        <w:gridCol w:w="2218"/>
        <w:gridCol w:w="839"/>
        <w:gridCol w:w="2809"/>
        <w:gridCol w:w="1667"/>
        <w:gridCol w:w="222"/>
      </w:tblGrid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172" w:type="dxa"/>
            <w:tcBorders>
              <w:top w:val="single" w:color="4F81BD" w:themeColor="accent1" w:sz="4" w:space="0"/>
              <w:left w:val="single" w:color="4F81BD" w:themeColor="accent1" w:sz="4" w:space="0"/>
              <w:bottom w:val="single" w:color="4F81BD" w:themeColor="accent1" w:sz="4" w:space="0"/>
              <w:right w:val="nil"/>
              <w:insideH w:val="single" w:sz="4" w:space="0"/>
              <w:insideV w:val="nil"/>
            </w:tcBorders>
            <w:shd w:val="clear" w:color="auto" w:fill="4F81BD" w:themeFill="accent1"/>
          </w:tcPr>
          <w:p>
            <w:pPr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2291" w:type="dxa"/>
            <w:gridSpan w:val="2"/>
            <w:tcBorders>
              <w:top w:val="single" w:color="4F81BD" w:themeColor="accent1" w:sz="4" w:space="0"/>
              <w:bottom w:val="single" w:color="4F81BD" w:themeColor="accent1" w:sz="4" w:space="0"/>
              <w:right w:val="nil"/>
              <w:insideH w:val="single" w:sz="4" w:space="0"/>
              <w:insideV w:val="nil"/>
            </w:tcBorders>
            <w:shd w:val="clear" w:color="auto" w:fill="4F81BD" w:themeFill="accent1"/>
          </w:tcPr>
          <w:p>
            <w:pPr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851" w:type="dxa"/>
            <w:tcBorders>
              <w:top w:val="single" w:color="4F81BD" w:themeColor="accent1" w:sz="4" w:space="0"/>
              <w:bottom w:val="single" w:color="4F81BD" w:themeColor="accent1" w:sz="4" w:space="0"/>
              <w:right w:val="nil"/>
              <w:insideH w:val="single" w:sz="4" w:space="0"/>
              <w:insideV w:val="nil"/>
            </w:tcBorders>
            <w:shd w:val="clear" w:color="auto" w:fill="4F81BD" w:themeFill="accent1"/>
          </w:tcPr>
          <w:p>
            <w:pPr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%</w:t>
            </w:r>
          </w:p>
        </w:tc>
        <w:tc>
          <w:tcPr>
            <w:tcW w:w="2900" w:type="dxa"/>
            <w:tcBorders>
              <w:top w:val="single" w:color="4F81BD" w:themeColor="accent1" w:sz="4" w:space="0"/>
              <w:bottom w:val="single" w:color="4F81BD" w:themeColor="accent1" w:sz="4" w:space="0"/>
              <w:right w:val="nil"/>
              <w:insideH w:val="single" w:sz="4" w:space="0"/>
              <w:insideV w:val="nil"/>
            </w:tcBorders>
            <w:shd w:val="clear" w:color="auto" w:fill="4F81BD" w:themeFill="accent1"/>
          </w:tcPr>
          <w:p>
            <w:pPr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 xml:space="preserve">MEMÓRIA DE CÁLCULO </w:t>
            </w:r>
          </w:p>
        </w:tc>
        <w:tc>
          <w:tcPr>
            <w:tcW w:w="1687" w:type="dxa"/>
            <w:tcBorders>
              <w:top w:val="single" w:color="4F81BD" w:themeColor="accent1" w:sz="4" w:space="0"/>
              <w:bottom w:val="single" w:color="4F81BD" w:themeColor="accent1" w:sz="4" w:space="0"/>
              <w:right w:val="nil"/>
              <w:insideH w:val="single" w:sz="4" w:space="0"/>
              <w:insideV w:val="nil"/>
            </w:tcBorders>
            <w:shd w:val="clear" w:color="auto" w:fill="4F81BD" w:themeFill="accent1"/>
          </w:tcPr>
          <w:p>
            <w:pPr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FUNDAMENTO</w:t>
            </w:r>
          </w:p>
        </w:tc>
        <w:tc>
          <w:tcPr>
            <w:tcW w:w="15" w:type="dxa"/>
            <w:tcBorders>
              <w:top w:val="single" w:color="4F81BD" w:themeColor="accent1" w:sz="4" w:space="0"/>
              <w:bottom w:val="single" w:color="4F81BD" w:themeColor="accent1" w:sz="4" w:space="0"/>
              <w:right w:val="single" w:color="4F81BD" w:themeColor="accent1" w:sz="4" w:space="0"/>
              <w:insideH w:val="single" w:sz="4" w:space="0"/>
              <w:insideV w:val="nil"/>
            </w:tcBorders>
            <w:shd w:val="clear" w:color="auto" w:fill="4F81BD" w:themeFill="accent1"/>
          </w:tcPr>
          <w:p>
            <w:pPr>
              <w:rPr>
                <w:b w:val="0"/>
                <w:bCs w:val="0"/>
                <w:color w:val="FFFFFF" w:themeColor="background1"/>
                <w14:textFill>
                  <w14:solidFill>
                    <w14:schemeClr w14:val="bg1"/>
                  </w14:solidFill>
                </w14:textFill>
              </w:rPr>
            </w:pPr>
          </w:p>
        </w:tc>
      </w:tr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1172" w:type="dxa"/>
            <w:shd w:val="clear" w:color="auto" w:fill="DBE5F1" w:themeFill="accent1" w:themeFillTint="33"/>
          </w:tcPr>
          <w:p>
            <w:pPr>
              <w:jc w:val="center"/>
              <w:rPr>
                <w:rFonts w:ascii="Calibri" w:hAnsi="Calibri" w:cs="Arial"/>
                <w:b w:val="0"/>
                <w:bCs w:val="0"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>A</w:t>
            </w:r>
          </w:p>
        </w:tc>
        <w:tc>
          <w:tcPr>
            <w:tcW w:w="2291" w:type="dxa"/>
            <w:gridSpan w:val="2"/>
            <w:shd w:val="clear" w:color="auto" w:fill="DBE5F1" w:themeFill="accent1" w:themeFillTint="33"/>
          </w:tcPr>
          <w:p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13º Salário</w:t>
            </w:r>
          </w:p>
        </w:tc>
        <w:tc>
          <w:tcPr>
            <w:tcW w:w="851" w:type="dxa"/>
            <w:shd w:val="clear" w:color="auto" w:fill="DBE5F1" w:themeFill="accent1" w:themeFillTint="33"/>
          </w:tcPr>
          <w:p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8,33</w:t>
            </w:r>
          </w:p>
        </w:tc>
        <w:tc>
          <w:tcPr>
            <w:tcW w:w="2900" w:type="dxa"/>
            <w:shd w:val="clear" w:color="auto" w:fill="DBE5F1" w:themeFill="accent1" w:themeFillTint="33"/>
          </w:tcPr>
          <w:p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DTS = 1/12 x Remuneração</w:t>
            </w:r>
          </w:p>
        </w:tc>
        <w:tc>
          <w:tcPr>
            <w:tcW w:w="1687" w:type="dxa"/>
            <w:shd w:val="clear" w:color="auto" w:fill="DBE5F1" w:themeFill="accent1" w:themeFillTint="33"/>
          </w:tcPr>
          <w:p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Art.7º, VIII, CF/88</w:t>
            </w:r>
          </w:p>
        </w:tc>
        <w:tc>
          <w:tcPr>
            <w:tcW w:w="15" w:type="dxa"/>
            <w:shd w:val="clear" w:color="auto" w:fill="DBE5F1" w:themeFill="accent1" w:themeFillTint="33"/>
          </w:tcPr>
          <w:p/>
        </w:tc>
      </w:tr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172" w:type="dxa"/>
          </w:tcPr>
          <w:p>
            <w:pPr>
              <w:jc w:val="center"/>
              <w:rPr>
                <w:rFonts w:ascii="Calibri" w:hAnsi="Calibri" w:cs="Arial"/>
                <w:b w:val="0"/>
                <w:bCs w:val="0"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>B</w:t>
            </w:r>
          </w:p>
        </w:tc>
        <w:tc>
          <w:tcPr>
            <w:tcW w:w="2291" w:type="dxa"/>
            <w:gridSpan w:val="2"/>
          </w:tcPr>
          <w:p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Férias e Adicional de Férias</w:t>
            </w:r>
          </w:p>
        </w:tc>
        <w:tc>
          <w:tcPr>
            <w:tcW w:w="851" w:type="dxa"/>
          </w:tcPr>
          <w:p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12,10</w:t>
            </w:r>
          </w:p>
        </w:tc>
        <w:tc>
          <w:tcPr>
            <w:tcW w:w="2900" w:type="dxa"/>
          </w:tcPr>
          <w:p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color w:val="000000"/>
                <w:sz w:val="18"/>
                <w:szCs w:val="18"/>
              </w:rPr>
              <w:t>FAF = 1/11 x R + 1/3 x 1/11 x R</w:t>
            </w:r>
          </w:p>
        </w:tc>
        <w:tc>
          <w:tcPr>
            <w:tcW w:w="1687" w:type="dxa"/>
          </w:tcPr>
          <w:p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% Conta Vinculada- Anexo XII da IN nº 05/2017</w:t>
            </w:r>
          </w:p>
        </w:tc>
        <w:tc>
          <w:tcPr>
            <w:tcW w:w="15" w:type="dxa"/>
          </w:tcPr>
          <w:p/>
        </w:tc>
      </w:tr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3464" w:type="dxa"/>
            <w:gridSpan w:val="3"/>
            <w:shd w:val="clear" w:color="auto" w:fill="DBE5F1" w:themeFill="accent1" w:themeFillTint="33"/>
          </w:tcPr>
          <w:p>
            <w:pPr>
              <w:jc w:val="center"/>
              <w:rPr>
                <w:rFonts w:ascii="Calibri" w:hAnsi="Calibri" w:cs="Arial"/>
                <w:b w:val="0"/>
                <w:bCs w:val="0"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850" w:type="dxa"/>
            <w:shd w:val="clear" w:color="auto" w:fill="DBE5F1" w:themeFill="accent1" w:themeFillTint="33"/>
          </w:tcPr>
          <w:p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20,43</w:t>
            </w:r>
          </w:p>
        </w:tc>
        <w:tc>
          <w:tcPr>
            <w:tcW w:w="2901" w:type="dxa"/>
            <w:shd w:val="clear" w:color="auto" w:fill="DBE5F1" w:themeFill="accent1" w:themeFillTint="33"/>
          </w:tcPr>
          <w:p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687" w:type="dxa"/>
            <w:shd w:val="clear" w:color="auto" w:fill="DBE5F1" w:themeFill="accent1" w:themeFillTint="33"/>
          </w:tcPr>
          <w:p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14" w:type="dxa"/>
            <w:shd w:val="clear" w:color="auto" w:fill="DBE5F1" w:themeFill="accent1" w:themeFillTint="33"/>
          </w:tcPr>
          <w:p/>
        </w:tc>
      </w:tr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195" w:type="dxa"/>
            <w:gridSpan w:val="2"/>
          </w:tcPr>
          <w:p>
            <w:pPr>
              <w:ind w:right="-4"/>
              <w:jc w:val="center"/>
              <w:rPr>
                <w:rFonts w:ascii="Calibri" w:hAnsi="Calibri" w:cs="Arial"/>
                <w:b w:val="0"/>
                <w:bCs w:val="0"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>C</w:t>
            </w:r>
          </w:p>
        </w:tc>
        <w:tc>
          <w:tcPr>
            <w:tcW w:w="2268" w:type="dxa"/>
          </w:tcPr>
          <w:p>
            <w:pPr>
              <w:ind w:right="-4"/>
              <w:jc w:val="center"/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Incidência do Submódulo 2.2 - Encargos previdenciários (GPS), FGTS e outras contribuições</w:t>
            </w:r>
          </w:p>
        </w:tc>
        <w:tc>
          <w:tcPr>
            <w:tcW w:w="851" w:type="dxa"/>
          </w:tcPr>
          <w:p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7,82</w:t>
            </w:r>
            <w:r>
              <w:rPr>
                <w:rStyle w:val="47"/>
                <w:rFonts w:ascii="Calibri" w:hAnsi="Calibri" w:cs="Arial"/>
                <w:sz w:val="18"/>
                <w:szCs w:val="18"/>
              </w:rPr>
              <w:footnoteReference w:id="0"/>
            </w:r>
          </w:p>
        </w:tc>
        <w:tc>
          <w:tcPr>
            <w:tcW w:w="2900" w:type="dxa"/>
          </w:tcPr>
          <w:p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=Total da remuneração x Percentual da tabela do Anexo XII</w:t>
            </w:r>
          </w:p>
        </w:tc>
        <w:tc>
          <w:tcPr>
            <w:tcW w:w="1702" w:type="dxa"/>
            <w:gridSpan w:val="2"/>
          </w:tcPr>
          <w:p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% Conta Vinculada- Anexo XII da IN nº 05/2017</w:t>
            </w:r>
          </w:p>
        </w:tc>
      </w:tr>
    </w:tbl>
    <w:p>
      <w:pPr>
        <w:jc w:val="center"/>
        <w:rPr>
          <w:rFonts w:ascii="Calibri" w:hAnsi="Calibri" w:cs="Arial"/>
        </w:rPr>
      </w:pPr>
    </w:p>
    <w:p>
      <w:pPr>
        <w:jc w:val="both"/>
        <w:rPr>
          <w:rFonts w:asciiTheme="minorHAnsi" w:hAnsiTheme="minorHAnsi" w:cstheme="minorHAnsi"/>
          <w:color w:val="000000"/>
          <w:sz w:val="22"/>
          <w:szCs w:val="22"/>
          <w:highlight w:val="white"/>
        </w:rPr>
      </w:pPr>
      <w:r>
        <w:rPr>
          <w:rStyle w:val="8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Nota 1:</w:t>
      </w:r>
      <w:r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 Como a planilha de custos e formação de preços é calculada </w:t>
      </w:r>
      <w:r>
        <w:rPr>
          <w:rFonts w:asciiTheme="minorHAnsi" w:hAnsiTheme="minorHAnsi" w:cstheme="minorHAnsi"/>
          <w:color w:val="000000"/>
          <w:sz w:val="22"/>
          <w:szCs w:val="22"/>
          <w:u w:val="single"/>
          <w:shd w:val="clear" w:color="auto" w:fill="FFFFFF"/>
        </w:rPr>
        <w:t>mensalmente</w:t>
      </w:r>
      <w:r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, provisiona-se proporcionalmente 1/12 (um doze avos) dos valores referentes a gratificação natalina, férias e adicional de férias.</w:t>
      </w:r>
    </w:p>
    <w:p>
      <w:pPr>
        <w:jc w:val="both"/>
        <w:rPr>
          <w:rFonts w:asciiTheme="minorHAnsi" w:hAnsiTheme="minorHAnsi" w:cstheme="minorHAnsi"/>
          <w:color w:val="000000"/>
          <w:sz w:val="22"/>
          <w:szCs w:val="22"/>
          <w:highlight w:val="white"/>
        </w:rPr>
      </w:pPr>
    </w:p>
    <w:p>
      <w:pPr>
        <w:jc w:val="both"/>
        <w:rPr>
          <w:rFonts w:asciiTheme="minorHAnsi" w:hAnsiTheme="minorHAnsi" w:cstheme="minorHAnsi"/>
          <w:color w:val="000000"/>
          <w:sz w:val="22"/>
          <w:szCs w:val="22"/>
          <w:highlight w:val="white"/>
        </w:rPr>
      </w:pPr>
      <w:r>
        <w:rPr>
          <w:rStyle w:val="8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Nota 2:</w:t>
      </w:r>
      <w:r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 O adicional de férias contido no Submódulo 2.1 corresponde a 1/3 (um terço) da remuneração que, por sua vez, é divido por 12 (doze) conforme Nota 1 acima.</w:t>
      </w:r>
    </w:p>
    <w:p>
      <w:pPr>
        <w:jc w:val="both"/>
        <w:rPr>
          <w:rFonts w:asciiTheme="minorHAnsi" w:hAnsiTheme="minorHAnsi" w:cstheme="minorHAnsi"/>
          <w:sz w:val="22"/>
          <w:szCs w:val="22"/>
          <w:u w:val="single"/>
        </w:rPr>
      </w:pPr>
    </w:p>
    <w:p>
      <w:pPr>
        <w:jc w:val="both"/>
        <w:rPr>
          <w:rFonts w:asciiTheme="minorHAnsi" w:hAnsiTheme="minorHAnsi" w:cstheme="minorHAnsi"/>
          <w:sz w:val="22"/>
          <w:szCs w:val="22"/>
          <w:u w:val="single"/>
          <w:lang w:val="pt-PT"/>
        </w:rPr>
      </w:pPr>
      <w:r>
        <w:rPr>
          <w:rStyle w:val="8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Nota 3:</w:t>
      </w:r>
      <w:r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 Levando em consideração a vigência contratual prevista no art. 57 da Lei nº 8.666, de 23 de junho de 1993, a rubrica férias tem como objetivo principal suprir a necessidade do pagamento das férias remuneradas ao final do contrato de 12 meses. Esta rubrica, quando da prorrogação contratual, </w:t>
      </w:r>
      <w:r>
        <w:rPr>
          <w:rFonts w:asciiTheme="minorHAnsi" w:hAnsiTheme="minorHAnsi" w:cstheme="minorHAnsi"/>
          <w:b/>
          <w:color w:val="000000"/>
          <w:sz w:val="22"/>
          <w:szCs w:val="22"/>
          <w:shd w:val="clear" w:color="auto" w:fill="FFFFFF"/>
        </w:rPr>
        <w:t>torna-se custo não renovável.</w:t>
      </w:r>
    </w:p>
    <w:p>
      <w:pPr>
        <w:jc w:val="both"/>
        <w:rPr>
          <w:rFonts w:asciiTheme="minorHAnsi" w:hAnsiTheme="minorHAnsi" w:cstheme="minorHAnsi"/>
          <w:sz w:val="22"/>
          <w:szCs w:val="22"/>
          <w:u w:val="single"/>
          <w:lang w:val="pt-PT"/>
        </w:rPr>
      </w:pPr>
    </w:p>
    <w:p>
      <w:pPr>
        <w:jc w:val="both"/>
        <w:rPr>
          <w:rFonts w:ascii="Calibri" w:hAnsi="Calibri" w:cs="Arial"/>
          <w:u w:val="single"/>
          <w:lang w:val="pt-PT"/>
        </w:rPr>
      </w:pPr>
    </w:p>
    <w:p>
      <w:pPr>
        <w:jc w:val="both"/>
        <w:rPr>
          <w:rFonts w:ascii="Calibri" w:hAnsi="Calibri" w:cs="Arial"/>
          <w:sz w:val="22"/>
          <w:szCs w:val="22"/>
          <w:u w:val="single"/>
          <w:lang w:val="pt-PT"/>
        </w:rPr>
      </w:pPr>
      <w:r>
        <w:rPr>
          <w:rFonts w:ascii="Calibri" w:hAnsi="Calibri" w:cs="Arial"/>
          <w:sz w:val="22"/>
          <w:szCs w:val="22"/>
          <w:u w:val="single"/>
          <w:lang w:val="pt-PT"/>
        </w:rPr>
        <w:t xml:space="preserve">Submódulo 2.2 - Encargos Previdenciários (GPS), Fundo de Garantia por Tempo de Serviço (FGTS) e outras contribuições. </w:t>
      </w:r>
    </w:p>
    <w:p>
      <w:pPr>
        <w:rPr>
          <w:rFonts w:ascii="Calibri" w:hAnsi="Calibri" w:cs="Arial"/>
        </w:rPr>
      </w:pPr>
    </w:p>
    <w:tbl>
      <w:tblPr>
        <w:tblStyle w:val="70"/>
        <w:tblW w:w="9007" w:type="dxa"/>
        <w:tblInd w:w="0" w:type="dxa"/>
        <w:tblBorders>
          <w:top w:val="single" w:color="95B3D7" w:themeColor="accent1" w:themeTint="99" w:sz="4" w:space="0"/>
          <w:left w:val="single" w:color="95B3D7" w:themeColor="accent1" w:themeTint="99" w:sz="4" w:space="0"/>
          <w:bottom w:val="single" w:color="95B3D7" w:themeColor="accent1" w:themeTint="99" w:sz="4" w:space="0"/>
          <w:right w:val="single" w:color="95B3D7" w:themeColor="accent1" w:themeTint="99" w:sz="4" w:space="0"/>
          <w:insideH w:val="single" w:color="95B3D7" w:themeColor="accent1" w:themeTint="99" w:sz="4" w:space="0"/>
          <w:insideV w:val="single" w:color="95B3D7" w:themeColor="accent1" w:themeTint="99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5"/>
        <w:gridCol w:w="2126"/>
        <w:gridCol w:w="850"/>
        <w:gridCol w:w="1842"/>
        <w:gridCol w:w="3344"/>
      </w:tblGrid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845" w:type="dxa"/>
            <w:tcBorders>
              <w:top w:val="single" w:color="4F81BD" w:themeColor="accent1" w:sz="4" w:space="0"/>
              <w:left w:val="single" w:color="4F81BD" w:themeColor="accent1" w:sz="4" w:space="0"/>
              <w:bottom w:val="single" w:color="4F81BD" w:themeColor="accent1" w:sz="4" w:space="0"/>
              <w:right w:val="nil"/>
              <w:insideH w:val="single" w:sz="4" w:space="0"/>
              <w:insideV w:val="nil"/>
            </w:tcBorders>
            <w:shd w:val="clear" w:color="auto" w:fill="4F81BD" w:themeFill="accent1"/>
          </w:tcPr>
          <w:p>
            <w:pPr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ITEM</w:t>
            </w:r>
          </w:p>
        </w:tc>
        <w:tc>
          <w:tcPr>
            <w:tcW w:w="2126" w:type="dxa"/>
            <w:tcBorders>
              <w:top w:val="single" w:color="4F81BD" w:themeColor="accent1" w:sz="4" w:space="0"/>
              <w:bottom w:val="single" w:color="4F81BD" w:themeColor="accent1" w:sz="4" w:space="0"/>
              <w:right w:val="nil"/>
              <w:insideH w:val="single" w:sz="4" w:space="0"/>
              <w:insideV w:val="nil"/>
            </w:tcBorders>
            <w:shd w:val="clear" w:color="auto" w:fill="4F81BD" w:themeFill="accent1"/>
          </w:tcPr>
          <w:p>
            <w:pPr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DESCRIÇÃO</w:t>
            </w:r>
          </w:p>
        </w:tc>
        <w:tc>
          <w:tcPr>
            <w:tcW w:w="850" w:type="dxa"/>
            <w:tcBorders>
              <w:top w:val="single" w:color="4F81BD" w:themeColor="accent1" w:sz="4" w:space="0"/>
              <w:bottom w:val="single" w:color="4F81BD" w:themeColor="accent1" w:sz="4" w:space="0"/>
              <w:right w:val="nil"/>
              <w:insideH w:val="single" w:sz="4" w:space="0"/>
              <w:insideV w:val="nil"/>
            </w:tcBorders>
            <w:shd w:val="clear" w:color="auto" w:fill="4F81BD" w:themeFill="accent1"/>
          </w:tcPr>
          <w:p>
            <w:pPr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%</w:t>
            </w:r>
          </w:p>
        </w:tc>
        <w:tc>
          <w:tcPr>
            <w:tcW w:w="1842" w:type="dxa"/>
            <w:tcBorders>
              <w:top w:val="single" w:color="4F81BD" w:themeColor="accent1" w:sz="4" w:space="0"/>
              <w:bottom w:val="single" w:color="4F81BD" w:themeColor="accent1" w:sz="4" w:space="0"/>
              <w:right w:val="nil"/>
              <w:insideH w:val="single" w:sz="4" w:space="0"/>
              <w:insideV w:val="nil"/>
            </w:tcBorders>
            <w:shd w:val="clear" w:color="auto" w:fill="4F81BD" w:themeFill="accent1"/>
          </w:tcPr>
          <w:p>
            <w:pPr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 xml:space="preserve">MEMÓRIA DE CALCULO </w:t>
            </w:r>
          </w:p>
        </w:tc>
        <w:tc>
          <w:tcPr>
            <w:tcW w:w="3344" w:type="dxa"/>
            <w:tcBorders>
              <w:top w:val="single" w:color="4F81BD" w:themeColor="accent1" w:sz="4" w:space="0"/>
              <w:bottom w:val="single" w:color="4F81BD" w:themeColor="accent1" w:sz="4" w:space="0"/>
              <w:right w:val="single" w:color="4F81BD" w:themeColor="accent1" w:sz="4" w:space="0"/>
              <w:insideH w:val="single" w:sz="4" w:space="0"/>
              <w:insideV w:val="nil"/>
            </w:tcBorders>
            <w:shd w:val="clear" w:color="auto" w:fill="4F81BD" w:themeFill="accent1"/>
          </w:tcPr>
          <w:p>
            <w:pPr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FUNDAMENTO</w:t>
            </w:r>
          </w:p>
        </w:tc>
      </w:tr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</w:trPr>
        <w:tc>
          <w:tcPr>
            <w:tcW w:w="845" w:type="dxa"/>
            <w:shd w:val="clear" w:color="auto" w:fill="DBE5F1" w:themeFill="accent1" w:themeFillTint="33"/>
          </w:tcPr>
          <w:p>
            <w:pPr>
              <w:jc w:val="center"/>
              <w:rPr>
                <w:rFonts w:ascii="Calibri" w:hAnsi="Calibri" w:cs="Arial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A</w:t>
            </w:r>
          </w:p>
        </w:tc>
        <w:tc>
          <w:tcPr>
            <w:tcW w:w="2126" w:type="dxa"/>
            <w:shd w:val="clear" w:color="auto" w:fill="DBE5F1" w:themeFill="accent1" w:themeFillTint="33"/>
          </w:tcPr>
          <w:p>
            <w:pPr>
              <w:rPr>
                <w:rFonts w:ascii="Calibri" w:hAnsi="Calibri" w:cs="Arial"/>
                <w:color w:val="000000"/>
                <w:sz w:val="18"/>
                <w:szCs w:val="18"/>
              </w:rPr>
            </w:pPr>
            <w:r>
              <w:rPr>
                <w:rFonts w:ascii="Calibri" w:hAnsi="Calibri" w:cs="Arial"/>
                <w:color w:val="000000"/>
                <w:sz w:val="18"/>
                <w:szCs w:val="18"/>
              </w:rPr>
              <w:t>INSS</w:t>
            </w:r>
          </w:p>
        </w:tc>
        <w:tc>
          <w:tcPr>
            <w:tcW w:w="850" w:type="dxa"/>
            <w:shd w:val="clear" w:color="auto" w:fill="DBE5F1" w:themeFill="accent1" w:themeFillTint="33"/>
          </w:tcPr>
          <w:p>
            <w:pPr>
              <w:jc w:val="center"/>
              <w:rPr>
                <w:rFonts w:ascii="Calibri" w:hAnsi="Calibri" w:cs="Arial"/>
                <w:color w:val="000000"/>
                <w:sz w:val="18"/>
                <w:szCs w:val="18"/>
              </w:rPr>
            </w:pPr>
            <w:r>
              <w:rPr>
                <w:rFonts w:ascii="Calibri" w:hAnsi="Calibri" w:cs="Arial"/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842" w:type="dxa"/>
            <w:shd w:val="clear" w:color="auto" w:fill="DBE5F1" w:themeFill="accent1" w:themeFillTint="33"/>
          </w:tcPr>
          <w:p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6"/>
                <w:szCs w:val="16"/>
              </w:rPr>
              <w:t xml:space="preserve">Total da remuneração </w:t>
            </w:r>
            <w:r>
              <w:rPr>
                <w:rFonts w:ascii="Calibri" w:hAnsi="Calibri" w:cs="Arial"/>
                <w:sz w:val="18"/>
                <w:szCs w:val="18"/>
              </w:rPr>
              <w:t>x %</w:t>
            </w:r>
          </w:p>
        </w:tc>
        <w:tc>
          <w:tcPr>
            <w:tcW w:w="3344" w:type="dxa"/>
            <w:shd w:val="clear" w:color="auto" w:fill="DBE5F1" w:themeFill="accent1" w:themeFillTint="33"/>
          </w:tcPr>
          <w:p>
            <w:pPr>
              <w:rPr>
                <w:rFonts w:ascii="Calibri" w:hAnsi="Calibri" w:cs="Arial"/>
                <w:color w:val="000000"/>
                <w:sz w:val="18"/>
                <w:szCs w:val="18"/>
              </w:rPr>
            </w:pPr>
            <w:r>
              <w:rPr>
                <w:rFonts w:ascii="Calibri" w:hAnsi="Calibri" w:cs="Arial"/>
                <w:color w:val="000000"/>
                <w:sz w:val="18"/>
                <w:szCs w:val="18"/>
              </w:rPr>
              <w:t>Art.22, Inciso I da Lei 8.212/91</w:t>
            </w:r>
          </w:p>
        </w:tc>
      </w:tr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845" w:type="dxa"/>
          </w:tcPr>
          <w:p>
            <w:pPr>
              <w:jc w:val="center"/>
              <w:rPr>
                <w:rFonts w:ascii="Calibri" w:hAnsi="Calibri" w:cs="Arial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B</w:t>
            </w:r>
          </w:p>
        </w:tc>
        <w:tc>
          <w:tcPr>
            <w:tcW w:w="2126" w:type="dxa"/>
          </w:tcPr>
          <w:p>
            <w:pPr>
              <w:rPr>
                <w:rFonts w:ascii="Calibri" w:hAnsi="Calibri" w:cs="Arial"/>
                <w:color w:val="000000"/>
                <w:sz w:val="18"/>
                <w:szCs w:val="18"/>
              </w:rPr>
            </w:pPr>
            <w:r>
              <w:rPr>
                <w:rFonts w:ascii="Calibri" w:hAnsi="Calibri" w:cs="Arial"/>
                <w:color w:val="000000"/>
                <w:sz w:val="18"/>
                <w:szCs w:val="18"/>
              </w:rPr>
              <w:t>SALÁRIO EDUCAÇÃO</w:t>
            </w:r>
          </w:p>
        </w:tc>
        <w:tc>
          <w:tcPr>
            <w:tcW w:w="850" w:type="dxa"/>
          </w:tcPr>
          <w:p>
            <w:pPr>
              <w:jc w:val="center"/>
              <w:rPr>
                <w:rFonts w:ascii="Calibri" w:hAnsi="Calibri" w:cs="Arial"/>
                <w:color w:val="000000"/>
                <w:sz w:val="18"/>
                <w:szCs w:val="18"/>
              </w:rPr>
            </w:pPr>
            <w:r>
              <w:rPr>
                <w:rFonts w:ascii="Calibri" w:hAnsi="Calibri" w:cs="Arial"/>
                <w:color w:val="000000"/>
                <w:sz w:val="18"/>
                <w:szCs w:val="18"/>
              </w:rPr>
              <w:t>2,50</w:t>
            </w:r>
          </w:p>
        </w:tc>
        <w:tc>
          <w:tcPr>
            <w:tcW w:w="1842" w:type="dxa"/>
          </w:tcPr>
          <w:p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6"/>
                <w:szCs w:val="16"/>
              </w:rPr>
              <w:t xml:space="preserve">Total da remuneração </w:t>
            </w:r>
            <w:r>
              <w:rPr>
                <w:rFonts w:ascii="Calibri" w:hAnsi="Calibri" w:cs="Arial"/>
                <w:sz w:val="18"/>
                <w:szCs w:val="18"/>
              </w:rPr>
              <w:t>x %</w:t>
            </w:r>
          </w:p>
        </w:tc>
        <w:tc>
          <w:tcPr>
            <w:tcW w:w="3344" w:type="dxa"/>
          </w:tcPr>
          <w:p>
            <w:pPr>
              <w:rPr>
                <w:rFonts w:ascii="Calibri" w:hAnsi="Calibri" w:cs="Arial"/>
                <w:color w:val="000000"/>
                <w:sz w:val="18"/>
                <w:szCs w:val="18"/>
              </w:rPr>
            </w:pPr>
            <w:r>
              <w:rPr>
                <w:rFonts w:ascii="Calibri" w:hAnsi="Calibri" w:cs="Arial"/>
                <w:color w:val="000000"/>
                <w:sz w:val="18"/>
                <w:szCs w:val="18"/>
              </w:rPr>
              <w:t>Art.3º, Inciso I, Decreto 87.043/82</w:t>
            </w:r>
          </w:p>
        </w:tc>
      </w:tr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</w:trPr>
        <w:tc>
          <w:tcPr>
            <w:tcW w:w="845" w:type="dxa"/>
            <w:shd w:val="clear" w:color="auto" w:fill="DBE5F1" w:themeFill="accent1" w:themeFillTint="33"/>
          </w:tcPr>
          <w:p>
            <w:pPr>
              <w:jc w:val="center"/>
              <w:rPr>
                <w:rFonts w:ascii="Calibri" w:hAnsi="Calibri" w:cs="Arial"/>
                <w:b/>
                <w:bCs w:val="0"/>
                <w:color w:val="FF0000"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color w:val="FF0000"/>
                <w:sz w:val="18"/>
                <w:szCs w:val="18"/>
              </w:rPr>
              <w:t>C</w:t>
            </w:r>
          </w:p>
        </w:tc>
        <w:tc>
          <w:tcPr>
            <w:tcW w:w="2126" w:type="dxa"/>
            <w:shd w:val="clear" w:color="auto" w:fill="DBE5F1" w:themeFill="accent1" w:themeFillTint="33"/>
          </w:tcPr>
          <w:p>
            <w:pPr>
              <w:rPr>
                <w:rFonts w:ascii="Calibri" w:hAnsi="Calibri" w:cs="Arial"/>
                <w:b/>
                <w:color w:val="FF0000"/>
                <w:sz w:val="18"/>
                <w:szCs w:val="18"/>
              </w:rPr>
            </w:pPr>
            <w:r>
              <w:rPr>
                <w:rFonts w:ascii="Calibri" w:hAnsi="Calibri" w:cs="Arial"/>
                <w:b/>
                <w:color w:val="FF0000"/>
                <w:sz w:val="18"/>
                <w:szCs w:val="18"/>
              </w:rPr>
              <w:t>Seguro de Acidente de Trabalho (SAT)</w:t>
            </w:r>
          </w:p>
        </w:tc>
        <w:tc>
          <w:tcPr>
            <w:tcW w:w="850" w:type="dxa"/>
            <w:shd w:val="clear" w:color="auto" w:fill="DBE5F1" w:themeFill="accent1" w:themeFillTint="33"/>
          </w:tcPr>
          <w:p>
            <w:pPr>
              <w:jc w:val="center"/>
              <w:rPr>
                <w:rFonts w:ascii="Calibri" w:hAnsi="Calibri" w:cs="Arial"/>
                <w:b/>
                <w:color w:val="FF0000"/>
                <w:sz w:val="18"/>
                <w:szCs w:val="18"/>
              </w:rPr>
            </w:pPr>
            <w:r>
              <w:rPr>
                <w:rFonts w:ascii="Calibri" w:hAnsi="Calibri" w:cs="Arial"/>
                <w:b/>
                <w:color w:val="FF0000"/>
                <w:sz w:val="18"/>
                <w:szCs w:val="18"/>
              </w:rPr>
              <w:t>6,0</w:t>
            </w:r>
          </w:p>
        </w:tc>
        <w:tc>
          <w:tcPr>
            <w:tcW w:w="1842" w:type="dxa"/>
            <w:shd w:val="clear" w:color="auto" w:fill="DBE5F1" w:themeFill="accent1" w:themeFillTint="33"/>
          </w:tcPr>
          <w:p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  <w:t xml:space="preserve"> </w:t>
            </w:r>
            <w:r>
              <w:rPr>
                <w:rFonts w:ascii="Calibri" w:hAnsi="Calibri" w:cs="Arial"/>
                <w:sz w:val="16"/>
                <w:szCs w:val="16"/>
              </w:rPr>
              <w:t xml:space="preserve">Total da remuneração </w:t>
            </w:r>
            <w:r>
              <w:rPr>
                <w:rFonts w:ascii="Calibri" w:hAnsi="Calibri" w:cs="Arial"/>
                <w:sz w:val="18"/>
                <w:szCs w:val="18"/>
              </w:rPr>
              <w:t>x %</w:t>
            </w:r>
          </w:p>
          <w:p>
            <w:pPr>
              <w:rPr>
                <w:rFonts w:asciiTheme="minorHAnsi" w:hAnsiTheme="minorHAnsi"/>
                <w:sz w:val="16"/>
                <w:szCs w:val="16"/>
                <w:highlight w:val="white"/>
              </w:rPr>
            </w:pPr>
            <w:r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  <w:t>RAT: 1%, 2% ou </w:t>
            </w:r>
            <w:r>
              <w:rPr>
                <w:rStyle w:val="8"/>
                <w:rFonts w:asciiTheme="minorHAnsi" w:hAnsiTheme="minorHAnsi"/>
                <w:b w:val="0"/>
                <w:sz w:val="16"/>
                <w:szCs w:val="16"/>
                <w:shd w:val="clear" w:color="auto" w:fill="FFFFFF"/>
              </w:rPr>
              <w:t>3%</w:t>
            </w:r>
            <w:r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  <w:t> x </w:t>
            </w:r>
            <w:r>
              <w:rPr>
                <w:rStyle w:val="39"/>
                <w:rFonts w:asciiTheme="minorHAnsi" w:hAnsiTheme="minorHAnsi"/>
                <w:sz w:val="16"/>
                <w:szCs w:val="16"/>
                <w:shd w:val="clear" w:color="auto" w:fill="FFFFFF"/>
              </w:rPr>
              <w:t>FAP</w:t>
            </w:r>
            <w:r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  <w:t xml:space="preserve">: 0,5 a 2% </w:t>
            </w:r>
          </w:p>
          <w:p>
            <w:pPr>
              <w:rPr>
                <w:rFonts w:asciiTheme="minorHAnsi" w:hAnsiTheme="minorHAnsi"/>
                <w:sz w:val="16"/>
                <w:szCs w:val="16"/>
                <w:highlight w:val="white"/>
              </w:rPr>
            </w:pPr>
          </w:p>
          <w:p>
            <w:pPr>
              <w:rPr>
                <w:rFonts w:cs="Arial" w:asciiTheme="minorHAnsi" w:hAnsiTheme="minorHAnsi"/>
                <w:color w:val="000000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color w:val="000000"/>
                <w:sz w:val="18"/>
                <w:szCs w:val="18"/>
                <w:shd w:val="clear" w:color="auto" w:fill="FFFFFF"/>
              </w:rPr>
              <w:t>CNAE 8011-1/01</w:t>
            </w:r>
            <w:r>
              <w:rPr>
                <w:rFonts w:asciiTheme="minorHAnsi" w:hAnsiTheme="minorHAnsi" w:cstheme="minorHAnsi"/>
                <w:sz w:val="18"/>
                <w:szCs w:val="18"/>
                <w:shd w:val="clear" w:color="auto" w:fill="FFFFFF"/>
              </w:rPr>
              <w:t xml:space="preserve">= </w:t>
            </w:r>
            <w:r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  <w:t xml:space="preserve">RAT </w:t>
            </w:r>
            <w:r>
              <w:rPr>
                <w:rFonts w:asciiTheme="minorHAnsi" w:hAnsiTheme="minorHAnsi"/>
                <w:b/>
                <w:sz w:val="16"/>
                <w:szCs w:val="16"/>
                <w:shd w:val="clear" w:color="auto" w:fill="FFFFFF"/>
              </w:rPr>
              <w:t>3% x</w:t>
            </w:r>
            <w:r>
              <w:rPr>
                <w:rFonts w:asciiTheme="minorHAnsi" w:hAnsiTheme="minorHAnsi"/>
                <w:b/>
                <w:color w:val="FF0000"/>
                <w:sz w:val="16"/>
                <w:szCs w:val="16"/>
                <w:shd w:val="clear" w:color="auto" w:fill="FFFFFF"/>
              </w:rPr>
              <w:t xml:space="preserve"> 2% FAP </w:t>
            </w:r>
            <w:r>
              <w:rPr>
                <w:rFonts w:asciiTheme="minorHAnsi" w:hAnsiTheme="minorHAnsi"/>
                <w:sz w:val="16"/>
                <w:szCs w:val="16"/>
                <w:shd w:val="clear" w:color="auto" w:fill="FFFFFF"/>
              </w:rPr>
              <w:t>(considerando a maior)</w:t>
            </w:r>
            <w:r>
              <w:rPr>
                <w:rFonts w:cs="Arial" w:asciiTheme="minorHAnsi" w:hAnsiTheme="minorHAnsi"/>
                <w:sz w:val="18"/>
                <w:szCs w:val="18"/>
              </w:rPr>
              <w:t xml:space="preserve"> </w:t>
            </w:r>
          </w:p>
        </w:tc>
        <w:tc>
          <w:tcPr>
            <w:tcW w:w="3344" w:type="dxa"/>
            <w:shd w:val="clear" w:color="auto" w:fill="DBE5F1" w:themeFill="accent1" w:themeFillTint="33"/>
          </w:tcPr>
          <w:p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 xml:space="preserve">RATxFAT – </w:t>
            </w:r>
            <w:r>
              <w:rPr>
                <w:rStyle w:val="11"/>
                <w:rFonts w:asciiTheme="minorHAnsi" w:hAnsiTheme="minorHAnsi"/>
                <w:sz w:val="18"/>
                <w:szCs w:val="18"/>
                <w:shd w:val="clear" w:color="auto" w:fill="FFFFFF"/>
              </w:rPr>
              <w:t>Fundamentação: art. 22, inciso II, alíneas ‘b’ e ‘c’, da Lei nº 8.212/91.</w:t>
            </w:r>
            <w:r>
              <w:rPr>
                <w:rFonts w:asciiTheme="minorHAnsi" w:hAnsiTheme="minorHAnsi"/>
                <w:sz w:val="18"/>
                <w:szCs w:val="18"/>
                <w:shd w:val="clear" w:color="auto" w:fill="FFFFFF"/>
              </w:rPr>
              <w:t> C</w:t>
            </w:r>
            <w:r>
              <w:rPr>
                <w:rFonts w:ascii="Calibri" w:hAnsi="Calibri" w:cs="Arial"/>
                <w:sz w:val="18"/>
                <w:szCs w:val="18"/>
              </w:rPr>
              <w:t>onforme GFIP do mês anterior à data da proposta – Para estimativa, considerado o maior valor possível.</w:t>
            </w:r>
          </w:p>
        </w:tc>
      </w:tr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atLeast"/>
        </w:trPr>
        <w:tc>
          <w:tcPr>
            <w:tcW w:w="845" w:type="dxa"/>
          </w:tcPr>
          <w:p>
            <w:pPr>
              <w:jc w:val="center"/>
              <w:rPr>
                <w:rFonts w:ascii="Calibri" w:hAnsi="Calibri" w:cs="Arial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D</w:t>
            </w:r>
          </w:p>
        </w:tc>
        <w:tc>
          <w:tcPr>
            <w:tcW w:w="2126" w:type="dxa"/>
          </w:tcPr>
          <w:p>
            <w:pPr>
              <w:rPr>
                <w:rFonts w:ascii="Calibri" w:hAnsi="Calibri" w:cs="Arial"/>
                <w:color w:val="000000"/>
                <w:sz w:val="18"/>
                <w:szCs w:val="18"/>
              </w:rPr>
            </w:pPr>
            <w:r>
              <w:rPr>
                <w:rFonts w:ascii="Calibri" w:hAnsi="Calibri" w:cs="Arial"/>
                <w:color w:val="000000"/>
                <w:sz w:val="18"/>
                <w:szCs w:val="18"/>
              </w:rPr>
              <w:t>SESC OU SESI</w:t>
            </w:r>
          </w:p>
        </w:tc>
        <w:tc>
          <w:tcPr>
            <w:tcW w:w="850" w:type="dxa"/>
          </w:tcPr>
          <w:p>
            <w:pPr>
              <w:jc w:val="center"/>
              <w:rPr>
                <w:rFonts w:ascii="Calibri" w:hAnsi="Calibri" w:cs="Arial"/>
                <w:color w:val="000000"/>
                <w:sz w:val="18"/>
                <w:szCs w:val="18"/>
              </w:rPr>
            </w:pPr>
            <w:r>
              <w:rPr>
                <w:rFonts w:ascii="Calibri" w:hAnsi="Calibri" w:cs="Arial"/>
                <w:color w:val="000000"/>
                <w:sz w:val="18"/>
                <w:szCs w:val="18"/>
              </w:rPr>
              <w:t>1,50</w:t>
            </w:r>
          </w:p>
        </w:tc>
        <w:tc>
          <w:tcPr>
            <w:tcW w:w="1842" w:type="dxa"/>
          </w:tcPr>
          <w:p>
            <w:r>
              <w:rPr>
                <w:rFonts w:ascii="Calibri" w:hAnsi="Calibri" w:cs="Arial"/>
                <w:sz w:val="16"/>
                <w:szCs w:val="16"/>
              </w:rPr>
              <w:t xml:space="preserve">Total da remuneração </w:t>
            </w:r>
            <w:r>
              <w:rPr>
                <w:rFonts w:ascii="Calibri" w:hAnsi="Calibri" w:cs="Arial"/>
                <w:sz w:val="18"/>
                <w:szCs w:val="18"/>
              </w:rPr>
              <w:t>x %</w:t>
            </w:r>
          </w:p>
        </w:tc>
        <w:tc>
          <w:tcPr>
            <w:tcW w:w="3344" w:type="dxa"/>
          </w:tcPr>
          <w:p>
            <w:pPr>
              <w:rPr>
                <w:rFonts w:ascii="Calibri" w:hAnsi="Calibri" w:cs="Arial"/>
                <w:color w:val="000000"/>
                <w:sz w:val="18"/>
                <w:szCs w:val="18"/>
              </w:rPr>
            </w:pPr>
            <w:r>
              <w:rPr>
                <w:rFonts w:ascii="Calibri" w:hAnsi="Calibri" w:cs="Arial"/>
                <w:color w:val="000000"/>
                <w:sz w:val="18"/>
                <w:szCs w:val="18"/>
              </w:rPr>
              <w:t>Art.3º, da lei 8036/90</w:t>
            </w:r>
          </w:p>
        </w:tc>
      </w:tr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845" w:type="dxa"/>
            <w:shd w:val="clear" w:color="auto" w:fill="DBE5F1" w:themeFill="accent1" w:themeFillTint="33"/>
          </w:tcPr>
          <w:p>
            <w:pPr>
              <w:jc w:val="center"/>
              <w:rPr>
                <w:rFonts w:ascii="Calibri" w:hAnsi="Calibri" w:cs="Arial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E</w:t>
            </w:r>
          </w:p>
        </w:tc>
        <w:tc>
          <w:tcPr>
            <w:tcW w:w="2126" w:type="dxa"/>
            <w:shd w:val="clear" w:color="auto" w:fill="DBE5F1" w:themeFill="accent1" w:themeFillTint="33"/>
          </w:tcPr>
          <w:p>
            <w:pPr>
              <w:rPr>
                <w:rFonts w:ascii="Calibri" w:hAnsi="Calibri" w:cs="Arial"/>
                <w:color w:val="000000"/>
                <w:sz w:val="18"/>
                <w:szCs w:val="18"/>
              </w:rPr>
            </w:pPr>
            <w:r>
              <w:rPr>
                <w:rFonts w:ascii="Calibri" w:hAnsi="Calibri" w:cs="Arial"/>
                <w:color w:val="000000"/>
                <w:sz w:val="18"/>
                <w:szCs w:val="18"/>
              </w:rPr>
              <w:t>SENAI OU SENAC</w:t>
            </w:r>
          </w:p>
        </w:tc>
        <w:tc>
          <w:tcPr>
            <w:tcW w:w="850" w:type="dxa"/>
            <w:shd w:val="clear" w:color="auto" w:fill="DBE5F1" w:themeFill="accent1" w:themeFillTint="33"/>
          </w:tcPr>
          <w:p>
            <w:pPr>
              <w:jc w:val="center"/>
              <w:rPr>
                <w:rFonts w:ascii="Calibri" w:hAnsi="Calibri" w:cs="Arial"/>
                <w:color w:val="000000"/>
                <w:sz w:val="18"/>
                <w:szCs w:val="18"/>
              </w:rPr>
            </w:pPr>
            <w:r>
              <w:rPr>
                <w:rFonts w:ascii="Calibri" w:hAnsi="Calibri" w:cs="Arial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1842" w:type="dxa"/>
            <w:shd w:val="clear" w:color="auto" w:fill="DBE5F1" w:themeFill="accent1" w:themeFillTint="33"/>
          </w:tcPr>
          <w:p>
            <w:r>
              <w:rPr>
                <w:rFonts w:ascii="Calibri" w:hAnsi="Calibri" w:cs="Arial"/>
                <w:sz w:val="16"/>
                <w:szCs w:val="16"/>
              </w:rPr>
              <w:t xml:space="preserve">Total da remuneração </w:t>
            </w:r>
            <w:r>
              <w:rPr>
                <w:rFonts w:ascii="Calibri" w:hAnsi="Calibri" w:cs="Arial"/>
                <w:sz w:val="18"/>
                <w:szCs w:val="18"/>
              </w:rPr>
              <w:t>x %</w:t>
            </w:r>
          </w:p>
        </w:tc>
        <w:tc>
          <w:tcPr>
            <w:tcW w:w="3344" w:type="dxa"/>
            <w:shd w:val="clear" w:color="auto" w:fill="DBE5F1" w:themeFill="accent1" w:themeFillTint="33"/>
          </w:tcPr>
          <w:p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Decreto 2.318/86</w:t>
            </w:r>
          </w:p>
        </w:tc>
      </w:tr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</w:trPr>
        <w:tc>
          <w:tcPr>
            <w:tcW w:w="845" w:type="dxa"/>
          </w:tcPr>
          <w:p>
            <w:pPr>
              <w:jc w:val="center"/>
              <w:rPr>
                <w:rFonts w:ascii="Calibri" w:hAnsi="Calibri" w:cs="Arial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F</w:t>
            </w:r>
          </w:p>
        </w:tc>
        <w:tc>
          <w:tcPr>
            <w:tcW w:w="2126" w:type="dxa"/>
          </w:tcPr>
          <w:p>
            <w:pPr>
              <w:rPr>
                <w:rFonts w:ascii="Calibri" w:hAnsi="Calibri" w:cs="Arial"/>
                <w:color w:val="000000"/>
                <w:sz w:val="18"/>
                <w:szCs w:val="18"/>
              </w:rPr>
            </w:pPr>
            <w:r>
              <w:rPr>
                <w:rFonts w:ascii="Calibri" w:hAnsi="Calibri" w:cs="Arial"/>
                <w:color w:val="000000"/>
                <w:sz w:val="18"/>
                <w:szCs w:val="18"/>
              </w:rPr>
              <w:t>SEBRAE</w:t>
            </w:r>
          </w:p>
        </w:tc>
        <w:tc>
          <w:tcPr>
            <w:tcW w:w="850" w:type="dxa"/>
          </w:tcPr>
          <w:p>
            <w:pPr>
              <w:jc w:val="center"/>
              <w:rPr>
                <w:rFonts w:ascii="Calibri" w:hAnsi="Calibri" w:cs="Arial"/>
                <w:color w:val="000000"/>
                <w:sz w:val="18"/>
                <w:szCs w:val="18"/>
              </w:rPr>
            </w:pPr>
            <w:r>
              <w:rPr>
                <w:rFonts w:ascii="Calibri" w:hAnsi="Calibri" w:cs="Arial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1842" w:type="dxa"/>
          </w:tcPr>
          <w:p>
            <w:r>
              <w:rPr>
                <w:rFonts w:ascii="Calibri" w:hAnsi="Calibri" w:cs="Arial"/>
                <w:sz w:val="16"/>
                <w:szCs w:val="16"/>
              </w:rPr>
              <w:t xml:space="preserve">Total da remuneração </w:t>
            </w:r>
            <w:r>
              <w:rPr>
                <w:rFonts w:ascii="Calibri" w:hAnsi="Calibri" w:cs="Arial"/>
                <w:sz w:val="18"/>
                <w:szCs w:val="18"/>
              </w:rPr>
              <w:t>x %</w:t>
            </w:r>
          </w:p>
        </w:tc>
        <w:tc>
          <w:tcPr>
            <w:tcW w:w="3344" w:type="dxa"/>
          </w:tcPr>
          <w:p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Art.8º, Lei 8029/90 e Lei 8154/90</w:t>
            </w:r>
          </w:p>
        </w:tc>
      </w:tr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845" w:type="dxa"/>
            <w:shd w:val="clear" w:color="auto" w:fill="DBE5F1" w:themeFill="accent1" w:themeFillTint="33"/>
          </w:tcPr>
          <w:p>
            <w:pPr>
              <w:jc w:val="center"/>
              <w:rPr>
                <w:rFonts w:ascii="Calibri" w:hAnsi="Calibri" w:cs="Arial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G</w:t>
            </w:r>
          </w:p>
        </w:tc>
        <w:tc>
          <w:tcPr>
            <w:tcW w:w="2126" w:type="dxa"/>
            <w:shd w:val="clear" w:color="auto" w:fill="DBE5F1" w:themeFill="accent1" w:themeFillTint="33"/>
          </w:tcPr>
          <w:p>
            <w:pPr>
              <w:rPr>
                <w:rFonts w:ascii="Calibri" w:hAnsi="Calibri" w:cs="Arial"/>
                <w:color w:val="000000"/>
                <w:sz w:val="18"/>
                <w:szCs w:val="18"/>
              </w:rPr>
            </w:pPr>
            <w:r>
              <w:rPr>
                <w:rFonts w:ascii="Calibri" w:hAnsi="Calibri" w:cs="Arial"/>
                <w:color w:val="000000"/>
                <w:sz w:val="18"/>
                <w:szCs w:val="18"/>
              </w:rPr>
              <w:t>INCRA</w:t>
            </w:r>
          </w:p>
        </w:tc>
        <w:tc>
          <w:tcPr>
            <w:tcW w:w="850" w:type="dxa"/>
            <w:shd w:val="clear" w:color="auto" w:fill="DBE5F1" w:themeFill="accent1" w:themeFillTint="33"/>
          </w:tcPr>
          <w:p>
            <w:pPr>
              <w:jc w:val="center"/>
              <w:rPr>
                <w:rFonts w:ascii="Calibri" w:hAnsi="Calibri" w:cs="Arial"/>
                <w:color w:val="000000"/>
                <w:sz w:val="18"/>
                <w:szCs w:val="18"/>
              </w:rPr>
            </w:pPr>
            <w:r>
              <w:rPr>
                <w:rFonts w:ascii="Calibri" w:hAnsi="Calibri" w:cs="Arial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1842" w:type="dxa"/>
            <w:shd w:val="clear" w:color="auto" w:fill="DBE5F1" w:themeFill="accent1" w:themeFillTint="33"/>
          </w:tcPr>
          <w:p>
            <w:r>
              <w:rPr>
                <w:rFonts w:ascii="Calibri" w:hAnsi="Calibri" w:cs="Arial"/>
                <w:sz w:val="16"/>
                <w:szCs w:val="16"/>
              </w:rPr>
              <w:t xml:space="preserve">Total da remuneração </w:t>
            </w:r>
            <w:r>
              <w:rPr>
                <w:rFonts w:ascii="Calibri" w:hAnsi="Calibri" w:cs="Arial"/>
                <w:sz w:val="18"/>
                <w:szCs w:val="18"/>
              </w:rPr>
              <w:t>x %</w:t>
            </w:r>
          </w:p>
        </w:tc>
        <w:tc>
          <w:tcPr>
            <w:tcW w:w="3344" w:type="dxa"/>
            <w:shd w:val="clear" w:color="auto" w:fill="DBE5F1" w:themeFill="accent1" w:themeFillTint="33"/>
          </w:tcPr>
          <w:p>
            <w:pPr>
              <w:rPr>
                <w:rFonts w:ascii="Calibri" w:hAnsi="Calibri" w:cs="Arial"/>
                <w:color w:val="000000"/>
                <w:sz w:val="18"/>
                <w:szCs w:val="18"/>
              </w:rPr>
            </w:pPr>
            <w:r>
              <w:rPr>
                <w:rFonts w:ascii="Calibri" w:hAnsi="Calibri" w:cs="Arial"/>
                <w:color w:val="000000"/>
                <w:sz w:val="18"/>
                <w:szCs w:val="18"/>
              </w:rPr>
              <w:t>Lei 7787/89 e DL 1146/70</w:t>
            </w:r>
          </w:p>
        </w:tc>
      </w:tr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845" w:type="dxa"/>
          </w:tcPr>
          <w:p>
            <w:pPr>
              <w:jc w:val="center"/>
              <w:rPr>
                <w:rFonts w:ascii="Calibri" w:hAnsi="Calibri" w:cs="Arial"/>
                <w:b w:val="0"/>
                <w:bCs w:val="0"/>
                <w:color w:val="000000"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H</w:t>
            </w:r>
          </w:p>
        </w:tc>
        <w:tc>
          <w:tcPr>
            <w:tcW w:w="2126" w:type="dxa"/>
          </w:tcPr>
          <w:p>
            <w:pPr>
              <w:rPr>
                <w:rFonts w:ascii="Calibri" w:hAnsi="Calibri" w:cs="Arial"/>
                <w:color w:val="000000"/>
                <w:sz w:val="18"/>
                <w:szCs w:val="18"/>
              </w:rPr>
            </w:pPr>
            <w:r>
              <w:rPr>
                <w:rFonts w:ascii="Calibri" w:hAnsi="Calibri" w:cs="Arial"/>
                <w:color w:val="000000"/>
                <w:sz w:val="18"/>
                <w:szCs w:val="18"/>
              </w:rPr>
              <w:t>FGTS</w:t>
            </w:r>
          </w:p>
        </w:tc>
        <w:tc>
          <w:tcPr>
            <w:tcW w:w="850" w:type="dxa"/>
          </w:tcPr>
          <w:p>
            <w:pPr>
              <w:jc w:val="center"/>
              <w:rPr>
                <w:rFonts w:ascii="Calibri" w:hAnsi="Calibri" w:cs="Arial"/>
                <w:color w:val="000000"/>
                <w:sz w:val="18"/>
                <w:szCs w:val="18"/>
              </w:rPr>
            </w:pPr>
            <w:r>
              <w:rPr>
                <w:rFonts w:ascii="Calibri" w:hAnsi="Calibri" w:cs="Arial"/>
                <w:color w:val="000000"/>
                <w:sz w:val="18"/>
                <w:szCs w:val="18"/>
              </w:rPr>
              <w:t>8,00</w:t>
            </w:r>
          </w:p>
        </w:tc>
        <w:tc>
          <w:tcPr>
            <w:tcW w:w="1842" w:type="dxa"/>
          </w:tcPr>
          <w:p>
            <w:r>
              <w:rPr>
                <w:rFonts w:ascii="Calibri" w:hAnsi="Calibri" w:cs="Arial"/>
                <w:sz w:val="16"/>
                <w:szCs w:val="16"/>
              </w:rPr>
              <w:t xml:space="preserve">Total da remuneração </w:t>
            </w:r>
            <w:r>
              <w:rPr>
                <w:rFonts w:ascii="Calibri" w:hAnsi="Calibri" w:cs="Arial"/>
                <w:sz w:val="18"/>
                <w:szCs w:val="18"/>
              </w:rPr>
              <w:t>x %</w:t>
            </w:r>
          </w:p>
        </w:tc>
        <w:tc>
          <w:tcPr>
            <w:tcW w:w="3344" w:type="dxa"/>
          </w:tcPr>
          <w:p>
            <w:pPr>
              <w:rPr>
                <w:rFonts w:ascii="Calibri" w:hAnsi="Calibri" w:cs="Arial"/>
                <w:color w:val="000000"/>
                <w:sz w:val="18"/>
                <w:szCs w:val="18"/>
              </w:rPr>
            </w:pPr>
            <w:r>
              <w:rPr>
                <w:rFonts w:ascii="Calibri" w:hAnsi="Calibri" w:cs="Arial"/>
                <w:color w:val="000000"/>
                <w:sz w:val="18"/>
                <w:szCs w:val="18"/>
              </w:rPr>
              <w:t>Art.15, da Lei 8036/90 e Art.7º III, CF</w:t>
            </w:r>
          </w:p>
        </w:tc>
      </w:tr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845" w:type="dxa"/>
            <w:shd w:val="clear" w:color="auto" w:fill="DBE5F1" w:themeFill="accent1" w:themeFillTint="33"/>
          </w:tcPr>
          <w:p>
            <w:pPr>
              <w:jc w:val="center"/>
              <w:rPr>
                <w:rFonts w:ascii="Calibri" w:hAnsi="Calibri" w:cs="Arial"/>
                <w:b w:val="0"/>
                <w:bCs w:val="0"/>
                <w:color w:val="000000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DBE5F1" w:themeFill="accent1" w:themeFillTint="33"/>
          </w:tcPr>
          <w:p>
            <w:pPr>
              <w:rPr>
                <w:rFonts w:ascii="Calibri" w:hAnsi="Calibri" w:cs="Arial"/>
                <w:color w:val="000000"/>
                <w:sz w:val="18"/>
                <w:szCs w:val="18"/>
              </w:rPr>
            </w:pPr>
            <w:r>
              <w:rPr>
                <w:rFonts w:ascii="Calibri" w:hAnsi="Calibri" w:cs="Arial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850" w:type="dxa"/>
            <w:shd w:val="clear" w:color="auto" w:fill="DBE5F1" w:themeFill="accent1" w:themeFillTint="33"/>
          </w:tcPr>
          <w:p>
            <w:pPr>
              <w:jc w:val="center"/>
              <w:rPr>
                <w:rFonts w:ascii="Calibri" w:hAnsi="Calibri" w:cs="Arial"/>
                <w:color w:val="000000"/>
                <w:sz w:val="18"/>
                <w:szCs w:val="18"/>
              </w:rPr>
            </w:pPr>
            <w:r>
              <w:rPr>
                <w:rFonts w:ascii="Calibri" w:hAnsi="Calibri" w:cs="Arial"/>
                <w:color w:val="000000"/>
                <w:sz w:val="18"/>
                <w:szCs w:val="18"/>
              </w:rPr>
              <w:t>39,80</w:t>
            </w:r>
          </w:p>
        </w:tc>
        <w:tc>
          <w:tcPr>
            <w:tcW w:w="1842" w:type="dxa"/>
            <w:shd w:val="clear" w:color="auto" w:fill="DBE5F1" w:themeFill="accent1" w:themeFillTint="33"/>
          </w:tcPr>
          <w:p>
            <w:pPr>
              <w:jc w:val="center"/>
              <w:rPr>
                <w:rFonts w:ascii="Calibri" w:hAnsi="Calibri" w:cs="Arial"/>
                <w:color w:val="000000"/>
                <w:sz w:val="18"/>
                <w:szCs w:val="18"/>
              </w:rPr>
            </w:pPr>
          </w:p>
        </w:tc>
        <w:tc>
          <w:tcPr>
            <w:tcW w:w="3344" w:type="dxa"/>
            <w:shd w:val="clear" w:color="auto" w:fill="DBE5F1" w:themeFill="accent1" w:themeFillTint="33"/>
          </w:tcPr>
          <w:p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</w:tbl>
    <w:p>
      <w:pPr>
        <w:pStyle w:val="65"/>
        <w:shd w:val="clear" w:color="auto" w:fill="FFFFFF"/>
        <w:spacing w:beforeAutospacing="0" w:afterAutospacing="0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Style w:val="8"/>
          <w:rFonts w:asciiTheme="minorHAnsi" w:hAnsiTheme="minorHAnsi" w:cstheme="minorHAnsi"/>
          <w:color w:val="000000"/>
          <w:sz w:val="22"/>
          <w:szCs w:val="22"/>
        </w:rPr>
        <w:t>Nota 1:</w:t>
      </w:r>
      <w:r>
        <w:rPr>
          <w:rFonts w:asciiTheme="minorHAnsi" w:hAnsiTheme="minorHAnsi" w:cstheme="minorHAnsi"/>
          <w:color w:val="000000"/>
          <w:sz w:val="22"/>
          <w:szCs w:val="22"/>
        </w:rPr>
        <w:t> Os percentuais dos encargos previdenciários, do FGTS e demais contribuições são aqueles estabelecidos pela legislação vigente.</w:t>
      </w:r>
    </w:p>
    <w:p>
      <w:pPr>
        <w:pStyle w:val="65"/>
        <w:shd w:val="clear" w:color="auto" w:fill="FFFFFF"/>
        <w:spacing w:beforeAutospacing="0" w:afterAutospacing="0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</w:p>
    <w:p>
      <w:pPr>
        <w:pStyle w:val="65"/>
        <w:shd w:val="clear" w:color="auto" w:fill="FFFFFF"/>
        <w:spacing w:beforeAutospacing="0" w:afterAutospacing="0"/>
        <w:textAlignment w:val="baseline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Style w:val="8"/>
          <w:rFonts w:asciiTheme="minorHAnsi" w:hAnsiTheme="minorHAnsi" w:cstheme="minorHAnsi"/>
          <w:color w:val="000000"/>
          <w:sz w:val="22"/>
          <w:szCs w:val="22"/>
        </w:rPr>
        <w:t>Nota 2:</w:t>
      </w:r>
      <w:r>
        <w:rPr>
          <w:rFonts w:asciiTheme="minorHAnsi" w:hAnsiTheme="minorHAnsi" w:cstheme="minorHAnsi"/>
          <w:color w:val="000000"/>
          <w:sz w:val="22"/>
          <w:szCs w:val="22"/>
        </w:rPr>
        <w:t> O SAT a depender do grau de risco do serviço irá variar entre 1%, para risco leve, de 2%, para risco médio, e de 3% de risco grave. No caso, consideraremos as alíquotas de 3%, relativa à Atividades de vigilância e segurança privada (CNAE 8011-1/01).</w:t>
      </w:r>
    </w:p>
    <w:p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>
      <w:pPr>
        <w:jc w:val="both"/>
        <w:rPr>
          <w:rFonts w:asciiTheme="minorHAnsi" w:hAnsiTheme="minorHAnsi" w:cstheme="minorHAnsi"/>
          <w:color w:val="000000"/>
          <w:sz w:val="22"/>
          <w:szCs w:val="22"/>
          <w:highlight w:val="white"/>
        </w:rPr>
      </w:pPr>
      <w:r>
        <w:rPr>
          <w:rFonts w:asciiTheme="minorHAnsi" w:hAnsiTheme="minorHAnsi" w:cstheme="minorHAnsi"/>
          <w:sz w:val="22"/>
          <w:szCs w:val="22"/>
        </w:rPr>
        <mc:AlternateContent>
          <mc:Choice Requires="wps">
            <w:drawing>
              <wp:anchor distT="91440" distB="91440" distL="137160" distR="137160" simplePos="0" relativeHeight="251661312" behindDoc="0" locked="0" layoutInCell="1" allowOverlap="1">
                <wp:simplePos x="0" y="0"/>
                <wp:positionH relativeFrom="margin">
                  <wp:posOffset>-635</wp:posOffset>
                </wp:positionH>
                <wp:positionV relativeFrom="margin">
                  <wp:posOffset>-4182745</wp:posOffset>
                </wp:positionV>
                <wp:extent cx="1802765" cy="2482215"/>
                <wp:effectExtent l="3175" t="0" r="0" b="0"/>
                <wp:wrapSquare wrapText="bothSides"/>
                <wp:docPr id="5" name="AutoForma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802160" cy="2481480"/>
                        </a:xfrm>
                        <a:prstGeom prst="roundRect">
                          <a:avLst>
                            <a:gd name="adj" fmla="val 13032"/>
                          </a:avLst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63"/>
                              <w:spacing w:beforeAutospacing="0" w:afterAutospacing="0"/>
                              <w:rPr>
                                <w:rFonts w:cs="Arial" w:asciiTheme="minorHAnsi" w:hAnsiTheme="minorHAnsi"/>
                                <w:i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iCs/>
                                <w:sz w:val="20"/>
                                <w:szCs w:val="20"/>
                              </w:rPr>
                              <w:t>Fórmula dias: [(365 / 7) x 5 – 9] /12 = </w:t>
                            </w:r>
                            <w:r>
                              <w:rPr>
                                <w:rStyle w:val="8"/>
                                <w:rFonts w:asciiTheme="minorHAnsi" w:hAnsiTheme="minorHAnsi"/>
                                <w:iCs/>
                                <w:sz w:val="20"/>
                                <w:szCs w:val="20"/>
                              </w:rPr>
                              <w:t>20,98</w:t>
                            </w:r>
                          </w:p>
                          <w:p>
                            <w:pPr>
                              <w:pStyle w:val="19"/>
                              <w:spacing w:beforeAutospacing="0" w:afterAutospacing="0"/>
                              <w:rPr>
                                <w:rFonts w:cs="Arial" w:asciiTheme="minorHAnsi" w:hAnsiTheme="minorHAnsi"/>
                                <w:i/>
                                <w:iCs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Style w:val="11"/>
                                <w:rFonts w:asciiTheme="minorHAnsi" w:hAnsiTheme="minorHAnsi"/>
                                <w:sz w:val="20"/>
                                <w:szCs w:val="20"/>
                                <w:u w:val="single"/>
                              </w:rPr>
                              <w:t>Onde:</w:t>
                            </w:r>
                          </w:p>
                          <w:p>
                            <w:pPr>
                              <w:pStyle w:val="64"/>
                              <w:spacing w:beforeAutospacing="0" w:afterAutospacing="0"/>
                              <w:ind w:left="600"/>
                            </w:pPr>
                            <w:r>
                              <w:rPr>
                                <w:rFonts w:asciiTheme="minorHAnsi" w:hAnsiTheme="minorHAnsi"/>
                                <w:i/>
                                <w:iCs/>
                                <w:sz w:val="20"/>
                                <w:szCs w:val="20"/>
                              </w:rPr>
                              <w:t>365 = número de dias no ano</w:t>
                            </w:r>
                            <w:r>
                              <w:rPr>
                                <w:rFonts w:asciiTheme="minorHAnsi" w:hAnsiTheme="minorHAnsi"/>
                                <w:i/>
                                <w:iCs/>
                                <w:sz w:val="20"/>
                                <w:szCs w:val="20"/>
                              </w:rPr>
                              <w:br w:type="textWrapping"/>
                            </w:r>
                            <w:r>
                              <w:rPr>
                                <w:rFonts w:asciiTheme="minorHAnsi" w:hAnsiTheme="minorHAnsi"/>
                                <w:i/>
                                <w:iCs/>
                                <w:sz w:val="20"/>
                                <w:szCs w:val="20"/>
                              </w:rPr>
                              <w:t>7 = número de dias na semana</w:t>
                            </w:r>
                            <w:r>
                              <w:rPr>
                                <w:rFonts w:asciiTheme="minorHAnsi" w:hAnsiTheme="minorHAnsi"/>
                                <w:i/>
                                <w:iCs/>
                                <w:sz w:val="20"/>
                                <w:szCs w:val="20"/>
                              </w:rPr>
                              <w:br w:type="textWrapping"/>
                            </w:r>
                            <w:r>
                              <w:rPr>
                                <w:rFonts w:asciiTheme="minorHAnsi" w:hAnsiTheme="minorHAnsi"/>
                                <w:i/>
                                <w:iCs/>
                                <w:sz w:val="20"/>
                                <w:szCs w:val="20"/>
                              </w:rPr>
                              <w:t>5 = número de dias úteis (segunda a sexta)</w:t>
                            </w:r>
                            <w:r>
                              <w:rPr>
                                <w:rFonts w:asciiTheme="minorHAnsi" w:hAnsiTheme="minorHAnsi"/>
                                <w:i/>
                                <w:iCs/>
                                <w:sz w:val="20"/>
                                <w:szCs w:val="20"/>
                              </w:rPr>
                              <w:br w:type="textWrapping"/>
                            </w:r>
                            <w:r>
                              <w:rPr>
                                <w:rFonts w:asciiTheme="minorHAnsi" w:hAnsiTheme="minorHAnsi"/>
                                <w:i/>
                                <w:iCs/>
                                <w:sz w:val="20"/>
                                <w:szCs w:val="20"/>
                              </w:rPr>
                              <w:t>9 = número de feriados nacionais em dias úteis (média)</w:t>
                            </w:r>
                            <w:r>
                              <w:rPr>
                                <w:rFonts w:asciiTheme="minorHAnsi" w:hAnsiTheme="minorHAnsi"/>
                                <w:i/>
                                <w:iCs/>
                                <w:sz w:val="20"/>
                                <w:szCs w:val="20"/>
                              </w:rPr>
                              <w:br w:type="textWrapping"/>
                            </w:r>
                            <w:r>
                              <w:rPr>
                                <w:rFonts w:asciiTheme="minorHAnsi" w:hAnsiTheme="minorHAnsi"/>
                                <w:i/>
                                <w:iCs/>
                                <w:sz w:val="20"/>
                                <w:szCs w:val="20"/>
                              </w:rPr>
                              <w:t>12 = número de meses no ano</w:t>
                            </w:r>
                          </w:p>
                        </w:txbxContent>
                      </wps:txbx>
                      <wps:bodyPr anchor="ctr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AutoForma 2" o:spid="_x0000_s1026" o:spt="2" style="position:absolute;left:0pt;margin-left:-0.05pt;margin-top:-329.35pt;height:195.45pt;width:141.95pt;mso-position-horizontal-relative:margin;mso-position-vertical-relative:margin;mso-wrap-distance-bottom:7.2pt;mso-wrap-distance-left:10.8pt;mso-wrap-distance-right:10.8pt;mso-wrap-distance-top:7.2pt;rotation:5898240f;z-index:251661312;v-text-anchor:middle;mso-width-relative:page;mso-height-relative:page;" fillcolor="#D7E4BD [1302]" filled="t" stroked="f" coordsize="21600,21600" arcsize="0.130324074074074" o:gfxdata="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">
                <v:fill on="t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pStyle w:val="63"/>
                        <w:spacing w:beforeAutospacing="0" w:afterAutospacing="0"/>
                        <w:rPr>
                          <w:rFonts w:cs="Arial" w:asciiTheme="minorHAnsi" w:hAnsiTheme="minorHAnsi"/>
                          <w:iCs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/>
                          <w:iCs/>
                          <w:sz w:val="20"/>
                          <w:szCs w:val="20"/>
                        </w:rPr>
                        <w:t>Fórmula dias: [(365 / 7) x 5 – 9] /12 = </w:t>
                      </w:r>
                      <w:r>
                        <w:rPr>
                          <w:rStyle w:val="8"/>
                          <w:rFonts w:asciiTheme="minorHAnsi" w:hAnsiTheme="minorHAnsi"/>
                          <w:iCs/>
                          <w:sz w:val="20"/>
                          <w:szCs w:val="20"/>
                        </w:rPr>
                        <w:t>20,98</w:t>
                      </w:r>
                    </w:p>
                    <w:p>
                      <w:pPr>
                        <w:pStyle w:val="19"/>
                        <w:spacing w:beforeAutospacing="0" w:afterAutospacing="0"/>
                        <w:rPr>
                          <w:rFonts w:cs="Arial" w:asciiTheme="minorHAnsi" w:hAnsiTheme="minorHAnsi"/>
                          <w:i/>
                          <w:iCs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Style w:val="11"/>
                          <w:rFonts w:asciiTheme="minorHAnsi" w:hAnsiTheme="minorHAnsi"/>
                          <w:sz w:val="20"/>
                          <w:szCs w:val="20"/>
                          <w:u w:val="single"/>
                        </w:rPr>
                        <w:t>Onde:</w:t>
                      </w:r>
                    </w:p>
                    <w:p>
                      <w:pPr>
                        <w:pStyle w:val="64"/>
                        <w:spacing w:beforeAutospacing="0" w:afterAutospacing="0"/>
                        <w:ind w:left="600"/>
                      </w:pPr>
                      <w:r>
                        <w:rPr>
                          <w:rFonts w:asciiTheme="minorHAnsi" w:hAnsiTheme="minorHAnsi"/>
                          <w:i/>
                          <w:iCs/>
                          <w:sz w:val="20"/>
                          <w:szCs w:val="20"/>
                        </w:rPr>
                        <w:t>365 = número de dias no ano</w:t>
                      </w:r>
                      <w:r>
                        <w:rPr>
                          <w:rFonts w:asciiTheme="minorHAnsi" w:hAnsiTheme="minorHAnsi"/>
                          <w:i/>
                          <w:iCs/>
                          <w:sz w:val="20"/>
                          <w:szCs w:val="20"/>
                        </w:rPr>
                        <w:br w:type="textWrapping"/>
                      </w:r>
                      <w:r>
                        <w:rPr>
                          <w:rFonts w:asciiTheme="minorHAnsi" w:hAnsiTheme="minorHAnsi"/>
                          <w:i/>
                          <w:iCs/>
                          <w:sz w:val="20"/>
                          <w:szCs w:val="20"/>
                        </w:rPr>
                        <w:t>7 = número de dias na semana</w:t>
                      </w:r>
                      <w:r>
                        <w:rPr>
                          <w:rFonts w:asciiTheme="minorHAnsi" w:hAnsiTheme="minorHAnsi"/>
                          <w:i/>
                          <w:iCs/>
                          <w:sz w:val="20"/>
                          <w:szCs w:val="20"/>
                        </w:rPr>
                        <w:br w:type="textWrapping"/>
                      </w:r>
                      <w:r>
                        <w:rPr>
                          <w:rFonts w:asciiTheme="minorHAnsi" w:hAnsiTheme="minorHAnsi"/>
                          <w:i/>
                          <w:iCs/>
                          <w:sz w:val="20"/>
                          <w:szCs w:val="20"/>
                        </w:rPr>
                        <w:t>5 = número de dias úteis (segunda a sexta)</w:t>
                      </w:r>
                      <w:r>
                        <w:rPr>
                          <w:rFonts w:asciiTheme="minorHAnsi" w:hAnsiTheme="minorHAnsi"/>
                          <w:i/>
                          <w:iCs/>
                          <w:sz w:val="20"/>
                          <w:szCs w:val="20"/>
                        </w:rPr>
                        <w:br w:type="textWrapping"/>
                      </w:r>
                      <w:r>
                        <w:rPr>
                          <w:rFonts w:asciiTheme="minorHAnsi" w:hAnsiTheme="minorHAnsi"/>
                          <w:i/>
                          <w:iCs/>
                          <w:sz w:val="20"/>
                          <w:szCs w:val="20"/>
                        </w:rPr>
                        <w:t>9 = número de feriados nacionais em dias úteis (média)</w:t>
                      </w:r>
                      <w:r>
                        <w:rPr>
                          <w:rFonts w:asciiTheme="minorHAnsi" w:hAnsiTheme="minorHAnsi"/>
                          <w:i/>
                          <w:iCs/>
                          <w:sz w:val="20"/>
                          <w:szCs w:val="20"/>
                        </w:rPr>
                        <w:br w:type="textWrapping"/>
                      </w:r>
                      <w:r>
                        <w:rPr>
                          <w:rFonts w:asciiTheme="minorHAnsi" w:hAnsiTheme="minorHAnsi"/>
                          <w:i/>
                          <w:iCs/>
                          <w:sz w:val="20"/>
                          <w:szCs w:val="20"/>
                        </w:rPr>
                        <w:t>12 = número de meses no ano</w:t>
                      </w:r>
                    </w:p>
                  </w:txbxContent>
                </v:textbox>
                <w10:wrap type="square"/>
              </v:roundrect>
            </w:pict>
          </mc:Fallback>
        </mc:AlternateContent>
      </w:r>
      <w:r>
        <w:rPr>
          <w:rStyle w:val="8"/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Nota 3:</w:t>
      </w:r>
      <w:r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 Esses percentuais incidem sobre o Módulo 1, o Submódulo 2.1.  </w:t>
      </w:r>
    </w:p>
    <w:p>
      <w:pPr>
        <w:jc w:val="both"/>
        <w:rPr>
          <w:rFonts w:asciiTheme="minorHAnsi" w:hAnsiTheme="minorHAnsi" w:cstheme="minorHAnsi"/>
          <w:color w:val="000000"/>
          <w:sz w:val="22"/>
          <w:szCs w:val="22"/>
          <w:highlight w:val="white"/>
        </w:rPr>
      </w:pPr>
      <w:r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Obs.: Incidirá apenas na linha A do Submódulo 2.1 pois, na base de cálculo no primeiro ano, consideraremos que, inicialmente, não haverá prorrogação do contrato e segundo a tabela de incidência do </w:t>
      </w:r>
      <w:r>
        <w:rPr>
          <w:rFonts w:asciiTheme="minorHAnsi" w:hAnsiTheme="minorHAnsi" w:cstheme="minorHAnsi"/>
          <w:b/>
          <w:color w:val="000000"/>
          <w:sz w:val="22"/>
          <w:szCs w:val="22"/>
          <w:shd w:val="clear" w:color="auto" w:fill="FFFFFF"/>
        </w:rPr>
        <w:t>GPS e FGTS não incide sobre indenizações</w:t>
      </w:r>
      <w:r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>.</w:t>
      </w:r>
    </w:p>
    <w:p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No segundo ano, no caso de prorrogação, utilizar somente o 1/3 constitucional.</w:t>
      </w:r>
    </w:p>
    <w:p>
      <w:pPr>
        <w:jc w:val="both"/>
        <w:rPr>
          <w:rFonts w:asciiTheme="minorHAnsi" w:hAnsiTheme="minorHAnsi" w:cstheme="minorHAnsi"/>
          <w:sz w:val="22"/>
          <w:szCs w:val="22"/>
          <w:u w:val="single"/>
          <w:lang w:val="pt-PT"/>
        </w:rPr>
      </w:pPr>
    </w:p>
    <w:p>
      <w:pPr>
        <w:jc w:val="both"/>
        <w:rPr>
          <w:rFonts w:asciiTheme="minorHAnsi" w:hAnsiTheme="minorHAnsi" w:cstheme="minorHAnsi"/>
          <w:sz w:val="22"/>
          <w:szCs w:val="22"/>
          <w:lang w:val="pt-PT"/>
        </w:rPr>
      </w:pPr>
      <w:r>
        <w:rPr>
          <w:rFonts w:asciiTheme="minorHAnsi" w:hAnsiTheme="minorHAnsi" w:cstheme="minorHAnsi"/>
          <w:sz w:val="22"/>
          <w:szCs w:val="22"/>
          <w:u w:val="single"/>
          <w:lang w:val="pt-PT"/>
        </w:rPr>
        <w:t>OBS</w:t>
      </w:r>
      <w:r>
        <w:rPr>
          <w:rFonts w:asciiTheme="minorHAnsi" w:hAnsiTheme="minorHAnsi" w:cstheme="minorHAnsi"/>
          <w:sz w:val="22"/>
          <w:szCs w:val="22"/>
          <w:lang w:val="pt-PT"/>
        </w:rPr>
        <w:t xml:space="preserve">.: Para fins de cálculo do GPS, FGTS e outras contribuições (item 2.2 do quadro resumo do Módulo 2), deverá ser considerado o </w:t>
      </w:r>
      <w:r>
        <w:rPr>
          <w:rFonts w:asciiTheme="minorHAnsi" w:hAnsiTheme="minorHAnsi" w:cstheme="minorHAnsi"/>
          <w:b/>
          <w:sz w:val="22"/>
          <w:szCs w:val="22"/>
          <w:lang w:val="pt-PT"/>
        </w:rPr>
        <w:t>total do Submódulo 2.2</w:t>
      </w:r>
      <w:r>
        <w:rPr>
          <w:rFonts w:asciiTheme="minorHAnsi" w:hAnsiTheme="minorHAnsi" w:cstheme="minorHAnsi"/>
          <w:sz w:val="22"/>
          <w:szCs w:val="22"/>
          <w:lang w:val="pt-PT"/>
        </w:rPr>
        <w:t xml:space="preserve"> + Incidência do Submódulo 2.2  - Encargos previdenciários (GPS), FGTS e outras contribuições sobre o 13º (décimo terceiro) Salário, Férias e Adicional de Férias (letra C do Submódulo 2.1).</w:t>
      </w:r>
    </w:p>
    <w:p>
      <w:pPr>
        <w:jc w:val="both"/>
        <w:rPr>
          <w:rFonts w:asciiTheme="minorHAnsi" w:hAnsiTheme="minorHAnsi" w:cstheme="minorHAnsi"/>
          <w:sz w:val="22"/>
          <w:szCs w:val="22"/>
          <w:u w:val="single"/>
          <w:lang w:val="pt-PT"/>
        </w:rPr>
      </w:pPr>
    </w:p>
    <w:p>
      <w:pPr>
        <w:jc w:val="both"/>
        <w:rPr>
          <w:rFonts w:asciiTheme="minorHAnsi" w:hAnsiTheme="minorHAnsi" w:cstheme="minorHAnsi"/>
          <w:sz w:val="22"/>
          <w:szCs w:val="22"/>
          <w:u w:val="single"/>
          <w:lang w:val="pt-PT"/>
        </w:rPr>
      </w:pPr>
      <w:r>
        <w:rPr>
          <w:rFonts w:asciiTheme="minorHAnsi" w:hAnsiTheme="minorHAnsi" w:cstheme="minorHAnsi"/>
          <w:sz w:val="22"/>
          <w:szCs w:val="22"/>
          <w:u w:val="single"/>
          <w:lang w:val="pt-PT"/>
        </w:rPr>
        <w:t>Submódulo 2.3 - Benefícios Mensais e Diários</w:t>
      </w:r>
    </w:p>
    <w:p>
      <w:pPr>
        <w:jc w:val="both"/>
        <w:rPr>
          <w:rFonts w:asciiTheme="minorHAnsi" w:hAnsiTheme="minorHAnsi" w:cstheme="minorHAnsi"/>
          <w:sz w:val="22"/>
          <w:szCs w:val="22"/>
          <w:u w:val="single"/>
          <w:lang w:val="pt-PT"/>
        </w:rPr>
      </w:pPr>
    </w:p>
    <w:p>
      <w:pPr>
        <w:jc w:val="both"/>
        <w:rPr>
          <w:rFonts w:ascii="Calibri" w:hAnsi="Calibri" w:cs="Arial"/>
          <w:b/>
          <w:u w:val="single"/>
          <w:lang w:val="pt-PT"/>
        </w:rPr>
      </w:pPr>
      <w:r>
        <w:rPr>
          <w:rFonts w:ascii="Calibri" w:hAnsi="Calibri" w:cs="Arial"/>
          <w:b/>
          <w:u w:val="single"/>
          <w:lang w:val="pt-PT"/>
        </w:rPr>
        <w:t>Conforme CCT:</w:t>
      </w:r>
    </w:p>
    <w:p>
      <w:pPr>
        <w:jc w:val="both"/>
        <w:rPr>
          <w:rFonts w:ascii="Calibri" w:hAnsi="Calibri" w:cs="Arial"/>
          <w:b/>
          <w:u w:val="single"/>
          <w:lang w:val="pt-PT"/>
        </w:rPr>
      </w:pPr>
    </w:p>
    <w:tbl>
      <w:tblPr>
        <w:tblStyle w:val="70"/>
        <w:tblW w:w="7938" w:type="dxa"/>
        <w:tblInd w:w="0" w:type="dxa"/>
        <w:tblBorders>
          <w:top w:val="single" w:color="95B3D7" w:themeColor="accent1" w:themeTint="99" w:sz="4" w:space="0"/>
          <w:left w:val="single" w:color="95B3D7" w:themeColor="accent1" w:themeTint="99" w:sz="4" w:space="0"/>
          <w:bottom w:val="single" w:color="95B3D7" w:themeColor="accent1" w:themeTint="99" w:sz="4" w:space="0"/>
          <w:right w:val="single" w:color="95B3D7" w:themeColor="accent1" w:themeTint="99" w:sz="4" w:space="0"/>
          <w:insideH w:val="single" w:color="95B3D7" w:themeColor="accent1" w:themeTint="99" w:sz="4" w:space="0"/>
          <w:insideV w:val="single" w:color="95B3D7" w:themeColor="accent1" w:themeTint="99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62"/>
        <w:gridCol w:w="2410"/>
        <w:gridCol w:w="4966"/>
      </w:tblGrid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62" w:type="dxa"/>
            <w:tcBorders>
              <w:top w:val="single" w:color="4F81BD" w:themeColor="accent1" w:sz="4" w:space="0"/>
              <w:left w:val="single" w:color="4F81BD" w:themeColor="accent1" w:sz="4" w:space="0"/>
              <w:bottom w:val="single" w:color="4F81BD" w:themeColor="accent1" w:sz="4" w:space="0"/>
              <w:right w:val="nil"/>
              <w:insideH w:val="single" w:sz="4" w:space="0"/>
              <w:insideV w:val="nil"/>
            </w:tcBorders>
            <w:shd w:val="clear" w:color="auto" w:fill="4F81BD" w:themeFill="accent1"/>
          </w:tcPr>
          <w:p>
            <w:pPr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2.3</w:t>
            </w:r>
          </w:p>
        </w:tc>
        <w:tc>
          <w:tcPr>
            <w:tcW w:w="2410" w:type="dxa"/>
            <w:tcBorders>
              <w:top w:val="single" w:color="4F81BD" w:themeColor="accent1" w:sz="4" w:space="0"/>
              <w:bottom w:val="single" w:color="4F81BD" w:themeColor="accent1" w:sz="4" w:space="0"/>
              <w:right w:val="nil"/>
              <w:insideH w:val="single" w:sz="4" w:space="0"/>
              <w:insideV w:val="nil"/>
            </w:tcBorders>
            <w:shd w:val="clear" w:color="auto" w:fill="4F81BD" w:themeFill="accent1"/>
          </w:tcPr>
          <w:p>
            <w:pPr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BENEFÍCIOS MENSAIS E DIÁRIOS</w:t>
            </w:r>
          </w:p>
        </w:tc>
        <w:tc>
          <w:tcPr>
            <w:tcW w:w="4966" w:type="dxa"/>
            <w:tcBorders>
              <w:top w:val="single" w:color="4F81BD" w:themeColor="accent1" w:sz="4" w:space="0"/>
              <w:bottom w:val="single" w:color="4F81BD" w:themeColor="accent1" w:sz="4" w:space="0"/>
              <w:right w:val="single" w:color="4F81BD" w:themeColor="accent1" w:sz="4" w:space="0"/>
              <w:insideH w:val="single" w:sz="4" w:space="0"/>
              <w:insideV w:val="nil"/>
            </w:tcBorders>
            <w:shd w:val="clear" w:color="auto" w:fill="4F81BD" w:themeFill="accent1"/>
          </w:tcPr>
          <w:p>
            <w:pPr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 xml:space="preserve">VALOR (R$) </w:t>
            </w:r>
          </w:p>
        </w:tc>
      </w:tr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1" w:hRule="atLeast"/>
        </w:trPr>
        <w:tc>
          <w:tcPr>
            <w:tcW w:w="562" w:type="dxa"/>
            <w:shd w:val="clear" w:color="auto" w:fill="DBE5F1" w:themeFill="accent1" w:themeFillTint="33"/>
          </w:tcPr>
          <w:p>
            <w:pPr>
              <w:jc w:val="center"/>
              <w:rPr>
                <w:rFonts w:ascii="Calibri" w:hAnsi="Calibri" w:cs="Arial"/>
                <w:b w:val="0"/>
                <w:bCs w:val="0"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>A</w:t>
            </w:r>
          </w:p>
        </w:tc>
        <w:tc>
          <w:tcPr>
            <w:tcW w:w="2410" w:type="dxa"/>
            <w:shd w:val="clear" w:color="auto" w:fill="DBE5F1" w:themeFill="accent1" w:themeFillTint="33"/>
          </w:tcPr>
          <w:p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Transporte</w:t>
            </w:r>
          </w:p>
        </w:tc>
        <w:tc>
          <w:tcPr>
            <w:tcW w:w="4966" w:type="dxa"/>
            <w:shd w:val="clear" w:color="auto" w:fill="DBE5F1" w:themeFill="accent1" w:themeFillTint="33"/>
          </w:tcPr>
          <w:p>
            <w:pPr>
              <w:spacing w:line="276" w:lineRule="auto"/>
              <w:jc w:val="both"/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valor do transporte x nº de passagens por dia x nº de dias trabalhados – (6% x valor salário base)</w:t>
            </w:r>
          </w:p>
        </w:tc>
      </w:tr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62" w:type="dxa"/>
          </w:tcPr>
          <w:p>
            <w:pPr>
              <w:jc w:val="center"/>
              <w:rPr>
                <w:rFonts w:ascii="Calibri" w:hAnsi="Calibri" w:cs="Arial"/>
                <w:b w:val="0"/>
                <w:bCs w:val="0"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>B</w:t>
            </w:r>
          </w:p>
        </w:tc>
        <w:tc>
          <w:tcPr>
            <w:tcW w:w="2410" w:type="dxa"/>
          </w:tcPr>
          <w:p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Auxílio Refeição/Alimentação</w:t>
            </w:r>
          </w:p>
        </w:tc>
        <w:tc>
          <w:tcPr>
            <w:tcW w:w="4966" w:type="dxa"/>
          </w:tcPr>
          <w:p>
            <w:pPr>
              <w:spacing w:line="276" w:lineRule="auto"/>
              <w:jc w:val="both"/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valor do vale alimentação mensal (R$ 29,00) x nº de dias de trabalho (</w:t>
            </w:r>
            <w:r>
              <w:rPr>
                <w:rFonts w:ascii="Calibri" w:hAnsi="Calibri" w:cs="Arial"/>
                <w:iCs/>
                <w:sz w:val="18"/>
                <w:szCs w:val="18"/>
              </w:rPr>
              <w:t>Clausula 8ª da CCT)</w:t>
            </w:r>
          </w:p>
        </w:tc>
      </w:tr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62" w:type="dxa"/>
            <w:shd w:val="clear" w:color="auto" w:fill="DBE5F1" w:themeFill="accent1" w:themeFillTint="33"/>
          </w:tcPr>
          <w:p>
            <w:pPr>
              <w:jc w:val="center"/>
              <w:rPr>
                <w:rFonts w:ascii="Calibri" w:hAnsi="Calibri" w:cs="Arial"/>
                <w:b w:val="0"/>
                <w:bCs w:val="0"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>C</w:t>
            </w:r>
          </w:p>
        </w:tc>
        <w:tc>
          <w:tcPr>
            <w:tcW w:w="2410" w:type="dxa"/>
            <w:shd w:val="clear" w:color="auto" w:fill="DBE5F1" w:themeFill="accent1" w:themeFillTint="33"/>
          </w:tcPr>
          <w:p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  <w:lang w:eastAsia="en-US"/>
              </w:rPr>
              <w:t>Seguro de Vida</w:t>
            </w:r>
          </w:p>
        </w:tc>
        <w:tc>
          <w:tcPr>
            <w:tcW w:w="4966" w:type="dxa"/>
            <w:shd w:val="clear" w:color="auto" w:fill="DBE5F1" w:themeFill="accent1" w:themeFillTint="33"/>
          </w:tcPr>
          <w:p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Cláusula 11ª da CCT – prêmio de pelo menos 55 vezes o salário do vigilante</w:t>
            </w:r>
          </w:p>
        </w:tc>
      </w:tr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62" w:type="dxa"/>
            <w:shd w:val="clear" w:color="auto" w:fill="DBE5F1" w:themeFill="accent1" w:themeFillTint="33"/>
          </w:tcPr>
          <w:p>
            <w:pPr>
              <w:jc w:val="center"/>
              <w:rPr>
                <w:rFonts w:ascii="Calibri" w:hAnsi="Calibri" w:cs="Arial"/>
                <w:b w:val="0"/>
                <w:bCs w:val="0"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>D</w:t>
            </w:r>
          </w:p>
        </w:tc>
        <w:tc>
          <w:tcPr>
            <w:tcW w:w="2410" w:type="dxa"/>
            <w:shd w:val="clear" w:color="auto" w:fill="DBE5F1" w:themeFill="accent1" w:themeFillTint="33"/>
          </w:tcPr>
          <w:p>
            <w:pPr>
              <w:rPr>
                <w:rFonts w:ascii="Calibri" w:hAnsi="Calibri" w:cs="Arial"/>
                <w:sz w:val="18"/>
                <w:szCs w:val="18"/>
                <w:lang w:eastAsia="en-US"/>
              </w:rPr>
            </w:pPr>
            <w:r>
              <w:rPr>
                <w:rFonts w:ascii="Calibri" w:hAnsi="Calibri" w:cs="Arial"/>
                <w:sz w:val="18"/>
                <w:szCs w:val="18"/>
                <w:lang w:eastAsia="en-US"/>
              </w:rPr>
              <w:t>Assistência médica e familiar (B</w:t>
            </w:r>
            <w:r>
              <w:rPr>
                <w:rFonts w:cs="Arial"/>
                <w:sz w:val="18"/>
                <w:szCs w:val="18"/>
                <w:lang w:eastAsia="en-US"/>
              </w:rPr>
              <w:t xml:space="preserve">enefício Social </w:t>
            </w:r>
            <w:r>
              <w:rPr>
                <w:rFonts w:ascii="Calibri" w:hAnsi="Calibri" w:cs="Arial"/>
                <w:sz w:val="18"/>
                <w:szCs w:val="18"/>
                <w:lang w:eastAsia="en-US"/>
              </w:rPr>
              <w:t>Familiar)</w:t>
            </w:r>
          </w:p>
          <w:p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4966" w:type="dxa"/>
            <w:shd w:val="clear" w:color="auto" w:fill="DBE5F1" w:themeFill="accent1" w:themeFillTint="33"/>
          </w:tcPr>
          <w:p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Cláusula 10ª da CCT =  R$27,00, vedado qualquer desconto do trabalhador</w:t>
            </w:r>
          </w:p>
        </w:tc>
      </w:tr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2972" w:type="dxa"/>
            <w:gridSpan w:val="2"/>
            <w:shd w:val="clear" w:color="auto" w:fill="DBE5F1" w:themeFill="accent1" w:themeFillTint="33"/>
          </w:tcPr>
          <w:p>
            <w:pPr>
              <w:jc w:val="center"/>
              <w:rPr>
                <w:rFonts w:ascii="Calibri" w:hAnsi="Calibri" w:cs="Arial"/>
                <w:b w:val="0"/>
                <w:bCs w:val="0"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4966" w:type="dxa"/>
            <w:shd w:val="clear" w:color="auto" w:fill="DBE5F1" w:themeFill="accent1" w:themeFillTint="33"/>
          </w:tcPr>
          <w:p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</w:tbl>
    <w:p>
      <w:pPr>
        <w:jc w:val="both"/>
        <w:rPr>
          <w:rFonts w:ascii="Calibri" w:hAnsi="Calibri" w:cs="Arial"/>
          <w:b/>
          <w:u w:val="single"/>
          <w:lang w:val="pt-PT"/>
        </w:rPr>
      </w:pPr>
    </w:p>
    <w:p>
      <w:pPr>
        <w:jc w:val="both"/>
        <w:rPr>
          <w:rFonts w:ascii="Calibri" w:hAnsi="Calibri" w:cs="Arial"/>
          <w:b/>
          <w:u w:val="single"/>
          <w:lang w:val="pt-PT"/>
        </w:rPr>
      </w:pPr>
    </w:p>
    <w:p>
      <w:pPr>
        <w:shd w:val="clear" w:color="auto" w:fill="FFFFFF"/>
        <w:textAlignment w:val="baseline"/>
        <w:rPr>
          <w:rFonts w:asciiTheme="minorHAnsi" w:hAnsiTheme="minorHAnsi" w:cstheme="minorHAnsi"/>
          <w:color w:val="000000"/>
          <w:lang w:eastAsia="en-US"/>
        </w:rPr>
      </w:pPr>
      <w:r>
        <w:rPr>
          <w:rFonts w:asciiTheme="minorHAnsi" w:hAnsiTheme="minorHAnsi" w:cstheme="minorHAnsi"/>
          <w:b/>
          <w:bCs/>
          <w:color w:val="000000"/>
          <w:lang w:eastAsia="en-US"/>
        </w:rPr>
        <w:t>Nota 1: </w:t>
      </w:r>
      <w:r>
        <w:rPr>
          <w:rFonts w:asciiTheme="minorHAnsi" w:hAnsiTheme="minorHAnsi" w:cstheme="minorHAnsi"/>
          <w:color w:val="000000"/>
          <w:lang w:eastAsia="en-US"/>
        </w:rPr>
        <w:t>Observar a previsão dos benefícios contidos em Acordos, Convenções e Dissídios Coletivos de Trabalho e atentar-se ao disposto no art. 6º da IN 5/2017.</w:t>
      </w:r>
    </w:p>
    <w:p>
      <w:pPr>
        <w:jc w:val="both"/>
        <w:rPr>
          <w:rFonts w:ascii="Calibri" w:hAnsi="Calibri" w:cs="Arial"/>
          <w:u w:val="single"/>
        </w:rPr>
      </w:pPr>
    </w:p>
    <w:p>
      <w:pPr>
        <w:spacing w:line="276" w:lineRule="auto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A) Transporte</w:t>
      </w:r>
    </w:p>
    <w:p>
      <w:pPr>
        <w:spacing w:line="276" w:lineRule="auto"/>
        <w:rPr>
          <w:rFonts w:asciiTheme="minorHAnsi" w:hAnsiTheme="minorHAnsi"/>
          <w:iCs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a.1. Para fins de estimativa, foi considerado o valor referente ao preço da passagem de ônibus em Niterói, considerando duas passagens de ida e duas passagens de volta, com o desconto de 6% do empregado</w:t>
      </w:r>
      <w:r>
        <w:rPr>
          <w:rFonts w:asciiTheme="minorHAnsi" w:hAnsiTheme="minorHAnsi"/>
          <w:iCs/>
          <w:sz w:val="22"/>
          <w:szCs w:val="22"/>
        </w:rPr>
        <w:t>:</w:t>
      </w:r>
    </w:p>
    <w:p>
      <w:pPr>
        <w:spacing w:line="276" w:lineRule="auto"/>
        <w:jc w:val="both"/>
        <w:rPr>
          <w:rFonts w:ascii="Calibri" w:hAnsi="Calibri" w:cs="Arial"/>
          <w:sz w:val="22"/>
          <w:szCs w:val="22"/>
        </w:rPr>
      </w:pPr>
    </w:p>
    <w:p>
      <w:pPr>
        <w:spacing w:line="276" w:lineRule="auto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Fórmula 44h = </w:t>
      </w:r>
      <w:r>
        <w:rPr>
          <w:rFonts w:ascii="Calibri" w:hAnsi="Calibri" w:cs="Arial"/>
          <w:b/>
          <w:sz w:val="22"/>
          <w:szCs w:val="22"/>
        </w:rPr>
        <w:t xml:space="preserve">valor do transporte x nº de passagens por dia x nº de dias trabalhados – (6% x valor salário base) – </w:t>
      </w:r>
      <w:r>
        <w:rPr>
          <w:rFonts w:ascii="Calibri" w:hAnsi="Calibri" w:cs="Arial"/>
          <w:b/>
          <w:color w:val="FF0000"/>
          <w:sz w:val="22"/>
          <w:szCs w:val="22"/>
        </w:rPr>
        <w:t>6 dias na semana</w:t>
      </w:r>
    </w:p>
    <w:p>
      <w:pPr>
        <w:spacing w:line="276" w:lineRule="auto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                                              R$ 4,05 x 4 x </w:t>
      </w:r>
      <w:r>
        <w:rPr>
          <w:rFonts w:asciiTheme="minorHAnsi" w:hAnsiTheme="minorHAnsi"/>
          <w:b/>
          <w:iCs/>
          <w:sz w:val="22"/>
          <w:szCs w:val="22"/>
        </w:rPr>
        <w:t>25,11</w:t>
      </w:r>
      <w:r>
        <w:rPr>
          <w:rFonts w:asciiTheme="minorHAnsi" w:hAnsiTheme="minorHAnsi"/>
          <w:iCs/>
          <w:sz w:val="22"/>
          <w:szCs w:val="22"/>
        </w:rPr>
        <w:t xml:space="preserve"> </w:t>
      </w:r>
      <w:r>
        <w:rPr>
          <w:rFonts w:ascii="Calibri" w:hAnsi="Calibri" w:cs="Arial"/>
          <w:sz w:val="22"/>
          <w:szCs w:val="22"/>
        </w:rPr>
        <w:t>– (6% x valor salário base)</w:t>
      </w:r>
    </w:p>
    <w:p>
      <w:pPr>
        <w:spacing w:line="276" w:lineRule="auto"/>
        <w:jc w:val="both"/>
        <w:rPr>
          <w:rFonts w:ascii="Calibri" w:hAnsi="Calibri" w:cs="Arial"/>
          <w:sz w:val="22"/>
          <w:szCs w:val="22"/>
        </w:rPr>
      </w:pPr>
    </w:p>
    <w:p>
      <w:pPr>
        <w:spacing w:line="276" w:lineRule="auto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Fórmula 44h = </w:t>
      </w:r>
      <w:r>
        <w:rPr>
          <w:rFonts w:ascii="Calibri" w:hAnsi="Calibri" w:cs="Arial"/>
          <w:b/>
          <w:sz w:val="22"/>
          <w:szCs w:val="22"/>
        </w:rPr>
        <w:t xml:space="preserve">valor do transporte x nº de passagens por dia x nº de dias trabalhados – (6% x valor salário base) – </w:t>
      </w:r>
      <w:r>
        <w:rPr>
          <w:rFonts w:ascii="Calibri" w:hAnsi="Calibri" w:cs="Arial"/>
          <w:b/>
          <w:color w:val="FF0000"/>
          <w:sz w:val="22"/>
          <w:szCs w:val="22"/>
        </w:rPr>
        <w:t>5 dias na semana</w:t>
      </w:r>
    </w:p>
    <w:p>
      <w:pPr>
        <w:spacing w:line="276" w:lineRule="auto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                                              R$ 4,05 x 4 x </w:t>
      </w:r>
      <w:r>
        <w:rPr>
          <w:rFonts w:asciiTheme="minorHAnsi" w:hAnsiTheme="minorHAnsi"/>
          <w:b/>
          <w:iCs/>
          <w:sz w:val="22"/>
          <w:szCs w:val="22"/>
        </w:rPr>
        <w:t>20,88</w:t>
      </w:r>
      <w:r>
        <w:rPr>
          <w:rFonts w:asciiTheme="minorHAnsi" w:hAnsiTheme="minorHAnsi"/>
          <w:iCs/>
          <w:sz w:val="22"/>
          <w:szCs w:val="22"/>
        </w:rPr>
        <w:t xml:space="preserve"> </w:t>
      </w:r>
      <w:r>
        <w:rPr>
          <w:rFonts w:ascii="Calibri" w:hAnsi="Calibri" w:cs="Arial"/>
          <w:sz w:val="22"/>
          <w:szCs w:val="22"/>
        </w:rPr>
        <w:t>– (6% x valor salário base)</w:t>
      </w:r>
    </w:p>
    <w:p>
      <w:pPr>
        <w:spacing w:line="276" w:lineRule="auto"/>
        <w:jc w:val="both"/>
        <w:rPr>
          <w:rFonts w:ascii="Calibri" w:hAnsi="Calibri" w:cs="Arial"/>
          <w:sz w:val="22"/>
          <w:szCs w:val="22"/>
        </w:rPr>
      </w:pPr>
    </w:p>
    <w:p>
      <w:pPr>
        <w:spacing w:line="276" w:lineRule="auto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Fórmula 12x36h = </w:t>
      </w:r>
      <w:r>
        <w:rPr>
          <w:rFonts w:ascii="Calibri" w:hAnsi="Calibri" w:cs="Arial"/>
          <w:b/>
          <w:sz w:val="22"/>
          <w:szCs w:val="22"/>
        </w:rPr>
        <w:t>valor do transporte x nº de passagens por dia x nº de dias trabalhados – (6% x valor salário base)</w:t>
      </w:r>
    </w:p>
    <w:p>
      <w:pPr>
        <w:spacing w:line="276" w:lineRule="auto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                                              R$ 4,05 x 4 x </w:t>
      </w:r>
      <w:r>
        <w:rPr>
          <w:rFonts w:asciiTheme="minorHAnsi" w:hAnsiTheme="minorHAnsi"/>
          <w:b/>
          <w:iCs/>
          <w:sz w:val="22"/>
          <w:szCs w:val="22"/>
        </w:rPr>
        <w:t>15,21</w:t>
      </w:r>
      <w:r>
        <w:rPr>
          <w:rFonts w:asciiTheme="minorHAnsi" w:hAnsiTheme="minorHAnsi"/>
          <w:iCs/>
          <w:sz w:val="22"/>
          <w:szCs w:val="22"/>
        </w:rPr>
        <w:t xml:space="preserve"> </w:t>
      </w:r>
      <w:r>
        <w:rPr>
          <w:rFonts w:ascii="Calibri" w:hAnsi="Calibri" w:cs="Arial"/>
          <w:sz w:val="22"/>
          <w:szCs w:val="22"/>
        </w:rPr>
        <w:t>– (6% x valor salário base)</w:t>
      </w:r>
    </w:p>
    <w:p>
      <w:pPr>
        <w:spacing w:line="276" w:lineRule="auto"/>
        <w:jc w:val="both"/>
        <w:rPr>
          <w:rFonts w:asciiTheme="minorHAnsi" w:hAnsiTheme="minorHAnsi"/>
          <w:b/>
          <w:iCs/>
          <w:sz w:val="22"/>
          <w:szCs w:val="22"/>
        </w:rPr>
      </w:pPr>
    </w:p>
    <w:p>
      <w:pPr>
        <w:spacing w:line="276" w:lineRule="auto"/>
        <w:jc w:val="both"/>
        <w:rPr>
          <w:rFonts w:ascii="Calibri" w:hAnsi="Calibri" w:cs="Arial"/>
          <w:sz w:val="22"/>
          <w:szCs w:val="22"/>
        </w:rPr>
      </w:pPr>
    </w:p>
    <w:p>
      <w:pPr>
        <w:spacing w:line="276" w:lineRule="auto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OBSERVAÇÃO:</w:t>
      </w:r>
      <w:r>
        <w:rPr>
          <w:rFonts w:ascii="Calibri" w:hAnsi="Calibri" w:cs="Arial"/>
          <w:sz w:val="22"/>
          <w:szCs w:val="22"/>
        </w:rPr>
        <w:t xml:space="preserve"> Tendo em vista que haverá mão de obra alocada nas unidades fora da sede, em que o valor da passagem é distinto da cidade de Niterói, esclarecemos que o valor a ser cobrado pelo vencedor, quando do faturamento dos serviços, será de acordo com o valor da passagem urbana do local da prestação de serviços, limitada ao valor máximo estimado para este custo. Para fins de dimensionamento da proposta, foi adotado o valor vigente na cidade de Niterói (R$ 4,05), que corresponde ao local de prestação de serviço com o maior percentual de mão de obra alocada.</w:t>
      </w:r>
    </w:p>
    <w:p>
      <w:pPr>
        <w:spacing w:line="276" w:lineRule="auto"/>
        <w:jc w:val="both"/>
        <w:rPr>
          <w:rFonts w:ascii="Calibri" w:hAnsi="Calibri" w:cs="Arial"/>
        </w:rPr>
      </w:pPr>
    </w:p>
    <w:p>
      <w:pPr>
        <w:spacing w:line="276" w:lineRule="auto"/>
        <w:jc w:val="both"/>
        <w:rPr>
          <w:rFonts w:ascii="Calibri" w:hAnsi="Calibri" w:cs="Arial"/>
        </w:rPr>
      </w:pPr>
      <w:r>
        <w:rPr>
          <w:rFonts w:ascii="Calibri" w:hAnsi="Calibri" w:cs="Arial"/>
          <w:color w:val="FF0000"/>
        </w:rPr>
        <w:t xml:space="preserve">                                       </w:t>
      </w:r>
    </w:p>
    <w:p>
      <w:pPr>
        <w:spacing w:line="276" w:lineRule="auto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B) Auxílio-alimentação </w:t>
      </w:r>
    </w:p>
    <w:p>
      <w:pPr>
        <w:spacing w:line="276" w:lineRule="auto"/>
        <w:jc w:val="both"/>
        <w:rPr>
          <w:rFonts w:ascii="Calibri" w:hAnsi="Calibri" w:cs="Arial"/>
          <w:b/>
          <w:sz w:val="22"/>
          <w:szCs w:val="22"/>
        </w:rPr>
      </w:pPr>
    </w:p>
    <w:p>
      <w:pPr>
        <w:spacing w:line="276" w:lineRule="auto"/>
        <w:jc w:val="both"/>
        <w:rPr>
          <w:rFonts w:ascii="Calibri" w:hAnsi="Calibri" w:cs="Arial"/>
          <w:b/>
          <w:sz w:val="22"/>
          <w:szCs w:val="22"/>
          <w:u w:val="single"/>
          <w:lang w:val="pt-PT"/>
        </w:rPr>
      </w:pPr>
      <w:r>
        <w:rPr>
          <w:rFonts w:ascii="Calibri" w:hAnsi="Calibri" w:cs="Arial"/>
          <w:b/>
          <w:sz w:val="22"/>
          <w:szCs w:val="22"/>
          <w:u w:val="single"/>
          <w:lang w:val="pt-PT"/>
        </w:rPr>
        <w:t>Todos os Postos (Vigilantes, vilgilantes motociclistas e Supervisor)</w:t>
      </w:r>
    </w:p>
    <w:p>
      <w:pPr>
        <w:spacing w:line="276" w:lineRule="auto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Valor referente ao determinado em CCT, cláusula 8ª, R$29,00 (vinte e nove reais) x nº de dias trabalhados (MMDT). </w:t>
      </w:r>
    </w:p>
    <w:p>
      <w:pPr>
        <w:spacing w:line="276" w:lineRule="auto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=(R$29,00*20,88) ou (R$29,00*15,21)</w:t>
      </w:r>
    </w:p>
    <w:p>
      <w:pPr>
        <w:spacing w:line="276" w:lineRule="auto"/>
        <w:jc w:val="both"/>
        <w:rPr>
          <w:rFonts w:ascii="Calibri" w:hAnsi="Calibri" w:cs="Arial"/>
          <w:sz w:val="22"/>
          <w:szCs w:val="22"/>
        </w:rPr>
      </w:pPr>
    </w:p>
    <w:p>
      <w:pPr>
        <w:autoSpaceDE w:val="0"/>
        <w:autoSpaceDN w:val="0"/>
        <w:adjustRightInd w:val="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Conforme” Art. 7º, XIII, da Constituição Federal, não farão jus, especificamente naquele dia, ao recebimento do auxílio previsto no caput da presente cláusula.” </w:t>
      </w:r>
    </w:p>
    <w:p>
      <w:pPr>
        <w:spacing w:line="276" w:lineRule="auto"/>
        <w:jc w:val="both"/>
        <w:rPr>
          <w:rFonts w:ascii="Calibri" w:hAnsi="Calibri" w:cs="Arial"/>
          <w:b/>
        </w:rPr>
      </w:pPr>
    </w:p>
    <w:p>
      <w:pPr>
        <w:spacing w:line="276" w:lineRule="auto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C) Benefício Social familiar</w:t>
      </w:r>
    </w:p>
    <w:p>
      <w:pPr>
        <w:jc w:val="both"/>
        <w:rPr>
          <w:rFonts w:ascii="Calibri" w:hAnsi="Calibri" w:cs="Arial"/>
          <w:sz w:val="22"/>
          <w:szCs w:val="22"/>
        </w:rPr>
      </w:pPr>
    </w:p>
    <w:p>
      <w:pPr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Cláusula 10ª da CCT = R$27,00 , sem descontar do trabalhador.</w:t>
      </w:r>
    </w:p>
    <w:p>
      <w:pPr>
        <w:jc w:val="both"/>
        <w:rPr>
          <w:rFonts w:ascii="Calibri" w:hAnsi="Calibri" w:cs="Arial"/>
          <w:sz w:val="22"/>
          <w:szCs w:val="22"/>
        </w:rPr>
      </w:pPr>
    </w:p>
    <w:p>
      <w:pPr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D) Seguro de Vida</w:t>
      </w:r>
    </w:p>
    <w:p>
      <w:pPr>
        <w:jc w:val="both"/>
        <w:rPr>
          <w:rFonts w:ascii="Calibri" w:hAnsi="Calibri" w:cs="Arial"/>
          <w:sz w:val="22"/>
          <w:szCs w:val="22"/>
        </w:rPr>
      </w:pPr>
    </w:p>
    <w:p>
      <w:pPr>
        <w:jc w:val="both"/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>Cláusula 11ª da CCT – prêmio de pelo menos 55 vezes o salário do vigilante</w:t>
      </w:r>
    </w:p>
    <w:p>
      <w:pPr>
        <w:jc w:val="both"/>
        <w:rPr>
          <w:rFonts w:ascii="Calibri" w:hAnsi="Calibri" w:cs="Arial"/>
          <w:sz w:val="18"/>
          <w:szCs w:val="18"/>
        </w:rPr>
      </w:pPr>
    </w:p>
    <w:p>
      <w:pPr>
        <w:jc w:val="both"/>
        <w:rPr>
          <w:rFonts w:ascii="Calibri" w:hAnsi="Calibri" w:cs="Arial"/>
          <w:b/>
          <w:sz w:val="22"/>
          <w:szCs w:val="22"/>
          <w:u w:val="single"/>
        </w:rPr>
      </w:pPr>
      <w:r>
        <w:rPr>
          <w:rFonts w:ascii="Calibri" w:hAnsi="Calibri" w:cs="Arial"/>
          <w:b/>
          <w:sz w:val="22"/>
          <w:szCs w:val="22"/>
          <w:u w:val="single"/>
        </w:rPr>
        <w:t>Módulo 3 – Provisão para Rescisão</w:t>
      </w:r>
    </w:p>
    <w:p>
      <w:pPr>
        <w:jc w:val="both"/>
        <w:rPr>
          <w:rFonts w:ascii="Calibri" w:hAnsi="Calibri" w:cs="Arial"/>
          <w:u w:val="single"/>
          <w:lang w:val="pt-PT"/>
        </w:rPr>
      </w:pPr>
    </w:p>
    <w:tbl>
      <w:tblPr>
        <w:tblStyle w:val="70"/>
        <w:tblW w:w="7938" w:type="dxa"/>
        <w:tblInd w:w="0" w:type="dxa"/>
        <w:tblBorders>
          <w:top w:val="single" w:color="95B3D7" w:themeColor="accent1" w:themeTint="99" w:sz="4" w:space="0"/>
          <w:left w:val="single" w:color="95B3D7" w:themeColor="accent1" w:themeTint="99" w:sz="4" w:space="0"/>
          <w:bottom w:val="single" w:color="95B3D7" w:themeColor="accent1" w:themeTint="99" w:sz="4" w:space="0"/>
          <w:right w:val="single" w:color="95B3D7" w:themeColor="accent1" w:themeTint="99" w:sz="4" w:space="0"/>
          <w:insideH w:val="single" w:color="95B3D7" w:themeColor="accent1" w:themeTint="99" w:sz="4" w:space="0"/>
          <w:insideV w:val="single" w:color="95B3D7" w:themeColor="accent1" w:themeTint="99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0"/>
        <w:gridCol w:w="2125"/>
        <w:gridCol w:w="3119"/>
        <w:gridCol w:w="1844"/>
      </w:tblGrid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50" w:type="dxa"/>
            <w:tcBorders>
              <w:top w:val="single" w:color="4F81BD" w:themeColor="accent1" w:sz="4" w:space="0"/>
              <w:left w:val="single" w:color="4F81BD" w:themeColor="accent1" w:sz="4" w:space="0"/>
              <w:bottom w:val="single" w:color="4F81BD" w:themeColor="accent1" w:sz="4" w:space="0"/>
              <w:right w:val="nil"/>
              <w:insideH w:val="single" w:sz="4" w:space="0"/>
              <w:insideV w:val="nil"/>
            </w:tcBorders>
            <w:shd w:val="clear" w:color="auto" w:fill="4F81BD" w:themeFill="accent1"/>
          </w:tcPr>
          <w:p>
            <w:pPr>
              <w:jc w:val="center"/>
              <w:rPr>
                <w:rFonts w:cs="Arial" w:asciiTheme="minorHAnsi" w:hAnsiTheme="min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 w:asciiTheme="minorHAnsi" w:hAnsiTheme="minorHAns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2125" w:type="dxa"/>
            <w:tcBorders>
              <w:top w:val="single" w:color="4F81BD" w:themeColor="accent1" w:sz="4" w:space="0"/>
              <w:bottom w:val="single" w:color="4F81BD" w:themeColor="accent1" w:sz="4" w:space="0"/>
              <w:right w:val="nil"/>
              <w:insideH w:val="single" w:sz="4" w:space="0"/>
              <w:insideV w:val="nil"/>
            </w:tcBorders>
            <w:shd w:val="clear" w:color="auto" w:fill="4F81BD" w:themeFill="accent1"/>
          </w:tcPr>
          <w:p>
            <w:pPr>
              <w:jc w:val="center"/>
              <w:rPr>
                <w:rFonts w:cs="Arial" w:asciiTheme="minorHAnsi" w:hAnsiTheme="min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 w:asciiTheme="minorHAnsi" w:hAnsiTheme="minorHAnsi"/>
                <w:b/>
                <w:bCs/>
                <w:color w:val="000000"/>
                <w:sz w:val="18"/>
                <w:szCs w:val="18"/>
              </w:rPr>
              <w:t>PROVISÃO PARA RESCISÃO</w:t>
            </w:r>
          </w:p>
        </w:tc>
        <w:tc>
          <w:tcPr>
            <w:tcW w:w="3119" w:type="dxa"/>
            <w:tcBorders>
              <w:top w:val="single" w:color="4F81BD" w:themeColor="accent1" w:sz="4" w:space="0"/>
              <w:bottom w:val="single" w:color="4F81BD" w:themeColor="accent1" w:sz="4" w:space="0"/>
              <w:right w:val="nil"/>
              <w:insideH w:val="single" w:sz="4" w:space="0"/>
              <w:insideV w:val="nil"/>
            </w:tcBorders>
            <w:shd w:val="clear" w:color="auto" w:fill="4F81BD" w:themeFill="accent1"/>
          </w:tcPr>
          <w:p>
            <w:pPr>
              <w:jc w:val="center"/>
              <w:rPr>
                <w:rFonts w:cs="Arial" w:asciiTheme="minorHAnsi" w:hAnsiTheme="min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 w:asciiTheme="minorHAnsi" w:hAnsiTheme="minorHAnsi"/>
                <w:b/>
                <w:bCs/>
                <w:color w:val="000000"/>
                <w:sz w:val="18"/>
                <w:szCs w:val="18"/>
              </w:rPr>
              <w:t xml:space="preserve">MEMÓRIA DE CÁLCULO </w:t>
            </w:r>
          </w:p>
        </w:tc>
        <w:tc>
          <w:tcPr>
            <w:tcW w:w="1843" w:type="dxa"/>
            <w:tcBorders>
              <w:top w:val="single" w:color="4F81BD" w:themeColor="accent1" w:sz="4" w:space="0"/>
              <w:bottom w:val="single" w:color="4F81BD" w:themeColor="accent1" w:sz="4" w:space="0"/>
              <w:right w:val="single" w:color="4F81BD" w:themeColor="accent1" w:sz="4" w:space="0"/>
              <w:insideH w:val="single" w:sz="4" w:space="0"/>
              <w:insideV w:val="nil"/>
            </w:tcBorders>
            <w:shd w:val="clear" w:color="auto" w:fill="4F81BD" w:themeFill="accent1"/>
          </w:tcPr>
          <w:p>
            <w:pPr>
              <w:jc w:val="center"/>
              <w:rPr>
                <w:rFonts w:cs="Arial" w:asciiTheme="minorHAnsi" w:hAnsiTheme="minorHAnsi"/>
                <w:b/>
                <w:bCs/>
                <w:color w:val="000000"/>
                <w:sz w:val="18"/>
                <w:szCs w:val="18"/>
              </w:rPr>
            </w:pPr>
            <w:r>
              <w:rPr>
                <w:rFonts w:cs="Arial" w:asciiTheme="minorHAnsi" w:hAnsiTheme="minorHAnsi"/>
                <w:b/>
                <w:bCs/>
                <w:color w:val="000000"/>
                <w:sz w:val="18"/>
                <w:szCs w:val="18"/>
              </w:rPr>
              <w:t>FUNDAMENTO</w:t>
            </w:r>
          </w:p>
        </w:tc>
      </w:tr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</w:trPr>
        <w:tc>
          <w:tcPr>
            <w:tcW w:w="850" w:type="dxa"/>
            <w:shd w:val="clear" w:color="auto" w:fill="DBE5F1" w:themeFill="accent1" w:themeFillTint="33"/>
          </w:tcPr>
          <w:p>
            <w:pPr>
              <w:jc w:val="center"/>
              <w:rPr>
                <w:rFonts w:cs="Arial" w:asciiTheme="minorHAnsi" w:hAnsiTheme="minorHAnsi"/>
                <w:b w:val="0"/>
                <w:bCs w:val="0"/>
                <w:sz w:val="18"/>
                <w:szCs w:val="18"/>
              </w:rPr>
            </w:pPr>
            <w:r>
              <w:rPr>
                <w:rFonts w:cs="Arial" w:asciiTheme="minorHAnsi" w:hAnsiTheme="minorHAnsi"/>
                <w:b/>
                <w:bCs/>
                <w:sz w:val="18"/>
                <w:szCs w:val="18"/>
              </w:rPr>
              <w:t>A</w:t>
            </w:r>
          </w:p>
        </w:tc>
        <w:tc>
          <w:tcPr>
            <w:tcW w:w="2125" w:type="dxa"/>
            <w:shd w:val="clear" w:color="auto" w:fill="DBE5F1" w:themeFill="accent1" w:themeFillTint="33"/>
          </w:tcPr>
          <w:p>
            <w:pPr>
              <w:rPr>
                <w:rFonts w:cs="Arial" w:asciiTheme="minorHAnsi" w:hAnsiTheme="minorHAnsi"/>
                <w:sz w:val="18"/>
                <w:szCs w:val="18"/>
              </w:rPr>
            </w:pPr>
            <w:r>
              <w:rPr>
                <w:rFonts w:cs="Arial" w:asciiTheme="minorHAnsi" w:hAnsiTheme="minorHAnsi"/>
                <w:sz w:val="18"/>
                <w:szCs w:val="18"/>
              </w:rPr>
              <w:t>Aviso prévio indenizado</w:t>
            </w:r>
          </w:p>
        </w:tc>
        <w:tc>
          <w:tcPr>
            <w:tcW w:w="3119" w:type="dxa"/>
            <w:shd w:val="clear" w:color="auto" w:fill="DBE5F1" w:themeFill="accent1" w:themeFillTint="33"/>
          </w:tcPr>
          <w:p>
            <w:pPr>
              <w:rPr>
                <w:rFonts w:cs="Arial" w:asciiTheme="minorHAnsi" w:hAnsiTheme="minorHAnsi"/>
                <w:sz w:val="18"/>
                <w:szCs w:val="18"/>
              </w:rPr>
            </w:pPr>
            <w:r>
              <w:rPr>
                <w:rFonts w:cs="Arial" w:asciiTheme="minorHAnsi" w:hAnsiTheme="minorHAnsi"/>
                <w:sz w:val="18"/>
                <w:szCs w:val="18"/>
              </w:rPr>
              <w:t>[(Remuneração + 13º + Férias + 1/3 constitucional) / meses do ano] x indicador de rotatividade de dispensa sem justa causa =</w:t>
            </w:r>
            <w:r>
              <w:rPr>
                <w:rFonts w:cs="Arial" w:asciiTheme="minorHAnsi" w:hAnsiTheme="minorHAnsi"/>
                <w:b/>
                <w:color w:val="FF0000"/>
                <w:sz w:val="18"/>
                <w:szCs w:val="18"/>
              </w:rPr>
              <w:t xml:space="preserve"> 5%</w:t>
            </w:r>
          </w:p>
        </w:tc>
        <w:tc>
          <w:tcPr>
            <w:tcW w:w="1843" w:type="dxa"/>
            <w:shd w:val="clear" w:color="auto" w:fill="DBE5F1" w:themeFill="accent1" w:themeFillTint="33"/>
          </w:tcPr>
          <w:p>
            <w:pPr>
              <w:rPr>
                <w:rFonts w:cs="Arial" w:asciiTheme="minorHAnsi" w:hAnsiTheme="minorHAnsi" w:eastAsiaTheme="minorHAnsi"/>
                <w:sz w:val="18"/>
                <w:szCs w:val="18"/>
                <w:lang w:val="en-US" w:eastAsia="en-US"/>
              </w:rPr>
            </w:pPr>
            <w:r>
              <w:rPr>
                <w:rFonts w:cs="Arial" w:asciiTheme="minorHAnsi" w:hAnsiTheme="minorHAnsi" w:eastAsiaTheme="minorHAnsi"/>
                <w:sz w:val="18"/>
                <w:szCs w:val="18"/>
                <w:lang w:val="en-US" w:eastAsia="en-US"/>
              </w:rPr>
              <w:t>Art. 7º, XXI, CF/88,</w:t>
            </w:r>
          </w:p>
          <w:p>
            <w:pPr>
              <w:rPr>
                <w:rFonts w:cs="Arial" w:asciiTheme="minorHAnsi" w:hAnsiTheme="minorHAnsi"/>
                <w:sz w:val="18"/>
                <w:szCs w:val="18"/>
                <w:lang w:val="en-US"/>
              </w:rPr>
            </w:pPr>
            <w:r>
              <w:rPr>
                <w:rFonts w:cs="Arial" w:asciiTheme="minorHAnsi" w:hAnsiTheme="minorHAnsi" w:eastAsiaTheme="minorHAnsi"/>
                <w:sz w:val="18"/>
                <w:szCs w:val="18"/>
                <w:lang w:val="en-US" w:eastAsia="en-US"/>
              </w:rPr>
              <w:t>477, 487 e 491 CLT</w:t>
            </w:r>
          </w:p>
        </w:tc>
      </w:tr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</w:trPr>
        <w:tc>
          <w:tcPr>
            <w:tcW w:w="850" w:type="dxa"/>
          </w:tcPr>
          <w:p>
            <w:pPr>
              <w:jc w:val="center"/>
              <w:rPr>
                <w:rFonts w:cs="Arial" w:asciiTheme="minorHAnsi" w:hAnsiTheme="minorHAnsi"/>
                <w:b w:val="0"/>
                <w:bCs w:val="0"/>
                <w:sz w:val="18"/>
                <w:szCs w:val="18"/>
              </w:rPr>
            </w:pPr>
            <w:r>
              <w:rPr>
                <w:rFonts w:cs="Arial" w:asciiTheme="minorHAnsi" w:hAnsiTheme="minorHAnsi"/>
                <w:b/>
                <w:bCs/>
                <w:sz w:val="18"/>
                <w:szCs w:val="18"/>
              </w:rPr>
              <w:t>B</w:t>
            </w:r>
          </w:p>
        </w:tc>
        <w:tc>
          <w:tcPr>
            <w:tcW w:w="2125" w:type="dxa"/>
          </w:tcPr>
          <w:p>
            <w:pPr>
              <w:rPr>
                <w:rFonts w:cs="Arial" w:asciiTheme="minorHAnsi" w:hAnsiTheme="minorHAnsi"/>
                <w:sz w:val="18"/>
                <w:szCs w:val="18"/>
              </w:rPr>
            </w:pPr>
            <w:r>
              <w:rPr>
                <w:rFonts w:cs="Arial" w:asciiTheme="minorHAnsi" w:hAnsiTheme="minorHAnsi" w:eastAsiaTheme="minorHAnsi"/>
                <w:sz w:val="18"/>
                <w:szCs w:val="18"/>
                <w:lang w:eastAsia="en-US"/>
              </w:rPr>
              <w:t>Incidência do FGTS sobre o Aviso prévio indenizado.</w:t>
            </w:r>
          </w:p>
        </w:tc>
        <w:tc>
          <w:tcPr>
            <w:tcW w:w="3119" w:type="dxa"/>
          </w:tcPr>
          <w:p>
            <w:pPr>
              <w:rPr>
                <w:rFonts w:cs="Arial" w:asciiTheme="minorHAnsi" w:hAnsiTheme="minorHAnsi" w:eastAsiaTheme="minorHAnsi"/>
                <w:sz w:val="18"/>
                <w:szCs w:val="18"/>
                <w:lang w:eastAsia="en-US"/>
              </w:rPr>
            </w:pPr>
            <w:r>
              <w:rPr>
                <w:rFonts w:cs="Arial" w:asciiTheme="minorHAnsi" w:hAnsiTheme="minorHAnsi" w:eastAsiaTheme="minorHAnsi"/>
                <w:sz w:val="18"/>
                <w:szCs w:val="18"/>
                <w:lang w:eastAsia="en-US"/>
              </w:rPr>
              <w:t>[(Remuneração + 13º) / 12)] x 5% x 8%</w:t>
            </w:r>
          </w:p>
        </w:tc>
        <w:tc>
          <w:tcPr>
            <w:tcW w:w="1843" w:type="dxa"/>
          </w:tcPr>
          <w:p>
            <w:pPr>
              <w:rPr>
                <w:rFonts w:cs="Arial" w:asciiTheme="minorHAnsi" w:hAnsiTheme="minorHAnsi" w:eastAsiaTheme="minorHAnsi"/>
                <w:sz w:val="18"/>
                <w:szCs w:val="18"/>
                <w:lang w:eastAsia="en-US"/>
              </w:rPr>
            </w:pPr>
            <w:r>
              <w:rPr>
                <w:rFonts w:cs="Arial" w:asciiTheme="minorHAnsi" w:hAnsiTheme="minorHAnsi" w:eastAsiaTheme="minorHAnsi"/>
                <w:sz w:val="18"/>
                <w:szCs w:val="18"/>
                <w:lang w:eastAsia="en-US"/>
              </w:rPr>
              <w:t>Súmula nº 305 do TST</w:t>
            </w:r>
          </w:p>
        </w:tc>
      </w:tr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</w:trPr>
        <w:tc>
          <w:tcPr>
            <w:tcW w:w="850" w:type="dxa"/>
            <w:shd w:val="clear" w:color="auto" w:fill="DBE5F1" w:themeFill="accent1" w:themeFillTint="33"/>
          </w:tcPr>
          <w:p>
            <w:pPr>
              <w:jc w:val="center"/>
              <w:rPr>
                <w:rFonts w:cs="Arial" w:asciiTheme="minorHAnsi" w:hAnsiTheme="minorHAnsi"/>
                <w:b w:val="0"/>
                <w:bCs w:val="0"/>
                <w:sz w:val="18"/>
                <w:szCs w:val="18"/>
              </w:rPr>
            </w:pPr>
            <w:r>
              <w:rPr>
                <w:rFonts w:cs="Arial" w:asciiTheme="minorHAnsi" w:hAnsiTheme="minorHAnsi"/>
                <w:b/>
                <w:bCs/>
                <w:sz w:val="18"/>
                <w:szCs w:val="18"/>
              </w:rPr>
              <w:t>C</w:t>
            </w:r>
          </w:p>
        </w:tc>
        <w:tc>
          <w:tcPr>
            <w:tcW w:w="2125" w:type="dxa"/>
            <w:shd w:val="clear" w:color="auto" w:fill="DBE5F1" w:themeFill="accent1" w:themeFillTint="33"/>
          </w:tcPr>
          <w:p>
            <w:pPr>
              <w:rPr>
                <w:rFonts w:cs="Arial" w:asciiTheme="minorHAnsi" w:hAnsiTheme="minorHAnsi"/>
                <w:sz w:val="18"/>
                <w:szCs w:val="18"/>
              </w:rPr>
            </w:pPr>
            <w:r>
              <w:rPr>
                <w:rFonts w:cs="Arial" w:asciiTheme="minorHAnsi" w:hAnsiTheme="minorHAnsi"/>
                <w:sz w:val="18"/>
                <w:szCs w:val="18"/>
              </w:rPr>
              <w:t>Multa do FGTS e Contribuição Social sobre Aviso Prévio Indenizado - 5%</w:t>
            </w:r>
          </w:p>
        </w:tc>
        <w:tc>
          <w:tcPr>
            <w:tcW w:w="3119" w:type="dxa"/>
            <w:shd w:val="clear" w:color="auto" w:fill="DBE5F1" w:themeFill="accent1" w:themeFillTint="33"/>
          </w:tcPr>
          <w:p>
            <w:pPr>
              <w:rPr>
                <w:rFonts w:cs="Arial" w:asciiTheme="minorHAnsi" w:hAnsiTheme="minorHAnsi"/>
                <w:sz w:val="18"/>
                <w:szCs w:val="18"/>
              </w:rPr>
            </w:pPr>
            <w:r>
              <w:rPr>
                <w:rFonts w:cs="Arial" w:asciiTheme="minorHAnsi" w:hAnsiTheme="minorHAnsi"/>
                <w:sz w:val="18"/>
                <w:szCs w:val="18"/>
              </w:rPr>
              <w:t>Zerado. Consideramos a tabela de percentual da Conta Vinculada, Anexo XII, devido a ser proposto percentual único para a multa. Independente da quantidade de API e APT e da rotatividade do contrato, a multa, por ser linear, será calculada considerando 100% dos empregados.</w:t>
            </w:r>
          </w:p>
        </w:tc>
        <w:tc>
          <w:tcPr>
            <w:tcW w:w="1843" w:type="dxa"/>
            <w:shd w:val="clear" w:color="auto" w:fill="DBE5F1" w:themeFill="accent1" w:themeFillTint="33"/>
          </w:tcPr>
          <w:p>
            <w:pPr>
              <w:rPr>
                <w:rFonts w:cs="Arial" w:asciiTheme="minorHAnsi" w:hAnsiTheme="minorHAnsi" w:eastAsiaTheme="minorHAnsi"/>
                <w:sz w:val="18"/>
                <w:szCs w:val="18"/>
                <w:lang w:eastAsia="en-US"/>
              </w:rPr>
            </w:pPr>
            <w:r>
              <w:rPr>
                <w:rFonts w:cs="Arial" w:asciiTheme="minorHAnsi" w:hAnsiTheme="minorHAnsi" w:eastAsiaTheme="minorHAnsi"/>
                <w:sz w:val="18"/>
                <w:szCs w:val="18"/>
                <w:lang w:eastAsia="en-US"/>
              </w:rPr>
              <w:t>Leis n.ºs 8.036/90 e</w:t>
            </w:r>
          </w:p>
          <w:p>
            <w:pPr>
              <w:rPr>
                <w:rFonts w:cs="Arial" w:asciiTheme="minorHAnsi" w:hAnsiTheme="minorHAnsi"/>
                <w:sz w:val="18"/>
                <w:szCs w:val="18"/>
              </w:rPr>
            </w:pPr>
            <w:r>
              <w:rPr>
                <w:rFonts w:cs="Arial" w:asciiTheme="minorHAnsi" w:hAnsiTheme="minorHAnsi" w:eastAsiaTheme="minorHAnsi"/>
                <w:sz w:val="18"/>
                <w:szCs w:val="18"/>
                <w:lang w:eastAsia="en-US"/>
              </w:rPr>
              <w:t>9.491/97</w:t>
            </w:r>
          </w:p>
        </w:tc>
      </w:tr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850" w:type="dxa"/>
          </w:tcPr>
          <w:p>
            <w:pPr>
              <w:jc w:val="center"/>
              <w:rPr>
                <w:rFonts w:cs="Arial" w:asciiTheme="minorHAnsi" w:hAnsiTheme="minorHAnsi"/>
                <w:b w:val="0"/>
                <w:bCs w:val="0"/>
                <w:sz w:val="18"/>
                <w:szCs w:val="18"/>
              </w:rPr>
            </w:pPr>
            <w:r>
              <w:rPr>
                <w:rFonts w:cs="Arial" w:asciiTheme="minorHAnsi" w:hAnsiTheme="minorHAnsi"/>
                <w:b/>
                <w:bCs/>
                <w:sz w:val="18"/>
                <w:szCs w:val="18"/>
              </w:rPr>
              <w:t>D</w:t>
            </w:r>
          </w:p>
        </w:tc>
        <w:tc>
          <w:tcPr>
            <w:tcW w:w="2125" w:type="dxa"/>
          </w:tcPr>
          <w:p>
            <w:pPr>
              <w:rPr>
                <w:rFonts w:cs="Arial" w:asciiTheme="minorHAnsi" w:hAnsiTheme="minorHAnsi"/>
                <w:sz w:val="18"/>
                <w:szCs w:val="18"/>
              </w:rPr>
            </w:pPr>
            <w:r>
              <w:rPr>
                <w:rFonts w:cs="Arial" w:asciiTheme="minorHAnsi" w:hAnsiTheme="minorHAnsi"/>
                <w:sz w:val="18"/>
                <w:szCs w:val="18"/>
              </w:rPr>
              <w:t>Aviso Prévio Trabalhado</w:t>
            </w:r>
          </w:p>
        </w:tc>
        <w:tc>
          <w:tcPr>
            <w:tcW w:w="3119" w:type="dxa"/>
          </w:tcPr>
          <w:p>
            <w:pPr>
              <w:rPr>
                <w:rFonts w:cs="Arial" w:asciiTheme="minorHAnsi" w:hAnsiTheme="minorHAnsi"/>
                <w:sz w:val="18"/>
                <w:szCs w:val="18"/>
              </w:rPr>
            </w:pPr>
            <w:r>
              <w:rPr>
                <w:rFonts w:cs="Arial" w:asciiTheme="minorHAnsi" w:hAnsiTheme="minorHAnsi"/>
                <w:sz w:val="18"/>
                <w:szCs w:val="18"/>
              </w:rPr>
              <w:t>[(Remuneração + benefícios mensais e diários não dedutíveis, ex. beneficio social familiar) / dias do mês) / meses do ano] x 7 dias de redução da jornada.</w:t>
            </w:r>
          </w:p>
        </w:tc>
        <w:tc>
          <w:tcPr>
            <w:tcW w:w="1843" w:type="dxa"/>
          </w:tcPr>
          <w:p>
            <w:pPr>
              <w:rPr>
                <w:rFonts w:cs="Arial" w:asciiTheme="minorHAnsi" w:hAnsiTheme="minorHAnsi" w:eastAsiaTheme="minorHAnsi"/>
                <w:sz w:val="18"/>
                <w:szCs w:val="18"/>
                <w:lang w:val="en-US" w:eastAsia="en-US"/>
              </w:rPr>
            </w:pPr>
            <w:r>
              <w:rPr>
                <w:rFonts w:cs="Arial" w:asciiTheme="minorHAnsi" w:hAnsiTheme="minorHAnsi" w:eastAsiaTheme="minorHAnsi"/>
                <w:sz w:val="18"/>
                <w:szCs w:val="18"/>
                <w:lang w:val="en-US" w:eastAsia="en-US"/>
              </w:rPr>
              <w:t>Art. 7º, XXI, CF/88,</w:t>
            </w:r>
          </w:p>
          <w:p>
            <w:pPr>
              <w:rPr>
                <w:rFonts w:cs="Arial" w:asciiTheme="minorHAnsi" w:hAnsiTheme="minorHAnsi"/>
                <w:sz w:val="18"/>
                <w:szCs w:val="18"/>
                <w:lang w:val="en-US"/>
              </w:rPr>
            </w:pPr>
            <w:r>
              <w:rPr>
                <w:rFonts w:cs="Arial" w:asciiTheme="minorHAnsi" w:hAnsiTheme="minorHAnsi" w:eastAsiaTheme="minorHAnsi"/>
                <w:sz w:val="18"/>
                <w:szCs w:val="18"/>
                <w:lang w:val="en-US" w:eastAsia="en-US"/>
              </w:rPr>
              <w:t>477, 487 e 491 CLT.</w:t>
            </w:r>
          </w:p>
        </w:tc>
      </w:tr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</w:trPr>
        <w:tc>
          <w:tcPr>
            <w:tcW w:w="850" w:type="dxa"/>
            <w:shd w:val="clear" w:color="auto" w:fill="DBE5F1" w:themeFill="accent1" w:themeFillTint="33"/>
          </w:tcPr>
          <w:p>
            <w:pPr>
              <w:jc w:val="center"/>
              <w:rPr>
                <w:rFonts w:cs="Arial" w:asciiTheme="minorHAnsi" w:hAnsiTheme="minorHAnsi"/>
                <w:b w:val="0"/>
                <w:bCs w:val="0"/>
                <w:sz w:val="18"/>
                <w:szCs w:val="18"/>
              </w:rPr>
            </w:pPr>
            <w:r>
              <w:rPr>
                <w:rFonts w:cs="Arial" w:asciiTheme="minorHAnsi" w:hAnsiTheme="minorHAnsi"/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2125" w:type="dxa"/>
            <w:shd w:val="clear" w:color="auto" w:fill="DBE5F1" w:themeFill="accent1" w:themeFillTint="33"/>
          </w:tcPr>
          <w:p>
            <w:pPr>
              <w:rPr>
                <w:rFonts w:cs="Arial" w:asciiTheme="minorHAnsi" w:hAnsiTheme="minorHAnsi"/>
                <w:sz w:val="18"/>
                <w:szCs w:val="18"/>
              </w:rPr>
            </w:pPr>
            <w:r>
              <w:rPr>
                <w:rFonts w:cs="Arial" w:asciiTheme="minorHAnsi" w:hAnsiTheme="minorHAnsi"/>
                <w:sz w:val="18"/>
                <w:szCs w:val="18"/>
              </w:rPr>
              <w:t>Incidência dos encargos do Submódulo 2.2 sobre Aviso Prévio Trabalhado.</w:t>
            </w:r>
          </w:p>
        </w:tc>
        <w:tc>
          <w:tcPr>
            <w:tcW w:w="3119" w:type="dxa"/>
            <w:shd w:val="clear" w:color="auto" w:fill="DBE5F1" w:themeFill="accent1" w:themeFillTint="33"/>
          </w:tcPr>
          <w:p>
            <w:pPr>
              <w:rPr>
                <w:rFonts w:cs="Arial" w:asciiTheme="minorHAnsi" w:hAnsiTheme="minorHAnsi"/>
                <w:sz w:val="18"/>
                <w:szCs w:val="18"/>
              </w:rPr>
            </w:pPr>
            <w:r>
              <w:rPr>
                <w:rFonts w:cs="Arial" w:asciiTheme="minorHAnsi" w:hAnsiTheme="minorHAnsi"/>
                <w:sz w:val="18"/>
                <w:szCs w:val="18"/>
              </w:rPr>
              <w:t>[(Remuneração / dias do mês) / meses do ano] x 7 dias de redução da jornada x 8%</w:t>
            </w:r>
          </w:p>
        </w:tc>
        <w:tc>
          <w:tcPr>
            <w:tcW w:w="1843" w:type="dxa"/>
            <w:shd w:val="clear" w:color="auto" w:fill="DBE5F1" w:themeFill="accent1" w:themeFillTint="33"/>
          </w:tcPr>
          <w:p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>
              <w:rPr>
                <w:rFonts w:cs="Arial" w:asciiTheme="minorHAnsi" w:hAnsiTheme="minorHAnsi"/>
                <w:sz w:val="18"/>
                <w:szCs w:val="18"/>
              </w:rPr>
              <w:t>-</w:t>
            </w:r>
          </w:p>
        </w:tc>
      </w:tr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850" w:type="dxa"/>
          </w:tcPr>
          <w:p>
            <w:pPr>
              <w:jc w:val="center"/>
              <w:rPr>
                <w:rFonts w:cs="Arial" w:asciiTheme="minorHAnsi" w:hAnsiTheme="minorHAnsi"/>
                <w:b w:val="0"/>
                <w:bCs w:val="0"/>
                <w:sz w:val="18"/>
                <w:szCs w:val="18"/>
              </w:rPr>
            </w:pPr>
            <w:r>
              <w:rPr>
                <w:rFonts w:cs="Arial" w:asciiTheme="minorHAnsi" w:hAnsiTheme="minorHAnsi"/>
                <w:b/>
                <w:bCs/>
                <w:sz w:val="18"/>
                <w:szCs w:val="18"/>
              </w:rPr>
              <w:t>F</w:t>
            </w:r>
          </w:p>
        </w:tc>
        <w:tc>
          <w:tcPr>
            <w:tcW w:w="2125" w:type="dxa"/>
          </w:tcPr>
          <w:p>
            <w:pPr>
              <w:rPr>
                <w:rFonts w:cs="Arial" w:asciiTheme="minorHAnsi" w:hAnsiTheme="minorHAnsi"/>
                <w:sz w:val="18"/>
                <w:szCs w:val="18"/>
              </w:rPr>
            </w:pPr>
            <w:r>
              <w:rPr>
                <w:rFonts w:cs="Arial" w:asciiTheme="minorHAnsi" w:hAnsiTheme="minorHAnsi"/>
                <w:sz w:val="18"/>
                <w:szCs w:val="18"/>
              </w:rPr>
              <w:t>Multa FGTS e Contribuição Social sobre o Aviso Prévio Trabalhado – 100%</w:t>
            </w:r>
          </w:p>
        </w:tc>
        <w:tc>
          <w:tcPr>
            <w:tcW w:w="3119" w:type="dxa"/>
          </w:tcPr>
          <w:p>
            <w:pPr>
              <w:rPr>
                <w:rFonts w:cs="Arial" w:asciiTheme="minorHAnsi" w:hAnsiTheme="minorHAnsi"/>
                <w:sz w:val="18"/>
                <w:szCs w:val="18"/>
              </w:rPr>
            </w:pPr>
            <w:r>
              <w:rPr>
                <w:rFonts w:cs="Arial" w:asciiTheme="minorHAnsi" w:hAnsiTheme="minorHAnsi"/>
                <w:sz w:val="18"/>
                <w:szCs w:val="18"/>
              </w:rPr>
              <w:t>Consideramos a tabela de percentual da Conta Vinculada, Anexo XII, devido a ser proposto percentual único para a multa. Independente da quantidade de API e APT e da rotatividade do contrato, a multa, por ser linear, será calculada considerando 100% dos empregados.</w:t>
            </w:r>
          </w:p>
          <w:p>
            <w:pPr>
              <w:rPr>
                <w:rFonts w:cs="Arial" w:asciiTheme="minorHAnsi" w:hAnsiTheme="minorHAnsi"/>
                <w:sz w:val="18"/>
                <w:szCs w:val="18"/>
              </w:rPr>
            </w:pPr>
          </w:p>
          <w:p>
            <w:pPr>
              <w:rPr>
                <w:rFonts w:cs="Arial" w:asciiTheme="minorHAnsi" w:hAnsiTheme="minorHAnsi"/>
                <w:sz w:val="18"/>
                <w:szCs w:val="18"/>
              </w:rPr>
            </w:pPr>
            <w:r>
              <w:rPr>
                <w:rFonts w:cs="Arial" w:asciiTheme="minorHAnsi" w:hAnsiTheme="minorHAnsi"/>
                <w:sz w:val="18"/>
                <w:szCs w:val="18"/>
              </w:rPr>
              <w:t xml:space="preserve">Remuneração x </w:t>
            </w:r>
            <w:r>
              <w:rPr>
                <w:rFonts w:cs="Arial" w:asciiTheme="minorHAnsi" w:hAnsiTheme="minorHAnsi"/>
                <w:b/>
                <w:color w:val="FF0000"/>
                <w:sz w:val="18"/>
                <w:szCs w:val="18"/>
              </w:rPr>
              <w:t xml:space="preserve">4% </w:t>
            </w:r>
            <w:r>
              <w:rPr>
                <w:rFonts w:cs="Arial" w:asciiTheme="minorHAnsi" w:hAnsiTheme="minorHAnsi"/>
                <w:b/>
                <w:sz w:val="18"/>
                <w:szCs w:val="18"/>
              </w:rPr>
              <w:t>(Anexo XII, IN 05/2017)</w:t>
            </w:r>
          </w:p>
        </w:tc>
        <w:tc>
          <w:tcPr>
            <w:tcW w:w="1843" w:type="dxa"/>
          </w:tcPr>
          <w:p>
            <w:pPr>
              <w:rPr>
                <w:rFonts w:cs="Arial" w:asciiTheme="minorHAnsi" w:hAnsiTheme="minorHAnsi" w:eastAsiaTheme="minorHAnsi"/>
                <w:sz w:val="18"/>
                <w:szCs w:val="18"/>
                <w:lang w:val="en-US" w:eastAsia="en-US"/>
              </w:rPr>
            </w:pPr>
            <w:r>
              <w:rPr>
                <w:rFonts w:cs="Arial" w:asciiTheme="minorHAnsi" w:hAnsiTheme="minorHAnsi" w:eastAsiaTheme="minorHAnsi"/>
                <w:sz w:val="18"/>
                <w:szCs w:val="18"/>
                <w:lang w:val="en-US" w:eastAsia="en-US"/>
              </w:rPr>
              <w:t>Art. 7º, XXI, CF/88,</w:t>
            </w:r>
          </w:p>
          <w:p>
            <w:pPr>
              <w:rPr>
                <w:rFonts w:cs="Arial" w:asciiTheme="minorHAnsi" w:hAnsiTheme="minorHAnsi"/>
                <w:sz w:val="18"/>
                <w:szCs w:val="18"/>
                <w:lang w:val="en-US"/>
              </w:rPr>
            </w:pPr>
            <w:r>
              <w:rPr>
                <w:rFonts w:cs="Arial" w:asciiTheme="minorHAnsi" w:hAnsiTheme="minorHAnsi" w:eastAsiaTheme="minorHAnsi"/>
                <w:sz w:val="18"/>
                <w:szCs w:val="18"/>
                <w:lang w:val="en-US" w:eastAsia="en-US"/>
              </w:rPr>
              <w:t>477, 487 e 491 CLT.</w:t>
            </w:r>
          </w:p>
        </w:tc>
      </w:tr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1" w:hRule="atLeast"/>
        </w:trPr>
        <w:tc>
          <w:tcPr>
            <w:tcW w:w="850" w:type="dxa"/>
            <w:shd w:val="clear" w:color="auto" w:fill="DBE5F1" w:themeFill="accent1" w:themeFillTint="33"/>
          </w:tcPr>
          <w:p>
            <w:pPr>
              <w:jc w:val="center"/>
              <w:rPr>
                <w:rFonts w:cs="Arial" w:asciiTheme="minorHAnsi" w:hAnsiTheme="minorHAnsi"/>
                <w:b w:val="0"/>
                <w:bCs w:val="0"/>
                <w:sz w:val="18"/>
                <w:szCs w:val="18"/>
                <w:lang w:val="en-US"/>
              </w:rPr>
            </w:pPr>
          </w:p>
        </w:tc>
        <w:tc>
          <w:tcPr>
            <w:tcW w:w="2125" w:type="dxa"/>
            <w:shd w:val="clear" w:color="auto" w:fill="DBE5F1" w:themeFill="accent1" w:themeFillTint="33"/>
          </w:tcPr>
          <w:p>
            <w:pPr>
              <w:rPr>
                <w:rFonts w:cs="Arial" w:asciiTheme="minorHAnsi" w:hAnsiTheme="minorHAnsi"/>
                <w:sz w:val="18"/>
                <w:szCs w:val="18"/>
              </w:rPr>
            </w:pPr>
            <w:r>
              <w:rPr>
                <w:rFonts w:cs="Arial" w:asciiTheme="minorHAnsi" w:hAnsiTheme="minorHAnsi"/>
                <w:sz w:val="18"/>
                <w:szCs w:val="18"/>
              </w:rPr>
              <w:t>Total</w:t>
            </w:r>
          </w:p>
        </w:tc>
        <w:tc>
          <w:tcPr>
            <w:tcW w:w="3119" w:type="dxa"/>
            <w:shd w:val="clear" w:color="auto" w:fill="DBE5F1" w:themeFill="accent1" w:themeFillTint="33"/>
          </w:tcPr>
          <w:p>
            <w:pPr>
              <w:rPr>
                <w:rFonts w:cs="Arial" w:asciiTheme="minorHAnsi" w:hAnsiTheme="minorHAnsi" w:eastAsiaTheme="minorHAnsi"/>
                <w:sz w:val="18"/>
                <w:szCs w:val="18"/>
                <w:lang w:eastAsia="en-US"/>
              </w:rPr>
            </w:pPr>
          </w:p>
        </w:tc>
        <w:tc>
          <w:tcPr>
            <w:tcW w:w="1843" w:type="dxa"/>
            <w:shd w:val="clear" w:color="auto" w:fill="DBE5F1" w:themeFill="accent1" w:themeFillTint="33"/>
          </w:tcPr>
          <w:p>
            <w:pPr>
              <w:rPr>
                <w:rFonts w:cs="Arial" w:asciiTheme="minorHAnsi" w:hAnsiTheme="minorHAnsi" w:eastAsiaTheme="minorHAnsi"/>
                <w:sz w:val="18"/>
                <w:szCs w:val="18"/>
                <w:lang w:eastAsia="en-US"/>
              </w:rPr>
            </w:pPr>
          </w:p>
        </w:tc>
      </w:tr>
    </w:tbl>
    <w:p>
      <w:pPr>
        <w:ind w:left="426"/>
        <w:jc w:val="both"/>
        <w:rPr>
          <w:rFonts w:cs="Arial" w:asciiTheme="minorHAnsi" w:hAnsiTheme="minorHAnsi" w:eastAsiaTheme="minorHAnsi"/>
          <w:sz w:val="16"/>
          <w:szCs w:val="16"/>
          <w:lang w:eastAsia="en-US"/>
        </w:rPr>
      </w:pPr>
      <w:r>
        <w:rPr>
          <w:rFonts w:cs="Arial" w:asciiTheme="minorHAnsi" w:hAnsiTheme="minorHAnsi" w:eastAsiaTheme="minorHAnsi"/>
          <w:sz w:val="16"/>
          <w:szCs w:val="16"/>
          <w:lang w:eastAsia="en-US"/>
        </w:rPr>
        <w:t>OBSERVAÇÕES: Nota Técnica nº 652/2017 - MP</w:t>
      </w:r>
    </w:p>
    <w:p>
      <w:pPr>
        <w:ind w:left="426"/>
        <w:jc w:val="both"/>
        <w:rPr>
          <w:rFonts w:cs="Arial" w:asciiTheme="minorHAnsi" w:hAnsiTheme="minorHAnsi" w:eastAsiaTheme="minorHAnsi"/>
          <w:sz w:val="16"/>
          <w:szCs w:val="16"/>
          <w:lang w:eastAsia="en-US"/>
        </w:rPr>
      </w:pPr>
    </w:p>
    <w:p>
      <w:pPr>
        <w:ind w:left="426"/>
        <w:jc w:val="both"/>
        <w:rPr>
          <w:rFonts w:cs="Arial" w:asciiTheme="minorHAnsi" w:hAnsiTheme="minorHAnsi" w:eastAsiaTheme="minorHAnsi"/>
          <w:sz w:val="16"/>
          <w:szCs w:val="16"/>
          <w:lang w:eastAsia="en-US"/>
        </w:rPr>
      </w:pPr>
    </w:p>
    <w:p>
      <w:pPr>
        <w:jc w:val="both"/>
        <w:rPr>
          <w:rFonts w:ascii="Calibri" w:hAnsi="Calibri" w:cs="Arial"/>
          <w:b/>
          <w:color w:val="FF0000"/>
          <w:sz w:val="22"/>
          <w:szCs w:val="22"/>
          <w:u w:val="single"/>
        </w:rPr>
      </w:pPr>
      <w:r>
        <w:rPr>
          <w:rFonts w:ascii="Calibri" w:hAnsi="Calibri" w:cs="Arial"/>
          <w:b/>
          <w:sz w:val="22"/>
          <w:szCs w:val="22"/>
          <w:u w:val="single"/>
        </w:rPr>
        <w:t xml:space="preserve">Módulo 4 – Custo de Reposição de Profissional Ausente </w:t>
      </w:r>
    </w:p>
    <w:p>
      <w:pPr>
        <w:rPr>
          <w:rFonts w:ascii="Calibri" w:hAnsi="Calibri" w:cs="Arial"/>
          <w:sz w:val="22"/>
          <w:szCs w:val="22"/>
        </w:rPr>
      </w:pPr>
    </w:p>
    <w:p>
      <w:pPr>
        <w:jc w:val="both"/>
        <w:rPr>
          <w:rFonts w:ascii="Calibri" w:hAnsi="Calibri" w:cs="Arial"/>
          <w:sz w:val="22"/>
          <w:szCs w:val="22"/>
          <w:u w:val="single"/>
          <w:lang w:val="pt-PT"/>
        </w:rPr>
      </w:pPr>
      <w:r>
        <w:rPr>
          <w:rFonts w:ascii="Calibri" w:hAnsi="Calibri" w:cs="Arial"/>
          <w:sz w:val="22"/>
          <w:szCs w:val="22"/>
          <w:u w:val="single"/>
          <w:lang w:val="pt-PT"/>
        </w:rPr>
        <w:t>Submódulo 4.1 – Ausências Legais</w:t>
      </w:r>
    </w:p>
    <w:p>
      <w:pPr>
        <w:rPr>
          <w:rFonts w:ascii="Calibri" w:hAnsi="Calibri" w:cs="Arial"/>
          <w:lang w:val="pt-PT"/>
        </w:rPr>
      </w:pPr>
    </w:p>
    <w:tbl>
      <w:tblPr>
        <w:tblStyle w:val="70"/>
        <w:tblW w:w="9351" w:type="dxa"/>
        <w:tblInd w:w="0" w:type="dxa"/>
        <w:tblBorders>
          <w:top w:val="single" w:color="95B3D7" w:themeColor="accent1" w:themeTint="99" w:sz="4" w:space="0"/>
          <w:left w:val="single" w:color="95B3D7" w:themeColor="accent1" w:themeTint="99" w:sz="4" w:space="0"/>
          <w:bottom w:val="single" w:color="95B3D7" w:themeColor="accent1" w:themeTint="99" w:sz="4" w:space="0"/>
          <w:right w:val="single" w:color="95B3D7" w:themeColor="accent1" w:themeTint="99" w:sz="4" w:space="0"/>
          <w:insideH w:val="single" w:color="95B3D7" w:themeColor="accent1" w:themeTint="99" w:sz="4" w:space="0"/>
          <w:insideV w:val="single" w:color="95B3D7" w:themeColor="accent1" w:themeTint="99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3"/>
        <w:gridCol w:w="1719"/>
        <w:gridCol w:w="2601"/>
        <w:gridCol w:w="4518"/>
      </w:tblGrid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542" w:type="dxa"/>
            <w:tcBorders>
              <w:top w:val="single" w:color="4F81BD" w:themeColor="accent1" w:sz="4" w:space="0"/>
              <w:left w:val="single" w:color="4F81BD" w:themeColor="accent1" w:sz="4" w:space="0"/>
              <w:bottom w:val="single" w:color="4F81BD" w:themeColor="accent1" w:sz="4" w:space="0"/>
              <w:right w:val="nil"/>
              <w:insideH w:val="single" w:sz="4" w:space="0"/>
              <w:insideV w:val="nil"/>
            </w:tcBorders>
            <w:shd w:val="clear" w:color="auto" w:fill="4F81BD" w:themeFill="accent1"/>
          </w:tcPr>
          <w:p>
            <w:pPr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4.1</w:t>
            </w:r>
          </w:p>
        </w:tc>
        <w:tc>
          <w:tcPr>
            <w:tcW w:w="1964" w:type="dxa"/>
            <w:tcBorders>
              <w:top w:val="single" w:color="4F81BD" w:themeColor="accent1" w:sz="4" w:space="0"/>
              <w:bottom w:val="single" w:color="4F81BD" w:themeColor="accent1" w:sz="4" w:space="0"/>
              <w:right w:val="nil"/>
              <w:insideH w:val="single" w:sz="4" w:space="0"/>
              <w:insideV w:val="nil"/>
            </w:tcBorders>
            <w:shd w:val="clear" w:color="auto" w:fill="4F81BD" w:themeFill="accent1"/>
          </w:tcPr>
          <w:p>
            <w:pPr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Ausências Legais</w:t>
            </w:r>
          </w:p>
        </w:tc>
        <w:tc>
          <w:tcPr>
            <w:tcW w:w="3314" w:type="dxa"/>
            <w:tcBorders>
              <w:top w:val="single" w:color="4F81BD" w:themeColor="accent1" w:sz="4" w:space="0"/>
              <w:bottom w:val="single" w:color="4F81BD" w:themeColor="accent1" w:sz="4" w:space="0"/>
              <w:right w:val="nil"/>
              <w:insideH w:val="single" w:sz="4" w:space="0"/>
              <w:insideV w:val="nil"/>
            </w:tcBorders>
            <w:shd w:val="clear" w:color="auto" w:fill="4F81BD" w:themeFill="accent1"/>
          </w:tcPr>
          <w:p>
            <w:pPr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 xml:space="preserve">MEMÓRIA DE CÁLCULO </w:t>
            </w:r>
          </w:p>
        </w:tc>
        <w:tc>
          <w:tcPr>
            <w:tcW w:w="3531" w:type="dxa"/>
            <w:tcBorders>
              <w:top w:val="single" w:color="4F81BD" w:themeColor="accent1" w:sz="4" w:space="0"/>
              <w:bottom w:val="single" w:color="4F81BD" w:themeColor="accent1" w:sz="4" w:space="0"/>
              <w:right w:val="single" w:color="4F81BD" w:themeColor="accent1" w:sz="4" w:space="0"/>
              <w:insideH w:val="single" w:sz="4" w:space="0"/>
              <w:insideV w:val="nil"/>
            </w:tcBorders>
            <w:shd w:val="clear" w:color="auto" w:fill="4F81BD" w:themeFill="accent1"/>
          </w:tcPr>
          <w:p>
            <w:pPr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FUNDAMENTO</w:t>
            </w:r>
          </w:p>
        </w:tc>
      </w:tr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542" w:type="dxa"/>
            <w:shd w:val="clear" w:color="auto" w:fill="DBE5F1" w:themeFill="accent1" w:themeFillTint="33"/>
          </w:tcPr>
          <w:p>
            <w:pPr>
              <w:jc w:val="center"/>
              <w:rPr>
                <w:rFonts w:ascii="Calibri" w:hAnsi="Calibri" w:cs="Arial"/>
                <w:b w:val="0"/>
                <w:bCs w:val="0"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>A</w:t>
            </w:r>
          </w:p>
        </w:tc>
        <w:tc>
          <w:tcPr>
            <w:tcW w:w="1964" w:type="dxa"/>
            <w:shd w:val="clear" w:color="auto" w:fill="DBE5F1" w:themeFill="accent1" w:themeFillTint="33"/>
          </w:tcPr>
          <w:p>
            <w:pPr>
              <w:rPr>
                <w:rFonts w:cs="Arial" w:asciiTheme="minorHAnsi" w:hAnsiTheme="minorHAnsi"/>
                <w:sz w:val="18"/>
                <w:szCs w:val="18"/>
              </w:rPr>
            </w:pPr>
            <w:r>
              <w:rPr>
                <w:rFonts w:cs="Arial" w:asciiTheme="minorHAnsi" w:hAnsiTheme="minorHAnsi"/>
                <w:color w:val="000000"/>
                <w:sz w:val="18"/>
                <w:szCs w:val="18"/>
                <w:shd w:val="clear" w:color="auto" w:fill="FFFFFF"/>
              </w:rPr>
              <w:t>Substituto na cobertura de Férias</w:t>
            </w:r>
          </w:p>
        </w:tc>
        <w:tc>
          <w:tcPr>
            <w:tcW w:w="3314" w:type="dxa"/>
            <w:shd w:val="clear" w:color="auto" w:fill="DBE5F1" w:themeFill="accent1" w:themeFillTint="33"/>
          </w:tcPr>
          <w:p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Esse custo será zerado no primeiro ano.</w:t>
            </w:r>
          </w:p>
        </w:tc>
        <w:tc>
          <w:tcPr>
            <w:tcW w:w="3531" w:type="dxa"/>
            <w:shd w:val="clear" w:color="auto" w:fill="DBE5F1" w:themeFill="accent1" w:themeFillTint="33"/>
          </w:tcPr>
          <w:p>
            <w:pPr>
              <w:jc w:val="both"/>
              <w:rPr>
                <w:rFonts w:cs="Arial" w:asciiTheme="minorHAnsi" w:hAnsiTheme="minorHAnsi"/>
                <w:sz w:val="18"/>
                <w:szCs w:val="18"/>
              </w:rPr>
            </w:pPr>
            <w:r>
              <w:rPr>
                <w:rFonts w:cs="Arial" w:asciiTheme="minorHAnsi" w:hAnsiTheme="minorHAnsi"/>
                <w:sz w:val="18"/>
                <w:szCs w:val="18"/>
              </w:rPr>
              <w:t>-</w:t>
            </w:r>
          </w:p>
          <w:p>
            <w:pPr>
              <w:jc w:val="both"/>
              <w:rPr>
                <w:rFonts w:cs="Arial" w:asciiTheme="minorHAnsi" w:hAnsiTheme="minorHAnsi"/>
                <w:sz w:val="18"/>
                <w:szCs w:val="18"/>
              </w:rPr>
            </w:pPr>
          </w:p>
        </w:tc>
      </w:tr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542" w:type="dxa"/>
          </w:tcPr>
          <w:p>
            <w:pPr>
              <w:jc w:val="center"/>
              <w:rPr>
                <w:rFonts w:ascii="Calibri" w:hAnsi="Calibri" w:cs="Arial"/>
                <w:b w:val="0"/>
                <w:bCs w:val="0"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>B</w:t>
            </w:r>
          </w:p>
        </w:tc>
        <w:tc>
          <w:tcPr>
            <w:tcW w:w="1964" w:type="dxa"/>
          </w:tcPr>
          <w:p>
            <w:pPr>
              <w:rPr>
                <w:rFonts w:cs="Arial" w:asciiTheme="minorHAnsi" w:hAnsiTheme="minorHAnsi"/>
                <w:sz w:val="18"/>
                <w:szCs w:val="18"/>
              </w:rPr>
            </w:pPr>
            <w:r>
              <w:rPr>
                <w:rFonts w:cs="Arial" w:asciiTheme="minorHAnsi" w:hAnsiTheme="minorHAnsi"/>
                <w:color w:val="000000"/>
                <w:sz w:val="18"/>
                <w:szCs w:val="18"/>
                <w:shd w:val="clear" w:color="auto" w:fill="FFFFFF"/>
              </w:rPr>
              <w:t>Substituto na cobertura de Ausências Legais</w:t>
            </w:r>
          </w:p>
        </w:tc>
        <w:tc>
          <w:tcPr>
            <w:tcW w:w="3314" w:type="dxa"/>
          </w:tcPr>
          <w:p>
            <w:pPr>
              <w:jc w:val="center"/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AL= nDR(AL) x CDR / 12</w:t>
            </w:r>
          </w:p>
        </w:tc>
        <w:tc>
          <w:tcPr>
            <w:tcW w:w="3531" w:type="dxa"/>
          </w:tcPr>
          <w:p>
            <w:pPr>
              <w:rPr>
                <w:rFonts w:ascii="Calibri" w:hAnsi="Calibri" w:cs="Arial" w:eastAsiaTheme="minorHAnsi"/>
                <w:sz w:val="18"/>
                <w:szCs w:val="18"/>
                <w:lang w:eastAsia="en-US"/>
              </w:rPr>
            </w:pPr>
            <w:r>
              <w:rPr>
                <w:rFonts w:ascii="Calibri" w:hAnsi="Calibri" w:cs="Arial" w:eastAsiaTheme="minorHAnsi"/>
                <w:sz w:val="18"/>
                <w:szCs w:val="18"/>
                <w:lang w:eastAsia="en-US"/>
              </w:rPr>
              <w:t>Art. 473 da CLT / Acórdão TCU 1.753/2008:  Calculado segundo estimativa do MPOG (manual de preenchimento, pg 54).</w:t>
            </w:r>
          </w:p>
          <w:p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b/>
                <w:sz w:val="18"/>
                <w:szCs w:val="18"/>
              </w:rPr>
              <w:t>nDR(AL)</w:t>
            </w:r>
            <w:r>
              <w:rPr>
                <w:rFonts w:ascii="Calibri" w:hAnsi="Calibri" w:cs="Arial"/>
                <w:sz w:val="18"/>
                <w:szCs w:val="18"/>
              </w:rPr>
              <w:t xml:space="preserve"> - nº médio anual de dias de ausências legais por ano = </w:t>
            </w:r>
            <w:r>
              <w:rPr>
                <w:rFonts w:ascii="Calibri" w:hAnsi="Calibri" w:cs="Arial"/>
                <w:b/>
                <w:sz w:val="18"/>
                <w:szCs w:val="18"/>
              </w:rPr>
              <w:t>2,96</w:t>
            </w:r>
          </w:p>
        </w:tc>
      </w:tr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542" w:type="dxa"/>
            <w:shd w:val="clear" w:color="auto" w:fill="DBE5F1" w:themeFill="accent1" w:themeFillTint="33"/>
          </w:tcPr>
          <w:p>
            <w:pPr>
              <w:jc w:val="center"/>
              <w:rPr>
                <w:rFonts w:ascii="Calibri" w:hAnsi="Calibri" w:cs="Arial"/>
                <w:b w:val="0"/>
                <w:bCs w:val="0"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>C</w:t>
            </w:r>
          </w:p>
        </w:tc>
        <w:tc>
          <w:tcPr>
            <w:tcW w:w="1964" w:type="dxa"/>
            <w:shd w:val="clear" w:color="auto" w:fill="DBE5F1" w:themeFill="accent1" w:themeFillTint="33"/>
          </w:tcPr>
          <w:p>
            <w:pPr>
              <w:rPr>
                <w:rFonts w:cs="Arial" w:asciiTheme="minorHAnsi" w:hAnsiTheme="minorHAnsi"/>
                <w:sz w:val="18"/>
                <w:szCs w:val="18"/>
              </w:rPr>
            </w:pPr>
            <w:r>
              <w:rPr>
                <w:rFonts w:cs="Arial" w:asciiTheme="minorHAnsi" w:hAnsiTheme="minorHAnsi"/>
                <w:color w:val="000000"/>
                <w:sz w:val="18"/>
                <w:szCs w:val="18"/>
                <w:shd w:val="clear" w:color="auto" w:fill="FFFFFF"/>
              </w:rPr>
              <w:t>Substituto na cobertura de Licença-Paternidade</w:t>
            </w:r>
          </w:p>
        </w:tc>
        <w:tc>
          <w:tcPr>
            <w:tcW w:w="3314" w:type="dxa"/>
            <w:shd w:val="clear" w:color="auto" w:fill="DBE5F1" w:themeFill="accent1" w:themeFillTint="33"/>
          </w:tcPr>
          <w:p>
            <w:pPr>
              <w:jc w:val="center"/>
              <w:rPr>
                <w:rFonts w:ascii="Calibri" w:hAnsi="Calibri" w:cs="Arial"/>
                <w:sz w:val="18"/>
                <w:szCs w:val="18"/>
                <w:lang w:val="en-US"/>
              </w:rPr>
            </w:pPr>
            <w:r>
              <w:rPr>
                <w:rFonts w:ascii="Calibri" w:hAnsi="Calibri" w:cs="Arial"/>
                <w:sz w:val="18"/>
                <w:szCs w:val="18"/>
                <w:lang w:val="en-US"/>
              </w:rPr>
              <w:t>LP= nDR(LP) x % LP x CDR/12</w:t>
            </w:r>
          </w:p>
        </w:tc>
        <w:tc>
          <w:tcPr>
            <w:tcW w:w="3531" w:type="dxa"/>
            <w:shd w:val="clear" w:color="auto" w:fill="DBE5F1" w:themeFill="accent1" w:themeFillTint="33"/>
          </w:tcPr>
          <w:p>
            <w:pPr>
              <w:rPr>
                <w:rFonts w:ascii="Calibri" w:hAnsi="Calibri" w:cs="Arial" w:eastAsiaTheme="minorHAnsi"/>
                <w:sz w:val="18"/>
                <w:szCs w:val="18"/>
                <w:lang w:eastAsia="en-US"/>
              </w:rPr>
            </w:pPr>
            <w:r>
              <w:rPr>
                <w:rFonts w:ascii="Calibri" w:hAnsi="Calibri" w:cs="Arial" w:eastAsiaTheme="minorHAnsi"/>
                <w:sz w:val="18"/>
                <w:szCs w:val="18"/>
                <w:lang w:eastAsia="en-US"/>
              </w:rPr>
              <w:t>Art. 7º, XIX, CF/88 e</w:t>
            </w:r>
          </w:p>
          <w:p>
            <w:pPr>
              <w:rPr>
                <w:rFonts w:ascii="Calibri" w:hAnsi="Calibri" w:cs="Arial" w:eastAsiaTheme="minorHAnsi"/>
                <w:sz w:val="18"/>
                <w:szCs w:val="18"/>
                <w:lang w:eastAsia="en-US"/>
              </w:rPr>
            </w:pPr>
            <w:r>
              <w:rPr>
                <w:rFonts w:ascii="Calibri" w:hAnsi="Calibri" w:cs="Arial" w:eastAsiaTheme="minorHAnsi"/>
                <w:sz w:val="18"/>
                <w:szCs w:val="18"/>
                <w:lang w:eastAsia="en-US"/>
              </w:rPr>
              <w:t>10, § 1º, da CLT.</w:t>
            </w:r>
          </w:p>
          <w:p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 xml:space="preserve">Manual de Preenchimento de Planilhas do MPOG 2011 (pg 27): </w:t>
            </w:r>
            <w:r>
              <w:rPr>
                <w:rFonts w:ascii="Calibri" w:hAnsi="Calibri" w:cs="Arial"/>
                <w:b/>
                <w:sz w:val="18"/>
                <w:szCs w:val="18"/>
              </w:rPr>
              <w:t>1,5%</w:t>
            </w:r>
            <w:r>
              <w:rPr>
                <w:rFonts w:ascii="Calibri" w:hAnsi="Calibri" w:cs="Arial"/>
                <w:sz w:val="18"/>
                <w:szCs w:val="18"/>
              </w:rPr>
              <w:t xml:space="preserve"> dos trabalhadores tem filhos. Sendo </w:t>
            </w:r>
            <w:r>
              <w:rPr>
                <w:rFonts w:ascii="Calibri" w:hAnsi="Calibri" w:cs="Arial"/>
                <w:b/>
                <w:sz w:val="18"/>
                <w:szCs w:val="18"/>
              </w:rPr>
              <w:t>5 dias (nº de dias corridos de licença).</w:t>
            </w:r>
          </w:p>
        </w:tc>
      </w:tr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542" w:type="dxa"/>
          </w:tcPr>
          <w:p>
            <w:pPr>
              <w:jc w:val="center"/>
              <w:rPr>
                <w:rFonts w:ascii="Calibri" w:hAnsi="Calibri" w:cs="Arial"/>
                <w:b w:val="0"/>
                <w:bCs w:val="0"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>D</w:t>
            </w:r>
          </w:p>
        </w:tc>
        <w:tc>
          <w:tcPr>
            <w:tcW w:w="1964" w:type="dxa"/>
          </w:tcPr>
          <w:p>
            <w:pPr>
              <w:rPr>
                <w:rFonts w:cs="Arial" w:asciiTheme="minorHAnsi" w:hAnsiTheme="minorHAnsi"/>
                <w:sz w:val="18"/>
                <w:szCs w:val="18"/>
              </w:rPr>
            </w:pPr>
            <w:r>
              <w:rPr>
                <w:rFonts w:cs="Arial" w:asciiTheme="minorHAnsi" w:hAnsiTheme="minorHAnsi"/>
                <w:color w:val="000000"/>
                <w:sz w:val="18"/>
                <w:szCs w:val="18"/>
                <w:shd w:val="clear" w:color="auto" w:fill="FFFFFF"/>
              </w:rPr>
              <w:t>Substituto na cobertura de Ausência por acidente de trabalho</w:t>
            </w:r>
          </w:p>
        </w:tc>
        <w:tc>
          <w:tcPr>
            <w:tcW w:w="3314" w:type="dxa"/>
          </w:tcPr>
          <w:p>
            <w:pPr>
              <w:jc w:val="center"/>
              <w:rPr>
                <w:rFonts w:ascii="Calibri" w:hAnsi="Calibri" w:cs="Arial"/>
                <w:sz w:val="18"/>
                <w:szCs w:val="18"/>
                <w:lang w:val="en-US"/>
              </w:rPr>
            </w:pPr>
            <w:r>
              <w:rPr>
                <w:rFonts w:ascii="Calibri" w:hAnsi="Calibri" w:cs="Arial"/>
                <w:sz w:val="18"/>
                <w:szCs w:val="18"/>
                <w:lang w:val="en-US"/>
              </w:rPr>
              <w:t>AT= nDR(AT) x % AT x CDR/12</w:t>
            </w:r>
          </w:p>
        </w:tc>
        <w:tc>
          <w:tcPr>
            <w:tcW w:w="3531" w:type="dxa"/>
          </w:tcPr>
          <w:p>
            <w:pPr>
              <w:rPr>
                <w:rFonts w:ascii="Calibri" w:hAnsi="Calibri" w:cs="Arial" w:eastAsiaTheme="minorHAnsi"/>
                <w:sz w:val="18"/>
                <w:szCs w:val="18"/>
                <w:lang w:eastAsia="en-US"/>
              </w:rPr>
            </w:pPr>
            <w:r>
              <w:rPr>
                <w:rFonts w:ascii="Calibri" w:hAnsi="Calibri" w:cs="Arial" w:eastAsiaTheme="minorHAnsi"/>
                <w:sz w:val="18"/>
                <w:szCs w:val="18"/>
                <w:lang w:eastAsia="en-US"/>
              </w:rPr>
              <w:t>Arts. 19 a 23 c/c § 2º, Art. 43 da Lei 8.213/91.</w:t>
            </w:r>
          </w:p>
          <w:p>
            <w:pPr>
              <w:rPr>
                <w:rFonts w:ascii="Calibri" w:hAnsi="Calibri" w:cs="Arial"/>
                <w:b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 xml:space="preserve">Manual de Preenchimento de Planilhas do MPOG 2011 (pg 28): </w:t>
            </w:r>
            <w:r>
              <w:rPr>
                <w:rFonts w:ascii="Calibri" w:hAnsi="Calibri" w:cs="Arial"/>
                <w:b/>
                <w:sz w:val="18"/>
                <w:szCs w:val="18"/>
              </w:rPr>
              <w:t>0,78%</w:t>
            </w:r>
            <w:r>
              <w:rPr>
                <w:rFonts w:ascii="Calibri" w:hAnsi="Calibri" w:cs="Arial"/>
                <w:sz w:val="18"/>
                <w:szCs w:val="18"/>
              </w:rPr>
              <w:t xml:space="preserve"> dos empregados se acidentam</w:t>
            </w:r>
            <w:r>
              <w:rPr>
                <w:rFonts w:ascii="Calibri" w:hAnsi="Calibri" w:cs="Arial"/>
                <w:b/>
                <w:sz w:val="18"/>
                <w:szCs w:val="18"/>
              </w:rPr>
              <w:t xml:space="preserve">; </w:t>
            </w:r>
          </w:p>
          <w:p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 xml:space="preserve">Sendo </w:t>
            </w:r>
            <w:r>
              <w:rPr>
                <w:rFonts w:ascii="Calibri" w:hAnsi="Calibri" w:cs="Arial"/>
                <w:b/>
                <w:sz w:val="18"/>
                <w:szCs w:val="18"/>
              </w:rPr>
              <w:t>15 dias (nº de dias corridos de licença pagos pelo empregador).</w:t>
            </w:r>
          </w:p>
          <w:p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542" w:type="dxa"/>
            <w:shd w:val="clear" w:color="auto" w:fill="DBE5F1" w:themeFill="accent1" w:themeFillTint="33"/>
          </w:tcPr>
          <w:p>
            <w:pPr>
              <w:jc w:val="center"/>
              <w:rPr>
                <w:rFonts w:ascii="Calibri" w:hAnsi="Calibri" w:cs="Arial"/>
                <w:b w:val="0"/>
                <w:bCs w:val="0"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964" w:type="dxa"/>
            <w:shd w:val="clear" w:color="auto" w:fill="DBE5F1" w:themeFill="accent1" w:themeFillTint="33"/>
          </w:tcPr>
          <w:p>
            <w:pPr>
              <w:rPr>
                <w:rFonts w:cs="Arial" w:asciiTheme="minorHAnsi" w:hAnsiTheme="minorHAnsi"/>
                <w:sz w:val="18"/>
                <w:szCs w:val="18"/>
              </w:rPr>
            </w:pPr>
            <w:r>
              <w:rPr>
                <w:rFonts w:cs="Arial" w:asciiTheme="minorHAnsi" w:hAnsiTheme="minorHAnsi"/>
                <w:sz w:val="18"/>
                <w:szCs w:val="18"/>
                <w:shd w:val="clear" w:color="auto" w:fill="FFFFFF"/>
              </w:rPr>
              <w:t>Substituto na cobertura de Afastamento Maternidade</w:t>
            </w:r>
            <w:r>
              <w:rPr>
                <w:rFonts w:cs="Arial" w:asciiTheme="minorHAnsi" w:hAnsiTheme="minorHAnsi"/>
                <w:sz w:val="18"/>
                <w:szCs w:val="18"/>
              </w:rPr>
              <w:t xml:space="preserve"> </w:t>
            </w:r>
          </w:p>
        </w:tc>
        <w:tc>
          <w:tcPr>
            <w:tcW w:w="3314" w:type="dxa"/>
            <w:shd w:val="clear" w:color="auto" w:fill="DBE5F1" w:themeFill="accent1" w:themeFillTint="33"/>
          </w:tcPr>
          <w:p>
            <w:pPr>
              <w:pStyle w:val="58"/>
              <w:ind w:left="-70"/>
              <w:jc w:val="both"/>
              <w:rPr>
                <w:rFonts w:cs="Arial" w:asciiTheme="minorHAnsi" w:hAnsiTheme="minorHAnsi" w:eastAsiaTheme="minorHAnsi"/>
                <w:sz w:val="16"/>
                <w:szCs w:val="16"/>
                <w:lang w:val="en-US" w:eastAsia="en-US"/>
              </w:rPr>
            </w:pPr>
            <w:r>
              <w:rPr>
                <w:rFonts w:cs="Arial" w:asciiTheme="minorHAnsi" w:hAnsiTheme="minorHAnsi" w:eastAsiaTheme="minorHAnsi"/>
                <w:sz w:val="18"/>
                <w:szCs w:val="18"/>
                <w:lang w:val="en-US" w:eastAsia="en-US"/>
              </w:rPr>
              <w:t xml:space="preserve">(*) </w:t>
            </w:r>
            <w:r>
              <w:rPr>
                <w:rFonts w:cs="Arial" w:asciiTheme="minorHAnsi" w:hAnsiTheme="minorHAnsi" w:eastAsiaTheme="minorHAnsi"/>
                <w:sz w:val="16"/>
                <w:szCs w:val="16"/>
                <w:lang w:val="en-US" w:eastAsia="en-US"/>
              </w:rPr>
              <w:t>AMT: FPAM + (BMDND x 3,95 x  % a.a AM) : 12 + IAM</w:t>
            </w:r>
          </w:p>
          <w:p>
            <w:pPr>
              <w:jc w:val="center"/>
              <w:rPr>
                <w:rFonts w:cs="Arial" w:asciiTheme="minorHAnsi" w:hAnsiTheme="minorHAnsi"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3531" w:type="dxa"/>
            <w:shd w:val="clear" w:color="auto" w:fill="DBE5F1" w:themeFill="accent1" w:themeFillTint="33"/>
          </w:tcPr>
          <w:p>
            <w:pPr>
              <w:rPr>
                <w:rStyle w:val="11"/>
                <w:rFonts w:asciiTheme="minorHAnsi" w:hAnsiTheme="minorHAnsi"/>
                <w:i w:val="0"/>
                <w:sz w:val="18"/>
                <w:szCs w:val="18"/>
                <w:highlight w:val="white"/>
              </w:rPr>
            </w:pPr>
            <w:r>
              <w:rPr>
                <w:rStyle w:val="11"/>
                <w:rFonts w:asciiTheme="minorHAnsi" w:hAnsiTheme="minorHAnsi"/>
                <w:i w:val="0"/>
                <w:sz w:val="18"/>
                <w:szCs w:val="18"/>
                <w:shd w:val="clear" w:color="auto" w:fill="FFFFFF"/>
              </w:rPr>
              <w:t>Art. 6º e 201 da CF, art. 392 da CLT.</w:t>
            </w:r>
          </w:p>
          <w:p>
            <w:r>
              <w:rPr>
                <w:rFonts w:ascii="Calibri" w:hAnsi="Calibri" w:cs="Arial"/>
                <w:b/>
                <w:sz w:val="18"/>
                <w:szCs w:val="18"/>
              </w:rPr>
              <w:t>Considerando os dados do IBGE 2021, a taxa de fecundidade no estado do Rio de Janeiro é de 1,72% &lt;</w:t>
            </w:r>
            <w:r>
              <w:t>https://www.ibge.gov.br/apps/populacao/projecao/&gt;. Acesso em 23/05/2021)</w:t>
            </w:r>
            <w:r>
              <w:rPr>
                <w:rFonts w:ascii="Calibri" w:hAnsi="Calibri" w:cs="Arial"/>
                <w:b/>
                <w:sz w:val="18"/>
                <w:szCs w:val="18"/>
              </w:rPr>
              <w:t xml:space="preserve">; </w:t>
            </w:r>
          </w:p>
          <w:p>
            <w:pPr>
              <w:rPr>
                <w:rFonts w:cs="Arial" w:asciiTheme="minorHAnsi" w:hAnsiTheme="minorHAnsi" w:eastAsiaTheme="minorHAnsi"/>
                <w:i/>
                <w:sz w:val="18"/>
                <w:szCs w:val="18"/>
                <w:lang w:eastAsia="en-US"/>
              </w:rPr>
            </w:pPr>
            <w:r>
              <w:rPr>
                <w:rFonts w:ascii="Calibri" w:hAnsi="Calibri" w:cs="Arial"/>
                <w:sz w:val="18"/>
                <w:szCs w:val="18"/>
              </w:rPr>
              <w:t xml:space="preserve">Considerando dados de contratos anteriores com tipo de serviço assemelhado, </w:t>
            </w:r>
            <w:r>
              <w:rPr>
                <w:rFonts w:ascii="Calibri" w:hAnsi="Calibri" w:cs="Arial"/>
                <w:color w:val="FF0000"/>
                <w:sz w:val="18"/>
                <w:szCs w:val="18"/>
              </w:rPr>
              <w:t xml:space="preserve">temos que aproximadamente 12% de mulheres do número </w:t>
            </w:r>
            <w:r>
              <w:rPr>
                <w:rFonts w:ascii="Calibri" w:hAnsi="Calibri" w:cs="Arial"/>
                <w:sz w:val="18"/>
                <w:szCs w:val="18"/>
              </w:rPr>
              <w:t xml:space="preserve">total de trabalhadores. Sendo assim, a percentagem de afastamento maternidade é </w:t>
            </w:r>
            <w:r>
              <w:rPr>
                <w:rFonts w:ascii="Calibri" w:hAnsi="Calibri" w:cs="Arial"/>
                <w:color w:val="FF0000"/>
                <w:sz w:val="18"/>
                <w:szCs w:val="18"/>
              </w:rPr>
              <w:t>de 12</w:t>
            </w:r>
            <w:r>
              <w:rPr>
                <w:rFonts w:ascii="Calibri" w:hAnsi="Calibri" w:cs="Arial"/>
                <w:b/>
                <w:color w:val="FF0000"/>
                <w:sz w:val="18"/>
                <w:szCs w:val="18"/>
              </w:rPr>
              <w:t>% x 1,72%</w:t>
            </w:r>
            <w:r>
              <w:rPr>
                <w:rFonts w:ascii="Calibri" w:hAnsi="Calibri" w:cs="Arial"/>
                <w:color w:val="FF0000"/>
                <w:sz w:val="18"/>
                <w:szCs w:val="18"/>
              </w:rPr>
              <w:t xml:space="preserve"> = 0,21</w:t>
            </w:r>
            <w:r>
              <w:rPr>
                <w:rFonts w:ascii="Calibri" w:hAnsi="Calibri" w:cs="Arial"/>
                <w:b/>
                <w:color w:val="FF0000"/>
                <w:sz w:val="18"/>
                <w:szCs w:val="18"/>
              </w:rPr>
              <w:t>%</w:t>
            </w:r>
          </w:p>
        </w:tc>
      </w:tr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542" w:type="dxa"/>
          </w:tcPr>
          <w:p>
            <w:pPr>
              <w:jc w:val="center"/>
              <w:rPr>
                <w:rFonts w:ascii="Calibri" w:hAnsi="Calibri" w:cs="Arial"/>
                <w:b w:val="0"/>
                <w:bCs w:val="0"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>F</w:t>
            </w:r>
          </w:p>
        </w:tc>
        <w:tc>
          <w:tcPr>
            <w:tcW w:w="1964" w:type="dxa"/>
          </w:tcPr>
          <w:p>
            <w:pPr>
              <w:rPr>
                <w:rFonts w:cs="Arial" w:asciiTheme="minorHAnsi" w:hAnsiTheme="minorHAnsi"/>
                <w:sz w:val="18"/>
                <w:szCs w:val="18"/>
              </w:rPr>
            </w:pPr>
            <w:r>
              <w:rPr>
                <w:rFonts w:cs="Arial" w:asciiTheme="minorHAnsi" w:hAnsiTheme="minorHAnsi"/>
                <w:color w:val="000000"/>
                <w:sz w:val="18"/>
                <w:szCs w:val="18"/>
                <w:shd w:val="clear" w:color="auto" w:fill="FFFFFF"/>
              </w:rPr>
              <w:t>Substituto na cobertura de Outras ausências (especificar)</w:t>
            </w:r>
          </w:p>
        </w:tc>
        <w:tc>
          <w:tcPr>
            <w:tcW w:w="3314" w:type="dxa"/>
          </w:tcPr>
          <w:p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3531" w:type="dxa"/>
          </w:tcPr>
          <w:p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 w:eastAsiaTheme="minorHAnsi"/>
                <w:sz w:val="18"/>
                <w:szCs w:val="18"/>
                <w:lang w:eastAsia="en-US"/>
              </w:rPr>
              <w:t>-</w:t>
            </w:r>
          </w:p>
        </w:tc>
      </w:tr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542" w:type="dxa"/>
            <w:shd w:val="clear" w:color="auto" w:fill="DBE5F1" w:themeFill="accent1" w:themeFillTint="33"/>
          </w:tcPr>
          <w:p>
            <w:pPr>
              <w:jc w:val="center"/>
              <w:rPr>
                <w:rFonts w:ascii="Calibri" w:hAnsi="Calibri" w:cs="Arial"/>
                <w:b w:val="0"/>
                <w:bCs w:val="0"/>
                <w:sz w:val="18"/>
                <w:szCs w:val="18"/>
                <w:lang w:val="en-US"/>
              </w:rPr>
            </w:pPr>
          </w:p>
        </w:tc>
        <w:tc>
          <w:tcPr>
            <w:tcW w:w="1964" w:type="dxa"/>
            <w:shd w:val="clear" w:color="auto" w:fill="DBE5F1" w:themeFill="accent1" w:themeFillTint="33"/>
          </w:tcPr>
          <w:p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Total</w:t>
            </w:r>
          </w:p>
        </w:tc>
        <w:tc>
          <w:tcPr>
            <w:tcW w:w="3314" w:type="dxa"/>
            <w:shd w:val="clear" w:color="auto" w:fill="DBE5F1" w:themeFill="accent1" w:themeFillTint="33"/>
          </w:tcPr>
          <w:p>
            <w:pPr>
              <w:rPr>
                <w:rFonts w:ascii="Calibri" w:hAnsi="Calibri" w:cs="Arial"/>
                <w:sz w:val="18"/>
                <w:szCs w:val="18"/>
              </w:rPr>
            </w:pPr>
          </w:p>
        </w:tc>
        <w:tc>
          <w:tcPr>
            <w:tcW w:w="3531" w:type="dxa"/>
            <w:shd w:val="clear" w:color="auto" w:fill="DBE5F1" w:themeFill="accent1" w:themeFillTint="33"/>
          </w:tcPr>
          <w:p>
            <w:pPr>
              <w:rPr>
                <w:rFonts w:ascii="Calibri" w:hAnsi="Calibri" w:cs="Arial" w:eastAsiaTheme="minorHAnsi"/>
                <w:sz w:val="18"/>
                <w:szCs w:val="18"/>
                <w:lang w:eastAsia="en-US"/>
              </w:rPr>
            </w:pPr>
          </w:p>
        </w:tc>
      </w:tr>
    </w:tbl>
    <w:p>
      <w:pPr>
        <w:ind w:left="426"/>
        <w:jc w:val="both"/>
        <w:rPr>
          <w:rStyle w:val="8"/>
          <w:rFonts w:cs="Arial" w:asciiTheme="minorHAnsi" w:hAnsiTheme="minorHAnsi"/>
          <w:color w:val="000000"/>
          <w:sz w:val="16"/>
          <w:szCs w:val="16"/>
          <w:shd w:val="clear" w:color="auto" w:fill="FFFFFF"/>
        </w:rPr>
      </w:pPr>
    </w:p>
    <w:p>
      <w:pPr>
        <w:ind w:left="426"/>
        <w:rPr>
          <w:rFonts w:cs="Arial" w:asciiTheme="minorHAnsi" w:hAnsiTheme="minorHAnsi"/>
          <w:color w:val="000000"/>
          <w:sz w:val="22"/>
          <w:szCs w:val="22"/>
          <w:highlight w:val="white"/>
        </w:rPr>
      </w:pPr>
      <w:r>
        <w:rPr>
          <w:rStyle w:val="8"/>
          <w:rFonts w:cs="Arial" w:asciiTheme="minorHAnsi" w:hAnsiTheme="minorHAnsi"/>
          <w:color w:val="000000"/>
          <w:sz w:val="22"/>
          <w:szCs w:val="22"/>
          <w:shd w:val="clear" w:color="auto" w:fill="FFFFFF"/>
        </w:rPr>
        <w:t>Nota 1: </w:t>
      </w:r>
      <w:r>
        <w:rPr>
          <w:rFonts w:cs="Arial" w:asciiTheme="minorHAnsi" w:hAnsiTheme="minorHAnsi"/>
          <w:color w:val="000000"/>
          <w:sz w:val="22"/>
          <w:szCs w:val="22"/>
          <w:shd w:val="clear" w:color="auto" w:fill="FFFFFF"/>
        </w:rPr>
        <w:t>Os itens que contemplam o módulo 4 se referem ao custo dos dias trabalhados pelo repositor/substituto, quando o empregado alocado na prestação de serviço estiver ausente, conforme as previsões estabelecidas na legislação.</w:t>
      </w:r>
    </w:p>
    <w:p>
      <w:pPr>
        <w:ind w:left="426"/>
        <w:rPr>
          <w:rFonts w:cs="Arial" w:asciiTheme="minorHAnsi" w:hAnsiTheme="minorHAnsi" w:eastAsiaTheme="minorHAnsi"/>
          <w:sz w:val="22"/>
          <w:szCs w:val="22"/>
          <w:lang w:eastAsia="en-US"/>
        </w:rPr>
      </w:pPr>
    </w:p>
    <w:p>
      <w:pPr>
        <w:ind w:left="426"/>
        <w:rPr>
          <w:rFonts w:cs="Arial" w:asciiTheme="minorHAnsi" w:hAnsiTheme="minorHAnsi" w:eastAsiaTheme="minorHAnsi"/>
          <w:b/>
          <w:sz w:val="22"/>
          <w:szCs w:val="22"/>
          <w:u w:val="single"/>
          <w:lang w:eastAsia="en-US"/>
        </w:rPr>
      </w:pPr>
      <w:r>
        <w:rPr>
          <w:rFonts w:cs="Arial" w:asciiTheme="minorHAnsi" w:hAnsiTheme="minorHAnsi" w:eastAsiaTheme="minorHAnsi"/>
          <w:b/>
          <w:sz w:val="22"/>
          <w:szCs w:val="22"/>
          <w:u w:val="single"/>
          <w:lang w:eastAsia="en-US"/>
        </w:rPr>
        <w:t>OBSERVAÇÕES:</w:t>
      </w:r>
    </w:p>
    <w:p>
      <w:pPr>
        <w:ind w:left="426"/>
        <w:rPr>
          <w:rFonts w:cs="Arial" w:asciiTheme="minorHAnsi" w:hAnsiTheme="minorHAnsi" w:eastAsiaTheme="minorHAnsi"/>
          <w:b/>
          <w:sz w:val="22"/>
          <w:szCs w:val="22"/>
          <w:u w:val="single"/>
          <w:lang w:eastAsia="en-US"/>
        </w:rPr>
      </w:pPr>
    </w:p>
    <w:p>
      <w:pPr>
        <w:pStyle w:val="58"/>
        <w:numPr>
          <w:ilvl w:val="0"/>
          <w:numId w:val="1"/>
        </w:numPr>
        <w:rPr>
          <w:rFonts w:cs="Arial" w:asciiTheme="minorHAnsi" w:hAnsiTheme="minorHAnsi" w:eastAsiaTheme="minorHAnsi"/>
          <w:sz w:val="22"/>
          <w:szCs w:val="22"/>
          <w:lang w:eastAsia="en-US"/>
        </w:rPr>
      </w:pPr>
      <w:r>
        <w:rPr>
          <w:rFonts w:cs="Arial" w:asciiTheme="minorHAnsi" w:hAnsiTheme="minorHAnsi" w:eastAsiaTheme="minorHAnsi"/>
          <w:sz w:val="22"/>
          <w:szCs w:val="22"/>
          <w:lang w:eastAsia="en-US"/>
        </w:rPr>
        <w:t>Para o cálculo do custo de reposição do profissional ausente deve-se em primeiro lugar determinar o custo diário daquele que vai fazer a reposição – CDR, que é obtido:</w:t>
      </w:r>
    </w:p>
    <w:p>
      <w:pPr>
        <w:pStyle w:val="58"/>
        <w:ind w:left="786"/>
        <w:rPr>
          <w:rFonts w:cs="Arial" w:asciiTheme="minorHAnsi" w:hAnsiTheme="minorHAnsi" w:eastAsiaTheme="minorHAnsi"/>
          <w:sz w:val="22"/>
          <w:szCs w:val="22"/>
          <w:lang w:eastAsia="en-US"/>
        </w:rPr>
      </w:pPr>
    </w:p>
    <w:p>
      <w:pPr>
        <w:pStyle w:val="58"/>
        <w:ind w:left="786"/>
        <w:rPr>
          <w:rFonts w:cs="Arial" w:asciiTheme="minorHAnsi" w:hAnsiTheme="minorHAnsi" w:eastAsiaTheme="minorHAnsi"/>
          <w:sz w:val="22"/>
          <w:szCs w:val="22"/>
          <w:lang w:eastAsia="en-US"/>
        </w:rPr>
      </w:pPr>
      <w:r>
        <w:rPr>
          <w:rFonts w:cs="Arial" w:asciiTheme="minorHAnsi" w:hAnsiTheme="minorHAnsi" w:eastAsiaTheme="minorHAnsi"/>
          <w:sz w:val="22"/>
          <w:szCs w:val="22"/>
          <w:lang w:eastAsia="en-US"/>
        </w:rPr>
        <w:t xml:space="preserve">                           Custo mensal do repositor (mód. 1 + mód. 2 + mod. 3 + maternidade + mód. 5 – (transp. – aliment. – equip.  – materiais)</w:t>
      </w:r>
    </w:p>
    <w:p>
      <w:pPr>
        <w:rPr>
          <w:sz w:val="22"/>
          <w:szCs w:val="22"/>
        </w:rPr>
      </w:pPr>
      <w:r>
        <w:rPr>
          <w:rFonts w:cs="Arial" w:asciiTheme="minorHAnsi" w:hAnsiTheme="minorHAnsi" w:eastAsiaTheme="minorHAnsi"/>
          <w:b/>
          <w:sz w:val="22"/>
          <w:szCs w:val="22"/>
          <w:lang w:eastAsia="en-US"/>
        </w:rPr>
        <w:t xml:space="preserve">                                               CDR</w:t>
      </w:r>
      <w:r>
        <w:rPr>
          <w:rFonts w:cs="Arial" w:asciiTheme="minorHAnsi" w:hAnsiTheme="minorHAnsi" w:eastAsiaTheme="minorHAnsi"/>
          <w:sz w:val="22"/>
          <w:szCs w:val="22"/>
          <w:lang w:eastAsia="en-US"/>
        </w:rPr>
        <w:t xml:space="preserve"> =                                                 _____________________________________________</w:t>
      </w:r>
    </w:p>
    <w:p>
      <w:pPr>
        <w:pStyle w:val="58"/>
        <w:ind w:left="786"/>
        <w:rPr>
          <w:rFonts w:cs="Arial" w:asciiTheme="minorHAnsi" w:hAnsiTheme="minorHAnsi" w:eastAsiaTheme="minorHAnsi"/>
          <w:sz w:val="22"/>
          <w:szCs w:val="22"/>
          <w:lang w:eastAsia="en-US"/>
        </w:rPr>
      </w:pPr>
      <w:r>
        <w:rPr>
          <w:rFonts w:cs="Arial" w:asciiTheme="minorHAnsi" w:hAnsiTheme="minorHAnsi" w:eastAsiaTheme="minorHAnsi"/>
          <w:sz w:val="22"/>
          <w:szCs w:val="22"/>
          <w:lang w:eastAsia="en-US"/>
        </w:rPr>
        <w:t xml:space="preserve">                                  Dias do mês (30)</w:t>
      </w:r>
    </w:p>
    <w:p>
      <w:pPr>
        <w:pStyle w:val="58"/>
        <w:ind w:left="786"/>
        <w:rPr>
          <w:rFonts w:cs="Arial" w:asciiTheme="minorHAnsi" w:hAnsiTheme="minorHAnsi" w:eastAsiaTheme="minorHAnsi"/>
          <w:sz w:val="22"/>
          <w:szCs w:val="22"/>
          <w:lang w:eastAsia="en-US"/>
        </w:rPr>
      </w:pPr>
    </w:p>
    <w:p>
      <w:pPr>
        <w:pStyle w:val="58"/>
        <w:numPr>
          <w:ilvl w:val="0"/>
          <w:numId w:val="1"/>
        </w:numPr>
        <w:rPr>
          <w:rFonts w:cs="Arial" w:asciiTheme="minorHAnsi" w:hAnsiTheme="minorHAnsi" w:eastAsiaTheme="minorHAnsi"/>
          <w:sz w:val="22"/>
          <w:szCs w:val="22"/>
          <w:lang w:eastAsia="en-US"/>
        </w:rPr>
      </w:pPr>
      <w:r>
        <w:rPr>
          <w:rFonts w:cs="Arial" w:asciiTheme="minorHAnsi" w:hAnsiTheme="minorHAnsi" w:eastAsiaTheme="minorHAnsi"/>
          <w:sz w:val="22"/>
          <w:szCs w:val="22"/>
          <w:lang w:eastAsia="en-US"/>
        </w:rPr>
        <w:t>No cálculo do custo diário de reposição de empregados ausentes, deve-se excluir os custos referentes às verbas que já foram consideradas na composição da planilha e que não deverão ser incluídas no custo do profissional vinculado ao contrato, tais como materiais, equipamentos, vale transporte, auxílio refeição, etc.</w:t>
      </w:r>
    </w:p>
    <w:p>
      <w:pPr>
        <w:pStyle w:val="58"/>
        <w:ind w:left="786"/>
        <w:rPr>
          <w:rFonts w:cs="Arial" w:asciiTheme="minorHAnsi" w:hAnsiTheme="minorHAnsi" w:eastAsiaTheme="minorHAnsi"/>
          <w:sz w:val="22"/>
          <w:szCs w:val="22"/>
          <w:lang w:eastAsia="en-US"/>
        </w:rPr>
      </w:pPr>
    </w:p>
    <w:p>
      <w:pPr>
        <w:pStyle w:val="58"/>
        <w:numPr>
          <w:ilvl w:val="0"/>
          <w:numId w:val="1"/>
        </w:numPr>
        <w:rPr>
          <w:rFonts w:cs="Arial" w:asciiTheme="minorHAnsi" w:hAnsiTheme="minorHAnsi" w:eastAsiaTheme="minorHAnsi"/>
          <w:sz w:val="22"/>
          <w:szCs w:val="22"/>
          <w:lang w:eastAsia="en-US"/>
        </w:rPr>
      </w:pPr>
      <w:r>
        <w:rPr>
          <w:rFonts w:cs="Arial" w:asciiTheme="minorHAnsi" w:hAnsiTheme="minorHAnsi" w:eastAsiaTheme="minorHAnsi"/>
          <w:sz w:val="22"/>
          <w:szCs w:val="22"/>
          <w:lang w:eastAsia="en-US"/>
        </w:rPr>
        <w:t>Deve-se considerar que o afastamento maternidade (4.1 – E) também é componente do custo do repositor. Embora a planilha se refira à própria licença maternidade, esta é paga pela Previdência Social e não pelo empregador, contudo, existem encargos correspondentes ao período do afastamento não cobertos pela previdência, tais como: férias proporcionais, encargos previdenciários, FGTS, e outros.</w:t>
      </w:r>
    </w:p>
    <w:p>
      <w:pPr>
        <w:pStyle w:val="58"/>
        <w:rPr>
          <w:rFonts w:cs="Arial" w:asciiTheme="minorHAnsi" w:hAnsiTheme="minorHAnsi" w:eastAsiaTheme="minorHAnsi"/>
          <w:b/>
          <w:sz w:val="22"/>
          <w:szCs w:val="22"/>
          <w:u w:val="single"/>
          <w:lang w:eastAsia="en-US"/>
        </w:rPr>
      </w:pPr>
    </w:p>
    <w:p>
      <w:pPr>
        <w:pStyle w:val="58"/>
        <w:ind w:left="786"/>
        <w:rPr>
          <w:rFonts w:cs="Arial" w:asciiTheme="minorHAnsi" w:hAnsiTheme="minorHAnsi" w:eastAsiaTheme="minorHAnsi"/>
          <w:b/>
          <w:sz w:val="22"/>
          <w:szCs w:val="22"/>
          <w:u w:val="single"/>
          <w:lang w:eastAsia="en-US"/>
        </w:rPr>
      </w:pPr>
      <w:r>
        <w:rPr>
          <w:rFonts w:cs="Arial" w:asciiTheme="minorHAnsi" w:hAnsiTheme="minorHAnsi" w:eastAsiaTheme="minorHAnsi"/>
          <w:b/>
          <w:sz w:val="22"/>
          <w:szCs w:val="22"/>
          <w:u w:val="single"/>
          <w:lang w:eastAsia="en-US"/>
        </w:rPr>
        <w:t xml:space="preserve">CÁLCULO DO </w:t>
      </w:r>
      <w:r>
        <w:rPr>
          <w:rFonts w:cs="Arial" w:asciiTheme="minorHAnsi" w:hAnsiTheme="minorHAnsi"/>
          <w:b/>
          <w:color w:val="FF0000"/>
          <w:sz w:val="22"/>
          <w:szCs w:val="22"/>
          <w:shd w:val="clear" w:color="auto" w:fill="FFFFFF"/>
        </w:rPr>
        <w:t>SUBSTITUTO NA COBERTURA DE AFASTAMENTO MATERNIDADE</w:t>
      </w:r>
      <w:r>
        <w:rPr>
          <w:rFonts w:cs="Arial" w:asciiTheme="minorHAnsi" w:hAnsiTheme="minorHAnsi"/>
          <w:color w:val="FF0000"/>
          <w:sz w:val="22"/>
          <w:szCs w:val="22"/>
        </w:rPr>
        <w:t xml:space="preserve"> </w:t>
      </w:r>
      <w:r>
        <w:rPr>
          <w:rFonts w:cs="Arial" w:asciiTheme="minorHAnsi" w:hAnsiTheme="minorHAnsi"/>
          <w:sz w:val="22"/>
          <w:szCs w:val="22"/>
        </w:rPr>
        <w:t>(*)</w:t>
      </w:r>
    </w:p>
    <w:p>
      <w:pPr>
        <w:pStyle w:val="58"/>
        <w:ind w:left="786"/>
        <w:rPr>
          <w:rFonts w:cs="Arial" w:asciiTheme="minorHAnsi" w:hAnsiTheme="minorHAnsi" w:eastAsiaTheme="minorHAnsi"/>
          <w:b/>
          <w:sz w:val="22"/>
          <w:szCs w:val="22"/>
          <w:u w:val="single"/>
          <w:lang w:eastAsia="en-US"/>
        </w:rPr>
      </w:pPr>
    </w:p>
    <w:p>
      <w:pPr>
        <w:pStyle w:val="58"/>
        <w:ind w:left="786"/>
        <w:rPr>
          <w:rFonts w:cs="Arial" w:asciiTheme="minorHAnsi" w:hAnsiTheme="minorHAnsi" w:eastAsiaTheme="minorHAnsi"/>
          <w:sz w:val="22"/>
          <w:szCs w:val="22"/>
          <w:lang w:val="en-US" w:eastAsia="en-US"/>
        </w:rPr>
      </w:pPr>
      <w:r>
        <w:rPr>
          <w:rFonts w:cs="Arial" w:asciiTheme="minorHAnsi" w:hAnsiTheme="minorHAnsi" w:eastAsiaTheme="minorHAnsi"/>
          <w:sz w:val="22"/>
          <w:szCs w:val="22"/>
          <w:lang w:val="en-US" w:eastAsia="en-US"/>
        </w:rPr>
        <w:t>AMT: FPAM + (BMDND x 3,95 x  % a.a AM) : 12 + IAM</w:t>
      </w:r>
    </w:p>
    <w:p>
      <w:pPr>
        <w:pStyle w:val="58"/>
        <w:ind w:left="786"/>
        <w:rPr>
          <w:rFonts w:cs="Arial" w:asciiTheme="minorHAnsi" w:hAnsiTheme="minorHAnsi" w:eastAsiaTheme="minorHAnsi"/>
          <w:sz w:val="22"/>
          <w:szCs w:val="22"/>
          <w:lang w:val="en-US" w:eastAsia="en-US"/>
        </w:rPr>
      </w:pPr>
    </w:p>
    <w:p>
      <w:pPr>
        <w:pStyle w:val="58"/>
        <w:ind w:left="786"/>
        <w:rPr>
          <w:rFonts w:cs="Arial" w:asciiTheme="minorHAnsi" w:hAnsiTheme="minorHAnsi" w:eastAsiaTheme="minorHAnsi"/>
          <w:sz w:val="22"/>
          <w:szCs w:val="22"/>
          <w:lang w:eastAsia="en-US"/>
        </w:rPr>
      </w:pPr>
      <w:r>
        <w:rPr>
          <w:rFonts w:cs="Arial" w:asciiTheme="minorHAnsi" w:hAnsiTheme="minorHAnsi" w:eastAsiaTheme="minorHAnsi"/>
          <w:sz w:val="22"/>
          <w:szCs w:val="22"/>
          <w:lang w:eastAsia="en-US"/>
        </w:rPr>
        <w:t>FPAM (</w:t>
      </w:r>
      <w:r>
        <w:rPr>
          <w:rFonts w:cs="Arial" w:asciiTheme="minorHAnsi" w:hAnsiTheme="minorHAnsi" w:eastAsiaTheme="minorHAnsi"/>
          <w:i/>
          <w:sz w:val="22"/>
          <w:szCs w:val="22"/>
          <w:lang w:eastAsia="en-US"/>
        </w:rPr>
        <w:t>Ferias proporcionais sobre o afastamento maternidade</w:t>
      </w:r>
      <w:r>
        <w:rPr>
          <w:rFonts w:cs="Arial" w:asciiTheme="minorHAnsi" w:hAnsiTheme="minorHAnsi" w:eastAsiaTheme="minorHAnsi"/>
          <w:sz w:val="22"/>
          <w:szCs w:val="22"/>
          <w:lang w:eastAsia="en-US"/>
        </w:rPr>
        <w:t>) = [(F + AF) x 3,95/12)]</w:t>
      </w:r>
    </w:p>
    <w:p>
      <w:pPr>
        <w:pStyle w:val="58"/>
        <w:ind w:left="786"/>
        <w:rPr>
          <w:rFonts w:cs="Arial" w:asciiTheme="minorHAnsi" w:hAnsiTheme="minorHAnsi" w:eastAsiaTheme="minorHAnsi"/>
          <w:sz w:val="22"/>
          <w:szCs w:val="22"/>
          <w:lang w:eastAsia="en-US"/>
        </w:rPr>
      </w:pPr>
      <w:r>
        <w:rPr>
          <w:rFonts w:cs="Arial" w:asciiTheme="minorHAnsi" w:hAnsiTheme="minorHAnsi" w:eastAsiaTheme="minorHAnsi"/>
          <w:sz w:val="22"/>
          <w:szCs w:val="22"/>
          <w:lang w:eastAsia="en-US"/>
        </w:rPr>
        <w:t>IAM (</w:t>
      </w:r>
      <w:r>
        <w:rPr>
          <w:rFonts w:cs="Arial" w:asciiTheme="minorHAnsi" w:hAnsiTheme="minorHAnsi" w:eastAsiaTheme="minorHAnsi"/>
          <w:i/>
          <w:sz w:val="22"/>
          <w:szCs w:val="22"/>
          <w:lang w:eastAsia="en-US"/>
        </w:rPr>
        <w:t>Incidência do submódulo 2.2 sobre o afastamento maternidade</w:t>
      </w:r>
      <w:r>
        <w:rPr>
          <w:rFonts w:cs="Arial" w:asciiTheme="minorHAnsi" w:hAnsiTheme="minorHAnsi" w:eastAsiaTheme="minorHAnsi"/>
          <w:sz w:val="22"/>
          <w:szCs w:val="22"/>
          <w:lang w:eastAsia="en-US"/>
        </w:rPr>
        <w:t>) = [(R + 13º) x %TE (alíquota encargos) x 3,95)] x %AM : 12</w:t>
      </w:r>
    </w:p>
    <w:p>
      <w:pPr>
        <w:pStyle w:val="58"/>
        <w:ind w:left="786"/>
        <w:rPr>
          <w:rFonts w:cs="Arial" w:asciiTheme="minorHAnsi" w:hAnsiTheme="minorHAnsi" w:eastAsiaTheme="minorHAnsi"/>
          <w:sz w:val="22"/>
          <w:szCs w:val="22"/>
          <w:lang w:eastAsia="en-US"/>
        </w:rPr>
      </w:pPr>
      <w:r>
        <w:rPr>
          <w:rFonts w:ascii="Calibri" w:hAnsi="Calibri" w:cs="Arial" w:eastAsiaTheme="minorHAnsi"/>
          <w:sz w:val="22"/>
          <w:szCs w:val="22"/>
        </w:rPr>
        <mc:AlternateContent>
          <mc:Choice Requires="wps">
            <w:drawing>
              <wp:anchor distT="0" distB="0" distL="0" distR="0" simplePos="0" relativeHeight="251661312" behindDoc="0" locked="0" layoutInCell="1" allowOverlap="1">
                <wp:simplePos x="0" y="0"/>
                <wp:positionH relativeFrom="column">
                  <wp:posOffset>1058545</wp:posOffset>
                </wp:positionH>
                <wp:positionV relativeFrom="paragraph">
                  <wp:posOffset>58420</wp:posOffset>
                </wp:positionV>
                <wp:extent cx="3479800" cy="481330"/>
                <wp:effectExtent l="0" t="0" r="26035" b="14605"/>
                <wp:wrapNone/>
                <wp:docPr id="7" name="Caixa de tex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9040" cy="4806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>
                            <w:pPr>
                              <w:pStyle w:val="66"/>
                              <w:jc w:val="center"/>
                              <w:rPr>
                                <w:rFonts w:asciiTheme="minorHAnsi" w:hAnsiTheme="minorHAnsi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b/>
                                <w:color w:val="000000"/>
                                <w:sz w:val="16"/>
                                <w:szCs w:val="16"/>
                              </w:rPr>
                              <w:t>Dias de licença a maternidade:</w:t>
                            </w:r>
                          </w:p>
                          <w:p>
                            <w:pPr>
                              <w:pStyle w:val="66"/>
                              <w:jc w:val="center"/>
                              <w:rPr>
                                <w:rFonts w:asciiTheme="minorHAnsi" w:hAnsiTheme="minorHAnsi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color w:val="000000"/>
                                <w:sz w:val="16"/>
                                <w:szCs w:val="16"/>
                              </w:rPr>
                              <w:t>365 / 12 = 30,4167 média de dias por mês</w:t>
                            </w:r>
                          </w:p>
                          <w:p>
                            <w:pPr>
                              <w:pStyle w:val="66"/>
                              <w:jc w:val="center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color w:val="000000"/>
                                <w:sz w:val="16"/>
                                <w:szCs w:val="16"/>
                              </w:rPr>
                              <w:t>120 / 30,4167 = 3,95 meses de licença maternidade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Caixa de texto 6" o:spid="_x0000_s1026" o:spt="1" style="position:absolute;left:0pt;margin-left:83.35pt;margin-top:4.6pt;height:37.9pt;width:274pt;z-index:251661312;mso-width-relative:page;mso-height-relative:page;" fillcolor="#DDD9C3 [2894]" filled="t" stroked="t" coordsize="21600,21600" o:gfxdata="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C39QB3WAAAACAEAAA8AAAAAAAAAAQAg&#10;AAAAIgAAAGRycy9kb3ducmV2LnhtbFBLAQIUABQAAAAIAIdO4kBHSTgU1wEAAN4DAAAOAAAAAAAA&#10;AAEAIAAAACUBAABkcnMvZTJvRG9jLnhtbFBLBQYAAAAABgAGAFkBAABuBQAAAAA=&#10;">
                <v:fill on="t" focussize="0,0"/>
                <v:stroke weight="0.510236220472441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pStyle w:val="66"/>
                        <w:jc w:val="center"/>
                        <w:rPr>
                          <w:rFonts w:asciiTheme="minorHAnsi" w:hAnsiTheme="minorHAnsi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rFonts w:asciiTheme="minorHAnsi" w:hAnsiTheme="minorHAnsi"/>
                          <w:b/>
                          <w:color w:val="000000"/>
                          <w:sz w:val="16"/>
                          <w:szCs w:val="16"/>
                        </w:rPr>
                        <w:t>Dias de licença a maternidade:</w:t>
                      </w:r>
                    </w:p>
                    <w:p>
                      <w:pPr>
                        <w:pStyle w:val="66"/>
                        <w:jc w:val="center"/>
                        <w:rPr>
                          <w:rFonts w:asciiTheme="minorHAnsi" w:hAnsiTheme="minorHAnsi"/>
                          <w:sz w:val="16"/>
                          <w:szCs w:val="16"/>
                        </w:rPr>
                      </w:pPr>
                      <w:r>
                        <w:rPr>
                          <w:rFonts w:asciiTheme="minorHAnsi" w:hAnsiTheme="minorHAnsi"/>
                          <w:color w:val="000000"/>
                          <w:sz w:val="16"/>
                          <w:szCs w:val="16"/>
                        </w:rPr>
                        <w:t>365 / 12 = 30,4167 média de dias por mês</w:t>
                      </w:r>
                    </w:p>
                    <w:p>
                      <w:pPr>
                        <w:pStyle w:val="66"/>
                        <w:jc w:val="center"/>
                        <w:rPr>
                          <w:color w:val="000000"/>
                        </w:rPr>
                      </w:pPr>
                      <w:r>
                        <w:rPr>
                          <w:rFonts w:asciiTheme="minorHAnsi" w:hAnsiTheme="minorHAnsi"/>
                          <w:color w:val="000000"/>
                          <w:sz w:val="16"/>
                          <w:szCs w:val="16"/>
                        </w:rPr>
                        <w:t>120 / 30,4167 = 3,95 meses de licença maternidade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pStyle w:val="58"/>
        <w:ind w:left="786"/>
        <w:rPr>
          <w:rFonts w:cs="Arial" w:asciiTheme="minorHAnsi" w:hAnsiTheme="minorHAnsi" w:eastAsiaTheme="minorHAnsi"/>
          <w:sz w:val="22"/>
          <w:szCs w:val="22"/>
          <w:lang w:eastAsia="en-US"/>
        </w:rPr>
      </w:pPr>
    </w:p>
    <w:p>
      <w:pPr>
        <w:pStyle w:val="58"/>
        <w:ind w:left="786"/>
        <w:rPr>
          <w:rFonts w:cs="Arial" w:asciiTheme="minorHAnsi" w:hAnsiTheme="minorHAnsi" w:eastAsiaTheme="minorHAnsi"/>
          <w:sz w:val="22"/>
          <w:szCs w:val="22"/>
          <w:lang w:eastAsia="en-US"/>
        </w:rPr>
      </w:pPr>
    </w:p>
    <w:p>
      <w:pPr>
        <w:pStyle w:val="58"/>
        <w:ind w:left="786"/>
        <w:rPr>
          <w:rFonts w:cs="Arial" w:asciiTheme="minorHAnsi" w:hAnsiTheme="minorHAnsi" w:eastAsiaTheme="minorHAnsi"/>
          <w:sz w:val="22"/>
          <w:szCs w:val="22"/>
          <w:lang w:eastAsia="en-US"/>
        </w:rPr>
      </w:pPr>
    </w:p>
    <w:p>
      <w:pPr>
        <w:jc w:val="both"/>
        <w:rPr>
          <w:rFonts w:ascii="Calibri" w:hAnsi="Calibri" w:cs="Arial"/>
          <w:sz w:val="22"/>
          <w:szCs w:val="22"/>
          <w:u w:val="single"/>
          <w:lang w:val="pt-PT"/>
        </w:rPr>
      </w:pPr>
      <w:r>
        <w:rPr>
          <w:rFonts w:ascii="Calibri" w:hAnsi="Calibri" w:cs="Arial"/>
          <w:sz w:val="22"/>
          <w:szCs w:val="22"/>
          <w:u w:val="single"/>
          <w:lang w:val="pt-PT"/>
        </w:rPr>
        <w:t xml:space="preserve">Submódulo 4.2 – </w:t>
      </w:r>
      <w:r>
        <w:rPr>
          <w:rStyle w:val="8"/>
          <w:rFonts w:cs="Arial" w:asciiTheme="minorHAnsi" w:hAnsiTheme="minorHAnsi"/>
          <w:b w:val="0"/>
          <w:color w:val="000000"/>
          <w:sz w:val="22"/>
          <w:szCs w:val="22"/>
          <w:u w:val="single"/>
          <w:shd w:val="clear" w:color="auto" w:fill="FFFFFF"/>
        </w:rPr>
        <w:t>Substituto na Intrajornada</w:t>
      </w:r>
    </w:p>
    <w:p>
      <w:pPr>
        <w:tabs>
          <w:tab w:val="left" w:pos="8130"/>
        </w:tabs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Não haverá previsão de indenização pelo intervalor de intrajornada.</w:t>
      </w:r>
    </w:p>
    <w:p>
      <w:pPr>
        <w:jc w:val="both"/>
        <w:rPr>
          <w:rFonts w:ascii="Calibri" w:hAnsi="Calibri" w:cs="Arial"/>
        </w:rPr>
      </w:pPr>
    </w:p>
    <w:p>
      <w:pPr>
        <w:jc w:val="both"/>
        <w:rPr>
          <w:rFonts w:ascii="Calibri" w:hAnsi="Calibri" w:cs="Arial"/>
          <w:b/>
          <w:u w:val="single"/>
        </w:rPr>
      </w:pPr>
    </w:p>
    <w:p>
      <w:pPr>
        <w:jc w:val="both"/>
        <w:rPr>
          <w:rFonts w:ascii="Calibri" w:hAnsi="Calibri" w:cs="Arial"/>
          <w:b/>
          <w:sz w:val="22"/>
          <w:szCs w:val="22"/>
          <w:u w:val="single"/>
        </w:rPr>
      </w:pPr>
      <w:r>
        <w:rPr>
          <w:rFonts w:ascii="Calibri" w:hAnsi="Calibri" w:cs="Arial"/>
          <w:b/>
          <w:sz w:val="22"/>
          <w:szCs w:val="22"/>
          <w:u w:val="single"/>
        </w:rPr>
        <w:t>Módulo 5 – Insumos Diversos</w:t>
      </w:r>
    </w:p>
    <w:p>
      <w:pPr>
        <w:jc w:val="both"/>
        <w:rPr>
          <w:rFonts w:ascii="Calibri" w:hAnsi="Calibri" w:cs="Arial"/>
          <w:b/>
          <w:sz w:val="22"/>
          <w:szCs w:val="22"/>
          <w:u w:val="single"/>
        </w:rPr>
      </w:pPr>
    </w:p>
    <w:p>
      <w:pPr>
        <w:spacing w:line="276" w:lineRule="auto"/>
        <w:jc w:val="both"/>
        <w:rPr>
          <w:rFonts w:ascii="Calibri" w:hAnsi="Calibri" w:cs="Arial"/>
          <w:b/>
          <w:color w:val="FF0000"/>
          <w:sz w:val="22"/>
          <w:szCs w:val="22"/>
        </w:rPr>
      </w:pPr>
      <w:r>
        <w:rPr>
          <w:rFonts w:ascii="Calibri" w:hAnsi="Calibri" w:cs="Arial"/>
          <w:b/>
          <w:color w:val="FF0000"/>
          <w:sz w:val="22"/>
          <w:szCs w:val="22"/>
        </w:rPr>
        <w:t>A) Uniformes</w:t>
      </w:r>
    </w:p>
    <w:p>
      <w:pPr>
        <w:spacing w:line="276" w:lineRule="auto"/>
        <w:jc w:val="both"/>
        <w:rPr>
          <w:rFonts w:ascii="Calibri" w:hAnsi="Calibri" w:cs="Arial"/>
          <w:color w:val="FF0000"/>
          <w:sz w:val="22"/>
          <w:szCs w:val="22"/>
        </w:rPr>
      </w:pPr>
      <w:r>
        <w:rPr>
          <w:rFonts w:ascii="Calibri" w:hAnsi="Calibri" w:cs="Arial"/>
          <w:color w:val="FF0000"/>
          <w:sz w:val="22"/>
          <w:szCs w:val="22"/>
        </w:rPr>
        <w:t xml:space="preserve">É considerado os valores praticados no mercado para uniforme e EPIS </w:t>
      </w:r>
    </w:p>
    <w:p>
      <w:pPr>
        <w:spacing w:line="276" w:lineRule="auto"/>
        <w:jc w:val="both"/>
        <w:rPr>
          <w:rFonts w:ascii="Calibri" w:hAnsi="Calibri" w:cs="Arial"/>
          <w:color w:val="FF0000"/>
          <w:sz w:val="22"/>
          <w:szCs w:val="22"/>
        </w:rPr>
      </w:pPr>
      <w:r>
        <w:rPr>
          <w:rFonts w:ascii="Calibri" w:hAnsi="Calibri" w:cs="Arial"/>
          <w:color w:val="FF0000"/>
          <w:sz w:val="22"/>
          <w:szCs w:val="22"/>
        </w:rPr>
        <w:t>Quantidade estimada por ano, sendo 1 (hum) conjunto na admissão e mais 1 (um) conjunto a cada 6 (seis) meses, conforme Cláusula 28ª da CCT.</w:t>
      </w:r>
    </w:p>
    <w:p>
      <w:pPr>
        <w:spacing w:line="276" w:lineRule="auto"/>
        <w:jc w:val="both"/>
        <w:rPr>
          <w:rFonts w:ascii="Calibri" w:hAnsi="Calibri" w:cs="Arial"/>
        </w:rPr>
      </w:pPr>
    </w:p>
    <w:tbl>
      <w:tblPr>
        <w:tblStyle w:val="7"/>
        <w:tblW w:w="9293" w:type="dxa"/>
        <w:tblInd w:w="0" w:type="dxa"/>
        <w:tblLayout w:type="autofit"/>
        <w:tblCellMar>
          <w:top w:w="0" w:type="dxa"/>
          <w:left w:w="70" w:type="dxa"/>
          <w:bottom w:w="0" w:type="dxa"/>
          <w:right w:w="70" w:type="dxa"/>
        </w:tblCellMar>
      </w:tblPr>
      <w:tblGrid>
        <w:gridCol w:w="595"/>
        <w:gridCol w:w="2576"/>
        <w:gridCol w:w="670"/>
        <w:gridCol w:w="786"/>
        <w:gridCol w:w="1069"/>
        <w:gridCol w:w="1428"/>
        <w:gridCol w:w="9"/>
        <w:gridCol w:w="1028"/>
        <w:gridCol w:w="11"/>
        <w:gridCol w:w="1174"/>
        <w:gridCol w:w="8"/>
      </w:tblGrid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8" w:hRule="atLeast"/>
        </w:trPr>
        <w:tc>
          <w:tcPr>
            <w:tcW w:w="9293" w:type="dxa"/>
            <w:gridSpan w:val="11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000000" w:sz="4" w:space="0"/>
            </w:tcBorders>
            <w:shd w:val="clear" w:color="000000" w:fill="B4C6E7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COMPOSIÇÃO DE CUSTO DE UNIFORME PARA O CARGO DE VIGILANTE 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gridAfter w:val="1"/>
          <w:wAfter w:w="9" w:type="dxa"/>
          <w:trHeight w:val="864" w:hRule="atLeast"/>
        </w:trPr>
        <w:tc>
          <w:tcPr>
            <w:tcW w:w="608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B4C6E7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ITEM</w:t>
            </w:r>
          </w:p>
        </w:tc>
        <w:tc>
          <w:tcPr>
            <w:tcW w:w="2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B4C6E7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DISCRIMINAÇÃO UNIFORME</w:t>
            </w:r>
          </w:p>
        </w:tc>
        <w:tc>
          <w:tcPr>
            <w:tcW w:w="6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B4C6E7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UNID.</w:t>
            </w:r>
          </w:p>
        </w:tc>
        <w:tc>
          <w:tcPr>
            <w:tcW w:w="8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B4C6E7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QT. INICIAL</w:t>
            </w:r>
          </w:p>
        </w:tc>
        <w:tc>
          <w:tcPr>
            <w:tcW w:w="10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B4C6E7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QT. SEMESTRE</w:t>
            </w:r>
          </w:p>
        </w:tc>
        <w:tc>
          <w:tcPr>
            <w:tcW w:w="14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B4C6E7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QUANT. ANUAL POR FUNCIONÁRIO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B4C6E7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VALOR UNITÁRIO</w:t>
            </w:r>
          </w:p>
        </w:tc>
        <w:tc>
          <w:tcPr>
            <w:tcW w:w="92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000000" w:fill="B4C6E7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VALOR TOTAL</w:t>
            </w:r>
          </w:p>
        </w:tc>
      </w:tr>
      <w:tr>
        <w:trPr>
          <w:gridAfter w:val="1"/>
          <w:wAfter w:w="9" w:type="dxa"/>
          <w:trHeight w:val="2484" w:hRule="atLeast"/>
        </w:trPr>
        <w:tc>
          <w:tcPr>
            <w:tcW w:w="608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Jaqueta em tecido: OXFORD, de boa qualidade, modelo tradicional, sendo o paletó de três botões, forrado internamente, inclusive nas mangas, na cor preta, cor e modelo padrão para todos, contendo distintivo da empresa em logomarca, em tamanho, cor e formato discreto na lateral da manga direita e do lado esquerdo do peito, desde que não se assemelhei aos uniformes das forças de segurança pública, de acordo com a Portaria DPF Nº 3233 DE 10/12/2012</w:t>
            </w:r>
          </w:p>
        </w:tc>
        <w:tc>
          <w:tcPr>
            <w:tcW w:w="6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peça</w:t>
            </w:r>
          </w:p>
        </w:tc>
        <w:tc>
          <w:tcPr>
            <w:tcW w:w="8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R$ 74,67</w:t>
            </w:r>
          </w:p>
        </w:tc>
        <w:tc>
          <w:tcPr>
            <w:tcW w:w="92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R$ 74,67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gridAfter w:val="1"/>
          <w:wAfter w:w="9" w:type="dxa"/>
          <w:trHeight w:val="552" w:hRule="atLeast"/>
        </w:trPr>
        <w:tc>
          <w:tcPr>
            <w:tcW w:w="608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2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Camisa Tecido Oxford. mangas curtas, bolso na parte superior lado esquerdo com emblema da empresa</w:t>
            </w:r>
          </w:p>
        </w:tc>
        <w:tc>
          <w:tcPr>
            <w:tcW w:w="6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peça</w:t>
            </w:r>
          </w:p>
        </w:tc>
        <w:tc>
          <w:tcPr>
            <w:tcW w:w="8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0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4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R$ 53,67</w:t>
            </w:r>
          </w:p>
        </w:tc>
        <w:tc>
          <w:tcPr>
            <w:tcW w:w="92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R$ 214,68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gridAfter w:val="1"/>
          <w:wAfter w:w="9" w:type="dxa"/>
          <w:trHeight w:val="828" w:hRule="atLeast"/>
        </w:trPr>
        <w:tc>
          <w:tcPr>
            <w:tcW w:w="608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Calça Ripstop, cor preta, bolsos laterais e posteriores, cós com passantes de cinto e abertura/fechamento frontal por colchete e zíper, braguilha forrada.</w:t>
            </w:r>
          </w:p>
        </w:tc>
        <w:tc>
          <w:tcPr>
            <w:tcW w:w="6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peça</w:t>
            </w:r>
          </w:p>
        </w:tc>
        <w:tc>
          <w:tcPr>
            <w:tcW w:w="8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0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4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R$ 84,00</w:t>
            </w:r>
          </w:p>
        </w:tc>
        <w:tc>
          <w:tcPr>
            <w:tcW w:w="92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R$ 336,00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gridAfter w:val="1"/>
          <w:wAfter w:w="9" w:type="dxa"/>
          <w:trHeight w:val="288" w:hRule="atLeast"/>
        </w:trPr>
        <w:tc>
          <w:tcPr>
            <w:tcW w:w="608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2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Coturno em couro na cor preta</w:t>
            </w:r>
          </w:p>
        </w:tc>
        <w:tc>
          <w:tcPr>
            <w:tcW w:w="6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par</w:t>
            </w:r>
          </w:p>
        </w:tc>
        <w:tc>
          <w:tcPr>
            <w:tcW w:w="8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0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4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R$ 101,36</w:t>
            </w:r>
          </w:p>
        </w:tc>
        <w:tc>
          <w:tcPr>
            <w:tcW w:w="92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R$ 202,72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gridAfter w:val="1"/>
          <w:wAfter w:w="9" w:type="dxa"/>
          <w:trHeight w:val="288" w:hRule="atLeast"/>
        </w:trPr>
        <w:tc>
          <w:tcPr>
            <w:tcW w:w="608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2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Boné com emblema da empresa na parte frontal</w:t>
            </w:r>
          </w:p>
        </w:tc>
        <w:tc>
          <w:tcPr>
            <w:tcW w:w="6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peça</w:t>
            </w:r>
          </w:p>
        </w:tc>
        <w:tc>
          <w:tcPr>
            <w:tcW w:w="8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0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4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R$ 12,79</w:t>
            </w:r>
          </w:p>
        </w:tc>
        <w:tc>
          <w:tcPr>
            <w:tcW w:w="92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R$ 25,58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gridAfter w:val="1"/>
          <w:wAfter w:w="9" w:type="dxa"/>
          <w:trHeight w:val="684" w:hRule="atLeast"/>
        </w:trPr>
        <w:tc>
          <w:tcPr>
            <w:tcW w:w="608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2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ascii="Verdana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hAnsi="Verdana" w:cs="Calibri"/>
                <w:color w:val="000000"/>
                <w:sz w:val="18"/>
                <w:szCs w:val="18"/>
              </w:rPr>
              <w:t>Cinto, na cor preta, com ajuste de tamanho regulado por furo, sendo a fivela metálica/niquelada, modelo padrão para todos, sendo de boa qualidade.</w:t>
            </w:r>
          </w:p>
        </w:tc>
        <w:tc>
          <w:tcPr>
            <w:tcW w:w="6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peça</w:t>
            </w:r>
          </w:p>
        </w:tc>
        <w:tc>
          <w:tcPr>
            <w:tcW w:w="8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0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4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R$ 19,63</w:t>
            </w:r>
          </w:p>
        </w:tc>
        <w:tc>
          <w:tcPr>
            <w:tcW w:w="92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R$ 39,26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gridAfter w:val="1"/>
          <w:wAfter w:w="9" w:type="dxa"/>
          <w:trHeight w:val="552" w:hRule="atLeast"/>
        </w:trPr>
        <w:tc>
          <w:tcPr>
            <w:tcW w:w="608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2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Meias, Material 100% Poliamida, Tipo Social, Cor Preta,  Cano Longo</w:t>
            </w:r>
          </w:p>
        </w:tc>
        <w:tc>
          <w:tcPr>
            <w:tcW w:w="6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par</w:t>
            </w:r>
          </w:p>
        </w:tc>
        <w:tc>
          <w:tcPr>
            <w:tcW w:w="8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10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14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R$ 5,35</w:t>
            </w:r>
          </w:p>
        </w:tc>
        <w:tc>
          <w:tcPr>
            <w:tcW w:w="92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R$ 32,10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gridAfter w:val="1"/>
          <w:wAfter w:w="9" w:type="dxa"/>
          <w:trHeight w:val="1728" w:hRule="atLeast"/>
        </w:trPr>
        <w:tc>
          <w:tcPr>
            <w:tcW w:w="608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2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Capa de chuva, na cor preta, impermeável, em PVC forrado, com capuz e manga longa comum. Botões de pressão em metal ou plástico, com costura reforçada nas áreas de maior tensão e comprimento abaixo dos joelhos. Deverá possuir faixas refletivas na altura das costas e nas mangas, tórax e punhos.</w:t>
            </w:r>
          </w:p>
        </w:tc>
        <w:tc>
          <w:tcPr>
            <w:tcW w:w="6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peça</w:t>
            </w:r>
          </w:p>
        </w:tc>
        <w:tc>
          <w:tcPr>
            <w:tcW w:w="8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0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14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R$ 20,23</w:t>
            </w:r>
          </w:p>
        </w:tc>
        <w:tc>
          <w:tcPr>
            <w:tcW w:w="92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R$ 20,23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gridAfter w:val="1"/>
          <w:wAfter w:w="9" w:type="dxa"/>
          <w:trHeight w:val="828" w:hRule="atLeast"/>
        </w:trPr>
        <w:tc>
          <w:tcPr>
            <w:tcW w:w="608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2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Jaqueta de frio forrada manga longa, antialérgica, com decote modelo V, com 20 mm de largura; ribana da cintura e das mangas com 70 mm de largura.</w:t>
            </w:r>
          </w:p>
        </w:tc>
        <w:tc>
          <w:tcPr>
            <w:tcW w:w="6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peça</w:t>
            </w:r>
          </w:p>
        </w:tc>
        <w:tc>
          <w:tcPr>
            <w:tcW w:w="8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0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14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R$ 45,73</w:t>
            </w:r>
          </w:p>
        </w:tc>
        <w:tc>
          <w:tcPr>
            <w:tcW w:w="92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R$ 45,73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gridAfter w:val="1"/>
          <w:wAfter w:w="9" w:type="dxa"/>
          <w:trHeight w:val="288" w:hRule="atLeast"/>
        </w:trPr>
        <w:tc>
          <w:tcPr>
            <w:tcW w:w="608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Crachá de identificação em PVC</w:t>
            </w:r>
          </w:p>
        </w:tc>
        <w:tc>
          <w:tcPr>
            <w:tcW w:w="6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peça</w:t>
            </w:r>
          </w:p>
        </w:tc>
        <w:tc>
          <w:tcPr>
            <w:tcW w:w="8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0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14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R$ 5,31</w:t>
            </w:r>
          </w:p>
        </w:tc>
        <w:tc>
          <w:tcPr>
            <w:tcW w:w="92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R$ 5,31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8" w:hRule="atLeast"/>
        </w:trPr>
        <w:tc>
          <w:tcPr>
            <w:tcW w:w="7307" w:type="dxa"/>
            <w:gridSpan w:val="7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000000" w:sz="4" w:space="0"/>
            </w:tcBorders>
            <w:shd w:val="clear" w:color="000000" w:fill="B4C6E7"/>
            <w:noWrap/>
            <w:vAlign w:val="bottom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Valor anual por funcionário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B4C6E7"/>
            <w:noWrap/>
            <w:vAlign w:val="bottom"/>
          </w:tcPr>
          <w:p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2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B4C6E7"/>
            <w:noWrap/>
            <w:vAlign w:val="bottom"/>
          </w:tcPr>
          <w:p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R$ 996,28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8" w:hRule="atLeast"/>
        </w:trPr>
        <w:tc>
          <w:tcPr>
            <w:tcW w:w="7307" w:type="dxa"/>
            <w:gridSpan w:val="7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000000" w:sz="4" w:space="0"/>
            </w:tcBorders>
            <w:shd w:val="clear" w:color="000000" w:fill="B4C6E7"/>
            <w:noWrap/>
            <w:vAlign w:val="bottom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Valor mensal por funcionário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B4C6E7"/>
            <w:noWrap/>
            <w:vAlign w:val="bottom"/>
          </w:tcPr>
          <w:p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2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B4C6E7"/>
            <w:noWrap/>
            <w:vAlign w:val="bottom"/>
          </w:tcPr>
          <w:p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R$ 83,02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gridAfter w:val="1"/>
          <w:wAfter w:w="9" w:type="dxa"/>
          <w:trHeight w:val="288" w:hRule="atLeast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/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/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/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/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/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/>
        </w:tc>
        <w:tc>
          <w:tcPr>
            <w:tcW w:w="9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/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gridAfter w:val="1"/>
          <w:wAfter w:w="9" w:type="dxa"/>
          <w:trHeight w:val="288" w:hRule="atLeast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/>
        </w:tc>
        <w:tc>
          <w:tcPr>
            <w:tcW w:w="2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/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/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/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/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/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/>
        </w:tc>
        <w:tc>
          <w:tcPr>
            <w:tcW w:w="9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/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8" w:hRule="atLeast"/>
        </w:trPr>
        <w:tc>
          <w:tcPr>
            <w:tcW w:w="9293" w:type="dxa"/>
            <w:gridSpan w:val="11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000000" w:sz="4" w:space="0"/>
            </w:tcBorders>
            <w:shd w:val="clear" w:color="000000" w:fill="B4C6E7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COMPOSIÇÃO DE CUSTO DE UNIFORME PARA O CARGO DE VIGILANTE MOTOCICLISTAS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gridAfter w:val="1"/>
          <w:wAfter w:w="9" w:type="dxa"/>
          <w:trHeight w:val="864" w:hRule="atLeast"/>
        </w:trPr>
        <w:tc>
          <w:tcPr>
            <w:tcW w:w="608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B4C6E7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ITEM</w:t>
            </w:r>
          </w:p>
        </w:tc>
        <w:tc>
          <w:tcPr>
            <w:tcW w:w="2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B4C6E7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DISCRIMINAÇÃO UNIFORME</w:t>
            </w:r>
          </w:p>
        </w:tc>
        <w:tc>
          <w:tcPr>
            <w:tcW w:w="6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B4C6E7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UNID.</w:t>
            </w:r>
          </w:p>
        </w:tc>
        <w:tc>
          <w:tcPr>
            <w:tcW w:w="8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B4C6E7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QT. INICIAL</w:t>
            </w:r>
          </w:p>
        </w:tc>
        <w:tc>
          <w:tcPr>
            <w:tcW w:w="10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B4C6E7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QT. SEMESTRE</w:t>
            </w:r>
          </w:p>
        </w:tc>
        <w:tc>
          <w:tcPr>
            <w:tcW w:w="14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B4C6E7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QUANT. ANUAL POR FUNCIONÁRIO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B4C6E7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VALOR UNITÁRIO</w:t>
            </w:r>
          </w:p>
        </w:tc>
        <w:tc>
          <w:tcPr>
            <w:tcW w:w="92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000000" w:fill="B4C6E7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VALOR TOTAL</w:t>
            </w:r>
          </w:p>
        </w:tc>
      </w:tr>
      <w:tr>
        <w:trPr>
          <w:gridAfter w:val="1"/>
          <w:wAfter w:w="9" w:type="dxa"/>
          <w:trHeight w:val="2484" w:hRule="atLeast"/>
        </w:trPr>
        <w:tc>
          <w:tcPr>
            <w:tcW w:w="608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Jaqueta em tecido: OXFORD, de boa qualidade, modelo tradicional, sendo o paletó de três botões, forrado internamente, inclusive nas mangas, na cor preta, cor e modelo padrão para todos, contendo distintivo da empresa em logomarca, em tamanho, cor e formato discreto na lateral da manga direita e do lado esquerdo do peito, desde que não se assemelhei aos uniformes das forças de segurança pública, de acordo com a Portaria DPF Nº 3233 DE 10/12/2012</w:t>
            </w:r>
          </w:p>
        </w:tc>
        <w:tc>
          <w:tcPr>
            <w:tcW w:w="6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peça</w:t>
            </w:r>
          </w:p>
        </w:tc>
        <w:tc>
          <w:tcPr>
            <w:tcW w:w="8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4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R$ 74,67</w:t>
            </w:r>
          </w:p>
        </w:tc>
        <w:tc>
          <w:tcPr>
            <w:tcW w:w="92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R$ 74,67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gridAfter w:val="1"/>
          <w:wAfter w:w="9" w:type="dxa"/>
          <w:trHeight w:val="552" w:hRule="atLeast"/>
        </w:trPr>
        <w:tc>
          <w:tcPr>
            <w:tcW w:w="608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2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Camisa Tecido Oxford. mangas curtas, bolso na parte superior lado esquerdo com emblema da empresa</w:t>
            </w:r>
          </w:p>
        </w:tc>
        <w:tc>
          <w:tcPr>
            <w:tcW w:w="6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peça</w:t>
            </w:r>
          </w:p>
        </w:tc>
        <w:tc>
          <w:tcPr>
            <w:tcW w:w="8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0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4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R$ 53,67</w:t>
            </w:r>
          </w:p>
        </w:tc>
        <w:tc>
          <w:tcPr>
            <w:tcW w:w="92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R$ 214,68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gridAfter w:val="1"/>
          <w:wAfter w:w="9" w:type="dxa"/>
          <w:trHeight w:val="828" w:hRule="atLeast"/>
        </w:trPr>
        <w:tc>
          <w:tcPr>
            <w:tcW w:w="608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Calça Ripstop, cor preta, bolsos laterais e posteriores, cós com passantes de cinto e abertura/fechamento frontal por colchete e zíper, braguilha forrada.</w:t>
            </w:r>
          </w:p>
        </w:tc>
        <w:tc>
          <w:tcPr>
            <w:tcW w:w="6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peça</w:t>
            </w:r>
          </w:p>
        </w:tc>
        <w:tc>
          <w:tcPr>
            <w:tcW w:w="8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0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4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R$ 84,00</w:t>
            </w:r>
          </w:p>
        </w:tc>
        <w:tc>
          <w:tcPr>
            <w:tcW w:w="92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R$ 336,00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gridAfter w:val="1"/>
          <w:wAfter w:w="9" w:type="dxa"/>
          <w:trHeight w:val="288" w:hRule="atLeast"/>
        </w:trPr>
        <w:tc>
          <w:tcPr>
            <w:tcW w:w="608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2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Coturno em couro na cor preta</w:t>
            </w:r>
          </w:p>
        </w:tc>
        <w:tc>
          <w:tcPr>
            <w:tcW w:w="6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par</w:t>
            </w:r>
          </w:p>
        </w:tc>
        <w:tc>
          <w:tcPr>
            <w:tcW w:w="8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0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4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R$ 101,36</w:t>
            </w:r>
          </w:p>
        </w:tc>
        <w:tc>
          <w:tcPr>
            <w:tcW w:w="92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R$ 202,72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gridAfter w:val="1"/>
          <w:wAfter w:w="9" w:type="dxa"/>
          <w:trHeight w:val="288" w:hRule="atLeast"/>
        </w:trPr>
        <w:tc>
          <w:tcPr>
            <w:tcW w:w="608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2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Boné com emblema da empresa na parte frontal</w:t>
            </w:r>
          </w:p>
        </w:tc>
        <w:tc>
          <w:tcPr>
            <w:tcW w:w="6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peça</w:t>
            </w:r>
          </w:p>
        </w:tc>
        <w:tc>
          <w:tcPr>
            <w:tcW w:w="8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0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4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R$ 12,79</w:t>
            </w:r>
          </w:p>
        </w:tc>
        <w:tc>
          <w:tcPr>
            <w:tcW w:w="92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R$ 25,58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gridAfter w:val="1"/>
          <w:wAfter w:w="9" w:type="dxa"/>
          <w:trHeight w:val="684" w:hRule="atLeast"/>
        </w:trPr>
        <w:tc>
          <w:tcPr>
            <w:tcW w:w="608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2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ascii="Verdana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hAnsi="Verdana" w:cs="Calibri"/>
                <w:color w:val="000000"/>
                <w:sz w:val="18"/>
                <w:szCs w:val="18"/>
              </w:rPr>
              <w:t>Cinto, na cor preta, com ajuste de tamanho regulado por furo, sendo a fivela metálica/niquelada, modelo padrão para todos, sendo de boa qualidade.</w:t>
            </w:r>
          </w:p>
        </w:tc>
        <w:tc>
          <w:tcPr>
            <w:tcW w:w="6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peça</w:t>
            </w:r>
          </w:p>
        </w:tc>
        <w:tc>
          <w:tcPr>
            <w:tcW w:w="8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0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4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R$ 19,63</w:t>
            </w:r>
          </w:p>
        </w:tc>
        <w:tc>
          <w:tcPr>
            <w:tcW w:w="92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R$ 39,26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gridAfter w:val="1"/>
          <w:wAfter w:w="9" w:type="dxa"/>
          <w:trHeight w:val="552" w:hRule="atLeast"/>
        </w:trPr>
        <w:tc>
          <w:tcPr>
            <w:tcW w:w="608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2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Meias, Material 100% Poliamida, Tipo Social, Cor Preta,  Cano Longo</w:t>
            </w:r>
          </w:p>
        </w:tc>
        <w:tc>
          <w:tcPr>
            <w:tcW w:w="6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par</w:t>
            </w:r>
          </w:p>
        </w:tc>
        <w:tc>
          <w:tcPr>
            <w:tcW w:w="8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10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14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R$ 5,35</w:t>
            </w:r>
          </w:p>
        </w:tc>
        <w:tc>
          <w:tcPr>
            <w:tcW w:w="92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R$ 32,10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gridAfter w:val="1"/>
          <w:wAfter w:w="9" w:type="dxa"/>
          <w:trHeight w:val="3744" w:hRule="atLeast"/>
        </w:trPr>
        <w:tc>
          <w:tcPr>
            <w:tcW w:w="608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2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Capa de chuva deverá ser fornecida anualmente, na cor preta, impermeável, em PVC forrado, com capuz e manga longa comum. Botões de pressão em metal ou plástico, com costura reforçada nas áreas de maior tensão e comprimento abaixo dos joelhos. Deverá possuir faixas refletivas na altura das costas e nas mangas, tórax e punhos (com dimensão de 2 a 4 cm, contendo ainda o distintivo da empresa em logomarca, em tamanho, cor e formato discreto na lateral da manga direita e do lado esquerdo do peito, desde que não se assemelhei aos uniformes das forças de segurança pública, de acordo com a Portaria DPF Nº 3233 DE 10/12/2012</w:t>
            </w:r>
          </w:p>
        </w:tc>
        <w:tc>
          <w:tcPr>
            <w:tcW w:w="6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peça</w:t>
            </w:r>
          </w:p>
        </w:tc>
        <w:tc>
          <w:tcPr>
            <w:tcW w:w="8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0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14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R$ 20,23</w:t>
            </w:r>
          </w:p>
        </w:tc>
        <w:tc>
          <w:tcPr>
            <w:tcW w:w="92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R$ 20,23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gridAfter w:val="1"/>
          <w:wAfter w:w="9" w:type="dxa"/>
          <w:trHeight w:val="828" w:hRule="atLeast"/>
        </w:trPr>
        <w:tc>
          <w:tcPr>
            <w:tcW w:w="608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2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Jaqueta de frio forrada manga longa, antialérgica, com decote modelo V, com 20 mm de largura; ribana da cintura e das mangas com 70 mm de largura.</w:t>
            </w:r>
          </w:p>
        </w:tc>
        <w:tc>
          <w:tcPr>
            <w:tcW w:w="6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peça</w:t>
            </w:r>
          </w:p>
        </w:tc>
        <w:tc>
          <w:tcPr>
            <w:tcW w:w="8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0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14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R$ 45,73</w:t>
            </w:r>
          </w:p>
        </w:tc>
        <w:tc>
          <w:tcPr>
            <w:tcW w:w="92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R$ 45,73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gridAfter w:val="1"/>
          <w:wAfter w:w="9" w:type="dxa"/>
          <w:trHeight w:val="288" w:hRule="atLeast"/>
        </w:trPr>
        <w:tc>
          <w:tcPr>
            <w:tcW w:w="608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Crachá de identificação em PVC</w:t>
            </w:r>
          </w:p>
        </w:tc>
        <w:tc>
          <w:tcPr>
            <w:tcW w:w="6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peça</w:t>
            </w:r>
          </w:p>
        </w:tc>
        <w:tc>
          <w:tcPr>
            <w:tcW w:w="8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0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14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R$ 5,31</w:t>
            </w:r>
          </w:p>
        </w:tc>
        <w:tc>
          <w:tcPr>
            <w:tcW w:w="92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R$ 5,31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gridAfter w:val="1"/>
          <w:wAfter w:w="9" w:type="dxa"/>
          <w:trHeight w:val="288" w:hRule="atLeast"/>
        </w:trPr>
        <w:tc>
          <w:tcPr>
            <w:tcW w:w="608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2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Capacete para motociclista</w:t>
            </w:r>
          </w:p>
        </w:tc>
        <w:tc>
          <w:tcPr>
            <w:tcW w:w="6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peça</w:t>
            </w:r>
          </w:p>
        </w:tc>
        <w:tc>
          <w:tcPr>
            <w:tcW w:w="8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0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14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R$ 596,35</w:t>
            </w:r>
          </w:p>
        </w:tc>
        <w:tc>
          <w:tcPr>
            <w:tcW w:w="92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R$ 596,35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gridAfter w:val="1"/>
          <w:wAfter w:w="9" w:type="dxa"/>
          <w:trHeight w:val="288" w:hRule="atLeast"/>
        </w:trPr>
        <w:tc>
          <w:tcPr>
            <w:tcW w:w="608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2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Luva para motociclistas com protetor, cor preta</w:t>
            </w:r>
          </w:p>
        </w:tc>
        <w:tc>
          <w:tcPr>
            <w:tcW w:w="6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par</w:t>
            </w:r>
          </w:p>
        </w:tc>
        <w:tc>
          <w:tcPr>
            <w:tcW w:w="8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0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4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R$ 185,55</w:t>
            </w:r>
          </w:p>
        </w:tc>
        <w:tc>
          <w:tcPr>
            <w:tcW w:w="92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R$ 371,10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8" w:hRule="atLeast"/>
        </w:trPr>
        <w:tc>
          <w:tcPr>
            <w:tcW w:w="7307" w:type="dxa"/>
            <w:gridSpan w:val="7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000000" w:sz="4" w:space="0"/>
            </w:tcBorders>
            <w:shd w:val="clear" w:color="000000" w:fill="B4C6E7"/>
            <w:noWrap/>
            <w:vAlign w:val="bottom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Valor anual por funcionário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B4C6E7"/>
            <w:noWrap/>
            <w:vAlign w:val="bottom"/>
          </w:tcPr>
          <w:p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2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B4C6E7"/>
            <w:noWrap/>
            <w:vAlign w:val="bottom"/>
          </w:tcPr>
          <w:p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R$ 1.963,73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8" w:hRule="atLeast"/>
        </w:trPr>
        <w:tc>
          <w:tcPr>
            <w:tcW w:w="7307" w:type="dxa"/>
            <w:gridSpan w:val="7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000000" w:sz="4" w:space="0"/>
            </w:tcBorders>
            <w:shd w:val="clear" w:color="000000" w:fill="B4C6E7"/>
            <w:noWrap/>
            <w:vAlign w:val="bottom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Valor mensal por funcionário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B4C6E7"/>
            <w:noWrap/>
            <w:vAlign w:val="bottom"/>
          </w:tcPr>
          <w:p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2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B4C6E7"/>
            <w:noWrap/>
            <w:vAlign w:val="bottom"/>
          </w:tcPr>
          <w:p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R$ 163,64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gridAfter w:val="1"/>
          <w:wAfter w:w="9" w:type="dxa"/>
          <w:trHeight w:val="288" w:hRule="atLeast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/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/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/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/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/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/>
        </w:tc>
        <w:tc>
          <w:tcPr>
            <w:tcW w:w="9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/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gridAfter w:val="1"/>
          <w:wAfter w:w="9" w:type="dxa"/>
          <w:trHeight w:val="288" w:hRule="atLeast"/>
        </w:trPr>
        <w:tc>
          <w:tcPr>
            <w:tcW w:w="6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/>
        </w:tc>
        <w:tc>
          <w:tcPr>
            <w:tcW w:w="26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/>
        </w:tc>
        <w:tc>
          <w:tcPr>
            <w:tcW w:w="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/>
        </w:tc>
        <w:tc>
          <w:tcPr>
            <w:tcW w:w="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/>
        </w:tc>
        <w:tc>
          <w:tcPr>
            <w:tcW w:w="1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/>
        </w:tc>
        <w:tc>
          <w:tcPr>
            <w:tcW w:w="1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/>
        </w:tc>
        <w:tc>
          <w:tcPr>
            <w:tcW w:w="1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/>
        </w:tc>
        <w:tc>
          <w:tcPr>
            <w:tcW w:w="9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/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8" w:hRule="atLeast"/>
        </w:trPr>
        <w:tc>
          <w:tcPr>
            <w:tcW w:w="9293" w:type="dxa"/>
            <w:gridSpan w:val="11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000000" w:sz="4" w:space="0"/>
            </w:tcBorders>
            <w:shd w:val="clear" w:color="000000" w:fill="B4C6E7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COMPOSIÇÃO DE CUSTO DE UNIFORME PARA O CARGO DE SUPERVISORES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gridAfter w:val="1"/>
          <w:wAfter w:w="9" w:type="dxa"/>
          <w:trHeight w:val="864" w:hRule="atLeast"/>
        </w:trPr>
        <w:tc>
          <w:tcPr>
            <w:tcW w:w="608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B4C6E7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ITEM</w:t>
            </w:r>
          </w:p>
        </w:tc>
        <w:tc>
          <w:tcPr>
            <w:tcW w:w="2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B4C6E7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DISCRIMINAÇÃO UNIFORME</w:t>
            </w:r>
          </w:p>
        </w:tc>
        <w:tc>
          <w:tcPr>
            <w:tcW w:w="6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B4C6E7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UNID.</w:t>
            </w:r>
          </w:p>
        </w:tc>
        <w:tc>
          <w:tcPr>
            <w:tcW w:w="8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B4C6E7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QT. INICIAL</w:t>
            </w:r>
          </w:p>
        </w:tc>
        <w:tc>
          <w:tcPr>
            <w:tcW w:w="10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B4C6E7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QT. SEMESTRE</w:t>
            </w:r>
          </w:p>
        </w:tc>
        <w:tc>
          <w:tcPr>
            <w:tcW w:w="14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B4C6E7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QUANT. ANUAL POR FUNCIONÁRIO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B4C6E7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VALOR UNITÁRIO</w:t>
            </w:r>
          </w:p>
        </w:tc>
        <w:tc>
          <w:tcPr>
            <w:tcW w:w="92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000000" w:fill="B4C6E7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VALOR TOTAL</w:t>
            </w:r>
          </w:p>
        </w:tc>
      </w:tr>
      <w:tr>
        <w:trPr>
          <w:gridAfter w:val="1"/>
          <w:wAfter w:w="9" w:type="dxa"/>
          <w:trHeight w:val="684" w:hRule="atLeast"/>
        </w:trPr>
        <w:tc>
          <w:tcPr>
            <w:tcW w:w="608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ascii="Verdana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hAnsi="Verdana" w:cs="Calibri"/>
                <w:color w:val="000000"/>
                <w:sz w:val="18"/>
                <w:szCs w:val="18"/>
              </w:rPr>
              <w:t>Cinto, na cor preta, com ajuste de tamanho regulado por furo, sendo a fivela metálica/niquelada, modelo padrão para todos, sendo de boa qualidade.</w:t>
            </w:r>
          </w:p>
        </w:tc>
        <w:tc>
          <w:tcPr>
            <w:tcW w:w="6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peça</w:t>
            </w:r>
          </w:p>
        </w:tc>
        <w:tc>
          <w:tcPr>
            <w:tcW w:w="8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0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4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R$ 19,63</w:t>
            </w:r>
          </w:p>
        </w:tc>
        <w:tc>
          <w:tcPr>
            <w:tcW w:w="92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R$ 39,26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gridAfter w:val="1"/>
          <w:wAfter w:w="9" w:type="dxa"/>
          <w:trHeight w:val="552" w:hRule="atLeast"/>
        </w:trPr>
        <w:tc>
          <w:tcPr>
            <w:tcW w:w="608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2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Meias, Material 100% Poliamida, Tipo Social, Cor Preta,  Cano Longo</w:t>
            </w:r>
          </w:p>
        </w:tc>
        <w:tc>
          <w:tcPr>
            <w:tcW w:w="6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par</w:t>
            </w:r>
          </w:p>
        </w:tc>
        <w:tc>
          <w:tcPr>
            <w:tcW w:w="8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10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14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R$ 5,35</w:t>
            </w:r>
          </w:p>
        </w:tc>
        <w:tc>
          <w:tcPr>
            <w:tcW w:w="92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R$ 32,10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gridAfter w:val="1"/>
          <w:wAfter w:w="9" w:type="dxa"/>
          <w:trHeight w:val="3744" w:hRule="atLeast"/>
        </w:trPr>
        <w:tc>
          <w:tcPr>
            <w:tcW w:w="608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both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Capa de chuva deverá ser fornecida anualmente, na cor preta, impermeável, em PVC forrado, com capuz e manga longa comum. Botões de pressão em metal ou plástico, com costura reforçada nas áreas de maior tensão e comprimento abaixo dos joelhos. Deverá possuir faixas refletivas na altura das costas e nas mangas, tórax e punhos (com dimensão de 2 a 4 cm, contendo ainda o distintivo da empresa em logomarca, em tamanho, cor e formato discreto na lateral da manga direita e do lado esquerdo do peito, desde que não se assemelhei aos uniformes das forças de segurança pública, de acordo com a Portaria DPF Nº 3233 DE 10/12/2012</w:t>
            </w:r>
          </w:p>
        </w:tc>
        <w:tc>
          <w:tcPr>
            <w:tcW w:w="6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peça</w:t>
            </w:r>
          </w:p>
        </w:tc>
        <w:tc>
          <w:tcPr>
            <w:tcW w:w="8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0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14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R$ 20,23</w:t>
            </w:r>
          </w:p>
        </w:tc>
        <w:tc>
          <w:tcPr>
            <w:tcW w:w="92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R$ 20,23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gridAfter w:val="1"/>
          <w:wAfter w:w="9" w:type="dxa"/>
          <w:trHeight w:val="828" w:hRule="atLeast"/>
        </w:trPr>
        <w:tc>
          <w:tcPr>
            <w:tcW w:w="608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2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Jaqueta de frio forrada manga longa, antialérgica, com decote modelo V, com 20 mm de largura; ribana da cintura e das mangas com 70 mm de largura.</w:t>
            </w:r>
          </w:p>
        </w:tc>
        <w:tc>
          <w:tcPr>
            <w:tcW w:w="6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peça</w:t>
            </w:r>
          </w:p>
        </w:tc>
        <w:tc>
          <w:tcPr>
            <w:tcW w:w="8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0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14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R$ 45,73</w:t>
            </w:r>
          </w:p>
        </w:tc>
        <w:tc>
          <w:tcPr>
            <w:tcW w:w="92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R$ 45,73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gridAfter w:val="1"/>
          <w:wAfter w:w="9" w:type="dxa"/>
          <w:trHeight w:val="288" w:hRule="atLeast"/>
        </w:trPr>
        <w:tc>
          <w:tcPr>
            <w:tcW w:w="608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2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Crachá de identificação em PVC</w:t>
            </w:r>
          </w:p>
        </w:tc>
        <w:tc>
          <w:tcPr>
            <w:tcW w:w="6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peça</w:t>
            </w:r>
          </w:p>
        </w:tc>
        <w:tc>
          <w:tcPr>
            <w:tcW w:w="8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0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0</w:t>
            </w:r>
          </w:p>
        </w:tc>
        <w:tc>
          <w:tcPr>
            <w:tcW w:w="14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R$ 5,31</w:t>
            </w:r>
          </w:p>
        </w:tc>
        <w:tc>
          <w:tcPr>
            <w:tcW w:w="92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R$ 5,31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gridAfter w:val="1"/>
          <w:wAfter w:w="9" w:type="dxa"/>
          <w:trHeight w:val="828" w:hRule="atLeast"/>
        </w:trPr>
        <w:tc>
          <w:tcPr>
            <w:tcW w:w="608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2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Camisa social, mangas compridas com punho simples, bolso na parte superior lado esquerdo com emblema da emblema da empresa</w:t>
            </w:r>
          </w:p>
        </w:tc>
        <w:tc>
          <w:tcPr>
            <w:tcW w:w="6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peça</w:t>
            </w:r>
          </w:p>
        </w:tc>
        <w:tc>
          <w:tcPr>
            <w:tcW w:w="8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0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4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R$ 49,17</w:t>
            </w:r>
          </w:p>
        </w:tc>
        <w:tc>
          <w:tcPr>
            <w:tcW w:w="92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R$ 196,68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gridAfter w:val="1"/>
          <w:wAfter w:w="9" w:type="dxa"/>
          <w:trHeight w:val="828" w:hRule="atLeast"/>
        </w:trPr>
        <w:tc>
          <w:tcPr>
            <w:tcW w:w="608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2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Calça social em Oxford, cor preta, braguilha forrada, cós entrelaçado, forrado, com passadores, 2 bolsos laterais e 2 bolsos traseiros.</w:t>
            </w:r>
          </w:p>
        </w:tc>
        <w:tc>
          <w:tcPr>
            <w:tcW w:w="6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peça</w:t>
            </w:r>
          </w:p>
        </w:tc>
        <w:tc>
          <w:tcPr>
            <w:tcW w:w="8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0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4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R$ 35,67</w:t>
            </w:r>
          </w:p>
        </w:tc>
        <w:tc>
          <w:tcPr>
            <w:tcW w:w="92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R$ 142,68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gridAfter w:val="1"/>
          <w:wAfter w:w="9" w:type="dxa"/>
          <w:trHeight w:val="288" w:hRule="atLeast"/>
        </w:trPr>
        <w:tc>
          <w:tcPr>
            <w:tcW w:w="608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2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ascii="Verdana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Sapato tipo social de couro na cor preta </w:t>
            </w:r>
          </w:p>
        </w:tc>
        <w:tc>
          <w:tcPr>
            <w:tcW w:w="6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par</w:t>
            </w:r>
          </w:p>
        </w:tc>
        <w:tc>
          <w:tcPr>
            <w:tcW w:w="8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10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4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R$ 72,45</w:t>
            </w:r>
          </w:p>
        </w:tc>
        <w:tc>
          <w:tcPr>
            <w:tcW w:w="92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R$ 217,35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gridAfter w:val="1"/>
          <w:wAfter w:w="9" w:type="dxa"/>
          <w:trHeight w:val="684" w:hRule="atLeast"/>
        </w:trPr>
        <w:tc>
          <w:tcPr>
            <w:tcW w:w="608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26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ascii="Verdana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hAnsi="Verdana" w:cs="Calibri"/>
                <w:color w:val="000000"/>
                <w:sz w:val="18"/>
                <w:szCs w:val="18"/>
              </w:rPr>
              <w:t>Paletó, cor preto, em tecido tipo lã fria super 100, viscose ou similar, forrado internamente, inclusive mangas.</w:t>
            </w:r>
          </w:p>
        </w:tc>
        <w:tc>
          <w:tcPr>
            <w:tcW w:w="68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peça</w:t>
            </w:r>
          </w:p>
        </w:tc>
        <w:tc>
          <w:tcPr>
            <w:tcW w:w="80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09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146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R$ 177,00</w:t>
            </w:r>
          </w:p>
        </w:tc>
        <w:tc>
          <w:tcPr>
            <w:tcW w:w="92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R$ 354,00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8" w:hRule="atLeast"/>
        </w:trPr>
        <w:tc>
          <w:tcPr>
            <w:tcW w:w="7307" w:type="dxa"/>
            <w:gridSpan w:val="7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000000" w:sz="4" w:space="0"/>
            </w:tcBorders>
            <w:shd w:val="clear" w:color="000000" w:fill="B4C6E7"/>
            <w:vAlign w:val="bottom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Valor anual por funcionário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B4C6E7"/>
            <w:vAlign w:val="bottom"/>
          </w:tcPr>
          <w:p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2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B4C6E7"/>
            <w:vAlign w:val="bottom"/>
          </w:tcPr>
          <w:p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R$ 1.053,34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8" w:hRule="atLeast"/>
        </w:trPr>
        <w:tc>
          <w:tcPr>
            <w:tcW w:w="7307" w:type="dxa"/>
            <w:gridSpan w:val="7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000000" w:sz="4" w:space="0"/>
            </w:tcBorders>
            <w:shd w:val="clear" w:color="000000" w:fill="B4C6E7"/>
            <w:noWrap/>
            <w:vAlign w:val="bottom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Valor mensal por funcionário</w:t>
            </w:r>
          </w:p>
        </w:tc>
        <w:tc>
          <w:tcPr>
            <w:tcW w:w="1061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B4C6E7"/>
            <w:noWrap/>
            <w:vAlign w:val="bottom"/>
          </w:tcPr>
          <w:p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25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B4C6E7"/>
            <w:noWrap/>
            <w:vAlign w:val="bottom"/>
          </w:tcPr>
          <w:p>
            <w:pPr>
              <w:jc w:val="right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R$ 87,78</w:t>
            </w:r>
          </w:p>
        </w:tc>
      </w:tr>
    </w:tbl>
    <w:p>
      <w:pPr>
        <w:spacing w:line="276" w:lineRule="auto"/>
        <w:jc w:val="both"/>
        <w:rPr>
          <w:rFonts w:ascii="Calibri" w:hAnsi="Calibri" w:cs="Arial"/>
        </w:rPr>
      </w:pPr>
    </w:p>
    <w:p>
      <w:pPr>
        <w:rPr>
          <w:rFonts w:cs="Arial" w:asciiTheme="minorHAnsi" w:hAnsiTheme="minorHAnsi"/>
          <w:b/>
        </w:rPr>
      </w:pPr>
    </w:p>
    <w:p>
      <w:pPr>
        <w:rPr>
          <w:rFonts w:cs="Arial" w:asciiTheme="minorHAnsi" w:hAnsiTheme="minorHAnsi"/>
          <w:b/>
          <w:lang w:val="pt-PT"/>
        </w:rPr>
      </w:pPr>
      <w:r>
        <w:rPr>
          <w:rFonts w:cs="Arial" w:asciiTheme="minorHAnsi" w:hAnsiTheme="minorHAnsi"/>
          <w:b/>
          <w:lang w:val="pt-PT"/>
        </w:rPr>
        <w:t>B) EQUIPAMENTOS</w:t>
      </w:r>
    </w:p>
    <w:p>
      <w:pPr>
        <w:rPr>
          <w:rFonts w:cs="Arial" w:asciiTheme="minorHAnsi" w:hAnsiTheme="minorHAnsi"/>
          <w:b/>
          <w:lang w:val="pt-PT"/>
        </w:rPr>
      </w:pPr>
    </w:p>
    <w:tbl>
      <w:tblPr>
        <w:tblStyle w:val="7"/>
        <w:tblW w:w="8875" w:type="dxa"/>
        <w:tblInd w:w="0" w:type="dxa"/>
        <w:tblLayout w:type="autofit"/>
        <w:tblCellMar>
          <w:top w:w="0" w:type="dxa"/>
          <w:left w:w="70" w:type="dxa"/>
          <w:bottom w:w="0" w:type="dxa"/>
          <w:right w:w="70" w:type="dxa"/>
        </w:tblCellMar>
      </w:tblPr>
      <w:tblGrid>
        <w:gridCol w:w="960"/>
        <w:gridCol w:w="2868"/>
        <w:gridCol w:w="1006"/>
        <w:gridCol w:w="1120"/>
        <w:gridCol w:w="1401"/>
        <w:gridCol w:w="1520"/>
      </w:tblGrid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80" w:hRule="atLeast"/>
        </w:trPr>
        <w:tc>
          <w:tcPr>
            <w:tcW w:w="88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ESTIMATIVA DE CUSTO DE EQUIPAMENTO (APENAS PARA OS POSTOS VIGILANTE ARMADO E MOTOCICLISTA ARMADO)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8" w:hRule="atLeast"/>
        </w:trPr>
        <w:tc>
          <w:tcPr>
            <w:tcW w:w="96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B4C6E7" w:fill="B4C6E7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ITEM</w:t>
            </w:r>
          </w:p>
        </w:tc>
        <w:tc>
          <w:tcPr>
            <w:tcW w:w="2868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B4C6E7" w:fill="B4C6E7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VEÍCULOS / EQUIPAMENTOS</w:t>
            </w:r>
          </w:p>
        </w:tc>
        <w:tc>
          <w:tcPr>
            <w:tcW w:w="992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B4C6E7" w:fill="B4C6E7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120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B4C6E7" w:fill="B4C6E7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QUANT.</w:t>
            </w:r>
          </w:p>
        </w:tc>
        <w:tc>
          <w:tcPr>
            <w:tcW w:w="2920" w:type="dxa"/>
            <w:gridSpan w:val="2"/>
            <w:tcBorders>
              <w:top w:val="single" w:color="000000" w:sz="8" w:space="0"/>
              <w:left w:val="nil"/>
              <w:bottom w:val="single" w:color="000000" w:sz="4" w:space="0"/>
              <w:right w:val="single" w:color="000000" w:sz="8" w:space="0"/>
            </w:tcBorders>
            <w:shd w:val="clear" w:color="B4C6E7" w:fill="B4C6E7"/>
            <w:noWrap/>
            <w:vAlign w:val="bottom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VALOR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8" w:hRule="atLeast"/>
        </w:trPr>
        <w:tc>
          <w:tcPr>
            <w:tcW w:w="96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868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B4C6E7" w:fill="B4C6E7"/>
            <w:noWrap/>
            <w:vAlign w:val="bottom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UNITÁRIO</w:t>
            </w:r>
          </w:p>
        </w:tc>
        <w:tc>
          <w:tcPr>
            <w:tcW w:w="1520" w:type="dxa"/>
            <w:tcBorders>
              <w:top w:val="nil"/>
              <w:left w:val="nil"/>
              <w:bottom w:val="single" w:color="000000" w:sz="4" w:space="0"/>
              <w:right w:val="single" w:color="000000" w:sz="8" w:space="0"/>
            </w:tcBorders>
            <w:shd w:val="clear" w:color="B4C6E7" w:fill="B4C6E7"/>
            <w:noWrap/>
            <w:vAlign w:val="bottom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PARCIAL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76" w:hRule="atLeast"/>
        </w:trPr>
        <w:tc>
          <w:tcPr>
            <w:tcW w:w="960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868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Motocicleta, modelo CG 150 ou similar, flex, com câmbio manual, 0 Km.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unid.</w:t>
            </w:r>
          </w:p>
        </w:tc>
        <w:tc>
          <w:tcPr>
            <w:tcW w:w="112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1400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R$  15.674,97 </w:t>
            </w:r>
          </w:p>
        </w:tc>
        <w:tc>
          <w:tcPr>
            <w:tcW w:w="1520" w:type="dxa"/>
            <w:tcBorders>
              <w:top w:val="nil"/>
              <w:left w:val="nil"/>
              <w:bottom w:val="single" w:color="000000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R$  125.399,76 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8" w:hRule="atLeast"/>
        </w:trPr>
        <w:tc>
          <w:tcPr>
            <w:tcW w:w="960" w:type="dxa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2868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Revólver calibre 38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unid.</w:t>
            </w:r>
          </w:p>
        </w:tc>
        <w:tc>
          <w:tcPr>
            <w:tcW w:w="1120" w:type="dxa"/>
            <w:tcBorders>
              <w:top w:val="nil"/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140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R$ 4.472,22</w:t>
            </w:r>
          </w:p>
        </w:tc>
        <w:tc>
          <w:tcPr>
            <w:tcW w:w="1520" w:type="dxa"/>
            <w:tcBorders>
              <w:top w:val="nil"/>
              <w:left w:val="nil"/>
              <w:bottom w:val="single" w:color="000000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R$ 116.277,72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8" w:hRule="atLeast"/>
        </w:trPr>
        <w:tc>
          <w:tcPr>
            <w:tcW w:w="7355" w:type="dxa"/>
            <w:gridSpan w:val="5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Depreciação da Motocicleta Cód 8711 - 48 meses</w:t>
            </w:r>
          </w:p>
        </w:tc>
        <w:tc>
          <w:tcPr>
            <w:tcW w:w="1520" w:type="dxa"/>
            <w:tcBorders>
              <w:top w:val="nil"/>
              <w:left w:val="nil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R$       5.034,95 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8" w:hRule="atLeast"/>
        </w:trPr>
        <w:tc>
          <w:tcPr>
            <w:tcW w:w="7355" w:type="dxa"/>
            <w:gridSpan w:val="5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FFFF00" w:fill="FFFFFF"/>
            <w:vAlign w:val="bottom"/>
          </w:tcPr>
          <w:p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Depreciação do Revólver Cód 8303 - 120 meses</w:t>
            </w:r>
          </w:p>
        </w:tc>
        <w:tc>
          <w:tcPr>
            <w:tcW w:w="1520" w:type="dxa"/>
            <w:tcBorders>
              <w:top w:val="nil"/>
              <w:left w:val="nil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R$ 968,98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8" w:hRule="atLeast"/>
        </w:trPr>
        <w:tc>
          <w:tcPr>
            <w:tcW w:w="7355" w:type="dxa"/>
            <w:gridSpan w:val="5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Total dos equipamentos por mês</w:t>
            </w:r>
          </w:p>
        </w:tc>
        <w:tc>
          <w:tcPr>
            <w:tcW w:w="1520" w:type="dxa"/>
            <w:tcBorders>
              <w:top w:val="nil"/>
              <w:left w:val="nil"/>
              <w:bottom w:val="single" w:color="000000" w:sz="4" w:space="0"/>
              <w:right w:val="single" w:color="000000" w:sz="8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R$ 6.003,93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W w:w="7355" w:type="dxa"/>
            <w:gridSpan w:val="5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Custo por posto  = Soma da depreciação por 102 vigilantes e motociclistas armados</w:t>
            </w:r>
          </w:p>
        </w:tc>
        <w:tc>
          <w:tcPr>
            <w:tcW w:w="1520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R$ 58,86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32" w:hRule="atLeast"/>
        </w:trPr>
        <w:tc>
          <w:tcPr>
            <w:tcW w:w="8875" w:type="dxa"/>
            <w:gridSpan w:val="6"/>
            <w:tcBorders>
              <w:top w:val="single" w:color="000000" w:sz="8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Depreciação com base na INSTRUÇÃO NORMATIVA RFB Nº 1700, DE 14 DE MARÇO DE 2017 da Secretaria da Receita Federal do Brasil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8" w:hRule="atLeast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2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/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/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/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/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/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8" w:hRule="atLeast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/>
        </w:tc>
        <w:tc>
          <w:tcPr>
            <w:tcW w:w="2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/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/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/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/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/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W w:w="887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ESTIMATIVA DE CUSTO DE EQUIPAMENTO  (APENAS PARA OS POSTOS SUPERVISÃO)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8" w:hRule="atLeast"/>
        </w:trPr>
        <w:tc>
          <w:tcPr>
            <w:tcW w:w="960" w:type="dxa"/>
            <w:vMerge w:val="restart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B4C6E7" w:fill="B4C6E7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ITEM</w:t>
            </w:r>
          </w:p>
        </w:tc>
        <w:tc>
          <w:tcPr>
            <w:tcW w:w="2868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B4C6E7" w:fill="B4C6E7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VEÍCULOS / EQUIPAMENTOS</w:t>
            </w:r>
          </w:p>
        </w:tc>
        <w:tc>
          <w:tcPr>
            <w:tcW w:w="992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B4C6E7" w:fill="B4C6E7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UNIDADE</w:t>
            </w:r>
          </w:p>
        </w:tc>
        <w:tc>
          <w:tcPr>
            <w:tcW w:w="1120" w:type="dxa"/>
            <w:vMerge w:val="restart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B4C6E7" w:fill="B4C6E7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QUANT.</w:t>
            </w:r>
          </w:p>
        </w:tc>
        <w:tc>
          <w:tcPr>
            <w:tcW w:w="2920" w:type="dxa"/>
            <w:gridSpan w:val="2"/>
            <w:tcBorders>
              <w:top w:val="single" w:color="auto" w:sz="8" w:space="0"/>
              <w:left w:val="nil"/>
              <w:bottom w:val="single" w:color="auto" w:sz="4" w:space="0"/>
              <w:right w:val="single" w:color="000000" w:sz="8" w:space="0"/>
            </w:tcBorders>
            <w:shd w:val="clear" w:color="B4C6E7" w:fill="B4C6E7"/>
            <w:noWrap/>
            <w:vAlign w:val="bottom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VALOR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8" w:hRule="atLeast"/>
        </w:trPr>
        <w:tc>
          <w:tcPr>
            <w:tcW w:w="960" w:type="dxa"/>
            <w:vMerge w:val="continue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868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20" w:type="dxa"/>
            <w:vMerge w:val="continue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B4C6E7" w:fill="B4C6E7"/>
            <w:noWrap/>
            <w:vAlign w:val="bottom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UNITÁRIO</w:t>
            </w:r>
          </w:p>
        </w:tc>
        <w:tc>
          <w:tcPr>
            <w:tcW w:w="152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B4C6E7" w:fill="B4C6E7"/>
            <w:noWrap/>
            <w:vAlign w:val="bottom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PARCIAL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864" w:hRule="atLeast"/>
        </w:trPr>
        <w:tc>
          <w:tcPr>
            <w:tcW w:w="96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Carro, zero km, motor 1.6 ou superior, bicombustível (álcool e gasolina), 5 portas, 05 lugares, ar condicionado.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unid.</w:t>
            </w:r>
          </w:p>
        </w:tc>
        <w:tc>
          <w:tcPr>
            <w:tcW w:w="11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4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R$  78.207,50 </w:t>
            </w:r>
          </w:p>
        </w:tc>
        <w:tc>
          <w:tcPr>
            <w:tcW w:w="152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R$  156.415,00 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8" w:hRule="atLeast"/>
        </w:trPr>
        <w:tc>
          <w:tcPr>
            <w:tcW w:w="96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28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Relógio de ponto eletrônico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unid.</w:t>
            </w:r>
          </w:p>
        </w:tc>
        <w:tc>
          <w:tcPr>
            <w:tcW w:w="11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29</w:t>
            </w:r>
          </w:p>
        </w:tc>
        <w:tc>
          <w:tcPr>
            <w:tcW w:w="14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R$    1.349,39 </w:t>
            </w:r>
          </w:p>
        </w:tc>
        <w:tc>
          <w:tcPr>
            <w:tcW w:w="152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R$     39.132,31 </w:t>
            </w:r>
          </w:p>
          <w:p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728" w:hRule="atLeast"/>
        </w:trPr>
        <w:tc>
          <w:tcPr>
            <w:tcW w:w="960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28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Celular, tela 5" ou superior, RAM 2GB ou superior, câmera traseira, com carregador e bateria 2500mAh ou superior, conectividade Wi-fi, 3G/4G, Bluetoof e GPS. Sistema Android 9 ou superior ou sistema similar. </w:t>
            </w:r>
          </w:p>
        </w:tc>
        <w:tc>
          <w:tcPr>
            <w:tcW w:w="99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unid.</w:t>
            </w:r>
          </w:p>
        </w:tc>
        <w:tc>
          <w:tcPr>
            <w:tcW w:w="11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40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R$        867,45 </w:t>
            </w:r>
          </w:p>
        </w:tc>
        <w:tc>
          <w:tcPr>
            <w:tcW w:w="152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R$     34.698,00 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8" w:hRule="atLeast"/>
        </w:trPr>
        <w:tc>
          <w:tcPr>
            <w:tcW w:w="7355" w:type="dxa"/>
            <w:gridSpan w:val="5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Depreciação do veículo Cód 8703 - 60 meses</w:t>
            </w:r>
          </w:p>
        </w:tc>
        <w:tc>
          <w:tcPr>
            <w:tcW w:w="152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R$ 2.606,92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8" w:hRule="atLeast"/>
        </w:trPr>
        <w:tc>
          <w:tcPr>
            <w:tcW w:w="7355" w:type="dxa"/>
            <w:gridSpan w:val="5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Depreciação do Relógio de Ponto Cód 8471 - 60 meses</w:t>
            </w:r>
          </w:p>
        </w:tc>
        <w:tc>
          <w:tcPr>
            <w:tcW w:w="152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R$ 652,21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8" w:hRule="atLeast"/>
        </w:trPr>
        <w:tc>
          <w:tcPr>
            <w:tcW w:w="7355" w:type="dxa"/>
            <w:gridSpan w:val="5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FFFF00" w:fill="FFFFFF"/>
            <w:vAlign w:val="bottom"/>
          </w:tcPr>
          <w:p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Depreciação do celular Cód 8517 - 60 meses</w:t>
            </w:r>
          </w:p>
        </w:tc>
        <w:tc>
          <w:tcPr>
            <w:tcW w:w="152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R$ 578,30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8" w:hRule="atLeast"/>
        </w:trPr>
        <w:tc>
          <w:tcPr>
            <w:tcW w:w="7355" w:type="dxa"/>
            <w:gridSpan w:val="5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Total dos equipamentos por mês</w:t>
            </w:r>
          </w:p>
        </w:tc>
        <w:tc>
          <w:tcPr>
            <w:tcW w:w="152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R$ 3.837,42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8" w:hRule="atLeast"/>
        </w:trPr>
        <w:tc>
          <w:tcPr>
            <w:tcW w:w="7355" w:type="dxa"/>
            <w:gridSpan w:val="5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Custo por posto  = Soma da depreciação por 5 supervisores</w:t>
            </w:r>
          </w:p>
        </w:tc>
        <w:tc>
          <w:tcPr>
            <w:tcW w:w="152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R$ 767,48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52" w:hRule="atLeast"/>
        </w:trPr>
        <w:tc>
          <w:tcPr>
            <w:tcW w:w="8875" w:type="dxa"/>
            <w:gridSpan w:val="6"/>
            <w:tcBorders>
              <w:top w:val="single" w:color="auto" w:sz="4" w:space="0"/>
              <w:left w:val="single" w:color="auto" w:sz="8" w:space="0"/>
              <w:bottom w:val="single" w:color="auto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Depreciação com base na INSTRUÇÃO NORMATIVA RFB Nº 1700, DE 14 DE MARÇO DE 2017 da Secretaria da Receita Federal do Brasil</w:t>
            </w:r>
          </w:p>
        </w:tc>
      </w:tr>
    </w:tbl>
    <w:p>
      <w:pPr>
        <w:rPr>
          <w:rFonts w:cs="Arial" w:asciiTheme="minorHAnsi" w:hAnsiTheme="minorHAnsi"/>
          <w:b/>
          <w:lang w:val="pt-PT"/>
        </w:rPr>
      </w:pPr>
      <w:r>
        <w:rPr>
          <w:rFonts w:cs="Arial" w:asciiTheme="minorHAnsi" w:hAnsiTheme="minorHAnsi"/>
          <w:b/>
          <w:lang w:val="pt-PT"/>
        </w:rPr>
        <w:t>C) MATERIAIS</w:t>
      </w:r>
    </w:p>
    <w:p>
      <w:pPr>
        <w:rPr>
          <w:rFonts w:cs="Arial" w:asciiTheme="minorHAnsi" w:hAnsiTheme="minorHAnsi"/>
          <w:b/>
          <w:lang w:val="pt-PT"/>
        </w:rPr>
      </w:pPr>
    </w:p>
    <w:p>
      <w:pPr>
        <w:jc w:val="both"/>
        <w:rPr>
          <w:rFonts w:cs="Arial" w:asciiTheme="minorHAnsi" w:hAnsiTheme="minorHAnsi"/>
          <w:sz w:val="22"/>
          <w:szCs w:val="22"/>
          <w:lang w:val="pt-PT"/>
        </w:rPr>
      </w:pPr>
      <w:r>
        <w:rPr>
          <w:rFonts w:cs="Arial" w:asciiTheme="minorHAnsi" w:hAnsiTheme="minorHAnsi"/>
          <w:sz w:val="22"/>
          <w:szCs w:val="22"/>
          <w:lang w:val="pt-PT"/>
        </w:rPr>
        <w:t>A quantidade de material é meramente estimativa e sugestiva, podendo haver variações no quantitativo e no descritivo a ser consumido.</w:t>
      </w:r>
    </w:p>
    <w:p>
      <w:pPr>
        <w:jc w:val="both"/>
        <w:rPr>
          <w:rFonts w:cs="Arial" w:asciiTheme="minorHAnsi" w:hAnsiTheme="minorHAnsi"/>
          <w:sz w:val="18"/>
          <w:lang w:val="pt-PT"/>
        </w:rPr>
      </w:pPr>
    </w:p>
    <w:tbl>
      <w:tblPr>
        <w:tblStyle w:val="7"/>
        <w:tblW w:w="9350" w:type="dxa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608"/>
        <w:gridCol w:w="2780"/>
        <w:gridCol w:w="1232"/>
        <w:gridCol w:w="1752"/>
        <w:gridCol w:w="1122"/>
        <w:gridCol w:w="1696"/>
        <w:gridCol w:w="160"/>
      </w:tblGrid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gridAfter w:val="1"/>
          <w:wAfter w:w="146" w:type="dxa"/>
          <w:trHeight w:val="300" w:hRule="atLeast"/>
        </w:trPr>
        <w:tc>
          <w:tcPr>
            <w:tcW w:w="9204" w:type="dxa"/>
            <w:gridSpan w:val="6"/>
            <w:tcBorders>
              <w:top w:val="single" w:color="000000" w:sz="8" w:space="0"/>
              <w:left w:val="single" w:color="000000" w:sz="8" w:space="0"/>
              <w:bottom w:val="nil"/>
              <w:right w:val="single" w:color="000000" w:sz="8" w:space="0"/>
            </w:tcBorders>
            <w:shd w:val="clear" w:color="F2F2F2" w:fill="F2F2F2"/>
            <w:vAlign w:val="center"/>
          </w:tcPr>
          <w:p>
            <w:pPr>
              <w:jc w:val="center"/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  <w:t>MATERIAIS A SEREM DISPONIBILIZADOS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gridAfter w:val="1"/>
          <w:wAfter w:w="146" w:type="dxa"/>
          <w:trHeight w:val="288" w:hRule="atLeast"/>
        </w:trPr>
        <w:tc>
          <w:tcPr>
            <w:tcW w:w="9204" w:type="dxa"/>
            <w:gridSpan w:val="6"/>
            <w:vMerge w:val="restart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  <w:t>Para a perfeita execução das atividades do objeto desta contratação, a Contratada deverá disponibilizar os materiais e equipamentos, promovendo sua substituição quando necessário, conforme tabela abaixo: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W w:w="9204" w:type="dxa"/>
            <w:gridSpan w:val="6"/>
            <w:vMerge w:val="continue"/>
            <w:tcBorders>
              <w:top w:val="single" w:color="auto" w:sz="8" w:space="0"/>
              <w:left w:val="single" w:color="auto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rPr>
                <w:rFonts w:ascii="Verdana" w:hAnsi="Verdana" w:cs="Calibri"/>
                <w:b/>
                <w:bCs/>
                <w:color w:val="000000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8" w:hRule="atLeast"/>
        </w:trPr>
        <w:tc>
          <w:tcPr>
            <w:tcW w:w="9204" w:type="dxa"/>
            <w:gridSpan w:val="6"/>
            <w:tcBorders>
              <w:top w:val="single" w:color="000000" w:sz="8" w:space="0"/>
              <w:left w:val="single" w:color="auto" w:sz="8" w:space="0"/>
              <w:bottom w:val="single" w:color="000000" w:sz="4" w:space="0"/>
              <w:right w:val="single" w:color="000000" w:sz="8" w:space="0"/>
            </w:tcBorders>
            <w:shd w:val="clear" w:color="B4C6E7" w:fill="B4C6E7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COMPOSIÇÃO DE CUSTO DE MATERIAIS</w:t>
            </w:r>
          </w:p>
        </w:tc>
        <w:tc>
          <w:tcPr>
            <w:tcW w:w="146" w:type="dxa"/>
            <w:vAlign w:val="center"/>
          </w:tcPr>
          <w:p/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20" w:hRule="atLeast"/>
        </w:trPr>
        <w:tc>
          <w:tcPr>
            <w:tcW w:w="608" w:type="dxa"/>
            <w:tcBorders>
              <w:top w:val="nil"/>
              <w:left w:val="single" w:color="auto" w:sz="8" w:space="0"/>
              <w:bottom w:val="single" w:color="000000" w:sz="4" w:space="0"/>
              <w:right w:val="single" w:color="000000" w:sz="4" w:space="0"/>
            </w:tcBorders>
            <w:shd w:val="clear" w:color="B4C6E7" w:fill="B4C6E7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ITEM</w:t>
            </w:r>
          </w:p>
        </w:tc>
        <w:tc>
          <w:tcPr>
            <w:tcW w:w="278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B4C6E7" w:fill="B4C6E7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DISCRIMINAÇÃO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B4C6E7" w:fill="B4C6E7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UNID.</w:t>
            </w:r>
          </w:p>
        </w:tc>
        <w:tc>
          <w:tcPr>
            <w:tcW w:w="17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B4C6E7" w:fill="B4C6E7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QUANT.</w:t>
            </w:r>
          </w:p>
        </w:tc>
        <w:tc>
          <w:tcPr>
            <w:tcW w:w="112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B4C6E7" w:fill="B4C6E7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VALOR UNITÁRIO</w:t>
            </w:r>
          </w:p>
        </w:tc>
        <w:tc>
          <w:tcPr>
            <w:tcW w:w="1699" w:type="dxa"/>
            <w:tcBorders>
              <w:top w:val="nil"/>
              <w:left w:val="nil"/>
              <w:bottom w:val="single" w:color="000000" w:sz="4" w:space="0"/>
              <w:right w:val="single" w:color="auto" w:sz="8" w:space="0"/>
            </w:tcBorders>
            <w:shd w:val="clear" w:color="B4C6E7" w:fill="B4C6E7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VALOR TOTAL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br w:type="textWrapping"/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(ANUAL)</w:t>
            </w:r>
          </w:p>
        </w:tc>
        <w:tc>
          <w:tcPr>
            <w:tcW w:w="146" w:type="dxa"/>
            <w:vAlign w:val="center"/>
          </w:tcPr>
          <w:p/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8" w:hRule="atLeast"/>
        </w:trPr>
        <w:tc>
          <w:tcPr>
            <w:tcW w:w="608" w:type="dxa"/>
            <w:tcBorders>
              <w:top w:val="nil"/>
              <w:left w:val="single" w:color="auto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278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Munição para calibre 38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und</w:t>
            </w:r>
          </w:p>
        </w:tc>
        <w:tc>
          <w:tcPr>
            <w:tcW w:w="17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312</w:t>
            </w:r>
          </w:p>
        </w:tc>
        <w:tc>
          <w:tcPr>
            <w:tcW w:w="112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R$ 4,98</w:t>
            </w:r>
          </w:p>
        </w:tc>
        <w:tc>
          <w:tcPr>
            <w:tcW w:w="1699" w:type="dxa"/>
            <w:tcBorders>
              <w:top w:val="nil"/>
              <w:left w:val="nil"/>
              <w:bottom w:val="single" w:color="000000" w:sz="4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R$ 1.553,76</w:t>
            </w:r>
          </w:p>
        </w:tc>
        <w:tc>
          <w:tcPr>
            <w:tcW w:w="146" w:type="dxa"/>
            <w:vAlign w:val="center"/>
          </w:tcPr>
          <w:p/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8" w:hRule="atLeast"/>
        </w:trPr>
        <w:tc>
          <w:tcPr>
            <w:tcW w:w="608" w:type="dxa"/>
            <w:tcBorders>
              <w:top w:val="nil"/>
              <w:left w:val="single" w:color="auto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278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Cinto com coldre (com porta munição) (individual)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und</w:t>
            </w:r>
          </w:p>
        </w:tc>
        <w:tc>
          <w:tcPr>
            <w:tcW w:w="17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102</w:t>
            </w:r>
          </w:p>
        </w:tc>
        <w:tc>
          <w:tcPr>
            <w:tcW w:w="112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R$ 66,80</w:t>
            </w:r>
          </w:p>
        </w:tc>
        <w:tc>
          <w:tcPr>
            <w:tcW w:w="1699" w:type="dxa"/>
            <w:tcBorders>
              <w:top w:val="nil"/>
              <w:left w:val="nil"/>
              <w:bottom w:val="single" w:color="000000" w:sz="4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R$ 6.813,60</w:t>
            </w:r>
          </w:p>
        </w:tc>
        <w:tc>
          <w:tcPr>
            <w:tcW w:w="146" w:type="dxa"/>
            <w:vAlign w:val="center"/>
          </w:tcPr>
          <w:p/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76" w:hRule="atLeast"/>
        </w:trPr>
        <w:tc>
          <w:tcPr>
            <w:tcW w:w="608" w:type="dxa"/>
            <w:tcBorders>
              <w:top w:val="nil"/>
              <w:left w:val="single" w:color="auto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278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Livro de ocorrência, 50 folhas, capa dura (um por posto a cada trimestre)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und</w:t>
            </w:r>
          </w:p>
        </w:tc>
        <w:tc>
          <w:tcPr>
            <w:tcW w:w="17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160</w:t>
            </w:r>
          </w:p>
        </w:tc>
        <w:tc>
          <w:tcPr>
            <w:tcW w:w="112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R$ 7,25</w:t>
            </w:r>
          </w:p>
        </w:tc>
        <w:tc>
          <w:tcPr>
            <w:tcW w:w="1699" w:type="dxa"/>
            <w:tcBorders>
              <w:top w:val="nil"/>
              <w:left w:val="nil"/>
              <w:bottom w:val="single" w:color="000000" w:sz="4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R$ 1.160,00</w:t>
            </w:r>
          </w:p>
        </w:tc>
        <w:tc>
          <w:tcPr>
            <w:tcW w:w="146" w:type="dxa"/>
            <w:vAlign w:val="center"/>
          </w:tcPr>
          <w:p/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8" w:hRule="atLeast"/>
        </w:trPr>
        <w:tc>
          <w:tcPr>
            <w:tcW w:w="608" w:type="dxa"/>
            <w:tcBorders>
              <w:top w:val="nil"/>
              <w:left w:val="single" w:color="auto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278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Tonfa/Cassetete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und</w:t>
            </w:r>
          </w:p>
        </w:tc>
        <w:tc>
          <w:tcPr>
            <w:tcW w:w="17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12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R$ 22,65</w:t>
            </w:r>
          </w:p>
        </w:tc>
        <w:tc>
          <w:tcPr>
            <w:tcW w:w="1699" w:type="dxa"/>
            <w:tcBorders>
              <w:top w:val="nil"/>
              <w:left w:val="nil"/>
              <w:bottom w:val="single" w:color="000000" w:sz="4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R$ 906,00</w:t>
            </w:r>
          </w:p>
        </w:tc>
        <w:tc>
          <w:tcPr>
            <w:tcW w:w="146" w:type="dxa"/>
            <w:vAlign w:val="center"/>
          </w:tcPr>
          <w:p/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8" w:hRule="atLeast"/>
        </w:trPr>
        <w:tc>
          <w:tcPr>
            <w:tcW w:w="608" w:type="dxa"/>
            <w:tcBorders>
              <w:top w:val="nil"/>
              <w:left w:val="single" w:color="auto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278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Porta-tonfa/porta-cassetete (um por posto)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und</w:t>
            </w:r>
          </w:p>
        </w:tc>
        <w:tc>
          <w:tcPr>
            <w:tcW w:w="17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12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R$ 20,93</w:t>
            </w:r>
          </w:p>
        </w:tc>
        <w:tc>
          <w:tcPr>
            <w:tcW w:w="1699" w:type="dxa"/>
            <w:tcBorders>
              <w:top w:val="nil"/>
              <w:left w:val="nil"/>
              <w:bottom w:val="single" w:color="000000" w:sz="4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R$ 837,20</w:t>
            </w:r>
          </w:p>
        </w:tc>
        <w:tc>
          <w:tcPr>
            <w:tcW w:w="146" w:type="dxa"/>
            <w:vAlign w:val="center"/>
          </w:tcPr>
          <w:p/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152" w:hRule="atLeast"/>
        </w:trPr>
        <w:tc>
          <w:tcPr>
            <w:tcW w:w="608" w:type="dxa"/>
            <w:tcBorders>
              <w:top w:val="nil"/>
              <w:left w:val="single" w:color="auto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27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Apito profissional em metal, com cordão de pescoço, 45cm de comprimento, com nó trabalhado e argola de fixação do apito, na cor preto (um por funcionário)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und</w:t>
            </w:r>
          </w:p>
        </w:tc>
        <w:tc>
          <w:tcPr>
            <w:tcW w:w="17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140</w:t>
            </w:r>
          </w:p>
        </w:tc>
        <w:tc>
          <w:tcPr>
            <w:tcW w:w="112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R$ 16,96</w:t>
            </w:r>
          </w:p>
        </w:tc>
        <w:tc>
          <w:tcPr>
            <w:tcW w:w="1699" w:type="dxa"/>
            <w:tcBorders>
              <w:top w:val="nil"/>
              <w:left w:val="nil"/>
              <w:bottom w:val="single" w:color="000000" w:sz="4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R$ 2.374,40</w:t>
            </w:r>
          </w:p>
        </w:tc>
        <w:tc>
          <w:tcPr>
            <w:tcW w:w="146" w:type="dxa"/>
            <w:vAlign w:val="center"/>
          </w:tcPr>
          <w:p/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388" w:hRule="atLeast"/>
        </w:trPr>
        <w:tc>
          <w:tcPr>
            <w:tcW w:w="608" w:type="dxa"/>
            <w:tcBorders>
              <w:top w:val="nil"/>
              <w:left w:val="single" w:color="auto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27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LANTERNA ELÉTRICA - LANTERNA ELÉTRICA, MATERIAL PLÁSTICO/BORRACHA, CARACTERÍSTICAS ADICIONAIS COM 2 TIPOS DE LUZ, SENDO 1 DE LONGO ALCANCE, COM, APLICAÇÃO EQUIPAMENTOS DE ILUMINAÇÃO, TIPO LÂMPADA HALÓGENA, TIPO BATERIA RECARREGÁVEL, TENSÃO NOMINAL 110/220 V (uma por posto noturno)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und</w:t>
            </w:r>
          </w:p>
        </w:tc>
        <w:tc>
          <w:tcPr>
            <w:tcW w:w="17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12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R$ 48,66</w:t>
            </w:r>
          </w:p>
        </w:tc>
        <w:tc>
          <w:tcPr>
            <w:tcW w:w="1699" w:type="dxa"/>
            <w:tcBorders>
              <w:top w:val="nil"/>
              <w:left w:val="nil"/>
              <w:bottom w:val="single" w:color="000000" w:sz="4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R$ 1.946,40</w:t>
            </w:r>
          </w:p>
        </w:tc>
        <w:tc>
          <w:tcPr>
            <w:tcW w:w="146" w:type="dxa"/>
            <w:vAlign w:val="center"/>
          </w:tcPr>
          <w:p/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864" w:hRule="atLeast"/>
        </w:trPr>
        <w:tc>
          <w:tcPr>
            <w:tcW w:w="608" w:type="dxa"/>
            <w:tcBorders>
              <w:top w:val="nil"/>
              <w:left w:val="single" w:color="auto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278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Capa para colete a prova de balas, nível de proteção II-A, dentro da validade especificada pelo fabricante (uso individual)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und</w:t>
            </w:r>
          </w:p>
        </w:tc>
        <w:tc>
          <w:tcPr>
            <w:tcW w:w="17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140</w:t>
            </w:r>
          </w:p>
        </w:tc>
        <w:tc>
          <w:tcPr>
            <w:tcW w:w="112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R$ 1.595,00</w:t>
            </w:r>
          </w:p>
        </w:tc>
        <w:tc>
          <w:tcPr>
            <w:tcW w:w="1699" w:type="dxa"/>
            <w:tcBorders>
              <w:top w:val="nil"/>
              <w:left w:val="nil"/>
              <w:bottom w:val="single" w:color="000000" w:sz="4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R$ 223.300,00</w:t>
            </w:r>
          </w:p>
        </w:tc>
        <w:tc>
          <w:tcPr>
            <w:tcW w:w="146" w:type="dxa"/>
            <w:vAlign w:val="center"/>
          </w:tcPr>
          <w:p/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8" w:hRule="atLeast"/>
        </w:trPr>
        <w:tc>
          <w:tcPr>
            <w:tcW w:w="608" w:type="dxa"/>
            <w:tcBorders>
              <w:top w:val="nil"/>
              <w:left w:val="single" w:color="auto" w:sz="8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27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Placa balística (uma por posto)</w:t>
            </w:r>
          </w:p>
        </w:tc>
        <w:tc>
          <w:tcPr>
            <w:tcW w:w="1234" w:type="dxa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und</w:t>
            </w:r>
          </w:p>
        </w:tc>
        <w:tc>
          <w:tcPr>
            <w:tcW w:w="1755" w:type="dxa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124" w:type="dxa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R$ 116,67</w:t>
            </w:r>
          </w:p>
        </w:tc>
        <w:tc>
          <w:tcPr>
            <w:tcW w:w="1699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R$ 4.666,80</w:t>
            </w:r>
          </w:p>
        </w:tc>
        <w:tc>
          <w:tcPr>
            <w:tcW w:w="146" w:type="dxa"/>
            <w:vAlign w:val="center"/>
          </w:tcPr>
          <w:p/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8" w:hRule="atLeast"/>
        </w:trPr>
        <w:tc>
          <w:tcPr>
            <w:tcW w:w="608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27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Baleiro (um por posto)</w:t>
            </w:r>
          </w:p>
        </w:tc>
        <w:tc>
          <w:tcPr>
            <w:tcW w:w="12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und</w:t>
            </w:r>
          </w:p>
        </w:tc>
        <w:tc>
          <w:tcPr>
            <w:tcW w:w="175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112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R$ 148,70</w:t>
            </w:r>
          </w:p>
        </w:tc>
        <w:tc>
          <w:tcPr>
            <w:tcW w:w="169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R$ 3.866,20</w:t>
            </w:r>
          </w:p>
        </w:tc>
        <w:tc>
          <w:tcPr>
            <w:tcW w:w="146" w:type="dxa"/>
            <w:vAlign w:val="center"/>
          </w:tcPr>
          <w:p/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8" w:hRule="atLeast"/>
        </w:trPr>
        <w:tc>
          <w:tcPr>
            <w:tcW w:w="608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27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Cofre de segurança para guarda de armas curtas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und</w:t>
            </w:r>
          </w:p>
        </w:tc>
        <w:tc>
          <w:tcPr>
            <w:tcW w:w="17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1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R$ 680,00</w:t>
            </w:r>
          </w:p>
        </w:tc>
        <w:tc>
          <w:tcPr>
            <w:tcW w:w="1699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R$ 2.720,00</w:t>
            </w:r>
          </w:p>
        </w:tc>
        <w:tc>
          <w:tcPr>
            <w:tcW w:w="146" w:type="dxa"/>
            <w:vAlign w:val="center"/>
          </w:tcPr>
          <w:p/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864" w:hRule="atLeast"/>
        </w:trPr>
        <w:tc>
          <w:tcPr>
            <w:tcW w:w="608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27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Plano de celular com ligação ilimitada de para qualquer operadora no Brasil e internet 10G ou superior.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unid.</w:t>
            </w:r>
          </w:p>
        </w:tc>
        <w:tc>
          <w:tcPr>
            <w:tcW w:w="175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</w:t>
            </w:r>
          </w:p>
        </w:tc>
        <w:tc>
          <w:tcPr>
            <w:tcW w:w="112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R$ 23,03</w:t>
            </w:r>
          </w:p>
        </w:tc>
        <w:tc>
          <w:tcPr>
            <w:tcW w:w="1699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R$ 921,20</w:t>
            </w:r>
          </w:p>
        </w:tc>
        <w:tc>
          <w:tcPr>
            <w:tcW w:w="146" w:type="dxa"/>
            <w:vAlign w:val="center"/>
          </w:tcPr>
          <w:p/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8" w:hRule="atLeast"/>
        </w:trPr>
        <w:tc>
          <w:tcPr>
            <w:tcW w:w="7505" w:type="dxa"/>
            <w:gridSpan w:val="5"/>
            <w:tcBorders>
              <w:top w:val="single" w:color="000000" w:sz="4" w:space="0"/>
              <w:left w:val="single" w:color="auto" w:sz="8" w:space="0"/>
              <w:bottom w:val="single" w:color="000000" w:sz="4" w:space="0"/>
              <w:right w:val="single" w:color="000000" w:sz="4" w:space="0"/>
            </w:tcBorders>
            <w:shd w:val="clear" w:color="B4C6E7" w:fill="B4C6E7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Valor total por ano</w:t>
            </w:r>
          </w:p>
        </w:tc>
        <w:tc>
          <w:tcPr>
            <w:tcW w:w="1699" w:type="dxa"/>
            <w:tcBorders>
              <w:top w:val="nil"/>
              <w:left w:val="nil"/>
              <w:bottom w:val="single" w:color="000000" w:sz="4" w:space="0"/>
              <w:right w:val="single" w:color="auto" w:sz="8" w:space="0"/>
            </w:tcBorders>
            <w:shd w:val="clear" w:color="B4C6E7" w:fill="B4C6E7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R$ 251.065,56</w:t>
            </w:r>
          </w:p>
        </w:tc>
        <w:tc>
          <w:tcPr>
            <w:tcW w:w="146" w:type="dxa"/>
            <w:vAlign w:val="center"/>
          </w:tcPr>
          <w:p/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8" w:hRule="atLeast"/>
        </w:trPr>
        <w:tc>
          <w:tcPr>
            <w:tcW w:w="7505" w:type="dxa"/>
            <w:gridSpan w:val="5"/>
            <w:tcBorders>
              <w:top w:val="single" w:color="000000" w:sz="4" w:space="0"/>
              <w:left w:val="single" w:color="auto" w:sz="8" w:space="0"/>
              <w:bottom w:val="single" w:color="000000" w:sz="4" w:space="0"/>
              <w:right w:val="single" w:color="000000" w:sz="4" w:space="0"/>
            </w:tcBorders>
            <w:shd w:val="clear" w:color="B4C6E7" w:fill="B4C6E7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Valor total por mês</w:t>
            </w:r>
          </w:p>
        </w:tc>
        <w:tc>
          <w:tcPr>
            <w:tcW w:w="1699" w:type="dxa"/>
            <w:tcBorders>
              <w:top w:val="nil"/>
              <w:left w:val="nil"/>
              <w:bottom w:val="nil"/>
              <w:right w:val="single" w:color="auto" w:sz="8" w:space="0"/>
            </w:tcBorders>
            <w:shd w:val="clear" w:color="B4C6E7" w:fill="B4C6E7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R$ 20.922,13</w:t>
            </w:r>
          </w:p>
        </w:tc>
        <w:tc>
          <w:tcPr>
            <w:tcW w:w="146" w:type="dxa"/>
            <w:vAlign w:val="center"/>
          </w:tcPr>
          <w:p/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W w:w="7505" w:type="dxa"/>
            <w:gridSpan w:val="5"/>
            <w:tcBorders>
              <w:top w:val="single" w:color="000000" w:sz="4" w:space="0"/>
              <w:left w:val="single" w:color="auto" w:sz="8" w:space="0"/>
              <w:bottom w:val="single" w:color="auto" w:sz="8" w:space="0"/>
              <w:right w:val="single" w:color="000000" w:sz="4" w:space="0"/>
            </w:tcBorders>
            <w:shd w:val="clear" w:color="B4C6E7" w:fill="B4C6E7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Valor total mensal por funcionário: 140 vigilantes</w:t>
            </w:r>
          </w:p>
        </w:tc>
        <w:tc>
          <w:tcPr>
            <w:tcW w:w="1699" w:type="dxa"/>
            <w:tcBorders>
              <w:top w:val="single" w:color="000000" w:sz="4" w:space="0"/>
              <w:left w:val="nil"/>
              <w:bottom w:val="single" w:color="auto" w:sz="8" w:space="0"/>
              <w:right w:val="single" w:color="auto" w:sz="8" w:space="0"/>
            </w:tcBorders>
            <w:shd w:val="clear" w:color="B4C6E7" w:fill="B4C6E7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R$ 149,44</w:t>
            </w:r>
          </w:p>
        </w:tc>
        <w:tc>
          <w:tcPr>
            <w:tcW w:w="146" w:type="dxa"/>
            <w:vAlign w:val="center"/>
          </w:tcPr>
          <w:p/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W w:w="920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6" w:type="dxa"/>
            <w:vAlign w:val="center"/>
          </w:tcPr>
          <w:p/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8" w:hRule="atLeast"/>
        </w:trPr>
        <w:tc>
          <w:tcPr>
            <w:tcW w:w="9204" w:type="dxa"/>
            <w:gridSpan w:val="6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B4C6E7" w:fill="B4C6E7"/>
            <w:noWrap/>
            <w:vAlign w:val="bottom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CUSTO ESTIMADO DE COMBUSTÍVEL</w:t>
            </w:r>
          </w:p>
        </w:tc>
        <w:tc>
          <w:tcPr>
            <w:tcW w:w="146" w:type="dxa"/>
            <w:vAlign w:val="center"/>
          </w:tcPr>
          <w:p/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8" w:hRule="atLeast"/>
        </w:trPr>
        <w:tc>
          <w:tcPr>
            <w:tcW w:w="608" w:type="dxa"/>
            <w:vMerge w:val="restart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B4C6E7" w:fill="B4C6E7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Item</w:t>
            </w:r>
          </w:p>
        </w:tc>
        <w:tc>
          <w:tcPr>
            <w:tcW w:w="2784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B4C6E7" w:fill="B4C6E7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Descrição dos veículos</w:t>
            </w:r>
          </w:p>
        </w:tc>
        <w:tc>
          <w:tcPr>
            <w:tcW w:w="1234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B4C6E7" w:fill="B4C6E7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Franquia (Km)</w:t>
            </w:r>
          </w:p>
        </w:tc>
        <w:tc>
          <w:tcPr>
            <w:tcW w:w="1755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B4C6E7" w:fill="B4C6E7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Valor médio da gasolina (litro)</w:t>
            </w:r>
          </w:p>
        </w:tc>
        <w:tc>
          <w:tcPr>
            <w:tcW w:w="1124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B4C6E7" w:fill="B4C6E7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Quantidade média de litros por mês</w:t>
            </w:r>
          </w:p>
        </w:tc>
        <w:tc>
          <w:tcPr>
            <w:tcW w:w="1699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shd w:val="clear" w:color="B4C6E7" w:fill="B4C6E7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Custo mensal estimado</w:t>
            </w:r>
          </w:p>
        </w:tc>
        <w:tc>
          <w:tcPr>
            <w:tcW w:w="146" w:type="dxa"/>
            <w:vAlign w:val="center"/>
          </w:tcPr>
          <w:p/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64" w:hRule="atLeast"/>
        </w:trPr>
        <w:tc>
          <w:tcPr>
            <w:tcW w:w="608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278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23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755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124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699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8" w:space="0"/>
            </w:tcBorders>
            <w:vAlign w:val="center"/>
          </w:tcPr>
          <w:p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52" w:hRule="atLeast"/>
        </w:trPr>
        <w:tc>
          <w:tcPr>
            <w:tcW w:w="608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</w:t>
            </w:r>
          </w:p>
        </w:tc>
        <w:tc>
          <w:tcPr>
            <w:tcW w:w="278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Niterói:</w:t>
            </w:r>
            <w:r>
              <w:rPr>
                <w:rFonts w:ascii="Calibri" w:hAnsi="Calibri" w:cs="Calibri"/>
                <w:color w:val="000000"/>
              </w:rPr>
              <w:t xml:space="preserve"> Carro, zero km, 1.6, bicombustível (álcool e gasolina), 5 portas, 05 lugares, ar condicionado.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1.200</w:t>
            </w:r>
          </w:p>
        </w:tc>
        <w:tc>
          <w:tcPr>
            <w:tcW w:w="17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7,25</w:t>
            </w:r>
          </w:p>
        </w:tc>
        <w:tc>
          <w:tcPr>
            <w:tcW w:w="112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100</w:t>
            </w:r>
          </w:p>
        </w:tc>
        <w:tc>
          <w:tcPr>
            <w:tcW w:w="1699" w:type="dxa"/>
            <w:tcBorders>
              <w:top w:val="nil"/>
              <w:left w:val="nil"/>
              <w:bottom w:val="single" w:color="000000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R$ 725,00</w:t>
            </w:r>
          </w:p>
        </w:tc>
        <w:tc>
          <w:tcPr>
            <w:tcW w:w="146" w:type="dxa"/>
            <w:vAlign w:val="center"/>
          </w:tcPr>
          <w:p/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52" w:hRule="atLeast"/>
        </w:trPr>
        <w:tc>
          <w:tcPr>
            <w:tcW w:w="608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</w:t>
            </w:r>
          </w:p>
        </w:tc>
        <w:tc>
          <w:tcPr>
            <w:tcW w:w="278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Interior:</w:t>
            </w:r>
            <w:r>
              <w:rPr>
                <w:rFonts w:ascii="Calibri" w:hAnsi="Calibri" w:cs="Calibri"/>
                <w:color w:val="000000"/>
              </w:rPr>
              <w:t xml:space="preserve"> Carro, zero km, 1.6, bicombustível (álcool e gasolina), 5 portas, 05 lugares, ar condicionado.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2.640</w:t>
            </w:r>
          </w:p>
        </w:tc>
        <w:tc>
          <w:tcPr>
            <w:tcW w:w="17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7,25</w:t>
            </w:r>
          </w:p>
        </w:tc>
        <w:tc>
          <w:tcPr>
            <w:tcW w:w="112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220</w:t>
            </w:r>
          </w:p>
        </w:tc>
        <w:tc>
          <w:tcPr>
            <w:tcW w:w="1699" w:type="dxa"/>
            <w:tcBorders>
              <w:top w:val="nil"/>
              <w:left w:val="nil"/>
              <w:bottom w:val="single" w:color="000000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R$ 1.595,00</w:t>
            </w:r>
          </w:p>
        </w:tc>
        <w:tc>
          <w:tcPr>
            <w:tcW w:w="146" w:type="dxa"/>
            <w:vAlign w:val="center"/>
          </w:tcPr>
          <w:p/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52" w:hRule="atLeast"/>
        </w:trPr>
        <w:tc>
          <w:tcPr>
            <w:tcW w:w="608" w:type="dxa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3</w:t>
            </w:r>
          </w:p>
        </w:tc>
        <w:tc>
          <w:tcPr>
            <w:tcW w:w="278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Motocicleta, modelo CG 150 Start ou similar, terrestre, flex, com câmbio manual, 0 Km.</w:t>
            </w:r>
          </w:p>
        </w:tc>
        <w:tc>
          <w:tcPr>
            <w:tcW w:w="123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21.600</w:t>
            </w:r>
          </w:p>
        </w:tc>
        <w:tc>
          <w:tcPr>
            <w:tcW w:w="1755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right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7,25</w:t>
            </w:r>
          </w:p>
        </w:tc>
        <w:tc>
          <w:tcPr>
            <w:tcW w:w="112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480</w:t>
            </w:r>
          </w:p>
        </w:tc>
        <w:tc>
          <w:tcPr>
            <w:tcW w:w="1699" w:type="dxa"/>
            <w:tcBorders>
              <w:top w:val="nil"/>
              <w:left w:val="nil"/>
              <w:bottom w:val="single" w:color="000000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R$ 3.480,00</w:t>
            </w:r>
          </w:p>
        </w:tc>
        <w:tc>
          <w:tcPr>
            <w:tcW w:w="146" w:type="dxa"/>
            <w:vAlign w:val="center"/>
          </w:tcPr>
          <w:p/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8" w:hRule="atLeast"/>
        </w:trPr>
        <w:tc>
          <w:tcPr>
            <w:tcW w:w="6381" w:type="dxa"/>
            <w:gridSpan w:val="4"/>
            <w:vMerge w:val="restar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B4C6E7" w:fill="B4C6E7"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Total de custo estimado</w:t>
            </w:r>
          </w:p>
        </w:tc>
        <w:tc>
          <w:tcPr>
            <w:tcW w:w="112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B4C6E7" w:fill="B4C6E7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Valor mensal (R$)</w:t>
            </w:r>
          </w:p>
        </w:tc>
        <w:tc>
          <w:tcPr>
            <w:tcW w:w="1699" w:type="dxa"/>
            <w:tcBorders>
              <w:top w:val="nil"/>
              <w:left w:val="nil"/>
              <w:bottom w:val="single" w:color="000000" w:sz="4" w:space="0"/>
              <w:right w:val="single" w:color="000000" w:sz="8" w:space="0"/>
            </w:tcBorders>
            <w:shd w:val="clear" w:color="B4C6E7" w:fill="B4C6E7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Custo anual (R$)</w:t>
            </w:r>
          </w:p>
        </w:tc>
        <w:tc>
          <w:tcPr>
            <w:tcW w:w="146" w:type="dxa"/>
            <w:vAlign w:val="center"/>
          </w:tcPr>
          <w:p/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8" w:hRule="atLeast"/>
        </w:trPr>
        <w:tc>
          <w:tcPr>
            <w:tcW w:w="6381" w:type="dxa"/>
            <w:gridSpan w:val="4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Calibri" w:hAnsi="Calibri" w:cs="Calibri"/>
                <w:b/>
                <w:bCs/>
                <w:color w:val="000000"/>
              </w:rPr>
            </w:pPr>
          </w:p>
        </w:tc>
        <w:tc>
          <w:tcPr>
            <w:tcW w:w="1124" w:type="dxa"/>
            <w:tcBorders>
              <w:top w:val="nil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R$ 5.800,00</w:t>
            </w:r>
          </w:p>
        </w:tc>
        <w:tc>
          <w:tcPr>
            <w:tcW w:w="1699" w:type="dxa"/>
            <w:tcBorders>
              <w:top w:val="nil"/>
              <w:left w:val="nil"/>
              <w:bottom w:val="single" w:color="000000" w:sz="4" w:space="0"/>
              <w:right w:val="single" w:color="000000" w:sz="8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R$ 69.600,00</w:t>
            </w:r>
          </w:p>
        </w:tc>
        <w:tc>
          <w:tcPr>
            <w:tcW w:w="146" w:type="dxa"/>
            <w:vAlign w:val="center"/>
          </w:tcPr>
          <w:p/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8" w:hRule="atLeast"/>
        </w:trPr>
        <w:tc>
          <w:tcPr>
            <w:tcW w:w="7505" w:type="dxa"/>
            <w:gridSpan w:val="5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B4C6E7" w:fill="B4C6E7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Valor total anual por funcionário</w:t>
            </w:r>
          </w:p>
        </w:tc>
        <w:tc>
          <w:tcPr>
            <w:tcW w:w="1699" w:type="dxa"/>
            <w:tcBorders>
              <w:top w:val="nil"/>
              <w:left w:val="nil"/>
              <w:bottom w:val="single" w:color="000000" w:sz="4" w:space="0"/>
              <w:right w:val="single" w:color="000000" w:sz="8" w:space="0"/>
            </w:tcBorders>
            <w:shd w:val="clear" w:color="B4C6E7" w:fill="B4C6E7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R$ 69.600,00</w:t>
            </w:r>
          </w:p>
        </w:tc>
        <w:tc>
          <w:tcPr>
            <w:tcW w:w="146" w:type="dxa"/>
            <w:vAlign w:val="center"/>
          </w:tcPr>
          <w:p/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W w:w="7505" w:type="dxa"/>
            <w:gridSpan w:val="5"/>
            <w:tcBorders>
              <w:top w:val="single" w:color="000000" w:sz="4" w:space="0"/>
              <w:left w:val="single" w:color="000000" w:sz="8" w:space="0"/>
              <w:bottom w:val="nil"/>
              <w:right w:val="single" w:color="000000" w:sz="4" w:space="0"/>
            </w:tcBorders>
            <w:shd w:val="clear" w:color="B4C6E7" w:fill="B4C6E7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Valor total mensal por 5 Supervisores</w:t>
            </w:r>
          </w:p>
        </w:tc>
        <w:tc>
          <w:tcPr>
            <w:tcW w:w="1699" w:type="dxa"/>
            <w:tcBorders>
              <w:top w:val="nil"/>
              <w:left w:val="nil"/>
              <w:bottom w:val="nil"/>
              <w:right w:val="single" w:color="000000" w:sz="8" w:space="0"/>
            </w:tcBorders>
            <w:shd w:val="clear" w:color="B4C6E7" w:fill="B4C6E7"/>
            <w:noWrap/>
            <w:vAlign w:val="center"/>
          </w:tcPr>
          <w:p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R$ 1.160,00</w:t>
            </w:r>
          </w:p>
        </w:tc>
        <w:tc>
          <w:tcPr>
            <w:tcW w:w="146" w:type="dxa"/>
            <w:vAlign w:val="center"/>
          </w:tcPr>
          <w:p/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1725" w:hRule="atLeast"/>
        </w:trPr>
        <w:tc>
          <w:tcPr>
            <w:tcW w:w="9204" w:type="dxa"/>
            <w:gridSpan w:val="6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8" w:space="0"/>
            </w:tcBorders>
            <w:shd w:val="clear" w:color="auto" w:fill="auto"/>
          </w:tcPr>
          <w:p>
            <w:pPr>
              <w:spacing w:after="240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Item 1 - Veículos Automóvel -  (média de 12 km/litro)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br w:type="textWrapping"/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Niterói: Previsão de 40km/dia = 40 x 30 = 1.200km/mês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br w:type="textWrapping"/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Interior: Previsão de aproximadamente 120 km/dia, sendo 120 x 22 dias = 2.640 km/mês. </w:t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Nota: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Condutor residente no interior.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br w:type="textWrapping"/>
            </w: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Item  2 - Motocicletas: 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br w:type="textWrapping"/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>Média de  45 km/moto/dia (dia e noite) = 45km/dia x 16 (motos) x 30 dias = 21.600 km/mês</w:t>
            </w:r>
          </w:p>
        </w:tc>
        <w:tc>
          <w:tcPr>
            <w:tcW w:w="146" w:type="dxa"/>
            <w:vAlign w:val="center"/>
          </w:tcPr>
          <w:p/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00" w:hRule="atLeast"/>
        </w:trPr>
        <w:tc>
          <w:tcPr>
            <w:tcW w:w="9204" w:type="dxa"/>
            <w:gridSpan w:val="6"/>
            <w:tcBorders>
              <w:top w:val="singl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="Calibri" w:hAnsi="Calibri" w:cs="Calibri"/>
                <w:i/>
                <w:iCs/>
                <w:color w:val="000000"/>
              </w:rPr>
            </w:pPr>
            <w:r>
              <w:rPr>
                <w:rFonts w:ascii="Calibri" w:hAnsi="Calibri" w:cs="Calibri"/>
                <w:i/>
                <w:iCs/>
                <w:color w:val="000000"/>
              </w:rPr>
              <w:t>Consulta ao site &lt;http://preco.anp.gov.br/include/Resumo_Por_Municipio_Posto.asp&gt; Acesso em 29/11/2021</w:t>
            </w:r>
          </w:p>
        </w:tc>
        <w:tc>
          <w:tcPr>
            <w:tcW w:w="146" w:type="dxa"/>
            <w:vAlign w:val="center"/>
          </w:tcPr>
          <w:p/>
        </w:tc>
      </w:tr>
    </w:tbl>
    <w:p>
      <w:pPr>
        <w:jc w:val="both"/>
        <w:rPr>
          <w:rFonts w:cs="Arial" w:asciiTheme="minorHAnsi" w:hAnsiTheme="minorHAnsi"/>
          <w:sz w:val="18"/>
        </w:rPr>
      </w:pPr>
    </w:p>
    <w:p>
      <w:pPr>
        <w:jc w:val="both"/>
        <w:rPr>
          <w:rFonts w:cs="Arial" w:asciiTheme="minorHAnsi" w:hAnsiTheme="minorHAnsi"/>
          <w:sz w:val="16"/>
          <w:lang w:val="pt-PT"/>
        </w:rPr>
      </w:pPr>
    </w:p>
    <w:p>
      <w:pPr>
        <w:rPr>
          <w:rFonts w:cs="Arial" w:asciiTheme="minorHAnsi" w:hAnsiTheme="minorHAnsi"/>
          <w:b/>
          <w:lang w:val="pt-PT"/>
        </w:rPr>
      </w:pPr>
    </w:p>
    <w:p>
      <w:pPr>
        <w:rPr>
          <w:rFonts w:ascii="Calibri" w:hAnsi="Calibri" w:cs="Arial" w:eastAsiaTheme="minorHAnsi"/>
          <w:b/>
          <w:sz w:val="22"/>
          <w:szCs w:val="22"/>
          <w:u w:val="single"/>
          <w:lang w:eastAsia="en-US"/>
        </w:rPr>
      </w:pPr>
      <w:r>
        <w:rPr>
          <w:rFonts w:ascii="Calibri" w:hAnsi="Calibri" w:cs="Arial" w:eastAsiaTheme="minorHAnsi"/>
          <w:b/>
          <w:sz w:val="22"/>
          <w:szCs w:val="22"/>
          <w:u w:val="single"/>
          <w:lang w:eastAsia="en-US"/>
        </w:rPr>
        <w:t>Módulo 6 – Custos Indiretos, Lucro e Tributos</w:t>
      </w:r>
    </w:p>
    <w:p>
      <w:pPr>
        <w:rPr>
          <w:rFonts w:ascii="Calibri" w:hAnsi="Calibri" w:cs="Arial" w:eastAsiaTheme="minorHAnsi"/>
          <w:b/>
          <w:u w:val="single"/>
          <w:lang w:eastAsia="en-US"/>
        </w:rPr>
      </w:pPr>
    </w:p>
    <w:tbl>
      <w:tblPr>
        <w:tblStyle w:val="70"/>
        <w:tblW w:w="5523" w:type="dxa"/>
        <w:tblInd w:w="0" w:type="dxa"/>
        <w:tblBorders>
          <w:top w:val="single" w:color="95B3D7" w:themeColor="accent1" w:themeTint="99" w:sz="4" w:space="0"/>
          <w:left w:val="single" w:color="95B3D7" w:themeColor="accent1" w:themeTint="99" w:sz="4" w:space="0"/>
          <w:bottom w:val="single" w:color="95B3D7" w:themeColor="accent1" w:themeTint="99" w:sz="4" w:space="0"/>
          <w:right w:val="single" w:color="95B3D7" w:themeColor="accent1" w:themeTint="99" w:sz="4" w:space="0"/>
          <w:insideH w:val="single" w:color="95B3D7" w:themeColor="accent1" w:themeTint="99" w:sz="4" w:space="0"/>
          <w:insideV w:val="single" w:color="95B3D7" w:themeColor="accent1" w:themeTint="99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0"/>
        <w:gridCol w:w="2126"/>
        <w:gridCol w:w="2547"/>
      </w:tblGrid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50" w:type="dxa"/>
            <w:tcBorders>
              <w:top w:val="single" w:color="4F81BD" w:themeColor="accent1" w:sz="4" w:space="0"/>
              <w:left w:val="single" w:color="4F81BD" w:themeColor="accent1" w:sz="4" w:space="0"/>
              <w:bottom w:val="single" w:color="4F81BD" w:themeColor="accent1" w:sz="4" w:space="0"/>
              <w:right w:val="nil"/>
              <w:insideH w:val="single" w:sz="4" w:space="0"/>
              <w:insideV w:val="nil"/>
            </w:tcBorders>
            <w:shd w:val="clear" w:color="auto" w:fill="4F81BD" w:themeFill="accent1"/>
          </w:tcPr>
          <w:p>
            <w:pPr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2126" w:type="dxa"/>
            <w:tcBorders>
              <w:top w:val="single" w:color="4F81BD" w:themeColor="accent1" w:sz="4" w:space="0"/>
              <w:bottom w:val="single" w:color="4F81BD" w:themeColor="accent1" w:sz="4" w:space="0"/>
              <w:right w:val="nil"/>
              <w:insideH w:val="single" w:sz="4" w:space="0"/>
              <w:insideV w:val="nil"/>
            </w:tcBorders>
            <w:shd w:val="clear" w:color="auto" w:fill="4F81BD" w:themeFill="accent1"/>
          </w:tcPr>
          <w:p>
            <w:pPr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CUSTOS INDIRETOS, TRIBUTOS E LUCRO REAL</w:t>
            </w:r>
          </w:p>
        </w:tc>
        <w:tc>
          <w:tcPr>
            <w:tcW w:w="2547" w:type="dxa"/>
            <w:tcBorders>
              <w:top w:val="single" w:color="4F81BD" w:themeColor="accent1" w:sz="4" w:space="0"/>
              <w:bottom w:val="single" w:color="4F81BD" w:themeColor="accent1" w:sz="4" w:space="0"/>
              <w:right w:val="single" w:color="4F81BD" w:themeColor="accent1" w:sz="4" w:space="0"/>
              <w:insideH w:val="single" w:sz="4" w:space="0"/>
              <w:insideV w:val="nil"/>
            </w:tcBorders>
            <w:shd w:val="clear" w:color="auto" w:fill="4F81BD" w:themeFill="accent1"/>
          </w:tcPr>
          <w:p>
            <w:pPr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 xml:space="preserve">MEMÓRIA DE CÁLCULO </w:t>
            </w:r>
          </w:p>
        </w:tc>
      </w:tr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850" w:type="dxa"/>
            <w:shd w:val="clear" w:color="auto" w:fill="DBE5F1" w:themeFill="accent1" w:themeFillTint="33"/>
          </w:tcPr>
          <w:p>
            <w:pPr>
              <w:jc w:val="center"/>
              <w:rPr>
                <w:rFonts w:ascii="Calibri" w:hAnsi="Calibri" w:cs="Arial"/>
                <w:b w:val="0"/>
                <w:bCs w:val="0"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>A</w:t>
            </w:r>
          </w:p>
        </w:tc>
        <w:tc>
          <w:tcPr>
            <w:tcW w:w="2126" w:type="dxa"/>
            <w:shd w:val="clear" w:color="auto" w:fill="DBE5F1" w:themeFill="accent1" w:themeFillTint="33"/>
          </w:tcPr>
          <w:p>
            <w:pPr>
              <w:rPr>
                <w:rFonts w:cs="Arial" w:asciiTheme="minorHAnsi" w:hAnsiTheme="minorHAnsi"/>
                <w:sz w:val="18"/>
                <w:szCs w:val="18"/>
              </w:rPr>
            </w:pPr>
            <w:r>
              <w:rPr>
                <w:rFonts w:cs="Arial" w:asciiTheme="minorHAnsi" w:hAnsiTheme="minorHAnsi"/>
                <w:sz w:val="18"/>
                <w:szCs w:val="18"/>
              </w:rPr>
              <w:t>Custos Indiretos</w:t>
            </w:r>
          </w:p>
        </w:tc>
        <w:tc>
          <w:tcPr>
            <w:tcW w:w="2547" w:type="dxa"/>
            <w:shd w:val="clear" w:color="auto" w:fill="DBE5F1" w:themeFill="accent1" w:themeFillTint="33"/>
          </w:tcPr>
          <w:p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 xml:space="preserve">Conforme valor pesquisado, será considerado a alíquota </w:t>
            </w:r>
            <w:r>
              <w:rPr>
                <w:rFonts w:cs="Arial" w:asciiTheme="minorHAnsi" w:hAnsiTheme="minorHAnsi"/>
                <w:b/>
              </w:rPr>
              <w:t>4,47%</w:t>
            </w:r>
          </w:p>
        </w:tc>
      </w:tr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850" w:type="dxa"/>
          </w:tcPr>
          <w:p>
            <w:pPr>
              <w:jc w:val="center"/>
              <w:rPr>
                <w:rFonts w:ascii="Calibri" w:hAnsi="Calibri" w:cs="Arial"/>
                <w:b w:val="0"/>
                <w:bCs w:val="0"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>B</w:t>
            </w:r>
          </w:p>
        </w:tc>
        <w:tc>
          <w:tcPr>
            <w:tcW w:w="2126" w:type="dxa"/>
          </w:tcPr>
          <w:p>
            <w:pPr>
              <w:rPr>
                <w:rFonts w:cs="Arial" w:asciiTheme="minorHAnsi" w:hAnsiTheme="minorHAnsi"/>
                <w:sz w:val="18"/>
                <w:szCs w:val="18"/>
              </w:rPr>
            </w:pPr>
            <w:r>
              <w:rPr>
                <w:rFonts w:cs="Arial" w:asciiTheme="minorHAnsi" w:hAnsiTheme="minorHAnsi"/>
                <w:sz w:val="18"/>
                <w:szCs w:val="18"/>
              </w:rPr>
              <w:t>Lucro</w:t>
            </w:r>
          </w:p>
        </w:tc>
        <w:tc>
          <w:tcPr>
            <w:tcW w:w="2547" w:type="dxa"/>
          </w:tcPr>
          <w:p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 xml:space="preserve">Conforme valor pesquisado, será considerado a alíquota </w:t>
            </w:r>
            <w:r>
              <w:rPr>
                <w:rFonts w:cs="Arial" w:asciiTheme="minorHAnsi" w:hAnsiTheme="minorHAnsi"/>
                <w:b/>
              </w:rPr>
              <w:t>3,06%</w:t>
            </w:r>
          </w:p>
        </w:tc>
      </w:tr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850" w:type="dxa"/>
            <w:shd w:val="clear" w:color="auto" w:fill="DBE5F1" w:themeFill="accent1" w:themeFillTint="33"/>
          </w:tcPr>
          <w:p>
            <w:pPr>
              <w:jc w:val="center"/>
              <w:rPr>
                <w:rFonts w:ascii="Calibri" w:hAnsi="Calibri" w:cs="Arial"/>
                <w:b w:val="0"/>
                <w:bCs w:val="0"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>C</w:t>
            </w:r>
          </w:p>
        </w:tc>
        <w:tc>
          <w:tcPr>
            <w:tcW w:w="2126" w:type="dxa"/>
            <w:shd w:val="clear" w:color="auto" w:fill="DBE5F1" w:themeFill="accent1" w:themeFillTint="33"/>
          </w:tcPr>
          <w:p>
            <w:pPr>
              <w:rPr>
                <w:rFonts w:cs="Arial" w:asciiTheme="minorHAnsi" w:hAnsiTheme="minorHAnsi"/>
                <w:sz w:val="18"/>
                <w:szCs w:val="18"/>
              </w:rPr>
            </w:pPr>
            <w:r>
              <w:rPr>
                <w:rFonts w:cs="Arial" w:asciiTheme="minorHAnsi" w:hAnsiTheme="minorHAnsi"/>
                <w:sz w:val="18"/>
                <w:szCs w:val="18"/>
              </w:rPr>
              <w:t>Tributos</w:t>
            </w:r>
          </w:p>
        </w:tc>
        <w:tc>
          <w:tcPr>
            <w:tcW w:w="2547" w:type="dxa"/>
            <w:shd w:val="clear" w:color="auto" w:fill="DBE5F1" w:themeFill="accent1" w:themeFillTint="33"/>
          </w:tcPr>
          <w:p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850" w:type="dxa"/>
          </w:tcPr>
          <w:p>
            <w:pPr>
              <w:jc w:val="center"/>
              <w:rPr>
                <w:rFonts w:ascii="Calibri" w:hAnsi="Calibri" w:cs="Arial"/>
                <w:b w:val="0"/>
                <w:bCs w:val="0"/>
                <w:sz w:val="18"/>
                <w:szCs w:val="18"/>
              </w:rPr>
            </w:pPr>
          </w:p>
        </w:tc>
        <w:tc>
          <w:tcPr>
            <w:tcW w:w="2126" w:type="dxa"/>
          </w:tcPr>
          <w:p>
            <w:pPr>
              <w:rPr>
                <w:rFonts w:cs="Arial" w:asciiTheme="minorHAnsi" w:hAnsiTheme="minorHAnsi"/>
                <w:sz w:val="18"/>
                <w:szCs w:val="18"/>
              </w:rPr>
            </w:pPr>
            <w:r>
              <w:rPr>
                <w:rFonts w:cs="Arial" w:asciiTheme="minorHAnsi" w:hAnsiTheme="minorHAnsi"/>
                <w:sz w:val="18"/>
                <w:szCs w:val="18"/>
              </w:rPr>
              <w:t xml:space="preserve">C.1. Tributos federais </w:t>
            </w:r>
          </w:p>
        </w:tc>
        <w:tc>
          <w:tcPr>
            <w:tcW w:w="2547" w:type="dxa"/>
          </w:tcPr>
          <w:p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(PIS = 1,65% e COFINS = 7,65%)</w:t>
            </w:r>
          </w:p>
        </w:tc>
      </w:tr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850" w:type="dxa"/>
            <w:shd w:val="clear" w:color="auto" w:fill="DBE5F1" w:themeFill="accent1" w:themeFillTint="33"/>
          </w:tcPr>
          <w:p>
            <w:pPr>
              <w:jc w:val="center"/>
              <w:rPr>
                <w:rFonts w:ascii="Calibri" w:hAnsi="Calibri" w:cs="Arial"/>
                <w:b w:val="0"/>
                <w:bCs w:val="0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DBE5F1" w:themeFill="accent1" w:themeFillTint="33"/>
          </w:tcPr>
          <w:p>
            <w:pPr>
              <w:rPr>
                <w:rFonts w:cs="Arial" w:asciiTheme="minorHAnsi" w:hAnsiTheme="minorHAnsi"/>
                <w:sz w:val="18"/>
                <w:szCs w:val="18"/>
              </w:rPr>
            </w:pPr>
            <w:r>
              <w:rPr>
                <w:rFonts w:cs="Arial" w:asciiTheme="minorHAnsi" w:hAnsiTheme="minorHAnsi"/>
                <w:sz w:val="18"/>
                <w:szCs w:val="18"/>
              </w:rPr>
              <w:t>C.2. Tributos estaduais</w:t>
            </w:r>
          </w:p>
        </w:tc>
        <w:tc>
          <w:tcPr>
            <w:tcW w:w="2547" w:type="dxa"/>
            <w:shd w:val="clear" w:color="auto" w:fill="DBE5F1" w:themeFill="accent1" w:themeFillTint="33"/>
          </w:tcPr>
          <w:p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(ESPECIFICAR)</w:t>
            </w:r>
          </w:p>
        </w:tc>
      </w:tr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850" w:type="dxa"/>
          </w:tcPr>
          <w:p>
            <w:pPr>
              <w:jc w:val="center"/>
              <w:rPr>
                <w:rFonts w:ascii="Calibri" w:hAnsi="Calibri" w:cs="Arial"/>
                <w:b w:val="0"/>
                <w:bCs w:val="0"/>
                <w:sz w:val="18"/>
                <w:szCs w:val="18"/>
              </w:rPr>
            </w:pPr>
          </w:p>
        </w:tc>
        <w:tc>
          <w:tcPr>
            <w:tcW w:w="2126" w:type="dxa"/>
          </w:tcPr>
          <w:p>
            <w:pPr>
              <w:rPr>
                <w:rFonts w:cs="Arial" w:asciiTheme="minorHAnsi" w:hAnsiTheme="minorHAnsi"/>
                <w:sz w:val="18"/>
                <w:szCs w:val="18"/>
              </w:rPr>
            </w:pPr>
            <w:r>
              <w:rPr>
                <w:rFonts w:cs="Arial" w:asciiTheme="minorHAnsi" w:hAnsiTheme="minorHAnsi"/>
                <w:sz w:val="18"/>
                <w:szCs w:val="18"/>
              </w:rPr>
              <w:t>C.3 Tributos municipais</w:t>
            </w:r>
          </w:p>
        </w:tc>
        <w:tc>
          <w:tcPr>
            <w:tcW w:w="2547" w:type="dxa"/>
          </w:tcPr>
          <w:p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(ISS = 5,00%)</w:t>
            </w:r>
          </w:p>
        </w:tc>
      </w:tr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50" w:type="dxa"/>
            <w:shd w:val="clear" w:color="auto" w:fill="DBE5F1" w:themeFill="accent1" w:themeFillTint="33"/>
          </w:tcPr>
          <w:p>
            <w:pPr>
              <w:jc w:val="center"/>
              <w:rPr>
                <w:rFonts w:ascii="Calibri" w:hAnsi="Calibri" w:cs="Arial"/>
                <w:b w:val="0"/>
                <w:bCs w:val="0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DBE5F1" w:themeFill="accent1" w:themeFillTint="33"/>
          </w:tcPr>
          <w:p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Total</w:t>
            </w:r>
          </w:p>
        </w:tc>
        <w:tc>
          <w:tcPr>
            <w:tcW w:w="2547" w:type="dxa"/>
            <w:shd w:val="clear" w:color="auto" w:fill="DBE5F1" w:themeFill="accent1" w:themeFillTint="33"/>
          </w:tcPr>
          <w:p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</w:tbl>
    <w:p>
      <w:pPr>
        <w:rPr>
          <w:rFonts w:ascii="Calibri" w:hAnsi="Calibri" w:cs="Arial" w:eastAsiaTheme="minorHAnsi"/>
          <w:b/>
          <w:u w:val="single"/>
          <w:lang w:eastAsia="en-US"/>
        </w:rPr>
      </w:pPr>
    </w:p>
    <w:tbl>
      <w:tblPr>
        <w:tblStyle w:val="70"/>
        <w:tblW w:w="5523" w:type="dxa"/>
        <w:tblInd w:w="0" w:type="dxa"/>
        <w:tblBorders>
          <w:top w:val="single" w:color="95B3D7" w:themeColor="accent1" w:themeTint="99" w:sz="4" w:space="0"/>
          <w:left w:val="single" w:color="95B3D7" w:themeColor="accent1" w:themeTint="99" w:sz="4" w:space="0"/>
          <w:bottom w:val="single" w:color="95B3D7" w:themeColor="accent1" w:themeTint="99" w:sz="4" w:space="0"/>
          <w:right w:val="single" w:color="95B3D7" w:themeColor="accent1" w:themeTint="99" w:sz="4" w:space="0"/>
          <w:insideH w:val="single" w:color="95B3D7" w:themeColor="accent1" w:themeTint="99" w:sz="4" w:space="0"/>
          <w:insideV w:val="single" w:color="95B3D7" w:themeColor="accent1" w:themeTint="99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0"/>
        <w:gridCol w:w="2126"/>
        <w:gridCol w:w="2547"/>
      </w:tblGrid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50" w:type="dxa"/>
            <w:tcBorders>
              <w:top w:val="single" w:color="4F81BD" w:themeColor="accent1" w:sz="4" w:space="0"/>
              <w:left w:val="single" w:color="4F81BD" w:themeColor="accent1" w:sz="4" w:space="0"/>
              <w:bottom w:val="single" w:color="4F81BD" w:themeColor="accent1" w:sz="4" w:space="0"/>
              <w:right w:val="nil"/>
              <w:insideH w:val="single" w:sz="4" w:space="0"/>
              <w:insideV w:val="nil"/>
            </w:tcBorders>
            <w:shd w:val="clear" w:color="auto" w:fill="4F81BD" w:themeFill="accent1"/>
          </w:tcPr>
          <w:p>
            <w:pPr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2126" w:type="dxa"/>
            <w:tcBorders>
              <w:top w:val="single" w:color="4F81BD" w:themeColor="accent1" w:sz="4" w:space="0"/>
              <w:bottom w:val="single" w:color="4F81BD" w:themeColor="accent1" w:sz="4" w:space="0"/>
              <w:right w:val="nil"/>
              <w:insideH w:val="single" w:sz="4" w:space="0"/>
              <w:insideV w:val="nil"/>
            </w:tcBorders>
            <w:shd w:val="clear" w:color="auto" w:fill="4F81BD" w:themeFill="accent1"/>
          </w:tcPr>
          <w:p>
            <w:pPr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>CUSTOS INDIRETOS, TRIBUTOS E LUCRO PRESUMIDO</w:t>
            </w:r>
          </w:p>
        </w:tc>
        <w:tc>
          <w:tcPr>
            <w:tcW w:w="2547" w:type="dxa"/>
            <w:tcBorders>
              <w:top w:val="single" w:color="4F81BD" w:themeColor="accent1" w:sz="4" w:space="0"/>
              <w:bottom w:val="single" w:color="4F81BD" w:themeColor="accent1" w:sz="4" w:space="0"/>
              <w:right w:val="single" w:color="4F81BD" w:themeColor="accent1" w:sz="4" w:space="0"/>
              <w:insideH w:val="single" w:sz="4" w:space="0"/>
              <w:insideV w:val="nil"/>
            </w:tcBorders>
            <w:shd w:val="clear" w:color="auto" w:fill="4F81BD" w:themeFill="accent1"/>
          </w:tcPr>
          <w:p>
            <w:pPr>
              <w:jc w:val="center"/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color w:val="000000"/>
                <w:sz w:val="18"/>
                <w:szCs w:val="18"/>
              </w:rPr>
              <w:t xml:space="preserve">MEMÓRIA DE CÁLCULO </w:t>
            </w:r>
          </w:p>
        </w:tc>
      </w:tr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1" w:hRule="atLeast"/>
        </w:trPr>
        <w:tc>
          <w:tcPr>
            <w:tcW w:w="850" w:type="dxa"/>
            <w:shd w:val="clear" w:color="auto" w:fill="DBE5F1" w:themeFill="accent1" w:themeFillTint="33"/>
          </w:tcPr>
          <w:p>
            <w:pPr>
              <w:jc w:val="center"/>
              <w:rPr>
                <w:rFonts w:ascii="Calibri" w:hAnsi="Calibri" w:cs="Arial"/>
                <w:b w:val="0"/>
                <w:bCs w:val="0"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>A</w:t>
            </w:r>
          </w:p>
        </w:tc>
        <w:tc>
          <w:tcPr>
            <w:tcW w:w="2126" w:type="dxa"/>
            <w:shd w:val="clear" w:color="auto" w:fill="DBE5F1" w:themeFill="accent1" w:themeFillTint="33"/>
          </w:tcPr>
          <w:p>
            <w:pPr>
              <w:rPr>
                <w:rFonts w:cs="Arial" w:asciiTheme="minorHAnsi" w:hAnsiTheme="minorHAnsi"/>
                <w:sz w:val="18"/>
                <w:szCs w:val="18"/>
              </w:rPr>
            </w:pPr>
            <w:r>
              <w:rPr>
                <w:rFonts w:cs="Arial" w:asciiTheme="minorHAnsi" w:hAnsiTheme="minorHAnsi"/>
                <w:sz w:val="18"/>
                <w:szCs w:val="18"/>
              </w:rPr>
              <w:t>Custos Indiretos</w:t>
            </w:r>
          </w:p>
        </w:tc>
        <w:tc>
          <w:tcPr>
            <w:tcW w:w="2547" w:type="dxa"/>
            <w:shd w:val="clear" w:color="auto" w:fill="DBE5F1" w:themeFill="accent1" w:themeFillTint="33"/>
          </w:tcPr>
          <w:p>
            <w:pPr>
              <w:jc w:val="both"/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 xml:space="preserve">Conforme valor pesquisado, será considerado a alíquota </w:t>
            </w:r>
            <w:r>
              <w:rPr>
                <w:rFonts w:cs="Arial" w:asciiTheme="minorHAnsi" w:hAnsiTheme="minorHAnsi"/>
                <w:b/>
              </w:rPr>
              <w:t>4,47%</w:t>
            </w:r>
          </w:p>
        </w:tc>
      </w:tr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850" w:type="dxa"/>
          </w:tcPr>
          <w:p>
            <w:pPr>
              <w:jc w:val="center"/>
              <w:rPr>
                <w:rFonts w:ascii="Calibri" w:hAnsi="Calibri" w:cs="Arial"/>
                <w:b w:val="0"/>
                <w:bCs w:val="0"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>B</w:t>
            </w:r>
          </w:p>
        </w:tc>
        <w:tc>
          <w:tcPr>
            <w:tcW w:w="2126" w:type="dxa"/>
          </w:tcPr>
          <w:p>
            <w:pPr>
              <w:rPr>
                <w:rFonts w:cs="Arial" w:asciiTheme="minorHAnsi" w:hAnsiTheme="minorHAnsi"/>
                <w:sz w:val="18"/>
                <w:szCs w:val="18"/>
              </w:rPr>
            </w:pPr>
            <w:r>
              <w:rPr>
                <w:rFonts w:cs="Arial" w:asciiTheme="minorHAnsi" w:hAnsiTheme="minorHAnsi"/>
                <w:sz w:val="18"/>
                <w:szCs w:val="18"/>
              </w:rPr>
              <w:t>Lucro</w:t>
            </w:r>
          </w:p>
        </w:tc>
        <w:tc>
          <w:tcPr>
            <w:tcW w:w="2547" w:type="dxa"/>
          </w:tcPr>
          <w:p>
            <w:pPr>
              <w:jc w:val="both"/>
              <w:rPr>
                <w:rFonts w:cs="Arial" w:asciiTheme="minorHAnsi" w:hAnsiTheme="minorHAnsi"/>
                <w:b/>
              </w:rPr>
            </w:pPr>
            <w:r>
              <w:rPr>
                <w:rFonts w:ascii="Calibri" w:hAnsi="Calibri" w:cs="Arial"/>
                <w:sz w:val="18"/>
                <w:szCs w:val="18"/>
              </w:rPr>
              <w:t xml:space="preserve">Conforme valor pesquisado, será considerado a alíquota </w:t>
            </w:r>
            <w:r>
              <w:rPr>
                <w:rFonts w:cs="Arial" w:asciiTheme="minorHAnsi" w:hAnsiTheme="minorHAnsi"/>
                <w:b/>
              </w:rPr>
              <w:t>3,06%</w:t>
            </w:r>
          </w:p>
        </w:tc>
      </w:tr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850" w:type="dxa"/>
            <w:shd w:val="clear" w:color="auto" w:fill="DBE5F1" w:themeFill="accent1" w:themeFillTint="33"/>
          </w:tcPr>
          <w:p>
            <w:pPr>
              <w:jc w:val="center"/>
              <w:rPr>
                <w:rFonts w:ascii="Calibri" w:hAnsi="Calibri" w:cs="Arial"/>
                <w:b w:val="0"/>
                <w:bCs w:val="0"/>
                <w:sz w:val="18"/>
                <w:szCs w:val="18"/>
              </w:rPr>
            </w:pPr>
            <w:r>
              <w:rPr>
                <w:rFonts w:ascii="Calibri" w:hAnsi="Calibri" w:cs="Arial"/>
                <w:b/>
                <w:bCs/>
                <w:sz w:val="18"/>
                <w:szCs w:val="18"/>
              </w:rPr>
              <w:t>C</w:t>
            </w:r>
          </w:p>
        </w:tc>
        <w:tc>
          <w:tcPr>
            <w:tcW w:w="2126" w:type="dxa"/>
            <w:shd w:val="clear" w:color="auto" w:fill="DBE5F1" w:themeFill="accent1" w:themeFillTint="33"/>
          </w:tcPr>
          <w:p>
            <w:pPr>
              <w:rPr>
                <w:rFonts w:cs="Arial" w:asciiTheme="minorHAnsi" w:hAnsiTheme="minorHAnsi"/>
                <w:sz w:val="18"/>
                <w:szCs w:val="18"/>
              </w:rPr>
            </w:pPr>
            <w:r>
              <w:rPr>
                <w:rFonts w:cs="Arial" w:asciiTheme="minorHAnsi" w:hAnsiTheme="minorHAnsi"/>
                <w:sz w:val="18"/>
                <w:szCs w:val="18"/>
              </w:rPr>
              <w:t>Tributos</w:t>
            </w:r>
          </w:p>
        </w:tc>
        <w:tc>
          <w:tcPr>
            <w:tcW w:w="2547" w:type="dxa"/>
            <w:shd w:val="clear" w:color="auto" w:fill="DBE5F1" w:themeFill="accent1" w:themeFillTint="33"/>
          </w:tcPr>
          <w:p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850" w:type="dxa"/>
          </w:tcPr>
          <w:p>
            <w:pPr>
              <w:jc w:val="center"/>
              <w:rPr>
                <w:rFonts w:ascii="Calibri" w:hAnsi="Calibri" w:cs="Arial"/>
                <w:b w:val="0"/>
                <w:bCs w:val="0"/>
                <w:sz w:val="18"/>
                <w:szCs w:val="18"/>
              </w:rPr>
            </w:pPr>
          </w:p>
        </w:tc>
        <w:tc>
          <w:tcPr>
            <w:tcW w:w="2126" w:type="dxa"/>
          </w:tcPr>
          <w:p>
            <w:pPr>
              <w:rPr>
                <w:rFonts w:cs="Arial" w:asciiTheme="minorHAnsi" w:hAnsiTheme="minorHAnsi"/>
                <w:sz w:val="18"/>
                <w:szCs w:val="18"/>
              </w:rPr>
            </w:pPr>
            <w:r>
              <w:rPr>
                <w:rFonts w:cs="Arial" w:asciiTheme="minorHAnsi" w:hAnsiTheme="minorHAnsi"/>
                <w:sz w:val="18"/>
                <w:szCs w:val="18"/>
              </w:rPr>
              <w:t xml:space="preserve">C.1. Tributos federais </w:t>
            </w:r>
          </w:p>
        </w:tc>
        <w:tc>
          <w:tcPr>
            <w:tcW w:w="2547" w:type="dxa"/>
          </w:tcPr>
          <w:p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(PIS = 0,65% e COFINS = 3,00%)</w:t>
            </w:r>
          </w:p>
        </w:tc>
      </w:tr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850" w:type="dxa"/>
            <w:shd w:val="clear" w:color="auto" w:fill="DBE5F1" w:themeFill="accent1" w:themeFillTint="33"/>
          </w:tcPr>
          <w:p>
            <w:pPr>
              <w:jc w:val="center"/>
              <w:rPr>
                <w:rFonts w:ascii="Calibri" w:hAnsi="Calibri" w:cs="Arial"/>
                <w:b w:val="0"/>
                <w:bCs w:val="0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DBE5F1" w:themeFill="accent1" w:themeFillTint="33"/>
          </w:tcPr>
          <w:p>
            <w:pPr>
              <w:rPr>
                <w:rFonts w:cs="Arial" w:asciiTheme="minorHAnsi" w:hAnsiTheme="minorHAnsi"/>
                <w:sz w:val="18"/>
                <w:szCs w:val="18"/>
              </w:rPr>
            </w:pPr>
            <w:r>
              <w:rPr>
                <w:rFonts w:cs="Arial" w:asciiTheme="minorHAnsi" w:hAnsiTheme="minorHAnsi"/>
                <w:sz w:val="18"/>
                <w:szCs w:val="18"/>
              </w:rPr>
              <w:t>C.2. Tributos estaduais</w:t>
            </w:r>
          </w:p>
        </w:tc>
        <w:tc>
          <w:tcPr>
            <w:tcW w:w="2547" w:type="dxa"/>
            <w:shd w:val="clear" w:color="auto" w:fill="DBE5F1" w:themeFill="accent1" w:themeFillTint="33"/>
          </w:tcPr>
          <w:p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(ESPECIFICAR)</w:t>
            </w:r>
          </w:p>
        </w:tc>
      </w:tr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850" w:type="dxa"/>
          </w:tcPr>
          <w:p>
            <w:pPr>
              <w:jc w:val="center"/>
              <w:rPr>
                <w:rFonts w:ascii="Calibri" w:hAnsi="Calibri" w:cs="Arial"/>
                <w:b w:val="0"/>
                <w:bCs w:val="0"/>
                <w:sz w:val="18"/>
                <w:szCs w:val="18"/>
              </w:rPr>
            </w:pPr>
          </w:p>
        </w:tc>
        <w:tc>
          <w:tcPr>
            <w:tcW w:w="2126" w:type="dxa"/>
          </w:tcPr>
          <w:p>
            <w:pPr>
              <w:rPr>
                <w:rFonts w:cs="Arial" w:asciiTheme="minorHAnsi" w:hAnsiTheme="minorHAnsi"/>
                <w:sz w:val="18"/>
                <w:szCs w:val="18"/>
              </w:rPr>
            </w:pPr>
            <w:r>
              <w:rPr>
                <w:rFonts w:cs="Arial" w:asciiTheme="minorHAnsi" w:hAnsiTheme="minorHAnsi"/>
                <w:sz w:val="18"/>
                <w:szCs w:val="18"/>
              </w:rPr>
              <w:t>C.3 Tributos municipais</w:t>
            </w:r>
          </w:p>
        </w:tc>
        <w:tc>
          <w:tcPr>
            <w:tcW w:w="2547" w:type="dxa"/>
          </w:tcPr>
          <w:p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(ISS = 5,00%)</w:t>
            </w:r>
          </w:p>
        </w:tc>
      </w:tr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0" w:hRule="atLeast"/>
        </w:trPr>
        <w:tc>
          <w:tcPr>
            <w:tcW w:w="850" w:type="dxa"/>
            <w:shd w:val="clear" w:color="auto" w:fill="DBE5F1" w:themeFill="accent1" w:themeFillTint="33"/>
          </w:tcPr>
          <w:p>
            <w:pPr>
              <w:jc w:val="center"/>
              <w:rPr>
                <w:rFonts w:ascii="Calibri" w:hAnsi="Calibri" w:cs="Arial"/>
                <w:b w:val="0"/>
                <w:bCs w:val="0"/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DBE5F1" w:themeFill="accent1" w:themeFillTint="33"/>
          </w:tcPr>
          <w:p>
            <w:pPr>
              <w:rPr>
                <w:rFonts w:ascii="Calibri" w:hAnsi="Calibri" w:cs="Arial"/>
                <w:sz w:val="18"/>
                <w:szCs w:val="18"/>
              </w:rPr>
            </w:pPr>
            <w:r>
              <w:rPr>
                <w:rFonts w:ascii="Calibri" w:hAnsi="Calibri" w:cs="Arial"/>
                <w:sz w:val="18"/>
                <w:szCs w:val="18"/>
              </w:rPr>
              <w:t>Total</w:t>
            </w:r>
          </w:p>
        </w:tc>
        <w:tc>
          <w:tcPr>
            <w:tcW w:w="2547" w:type="dxa"/>
            <w:shd w:val="clear" w:color="auto" w:fill="DBE5F1" w:themeFill="accent1" w:themeFillTint="33"/>
          </w:tcPr>
          <w:p>
            <w:pPr>
              <w:rPr>
                <w:rFonts w:ascii="Calibri" w:hAnsi="Calibri" w:cs="Arial"/>
                <w:sz w:val="18"/>
                <w:szCs w:val="18"/>
              </w:rPr>
            </w:pPr>
          </w:p>
        </w:tc>
      </w:tr>
    </w:tbl>
    <w:p>
      <w:pPr>
        <w:rPr>
          <w:rFonts w:ascii="Calibri" w:hAnsi="Calibri" w:cs="Arial" w:eastAsiaTheme="minorHAnsi"/>
          <w:lang w:eastAsia="en-US"/>
        </w:rPr>
      </w:pPr>
    </w:p>
    <w:p>
      <w:pPr>
        <w:jc w:val="both"/>
        <w:rPr>
          <w:rFonts w:ascii="Calibri" w:hAnsi="Calibri" w:cs="Arial" w:eastAsiaTheme="minorHAnsi"/>
          <w:sz w:val="22"/>
          <w:szCs w:val="22"/>
          <w:lang w:eastAsia="en-US"/>
        </w:rPr>
      </w:pPr>
      <w:r>
        <w:rPr>
          <w:rFonts w:ascii="Calibri" w:hAnsi="Calibri" w:cs="Arial" w:eastAsiaTheme="minorHAnsi"/>
          <w:sz w:val="22"/>
          <w:szCs w:val="22"/>
          <w:lang w:eastAsia="en-US"/>
        </w:rPr>
        <w:t>Para fins de estimativa, os percentuais médios de lucro e custos indiretos foram baseados nos valores praticados nas planilhas de custos por empresas do mesmo ramo de atuação.</w:t>
      </w:r>
    </w:p>
    <w:p>
      <w:pPr>
        <w:jc w:val="both"/>
        <w:rPr>
          <w:rFonts w:ascii="Calibri" w:hAnsi="Calibri" w:cs="Arial" w:eastAsiaTheme="minorHAnsi"/>
          <w:sz w:val="22"/>
          <w:szCs w:val="22"/>
          <w:lang w:eastAsia="en-US"/>
        </w:rPr>
      </w:pPr>
    </w:p>
    <w:p>
      <w:pPr>
        <w:spacing w:line="276" w:lineRule="auto"/>
        <w:jc w:val="both"/>
        <w:rPr>
          <w:rFonts w:cs="Arial" w:asciiTheme="minorHAnsi" w:hAnsiTheme="minorHAnsi"/>
          <w:b/>
          <w:sz w:val="22"/>
          <w:szCs w:val="22"/>
          <w:u w:val="single"/>
        </w:rPr>
      </w:pPr>
      <w:r>
        <w:rPr>
          <w:rFonts w:cs="Arial" w:asciiTheme="minorHAnsi" w:hAnsiTheme="minorHAnsi"/>
          <w:b/>
          <w:sz w:val="22"/>
          <w:szCs w:val="22"/>
          <w:u w:val="single"/>
        </w:rPr>
        <w:t>CÁLCULO CUSTOS INDIRETOS:</w:t>
      </w:r>
    </w:p>
    <w:p>
      <w:pPr>
        <w:spacing w:line="276" w:lineRule="auto"/>
        <w:jc w:val="both"/>
        <w:rPr>
          <w:rFonts w:cs="Arial" w:asciiTheme="minorHAnsi" w:hAnsiTheme="minorHAnsi"/>
          <w:sz w:val="22"/>
          <w:szCs w:val="22"/>
        </w:rPr>
      </w:pPr>
      <w:r>
        <w:rPr>
          <w:rFonts w:cs="Arial" w:asciiTheme="minorHAnsi" w:hAnsiTheme="minorHAnsi"/>
          <w:sz w:val="22"/>
          <w:szCs w:val="22"/>
        </w:rPr>
        <w:t>Cálculo: (Módulo 1 + Módulo 2 + Módulo 3 + Módulo 4 + Módulo 5) x % custos indiretos (média praticada pelas empresas do setor)</w:t>
      </w:r>
    </w:p>
    <w:p>
      <w:pPr>
        <w:spacing w:line="276" w:lineRule="auto"/>
        <w:jc w:val="both"/>
        <w:rPr>
          <w:rFonts w:cs="Arial" w:asciiTheme="minorHAnsi" w:hAnsiTheme="minorHAnsi"/>
          <w:sz w:val="22"/>
          <w:szCs w:val="22"/>
        </w:rPr>
      </w:pPr>
    </w:p>
    <w:p>
      <w:pPr>
        <w:spacing w:line="276" w:lineRule="auto"/>
        <w:jc w:val="both"/>
        <w:rPr>
          <w:rFonts w:cs="Arial" w:asciiTheme="minorHAnsi" w:hAnsiTheme="minorHAnsi"/>
          <w:sz w:val="22"/>
          <w:szCs w:val="22"/>
        </w:rPr>
      </w:pPr>
      <w:bookmarkStart w:id="0" w:name="_Hlk34141936"/>
      <w:r>
        <w:rPr>
          <w:rFonts w:cs="Arial" w:asciiTheme="minorHAnsi" w:hAnsiTheme="minorHAnsi"/>
          <w:sz w:val="22"/>
          <w:szCs w:val="22"/>
        </w:rPr>
        <w:t>Proposta 1 (Pregão Eletrônico 11/2020 – UASG 150182) – Ctesa = 4,11%</w:t>
      </w:r>
    </w:p>
    <w:p>
      <w:pPr>
        <w:spacing w:line="276" w:lineRule="auto"/>
        <w:jc w:val="both"/>
        <w:rPr>
          <w:rFonts w:cs="Arial" w:asciiTheme="minorHAnsi" w:hAnsiTheme="minorHAnsi"/>
          <w:sz w:val="22"/>
          <w:szCs w:val="22"/>
        </w:rPr>
      </w:pPr>
      <w:r>
        <w:rPr>
          <w:rFonts w:cs="Arial" w:asciiTheme="minorHAnsi" w:hAnsiTheme="minorHAnsi"/>
          <w:sz w:val="22"/>
          <w:szCs w:val="22"/>
        </w:rPr>
        <w:t>Proposta 2 (Pregão Eletrônico 12/2020 – UASG 150182) – Rio Minas = 4,31%</w:t>
      </w:r>
    </w:p>
    <w:p>
      <w:pPr>
        <w:spacing w:line="276" w:lineRule="auto"/>
        <w:jc w:val="both"/>
        <w:rPr>
          <w:rFonts w:cs="Arial" w:asciiTheme="minorHAnsi" w:hAnsiTheme="minorHAnsi"/>
          <w:sz w:val="22"/>
          <w:szCs w:val="22"/>
        </w:rPr>
      </w:pPr>
      <w:r>
        <w:rPr>
          <w:rFonts w:cs="Arial" w:asciiTheme="minorHAnsi" w:hAnsiTheme="minorHAnsi"/>
          <w:sz w:val="22"/>
          <w:szCs w:val="22"/>
        </w:rPr>
        <w:t>Proposta 3 (Pregão Eletrônico 6/2020 – UASG 150182) – Orbenk = 5%</w:t>
      </w:r>
    </w:p>
    <w:p>
      <w:pPr>
        <w:spacing w:line="276" w:lineRule="auto"/>
        <w:jc w:val="both"/>
        <w:rPr>
          <w:rFonts w:cs="Arial" w:asciiTheme="minorHAnsi" w:hAnsiTheme="minorHAnsi"/>
          <w:b/>
          <w:sz w:val="22"/>
          <w:szCs w:val="22"/>
        </w:rPr>
      </w:pPr>
      <w:r>
        <w:rPr>
          <w:rFonts w:cs="Arial" w:asciiTheme="minorHAnsi" w:hAnsiTheme="minorHAnsi"/>
          <w:b/>
          <w:sz w:val="22"/>
          <w:szCs w:val="22"/>
        </w:rPr>
        <w:t>Média = 4,47%</w:t>
      </w:r>
    </w:p>
    <w:bookmarkEnd w:id="0"/>
    <w:p>
      <w:pPr>
        <w:spacing w:line="276" w:lineRule="auto"/>
        <w:jc w:val="both"/>
        <w:rPr>
          <w:rFonts w:cs="Arial" w:asciiTheme="minorHAnsi" w:hAnsiTheme="minorHAnsi"/>
          <w:sz w:val="22"/>
          <w:szCs w:val="22"/>
        </w:rPr>
      </w:pPr>
    </w:p>
    <w:p>
      <w:pPr>
        <w:spacing w:line="276" w:lineRule="auto"/>
        <w:jc w:val="both"/>
        <w:rPr>
          <w:rFonts w:cs="Arial" w:asciiTheme="minorHAnsi" w:hAnsiTheme="minorHAnsi"/>
          <w:b/>
          <w:sz w:val="22"/>
          <w:szCs w:val="22"/>
          <w:u w:val="single"/>
        </w:rPr>
      </w:pPr>
      <w:r>
        <w:rPr>
          <w:rFonts w:cs="Arial" w:asciiTheme="minorHAnsi" w:hAnsiTheme="minorHAnsi"/>
          <w:b/>
          <w:sz w:val="22"/>
          <w:szCs w:val="22"/>
          <w:u w:val="single"/>
        </w:rPr>
        <w:t>CÁLCULO LUCRO:</w:t>
      </w:r>
    </w:p>
    <w:p>
      <w:pPr>
        <w:spacing w:line="276" w:lineRule="auto"/>
        <w:jc w:val="both"/>
        <w:rPr>
          <w:rFonts w:cs="Arial" w:asciiTheme="minorHAnsi" w:hAnsiTheme="minorHAnsi"/>
          <w:sz w:val="22"/>
          <w:szCs w:val="22"/>
        </w:rPr>
      </w:pPr>
    </w:p>
    <w:p>
      <w:pPr>
        <w:spacing w:line="276" w:lineRule="auto"/>
        <w:jc w:val="both"/>
        <w:rPr>
          <w:rFonts w:cs="Arial" w:asciiTheme="minorHAnsi" w:hAnsiTheme="minorHAnsi"/>
          <w:sz w:val="22"/>
          <w:szCs w:val="22"/>
        </w:rPr>
      </w:pPr>
      <w:r>
        <w:rPr>
          <w:rFonts w:cs="Arial" w:asciiTheme="minorHAnsi" w:hAnsiTheme="minorHAnsi"/>
          <w:sz w:val="22"/>
          <w:szCs w:val="22"/>
        </w:rPr>
        <w:t>Cálculo: (Módulo 1 + Módulo 2 + Módulo 3 + Módulo 4 + Módulo 5 + Módulo 6-A) x % lucro (média praticada pelas empresas do setor)</w:t>
      </w:r>
    </w:p>
    <w:p>
      <w:pPr>
        <w:spacing w:line="276" w:lineRule="auto"/>
        <w:jc w:val="both"/>
        <w:rPr>
          <w:rFonts w:cs="Arial" w:asciiTheme="minorHAnsi" w:hAnsiTheme="minorHAnsi"/>
          <w:sz w:val="22"/>
          <w:szCs w:val="22"/>
        </w:rPr>
      </w:pPr>
    </w:p>
    <w:p>
      <w:pPr>
        <w:spacing w:line="276" w:lineRule="auto"/>
        <w:jc w:val="both"/>
        <w:rPr>
          <w:rFonts w:cs="Arial" w:asciiTheme="minorHAnsi" w:hAnsiTheme="minorHAnsi"/>
          <w:sz w:val="22"/>
          <w:szCs w:val="22"/>
        </w:rPr>
      </w:pPr>
      <w:bookmarkStart w:id="1" w:name="_Hlk34141943"/>
      <w:r>
        <w:rPr>
          <w:rFonts w:cs="Arial" w:asciiTheme="minorHAnsi" w:hAnsiTheme="minorHAnsi"/>
          <w:sz w:val="22"/>
          <w:szCs w:val="22"/>
        </w:rPr>
        <w:t>Proposta 1 (Pregão Eletrônico 11/2020 – UASG 150182) – Ctesa = 2,00%</w:t>
      </w:r>
    </w:p>
    <w:p>
      <w:pPr>
        <w:spacing w:line="276" w:lineRule="auto"/>
        <w:jc w:val="both"/>
        <w:rPr>
          <w:rFonts w:cs="Arial" w:asciiTheme="minorHAnsi" w:hAnsiTheme="minorHAnsi"/>
          <w:sz w:val="22"/>
          <w:szCs w:val="22"/>
        </w:rPr>
      </w:pPr>
      <w:r>
        <w:rPr>
          <w:rFonts w:cs="Arial" w:asciiTheme="minorHAnsi" w:hAnsiTheme="minorHAnsi"/>
          <w:sz w:val="22"/>
          <w:szCs w:val="22"/>
        </w:rPr>
        <w:t>Proposta 2 (Pregão Eletrônico 12/2020 – UASG 150182) – RioMinas = 4,75%</w:t>
      </w:r>
    </w:p>
    <w:p>
      <w:pPr>
        <w:spacing w:line="276" w:lineRule="auto"/>
        <w:jc w:val="both"/>
        <w:rPr>
          <w:rFonts w:cs="Arial" w:asciiTheme="minorHAnsi" w:hAnsiTheme="minorHAnsi"/>
          <w:sz w:val="22"/>
          <w:szCs w:val="22"/>
        </w:rPr>
      </w:pPr>
      <w:r>
        <w:rPr>
          <w:rFonts w:cs="Arial" w:asciiTheme="minorHAnsi" w:hAnsiTheme="minorHAnsi"/>
          <w:sz w:val="22"/>
          <w:szCs w:val="22"/>
        </w:rPr>
        <w:t>Proposta 3 (Pregão Eletrônico 6/2020 – UASG 150182) – Orbenk = 2,43%</w:t>
      </w:r>
    </w:p>
    <w:p>
      <w:pPr>
        <w:spacing w:line="276" w:lineRule="auto"/>
        <w:jc w:val="both"/>
        <w:rPr>
          <w:rFonts w:cs="Arial" w:asciiTheme="minorHAnsi" w:hAnsiTheme="minorHAnsi"/>
          <w:b/>
          <w:sz w:val="22"/>
          <w:szCs w:val="22"/>
        </w:rPr>
      </w:pPr>
    </w:p>
    <w:p>
      <w:pPr>
        <w:spacing w:line="276" w:lineRule="auto"/>
        <w:jc w:val="both"/>
        <w:rPr>
          <w:rFonts w:cs="Arial" w:asciiTheme="minorHAnsi" w:hAnsiTheme="minorHAnsi"/>
          <w:b/>
          <w:sz w:val="22"/>
          <w:szCs w:val="22"/>
        </w:rPr>
      </w:pPr>
      <w:r>
        <w:rPr>
          <w:rFonts w:cs="Arial" w:asciiTheme="minorHAnsi" w:hAnsiTheme="minorHAnsi"/>
          <w:b/>
          <w:sz w:val="22"/>
          <w:szCs w:val="22"/>
        </w:rPr>
        <w:t>Média = 3,06%</w:t>
      </w:r>
    </w:p>
    <w:bookmarkEnd w:id="1"/>
    <w:p>
      <w:pPr>
        <w:spacing w:line="276" w:lineRule="auto"/>
        <w:jc w:val="both"/>
        <w:rPr>
          <w:rFonts w:cs="Arial" w:asciiTheme="minorHAnsi" w:hAnsiTheme="minorHAnsi"/>
          <w:sz w:val="22"/>
          <w:szCs w:val="22"/>
        </w:rPr>
      </w:pPr>
    </w:p>
    <w:p>
      <w:pPr>
        <w:spacing w:line="276" w:lineRule="auto"/>
        <w:jc w:val="both"/>
        <w:rPr>
          <w:rFonts w:cs="Arial" w:asciiTheme="minorHAnsi" w:hAnsiTheme="minorHAnsi"/>
          <w:b/>
          <w:sz w:val="22"/>
          <w:szCs w:val="22"/>
          <w:u w:val="single"/>
        </w:rPr>
      </w:pPr>
      <w:r>
        <w:rPr>
          <w:rFonts w:cs="Arial" w:asciiTheme="minorHAnsi" w:hAnsiTheme="minorHAnsi"/>
          <w:b/>
          <w:sz w:val="22"/>
          <w:szCs w:val="22"/>
          <w:u w:val="single"/>
        </w:rPr>
        <w:t>CÁLCULO TRIBUTOS:</w:t>
      </w:r>
    </w:p>
    <w:p>
      <w:pPr>
        <w:spacing w:line="276" w:lineRule="auto"/>
        <w:jc w:val="both"/>
        <w:rPr>
          <w:rFonts w:cs="Arial" w:asciiTheme="minorHAnsi" w:hAnsiTheme="minorHAnsi"/>
          <w:sz w:val="22"/>
          <w:szCs w:val="22"/>
        </w:rPr>
      </w:pPr>
    </w:p>
    <w:p>
      <w:pPr>
        <w:spacing w:line="276" w:lineRule="auto"/>
        <w:jc w:val="both"/>
        <w:rPr>
          <w:rFonts w:cs="Arial" w:asciiTheme="minorHAnsi" w:hAnsiTheme="minorHAnsi"/>
          <w:sz w:val="22"/>
          <w:szCs w:val="22"/>
        </w:rPr>
      </w:pPr>
      <w:r>
        <w:rPr>
          <w:rFonts w:cs="Arial" w:asciiTheme="minorHAnsi" w:hAnsiTheme="minorHAnsi"/>
          <w:i/>
          <w:sz w:val="22"/>
          <w:szCs w:val="22"/>
        </w:rPr>
        <w:t>Fator de divisão</w:t>
      </w:r>
      <w:r>
        <w:rPr>
          <w:rFonts w:cs="Arial" w:asciiTheme="minorHAnsi" w:hAnsiTheme="minorHAnsi"/>
          <w:sz w:val="22"/>
          <w:szCs w:val="22"/>
        </w:rPr>
        <w:t>: 1 – (Alíquota do PIS + Alíquota da COFINS + Alíquota do ISS) : 100</w:t>
      </w:r>
    </w:p>
    <w:p>
      <w:pPr>
        <w:spacing w:line="276" w:lineRule="auto"/>
        <w:jc w:val="both"/>
        <w:rPr>
          <w:rFonts w:cs="Arial" w:asciiTheme="minorHAnsi" w:hAnsiTheme="minorHAnsi"/>
          <w:sz w:val="22"/>
          <w:szCs w:val="22"/>
        </w:rPr>
      </w:pPr>
    </w:p>
    <w:p>
      <w:pPr>
        <w:spacing w:line="276" w:lineRule="auto"/>
        <w:jc w:val="both"/>
        <w:rPr>
          <w:rFonts w:cs="Arial" w:asciiTheme="minorHAnsi" w:hAnsiTheme="minorHAnsi"/>
          <w:sz w:val="22"/>
          <w:szCs w:val="22"/>
        </w:rPr>
      </w:pPr>
      <w:r>
        <w:rPr>
          <w:rFonts w:cs="Arial" w:asciiTheme="minorHAnsi" w:hAnsiTheme="minorHAnsi"/>
          <w:b/>
          <w:color w:val="FF0000"/>
          <w:sz w:val="22"/>
          <w:szCs w:val="22"/>
        </w:rPr>
        <w:t>Base de Cálculo:</w:t>
      </w:r>
      <w:r>
        <w:rPr>
          <w:rFonts w:cs="Arial" w:asciiTheme="minorHAnsi" w:hAnsiTheme="minorHAnsi"/>
          <w:color w:val="FF0000"/>
          <w:sz w:val="22"/>
          <w:szCs w:val="22"/>
        </w:rPr>
        <w:t xml:space="preserve"> </w:t>
      </w:r>
      <w:r>
        <w:rPr>
          <w:rFonts w:cs="Arial" w:asciiTheme="minorHAnsi" w:hAnsiTheme="minorHAnsi"/>
          <w:sz w:val="22"/>
          <w:szCs w:val="22"/>
        </w:rPr>
        <w:t>(Módulo 1 + Módulo 2 + Módulo 3 + Módulo 4 + Módulo 5 + Módulo 6-A + Modulo 6-B) : Fator de Divisão</w:t>
      </w:r>
    </w:p>
    <w:p>
      <w:pPr>
        <w:spacing w:line="276" w:lineRule="auto"/>
        <w:jc w:val="both"/>
        <w:rPr>
          <w:rFonts w:asciiTheme="minorHAnsi" w:hAnsiTheme="minorHAnsi" w:eastAsiaTheme="minorHAnsi"/>
          <w:sz w:val="22"/>
          <w:szCs w:val="22"/>
          <w:highlight w:val="yellow"/>
          <w:lang w:eastAsia="en-US"/>
        </w:rPr>
      </w:pPr>
    </w:p>
    <w:p>
      <w:pPr>
        <w:jc w:val="center"/>
        <w:rPr>
          <w:rFonts w:cs="Arial" w:asciiTheme="minorHAnsi" w:hAnsiTheme="minorHAnsi"/>
          <w:b/>
          <w:sz w:val="22"/>
          <w:szCs w:val="22"/>
        </w:rPr>
      </w:pPr>
      <w:r>
        <w:rPr>
          <w:rFonts w:cs="Arial" w:asciiTheme="minorHAnsi" w:hAnsiTheme="minorHAnsi"/>
          <w:b/>
          <w:sz w:val="22"/>
          <w:szCs w:val="22"/>
        </w:rPr>
        <w:t>Cálculo tributos federais: Base de cálculo x alíquota (PIS e COFINS)</w:t>
      </w:r>
    </w:p>
    <w:p>
      <w:pPr>
        <w:jc w:val="center"/>
        <w:rPr>
          <w:rFonts w:cs="Arial" w:asciiTheme="minorHAnsi" w:hAnsiTheme="minorHAnsi"/>
          <w:b/>
          <w:sz w:val="22"/>
          <w:szCs w:val="22"/>
        </w:rPr>
      </w:pPr>
      <w:r>
        <w:rPr>
          <w:rFonts w:cs="Arial" w:asciiTheme="minorHAnsi" w:hAnsiTheme="minorHAnsi"/>
          <w:b/>
          <w:sz w:val="22"/>
          <w:szCs w:val="22"/>
        </w:rPr>
        <w:t>Cálculo tributos municipais: Base de cálculo x alíquota (ISS)</w:t>
      </w:r>
    </w:p>
    <w:p>
      <w:pPr>
        <w:jc w:val="center"/>
        <w:rPr>
          <w:rFonts w:ascii="Calibri" w:hAnsi="Calibri" w:cs="Arial" w:eastAsiaTheme="minorHAnsi"/>
          <w:b/>
          <w:sz w:val="22"/>
          <w:szCs w:val="22"/>
          <w:lang w:eastAsia="en-US"/>
        </w:rPr>
      </w:pPr>
    </w:p>
    <w:p>
      <w:pPr>
        <w:jc w:val="both"/>
        <w:rPr>
          <w:rFonts w:ascii="Calibri" w:hAnsi="Calibri" w:cs="Arial" w:eastAsiaTheme="minorHAnsi"/>
          <w:sz w:val="22"/>
          <w:szCs w:val="22"/>
          <w:lang w:eastAsia="en-US"/>
        </w:rPr>
      </w:pPr>
    </w:p>
    <w:p>
      <w:pPr>
        <w:spacing w:line="276" w:lineRule="auto"/>
        <w:jc w:val="both"/>
        <w:rPr>
          <w:rFonts w:ascii="Calibri" w:hAnsi="Calibri" w:cs="Arial" w:eastAsiaTheme="minorHAnsi"/>
          <w:b/>
          <w:sz w:val="22"/>
          <w:szCs w:val="22"/>
          <w:u w:val="single"/>
          <w:lang w:eastAsia="en-US"/>
        </w:rPr>
      </w:pPr>
      <w:r>
        <w:rPr>
          <w:rFonts w:ascii="Calibri" w:hAnsi="Calibri" w:cs="Arial" w:eastAsiaTheme="minorHAnsi"/>
          <w:b/>
          <w:sz w:val="22"/>
          <w:szCs w:val="22"/>
          <w:u w:val="single"/>
          <w:lang w:eastAsia="en-US"/>
        </w:rPr>
        <w:t>Tributação</w:t>
      </w:r>
    </w:p>
    <w:p>
      <w:pPr>
        <w:spacing w:line="276" w:lineRule="auto"/>
        <w:jc w:val="both"/>
        <w:rPr>
          <w:rFonts w:ascii="Calibri" w:hAnsi="Calibri" w:cs="Arial" w:eastAsiaTheme="minorHAnsi"/>
          <w:sz w:val="22"/>
          <w:szCs w:val="22"/>
          <w:lang w:eastAsia="en-US"/>
        </w:rPr>
      </w:pPr>
    </w:p>
    <w:p>
      <w:pPr>
        <w:spacing w:line="276" w:lineRule="auto"/>
        <w:jc w:val="both"/>
        <w:rPr>
          <w:rFonts w:cs="Arial" w:asciiTheme="minorHAnsi" w:hAnsiTheme="minorHAnsi" w:eastAsiaTheme="minorHAnsi"/>
          <w:sz w:val="22"/>
          <w:szCs w:val="22"/>
          <w:lang w:eastAsia="en-US"/>
        </w:rPr>
      </w:pPr>
      <w:r>
        <w:rPr>
          <w:rFonts w:cs="Arial" w:asciiTheme="minorHAnsi" w:hAnsiTheme="minorHAnsi" w:eastAsiaTheme="minorHAnsi"/>
          <w:sz w:val="22"/>
          <w:szCs w:val="22"/>
          <w:lang w:eastAsia="en-US"/>
        </w:rPr>
        <w:t>Os tributos (ISS, COFINS e PIS) foram definidos utilizando o regime de tributação de Lucro REAL e PRESUMIDO, e a licitante deve elaborar sua proposta e, por conseguinte, sua planilha com base no regime de tributação ao qual estará submetido durante a execução do contrato.</w:t>
      </w:r>
    </w:p>
    <w:p>
      <w:pPr>
        <w:spacing w:line="276" w:lineRule="auto"/>
        <w:jc w:val="both"/>
        <w:rPr>
          <w:rFonts w:cs="Arial" w:asciiTheme="minorHAnsi" w:hAnsiTheme="minorHAnsi" w:eastAsiaTheme="minorHAnsi"/>
          <w:sz w:val="22"/>
          <w:szCs w:val="22"/>
          <w:lang w:eastAsia="en-US"/>
        </w:rPr>
      </w:pPr>
    </w:p>
    <w:p>
      <w:pPr>
        <w:spacing w:line="276" w:lineRule="auto"/>
        <w:jc w:val="both"/>
        <w:rPr>
          <w:rFonts w:cs="Arial" w:asciiTheme="minorHAnsi" w:hAnsiTheme="minorHAnsi"/>
          <w:sz w:val="22"/>
          <w:szCs w:val="22"/>
        </w:rPr>
      </w:pPr>
      <w:r>
        <w:rPr>
          <w:rFonts w:cs="Arial" w:asciiTheme="minorHAnsi" w:hAnsiTheme="minorHAnsi"/>
          <w:sz w:val="22"/>
          <w:szCs w:val="22"/>
        </w:rPr>
        <w:t xml:space="preserve">O ISSQN está sendo cotado conforme a legislação do município de Niterói onde serão prestados os serviços. Os tributos IRPJ e CSLL deixaram de constar na planilha </w:t>
      </w:r>
      <w:r>
        <w:rPr>
          <w:rFonts w:cs="Arial" w:asciiTheme="minorHAnsi" w:hAnsiTheme="minorHAnsi"/>
          <w:b/>
          <w:sz w:val="22"/>
          <w:szCs w:val="22"/>
        </w:rPr>
        <w:t>para a empresa que optar pelo regime tributário de LUCRO REAL ou PRESUMIDO</w:t>
      </w:r>
      <w:r>
        <w:rPr>
          <w:rFonts w:cs="Arial" w:asciiTheme="minorHAnsi" w:hAnsiTheme="minorHAnsi"/>
          <w:sz w:val="22"/>
          <w:szCs w:val="22"/>
        </w:rPr>
        <w:t xml:space="preserve">, </w:t>
      </w:r>
      <w:r>
        <w:rPr>
          <w:rFonts w:cs="Arial" w:asciiTheme="minorHAnsi" w:hAnsiTheme="minorHAnsi"/>
          <w:b/>
          <w:sz w:val="22"/>
          <w:szCs w:val="22"/>
        </w:rPr>
        <w:t>já que estão contidos no lucro bruto apresentado na proposta</w:t>
      </w:r>
      <w:r>
        <w:rPr>
          <w:rFonts w:cs="Arial" w:asciiTheme="minorHAnsi" w:hAnsiTheme="minorHAnsi"/>
          <w:sz w:val="22"/>
          <w:szCs w:val="22"/>
        </w:rPr>
        <w:t xml:space="preserve"> e em virtude da determinação contida na Súmula do TCU nº 254, Acórdão TCU nº 1591/2008 – Plenário, Acórdão TCU nº 264/2012 – Plenário e Informativo  de Jurisprudência TCU nº 279.</w:t>
      </w:r>
    </w:p>
    <w:p>
      <w:pPr>
        <w:spacing w:line="276" w:lineRule="auto"/>
        <w:jc w:val="both"/>
        <w:rPr>
          <w:rFonts w:cs="Arial" w:asciiTheme="minorHAnsi" w:hAnsiTheme="minorHAnsi"/>
          <w:b/>
          <w:sz w:val="22"/>
          <w:szCs w:val="22"/>
        </w:rPr>
      </w:pPr>
    </w:p>
    <w:p>
      <w:pPr>
        <w:shd w:val="clear" w:color="auto" w:fill="FFFFFF"/>
        <w:jc w:val="both"/>
        <w:rPr>
          <w:rFonts w:cs="Arial" w:asciiTheme="minorHAnsi" w:hAnsiTheme="minorHAnsi"/>
          <w:sz w:val="22"/>
          <w:szCs w:val="22"/>
        </w:rPr>
      </w:pPr>
      <w:r>
        <w:rPr>
          <w:rFonts w:cs="Arial" w:asciiTheme="minorHAnsi" w:hAnsiTheme="minorHAnsi"/>
          <w:b/>
          <w:bCs/>
          <w:sz w:val="22"/>
          <w:szCs w:val="22"/>
        </w:rPr>
        <w:t>O preço ofertado pelos licitantes deve ser comprovadamente suficiente para cumprir suas obrigações legais, sociais e </w:t>
      </w:r>
      <w:r>
        <w:rPr>
          <w:rFonts w:cs="Arial" w:asciiTheme="minorHAnsi" w:hAnsiTheme="minorHAnsi"/>
          <w:b/>
          <w:bCs/>
          <w:sz w:val="22"/>
          <w:szCs w:val="22"/>
          <w:u w:val="single"/>
        </w:rPr>
        <w:t>tributárias.</w:t>
      </w:r>
      <w:r>
        <w:rPr>
          <w:rFonts w:cs="Arial" w:asciiTheme="minorHAnsi" w:hAnsiTheme="minorHAnsi"/>
          <w:b/>
          <w:bCs/>
          <w:sz w:val="22"/>
          <w:szCs w:val="22"/>
        </w:rPr>
        <w:t> O estado não pode contratar quem apresentar PCFP que demonstre que a contratação ensejará operar em prejuízo. Este é o conceito de inexequibilidade previsto no subitem 9.2 do Anexo VII-A da IN 05/2017 da SEGES/MP.</w:t>
      </w:r>
    </w:p>
    <w:p>
      <w:pPr>
        <w:spacing w:line="276" w:lineRule="auto"/>
        <w:jc w:val="both"/>
        <w:rPr>
          <w:rFonts w:cs="Arial" w:asciiTheme="minorHAnsi" w:hAnsiTheme="minorHAnsi"/>
          <w:sz w:val="22"/>
          <w:szCs w:val="22"/>
        </w:rPr>
      </w:pPr>
    </w:p>
    <w:p>
      <w:pPr>
        <w:shd w:val="clear" w:color="auto" w:fill="FFFFFF"/>
        <w:spacing w:line="276" w:lineRule="auto"/>
        <w:rPr>
          <w:rFonts w:ascii="Calibri" w:hAnsi="Calibri" w:eastAsia="Lucida Sans Unicode"/>
          <w:kern w:val="2"/>
          <w:sz w:val="22"/>
          <w:szCs w:val="22"/>
        </w:rPr>
      </w:pPr>
      <w:r>
        <w:rPr>
          <w:rFonts w:ascii="Arial" w:hAnsi="Arial" w:cs="Arial"/>
          <w:color w:val="222222"/>
          <w:sz w:val="22"/>
          <w:szCs w:val="22"/>
        </w:rPr>
        <w:t> </w:t>
      </w:r>
      <w:r>
        <w:rPr>
          <w:rFonts w:ascii="Calibri" w:hAnsi="Calibri" w:eastAsia="Lucida Sans Unicode"/>
          <w:kern w:val="2"/>
          <w:sz w:val="22"/>
          <w:szCs w:val="22"/>
        </w:rPr>
        <w:t xml:space="preserve">A LICITANTE deverá </w:t>
      </w:r>
      <w:r>
        <w:rPr>
          <w:rFonts w:ascii="Calibri" w:hAnsi="Calibri" w:eastAsia="Lucida Sans Unicode"/>
          <w:b/>
          <w:kern w:val="2"/>
          <w:sz w:val="22"/>
          <w:szCs w:val="22"/>
        </w:rPr>
        <w:t>comprovar, por meio de documentação hábil (DCTF, GFIP, EFD etc), a opção aos regimes acima elencados</w:t>
      </w:r>
      <w:r>
        <w:rPr>
          <w:rFonts w:ascii="Calibri" w:hAnsi="Calibri" w:eastAsia="Lucida Sans Unicode"/>
          <w:kern w:val="2"/>
          <w:sz w:val="22"/>
          <w:szCs w:val="22"/>
        </w:rPr>
        <w:t xml:space="preserve">, a fim de que se possa </w:t>
      </w:r>
      <w:r>
        <w:rPr>
          <w:rFonts w:ascii="Calibri" w:hAnsi="Calibri" w:eastAsia="Lucida Sans Unicode"/>
          <w:b/>
          <w:kern w:val="2"/>
          <w:sz w:val="22"/>
          <w:szCs w:val="22"/>
        </w:rPr>
        <w:t>certificar que as alíquotas do PIS e da COFINS e da Contribuição Social</w:t>
      </w:r>
      <w:r>
        <w:rPr>
          <w:rFonts w:ascii="Calibri" w:hAnsi="Calibri" w:eastAsia="Lucida Sans Unicode"/>
          <w:kern w:val="2"/>
          <w:sz w:val="22"/>
          <w:szCs w:val="22"/>
        </w:rPr>
        <w:t xml:space="preserve"> </w:t>
      </w:r>
      <w:r>
        <w:rPr>
          <w:rFonts w:ascii="Calibri" w:hAnsi="Calibri" w:eastAsia="Lucida Sans Unicode"/>
          <w:b/>
          <w:kern w:val="2"/>
          <w:sz w:val="22"/>
          <w:szCs w:val="22"/>
        </w:rPr>
        <w:t>consignadas na planilha conferem com sua opção tributária</w:t>
      </w:r>
      <w:r>
        <w:rPr>
          <w:rFonts w:ascii="Calibri" w:hAnsi="Calibri" w:eastAsia="Lucida Sans Unicode"/>
          <w:kern w:val="2"/>
          <w:sz w:val="22"/>
          <w:szCs w:val="22"/>
        </w:rPr>
        <w:t>.</w:t>
      </w:r>
    </w:p>
    <w:p>
      <w:pPr>
        <w:widowControl w:val="0"/>
        <w:tabs>
          <w:tab w:val="left" w:pos="1560"/>
        </w:tabs>
        <w:spacing w:line="276" w:lineRule="auto"/>
        <w:ind w:left="1224"/>
        <w:jc w:val="both"/>
        <w:rPr>
          <w:rFonts w:ascii="Calibri" w:hAnsi="Calibri" w:eastAsia="Lucida Sans Unicode"/>
          <w:kern w:val="2"/>
          <w:sz w:val="22"/>
          <w:szCs w:val="22"/>
        </w:rPr>
      </w:pPr>
    </w:p>
    <w:p>
      <w:pPr>
        <w:widowControl w:val="0"/>
        <w:tabs>
          <w:tab w:val="left" w:pos="1560"/>
        </w:tabs>
        <w:spacing w:line="276" w:lineRule="auto"/>
        <w:jc w:val="both"/>
        <w:rPr>
          <w:rFonts w:ascii="Calibri" w:hAnsi="Calibri" w:eastAsia="Lucida Sans Unicode"/>
          <w:kern w:val="2"/>
          <w:sz w:val="22"/>
          <w:szCs w:val="22"/>
        </w:rPr>
      </w:pPr>
      <w:r>
        <w:rPr>
          <w:rFonts w:ascii="Calibri" w:hAnsi="Calibri" w:eastAsia="Lucida Sans Unicode"/>
          <w:kern w:val="2"/>
          <w:sz w:val="22"/>
          <w:szCs w:val="22"/>
        </w:rPr>
        <w:t xml:space="preserve">As </w:t>
      </w:r>
      <w:r>
        <w:rPr>
          <w:rFonts w:ascii="Calibri" w:hAnsi="Calibri" w:eastAsia="Lucida Sans Unicode"/>
          <w:b/>
          <w:kern w:val="2"/>
          <w:sz w:val="22"/>
          <w:szCs w:val="22"/>
        </w:rPr>
        <w:t>empresas tributadas pelo regime de incidência</w:t>
      </w:r>
      <w:r>
        <w:rPr>
          <w:rFonts w:ascii="Calibri" w:hAnsi="Calibri" w:eastAsia="Lucida Sans Unicode"/>
          <w:kern w:val="2"/>
          <w:sz w:val="22"/>
          <w:szCs w:val="22"/>
        </w:rPr>
        <w:t xml:space="preserve"> </w:t>
      </w:r>
      <w:r>
        <w:rPr>
          <w:rFonts w:ascii="Calibri" w:hAnsi="Calibri" w:eastAsia="Lucida Sans Unicode"/>
          <w:b/>
          <w:kern w:val="2"/>
          <w:sz w:val="22"/>
          <w:szCs w:val="22"/>
          <w:u w:val="single"/>
        </w:rPr>
        <w:t>não-cumulativa</w:t>
      </w:r>
      <w:r>
        <w:rPr>
          <w:rFonts w:ascii="Calibri" w:hAnsi="Calibri" w:eastAsia="Lucida Sans Unicode"/>
          <w:kern w:val="2"/>
          <w:sz w:val="22"/>
          <w:szCs w:val="22"/>
        </w:rPr>
        <w:t xml:space="preserve"> de </w:t>
      </w:r>
      <w:r>
        <w:rPr>
          <w:rFonts w:ascii="Calibri" w:hAnsi="Calibri" w:eastAsia="Lucida Sans Unicode"/>
          <w:b/>
          <w:kern w:val="2"/>
          <w:sz w:val="22"/>
          <w:szCs w:val="22"/>
        </w:rPr>
        <w:t>PIS</w:t>
      </w:r>
      <w:r>
        <w:rPr>
          <w:rFonts w:ascii="Calibri" w:hAnsi="Calibri" w:eastAsia="Lucida Sans Unicode"/>
          <w:kern w:val="2"/>
          <w:sz w:val="22"/>
          <w:szCs w:val="22"/>
        </w:rPr>
        <w:t xml:space="preserve"> e </w:t>
      </w:r>
      <w:r>
        <w:rPr>
          <w:rFonts w:ascii="Calibri" w:hAnsi="Calibri" w:eastAsia="Lucida Sans Unicode"/>
          <w:b/>
          <w:kern w:val="2"/>
          <w:sz w:val="22"/>
          <w:szCs w:val="22"/>
        </w:rPr>
        <w:t>COFINS</w:t>
      </w:r>
      <w:r>
        <w:rPr>
          <w:rFonts w:ascii="Calibri" w:hAnsi="Calibri" w:eastAsia="Lucida Sans Unicode"/>
          <w:kern w:val="2"/>
          <w:sz w:val="22"/>
          <w:szCs w:val="22"/>
        </w:rPr>
        <w:t xml:space="preserve"> devem cotar </w:t>
      </w:r>
      <w:r>
        <w:rPr>
          <w:rFonts w:ascii="Calibri" w:hAnsi="Calibri" w:eastAsia="Lucida Sans Unicode"/>
          <w:b/>
          <w:kern w:val="2"/>
          <w:sz w:val="22"/>
          <w:szCs w:val="22"/>
          <w:u w:val="single"/>
        </w:rPr>
        <w:t>os percentuais que representem a média das alíquotas efetivamente recolhidas nos 12 (doze) meses anteriores à apresentação da proposta</w:t>
      </w:r>
      <w:r>
        <w:rPr>
          <w:rFonts w:ascii="Calibri" w:hAnsi="Calibri" w:eastAsia="Lucida Sans Unicode"/>
          <w:kern w:val="2"/>
          <w:sz w:val="22"/>
          <w:szCs w:val="22"/>
        </w:rPr>
        <w:t xml:space="preserve">, tendo em vista que as Leis 10.637/2002 e 10.833/2003, apurada com base nos dados da </w:t>
      </w:r>
      <w:r>
        <w:rPr>
          <w:rFonts w:ascii="Calibri" w:hAnsi="Calibri" w:eastAsia="Lucida Sans Unicode"/>
          <w:b/>
          <w:kern w:val="2"/>
          <w:sz w:val="22"/>
          <w:szCs w:val="22"/>
        </w:rPr>
        <w:t>Escrituração Fiscal Digital da Contribuição para o PIS/PASEP e para a COFINS (EFD-Contribuições)</w:t>
      </w:r>
      <w:r>
        <w:rPr>
          <w:rFonts w:ascii="Calibri" w:hAnsi="Calibri" w:eastAsia="Lucida Sans Unicode"/>
          <w:kern w:val="2"/>
          <w:sz w:val="22"/>
          <w:szCs w:val="22"/>
        </w:rPr>
        <w:t xml:space="preserve">, cujos respectivos </w:t>
      </w:r>
      <w:r>
        <w:rPr>
          <w:rFonts w:ascii="Calibri" w:hAnsi="Calibri" w:eastAsia="Lucida Sans Unicode"/>
          <w:b/>
          <w:kern w:val="2"/>
          <w:sz w:val="22"/>
          <w:szCs w:val="22"/>
          <w:u w:val="single"/>
        </w:rPr>
        <w:t>registros deverão ser remetidos juntamente com a proposta e as planilhas</w:t>
      </w:r>
      <w:r>
        <w:rPr>
          <w:rFonts w:ascii="Calibri" w:hAnsi="Calibri" w:eastAsia="Lucida Sans Unicode"/>
          <w:kern w:val="2"/>
          <w:sz w:val="22"/>
          <w:szCs w:val="22"/>
        </w:rPr>
        <w:t>.</w:t>
      </w:r>
    </w:p>
    <w:p>
      <w:pPr>
        <w:widowControl w:val="0"/>
        <w:spacing w:line="276" w:lineRule="auto"/>
        <w:ind w:left="708"/>
        <w:rPr>
          <w:rFonts w:ascii="Calibri" w:hAnsi="Calibri" w:eastAsia="Lucida Sans Unicode"/>
          <w:kern w:val="2"/>
          <w:sz w:val="22"/>
          <w:szCs w:val="22"/>
        </w:rPr>
      </w:pPr>
    </w:p>
    <w:p>
      <w:pPr>
        <w:widowControl w:val="0"/>
        <w:tabs>
          <w:tab w:val="left" w:pos="1560"/>
        </w:tabs>
        <w:spacing w:line="276" w:lineRule="auto"/>
        <w:jc w:val="both"/>
        <w:rPr>
          <w:rFonts w:ascii="Calibri" w:hAnsi="Calibri" w:eastAsia="Lucida Sans Unicode"/>
          <w:kern w:val="2"/>
          <w:sz w:val="22"/>
          <w:szCs w:val="22"/>
        </w:rPr>
      </w:pPr>
      <w:r>
        <w:rPr>
          <w:rFonts w:ascii="Calibri" w:hAnsi="Calibri" w:eastAsia="Lucida Sans Unicode"/>
          <w:kern w:val="2"/>
          <w:sz w:val="22"/>
          <w:szCs w:val="22"/>
        </w:rPr>
        <w:t xml:space="preserve">Caso a LICITANTE tenha </w:t>
      </w:r>
      <w:r>
        <w:rPr>
          <w:rFonts w:ascii="Calibri" w:hAnsi="Calibri" w:eastAsia="Lucida Sans Unicode"/>
          <w:b/>
          <w:kern w:val="2"/>
          <w:sz w:val="22"/>
          <w:szCs w:val="22"/>
        </w:rPr>
        <w:t>recolhido tributos pelo regime de incidência não-cumulativa</w:t>
      </w:r>
      <w:r>
        <w:rPr>
          <w:rFonts w:ascii="Calibri" w:hAnsi="Calibri" w:eastAsia="Lucida Sans Unicode"/>
          <w:kern w:val="2"/>
          <w:sz w:val="22"/>
          <w:szCs w:val="22"/>
        </w:rPr>
        <w:t xml:space="preserve"> em apenas </w:t>
      </w:r>
      <w:r>
        <w:rPr>
          <w:rFonts w:ascii="Calibri" w:hAnsi="Calibri" w:eastAsia="Lucida Sans Unicode"/>
          <w:b/>
          <w:kern w:val="2"/>
          <w:sz w:val="22"/>
          <w:szCs w:val="22"/>
        </w:rPr>
        <w:t>alguns meses do período que deve ser considerado para o cálculo do percentual médio efetivo</w:t>
      </w:r>
      <w:r>
        <w:rPr>
          <w:rFonts w:ascii="Calibri" w:hAnsi="Calibri" w:eastAsia="Lucida Sans Unicode"/>
          <w:kern w:val="2"/>
          <w:sz w:val="22"/>
          <w:szCs w:val="22"/>
        </w:rPr>
        <w:t xml:space="preserve"> (12 meses anteriores à data da proposta), poderá apresentar o cálculo </w:t>
      </w:r>
      <w:r>
        <w:rPr>
          <w:rFonts w:ascii="Calibri" w:hAnsi="Calibri" w:eastAsia="Lucida Sans Unicode"/>
          <w:b/>
          <w:kern w:val="2"/>
          <w:sz w:val="22"/>
          <w:szCs w:val="22"/>
        </w:rPr>
        <w:t>considerando apenas os meses em que houve recolhimento</w:t>
      </w:r>
      <w:r>
        <w:rPr>
          <w:rFonts w:ascii="Calibri" w:hAnsi="Calibri" w:eastAsia="Lucida Sans Unicode"/>
          <w:kern w:val="2"/>
          <w:sz w:val="22"/>
          <w:szCs w:val="22"/>
        </w:rPr>
        <w:t>.</w:t>
      </w:r>
    </w:p>
    <w:p>
      <w:pPr>
        <w:widowControl w:val="0"/>
        <w:tabs>
          <w:tab w:val="left" w:pos="1560"/>
        </w:tabs>
        <w:spacing w:line="276" w:lineRule="auto"/>
        <w:jc w:val="both"/>
        <w:rPr>
          <w:rFonts w:ascii="Calibri" w:hAnsi="Calibri" w:eastAsia="Lucida Sans Unicode"/>
          <w:kern w:val="2"/>
          <w:sz w:val="22"/>
          <w:szCs w:val="22"/>
        </w:rPr>
      </w:pPr>
    </w:p>
    <w:p>
      <w:pPr>
        <w:widowControl w:val="0"/>
        <w:tabs>
          <w:tab w:val="left" w:pos="1560"/>
        </w:tabs>
        <w:spacing w:line="276" w:lineRule="auto"/>
        <w:jc w:val="both"/>
        <w:rPr>
          <w:rFonts w:ascii="Calibri" w:hAnsi="Calibri" w:eastAsia="Lucida Sans Unicode"/>
          <w:b/>
          <w:bCs/>
          <w:color w:val="FF0000"/>
          <w:kern w:val="2"/>
          <w:sz w:val="22"/>
          <w:szCs w:val="22"/>
          <w:u w:val="single"/>
        </w:rPr>
      </w:pPr>
      <w:r>
        <w:rPr>
          <w:rFonts w:ascii="Calibri" w:hAnsi="Calibri" w:eastAsia="Lucida Sans Unicode"/>
          <w:b/>
          <w:bCs/>
          <w:color w:val="FF0000"/>
          <w:kern w:val="2"/>
          <w:sz w:val="22"/>
          <w:szCs w:val="22"/>
          <w:u w:val="single"/>
        </w:rPr>
        <w:t>Pagamento eventuais de diárias</w:t>
      </w:r>
    </w:p>
    <w:p>
      <w:pPr>
        <w:widowControl w:val="0"/>
        <w:tabs>
          <w:tab w:val="left" w:pos="1560"/>
        </w:tabs>
        <w:spacing w:line="276" w:lineRule="auto"/>
        <w:jc w:val="both"/>
        <w:rPr>
          <w:rFonts w:ascii="Calibri" w:hAnsi="Calibri" w:eastAsia="Lucida Sans Unicode"/>
          <w:kern w:val="2"/>
          <w:sz w:val="22"/>
          <w:szCs w:val="22"/>
        </w:rPr>
      </w:pPr>
    </w:p>
    <w:p>
      <w:pPr>
        <w:widowControl w:val="0"/>
        <w:tabs>
          <w:tab w:val="left" w:pos="1560"/>
        </w:tabs>
        <w:spacing w:line="276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Considerando o previsto pelo SINDICATO DAS EMP SEGURANÇA PRIVADA, VIGILÂNCIA PATRIMONIAL, SISTEMAS DE SEGURANÇA E ESCOLTA, SEG. PESSOAL  E CURSOS DE FORMAÇÃO NO EST DO RIO DE JANEIRO, por meio da Convenção Coletiva de Trabalho 2020/2021, registrada sob o nº RJ002081/2021, Cláusula 43ª, a estimativa do valor à título de diárias (Período de até 10 horas diurnas) deu-se da seguinte forma:</w:t>
      </w:r>
    </w:p>
    <w:p>
      <w:pPr>
        <w:widowControl w:val="0"/>
        <w:tabs>
          <w:tab w:val="left" w:pos="1560"/>
        </w:tabs>
        <w:spacing w:line="276" w:lineRule="auto"/>
        <w:jc w:val="both"/>
      </w:pPr>
    </w:p>
    <w:tbl>
      <w:tblPr>
        <w:tblStyle w:val="72"/>
        <w:tblW w:w="5920" w:type="dxa"/>
        <w:tblInd w:w="0" w:type="dxa"/>
        <w:tblBorders>
          <w:top w:val="single" w:color="95B3D7" w:themeColor="accent1" w:themeTint="99" w:sz="4" w:space="0"/>
          <w:left w:val="single" w:color="95B3D7" w:themeColor="accent1" w:themeTint="99" w:sz="4" w:space="0"/>
          <w:bottom w:val="single" w:color="95B3D7" w:themeColor="accent1" w:themeTint="99" w:sz="4" w:space="0"/>
          <w:right w:val="single" w:color="95B3D7" w:themeColor="accent1" w:themeTint="99" w:sz="4" w:space="0"/>
          <w:insideH w:val="single" w:color="95B3D7" w:themeColor="accent1" w:themeTint="99" w:sz="4" w:space="0"/>
          <w:insideV w:val="single" w:color="95B3D7" w:themeColor="accent1" w:themeTint="99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00"/>
        <w:gridCol w:w="1620"/>
      </w:tblGrid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920" w:type="dxa"/>
            <w:gridSpan w:val="2"/>
            <w:tcBorders>
              <w:top w:val="single" w:color="4F81BD" w:themeColor="accent1" w:sz="4" w:space="0"/>
              <w:left w:val="single" w:color="4F81BD" w:themeColor="accent1" w:sz="4" w:space="0"/>
              <w:bottom w:val="single" w:color="4F81BD" w:themeColor="accent1" w:sz="4" w:space="0"/>
              <w:right w:val="single" w:color="4F81BD" w:themeColor="accent1" w:sz="4" w:space="0"/>
              <w:insideH w:val="single" w:sz="4" w:space="0"/>
              <w:insideV w:val="nil"/>
            </w:tcBorders>
            <w:shd w:val="clear" w:color="auto" w:fill="4F81BD" w:themeFill="accent1"/>
            <w:noWrap/>
          </w:tcPr>
          <w:p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Composição de Custos</w:t>
            </w:r>
          </w:p>
        </w:tc>
      </w:tr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4300" w:type="dxa"/>
            <w:shd w:val="clear" w:color="auto" w:fill="DBE5F1" w:themeFill="accent1" w:themeFillTint="33"/>
          </w:tcPr>
          <w:p>
            <w:pP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Diária (Período de 10 horas) (Cláusula 43ª, Parágrafo Sexto)</w:t>
            </w:r>
          </w:p>
        </w:tc>
        <w:tc>
          <w:tcPr>
            <w:tcW w:w="1620" w:type="dxa"/>
            <w:shd w:val="clear" w:color="auto" w:fill="DBE5F1" w:themeFill="accent1" w:themeFillTint="33"/>
            <w:noWrap/>
          </w:tcPr>
          <w:p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R$125,00 </w:t>
            </w:r>
          </w:p>
        </w:tc>
      </w:tr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4300" w:type="dxa"/>
          </w:tcPr>
          <w:p>
            <w:pP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Auxílio Transporte (vale transporte - Cláusula 39ª da CCT )</w:t>
            </w:r>
          </w:p>
        </w:tc>
        <w:tc>
          <w:tcPr>
            <w:tcW w:w="1620" w:type="dxa"/>
            <w:noWrap/>
          </w:tcPr>
          <w:p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R$8,10 </w:t>
            </w:r>
          </w:p>
        </w:tc>
      </w:tr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4300" w:type="dxa"/>
            <w:shd w:val="clear" w:color="auto" w:fill="DBE5F1" w:themeFill="accent1" w:themeFillTint="33"/>
          </w:tcPr>
          <w:p>
            <w:pP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Auxílio alimentação (Vale refeição - Cláusula 8ª c/c 43 da CCT )</w:t>
            </w:r>
          </w:p>
        </w:tc>
        <w:tc>
          <w:tcPr>
            <w:tcW w:w="1620" w:type="dxa"/>
            <w:shd w:val="clear" w:color="auto" w:fill="DBE5F1" w:themeFill="accent1" w:themeFillTint="33"/>
            <w:noWrap/>
          </w:tcPr>
          <w:p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R$29,00 </w:t>
            </w:r>
          </w:p>
        </w:tc>
      </w:tr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4300" w:type="dxa"/>
          </w:tcPr>
          <w:p>
            <w:pP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Lanche (sanduíche misto + 01 fruta + 01 bebida - Cláusula 43ª da CCT )</w:t>
            </w:r>
          </w:p>
        </w:tc>
        <w:tc>
          <w:tcPr>
            <w:tcW w:w="1620" w:type="dxa"/>
            <w:noWrap/>
          </w:tcPr>
          <w:p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R$16,00 </w:t>
            </w:r>
          </w:p>
        </w:tc>
      </w:tr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300" w:type="dxa"/>
            <w:shd w:val="clear" w:color="auto" w:fill="DBE5F1" w:themeFill="accent1" w:themeFillTint="33"/>
          </w:tcPr>
          <w:p>
            <w:pP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Uniformes</w:t>
            </w:r>
          </w:p>
        </w:tc>
        <w:tc>
          <w:tcPr>
            <w:tcW w:w="1620" w:type="dxa"/>
            <w:shd w:val="clear" w:color="auto" w:fill="DBE5F1" w:themeFill="accent1" w:themeFillTint="33"/>
            <w:noWrap/>
          </w:tcPr>
          <w:p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R$2,77 </w:t>
            </w:r>
          </w:p>
        </w:tc>
      </w:tr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4300" w:type="dxa"/>
          </w:tcPr>
          <w:p>
            <w:pP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sz w:val="22"/>
                <w:szCs w:val="22"/>
              </w:rPr>
              <w:t>Equipamentos</w:t>
            </w:r>
          </w:p>
        </w:tc>
        <w:tc>
          <w:tcPr>
            <w:tcW w:w="1620" w:type="dxa"/>
            <w:noWrap/>
          </w:tcPr>
          <w:p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R$5,19 </w:t>
            </w:r>
          </w:p>
        </w:tc>
      </w:tr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" w:hRule="atLeast"/>
        </w:trPr>
        <w:tc>
          <w:tcPr>
            <w:tcW w:w="4300" w:type="dxa"/>
            <w:shd w:val="clear" w:color="auto" w:fill="DBE5F1" w:themeFill="accent1" w:themeFillTint="33"/>
            <w:noWrap/>
          </w:tcPr>
          <w:p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Subtotal</w:t>
            </w:r>
          </w:p>
        </w:tc>
        <w:tc>
          <w:tcPr>
            <w:tcW w:w="1620" w:type="dxa"/>
            <w:shd w:val="clear" w:color="auto" w:fill="DBE5F1" w:themeFill="accent1" w:themeFillTint="33"/>
            <w:noWrap/>
          </w:tcPr>
          <w:p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R$186,06 </w:t>
            </w:r>
          </w:p>
        </w:tc>
      </w:tr>
    </w:tbl>
    <w:p>
      <w:pPr>
        <w:widowControl w:val="0"/>
        <w:tabs>
          <w:tab w:val="left" w:pos="1560"/>
        </w:tabs>
        <w:spacing w:line="276" w:lineRule="auto"/>
        <w:jc w:val="both"/>
      </w:pPr>
    </w:p>
    <w:tbl>
      <w:tblPr>
        <w:tblStyle w:val="72"/>
        <w:tblW w:w="4700" w:type="dxa"/>
        <w:tblInd w:w="0" w:type="dxa"/>
        <w:tblBorders>
          <w:top w:val="single" w:color="95B3D7" w:themeColor="accent1" w:themeTint="99" w:sz="4" w:space="0"/>
          <w:left w:val="single" w:color="95B3D7" w:themeColor="accent1" w:themeTint="99" w:sz="4" w:space="0"/>
          <w:bottom w:val="single" w:color="95B3D7" w:themeColor="accent1" w:themeTint="99" w:sz="4" w:space="0"/>
          <w:right w:val="single" w:color="95B3D7" w:themeColor="accent1" w:themeTint="99" w:sz="4" w:space="0"/>
          <w:insideH w:val="single" w:color="95B3D7" w:themeColor="accent1" w:themeTint="99" w:sz="4" w:space="0"/>
          <w:insideV w:val="single" w:color="95B3D7" w:themeColor="accent1" w:themeTint="99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80"/>
        <w:gridCol w:w="700"/>
        <w:gridCol w:w="1620"/>
      </w:tblGrid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2380" w:type="dxa"/>
            <w:tcBorders>
              <w:top w:val="single" w:color="4F81BD" w:themeColor="accent1" w:sz="4" w:space="0"/>
              <w:left w:val="single" w:color="4F81BD" w:themeColor="accent1" w:sz="4" w:space="0"/>
              <w:bottom w:val="single" w:color="4F81BD" w:themeColor="accent1" w:sz="4" w:space="0"/>
              <w:right w:val="nil"/>
              <w:insideH w:val="single" w:sz="4" w:space="0"/>
              <w:insideV w:val="nil"/>
            </w:tcBorders>
            <w:shd w:val="clear" w:color="auto" w:fill="4F81BD" w:themeFill="accent1"/>
          </w:tcPr>
          <w:p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Encargos Previdenciários</w:t>
            </w:r>
          </w:p>
        </w:tc>
        <w:tc>
          <w:tcPr>
            <w:tcW w:w="700" w:type="dxa"/>
            <w:tcBorders>
              <w:top w:val="single" w:color="4F81BD" w:themeColor="accent1" w:sz="4" w:space="0"/>
              <w:bottom w:val="single" w:color="4F81BD" w:themeColor="accent1" w:sz="4" w:space="0"/>
              <w:right w:val="nil"/>
              <w:insideH w:val="single" w:sz="4" w:space="0"/>
              <w:insideV w:val="nil"/>
            </w:tcBorders>
            <w:shd w:val="clear" w:color="auto" w:fill="4F81BD" w:themeFill="accent1"/>
            <w:noWrap/>
          </w:tcPr>
          <w:p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  <w:t>%</w:t>
            </w:r>
          </w:p>
        </w:tc>
        <w:tc>
          <w:tcPr>
            <w:tcW w:w="1620" w:type="dxa"/>
            <w:tcBorders>
              <w:top w:val="single" w:color="4F81BD" w:themeColor="accent1" w:sz="4" w:space="0"/>
              <w:bottom w:val="single" w:color="4F81BD" w:themeColor="accent1" w:sz="4" w:space="0"/>
              <w:right w:val="single" w:color="4F81BD" w:themeColor="accent1" w:sz="4" w:space="0"/>
              <w:insideH w:val="single" w:sz="4" w:space="0"/>
              <w:insideV w:val="nil"/>
            </w:tcBorders>
            <w:shd w:val="clear" w:color="auto" w:fill="4F81BD" w:themeFill="accent1"/>
            <w:noWrap/>
          </w:tcPr>
          <w:p>
            <w:pPr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2"/>
                <w:szCs w:val="22"/>
                <w14:textFill>
                  <w14:solidFill>
                    <w14:schemeClr w14:val="bg1"/>
                  </w14:solidFill>
                </w14:textFill>
              </w:rPr>
            </w:pPr>
          </w:p>
        </w:tc>
      </w:tr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" w:hRule="atLeast"/>
        </w:trPr>
        <w:tc>
          <w:tcPr>
            <w:tcW w:w="2380" w:type="dxa"/>
            <w:shd w:val="clear" w:color="auto" w:fill="DBE5F1" w:themeFill="accent1" w:themeFillTint="33"/>
          </w:tcPr>
          <w:p>
            <w:pPr>
              <w:rPr>
                <w:rFonts w:asciiTheme="minorHAnsi" w:hAnsiTheme="minorHAnsi" w:cstheme="minorHAnsi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color w:val="000000"/>
                <w:sz w:val="22"/>
                <w:szCs w:val="22"/>
              </w:rPr>
              <w:t>INSS</w:t>
            </w:r>
          </w:p>
        </w:tc>
        <w:tc>
          <w:tcPr>
            <w:tcW w:w="700" w:type="dxa"/>
            <w:shd w:val="clear" w:color="auto" w:fill="DBE5F1" w:themeFill="accent1" w:themeFillTint="33"/>
            <w:noWrap/>
          </w:tcPr>
          <w:p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20</w:t>
            </w:r>
          </w:p>
        </w:tc>
        <w:tc>
          <w:tcPr>
            <w:tcW w:w="1620" w:type="dxa"/>
            <w:shd w:val="clear" w:color="auto" w:fill="DBE5F1" w:themeFill="accent1" w:themeFillTint="33"/>
            <w:noWrap/>
          </w:tcPr>
          <w:p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R$25,00 </w:t>
            </w:r>
          </w:p>
        </w:tc>
      </w:tr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2380" w:type="dxa"/>
          </w:tcPr>
          <w:p>
            <w:pPr>
              <w:jc w:val="both"/>
              <w:rPr>
                <w:rFonts w:asciiTheme="minorHAnsi" w:hAnsiTheme="minorHAnsi" w:cstheme="minorHAnsi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color w:val="000000"/>
                <w:sz w:val="22"/>
                <w:szCs w:val="22"/>
              </w:rPr>
              <w:t>Salário Educação</w:t>
            </w:r>
          </w:p>
        </w:tc>
        <w:tc>
          <w:tcPr>
            <w:tcW w:w="700" w:type="dxa"/>
            <w:noWrap/>
          </w:tcPr>
          <w:p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2,5</w:t>
            </w:r>
          </w:p>
        </w:tc>
        <w:tc>
          <w:tcPr>
            <w:tcW w:w="1620" w:type="dxa"/>
            <w:noWrap/>
          </w:tcPr>
          <w:p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R$3,13 </w:t>
            </w:r>
          </w:p>
        </w:tc>
      </w:tr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2380" w:type="dxa"/>
            <w:shd w:val="clear" w:color="auto" w:fill="DBE5F1" w:themeFill="accent1" w:themeFillTint="33"/>
          </w:tcPr>
          <w:p>
            <w:pPr>
              <w:jc w:val="both"/>
              <w:rPr>
                <w:rFonts w:asciiTheme="minorHAnsi" w:hAnsiTheme="minorHAnsi" w:cstheme="minorHAnsi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color w:val="000000"/>
                <w:sz w:val="22"/>
                <w:szCs w:val="22"/>
              </w:rPr>
              <w:t>Seguro acidente do trabalho</w:t>
            </w:r>
          </w:p>
        </w:tc>
        <w:tc>
          <w:tcPr>
            <w:tcW w:w="700" w:type="dxa"/>
            <w:shd w:val="clear" w:color="auto" w:fill="DBE5F1" w:themeFill="accent1" w:themeFillTint="33"/>
            <w:noWrap/>
          </w:tcPr>
          <w:p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</w:p>
        </w:tc>
        <w:tc>
          <w:tcPr>
            <w:tcW w:w="1620" w:type="dxa"/>
            <w:shd w:val="clear" w:color="auto" w:fill="DBE5F1" w:themeFill="accent1" w:themeFillTint="33"/>
            <w:noWrap/>
          </w:tcPr>
          <w:p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R$7,50 </w:t>
            </w:r>
          </w:p>
        </w:tc>
      </w:tr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" w:hRule="atLeast"/>
        </w:trPr>
        <w:tc>
          <w:tcPr>
            <w:tcW w:w="2380" w:type="dxa"/>
          </w:tcPr>
          <w:p>
            <w:pPr>
              <w:jc w:val="both"/>
              <w:rPr>
                <w:rFonts w:asciiTheme="minorHAnsi" w:hAnsiTheme="minorHAnsi" w:cstheme="minorHAnsi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color w:val="000000"/>
                <w:sz w:val="22"/>
                <w:szCs w:val="22"/>
              </w:rPr>
              <w:t>SESI ou SESC</w:t>
            </w:r>
          </w:p>
        </w:tc>
        <w:tc>
          <w:tcPr>
            <w:tcW w:w="700" w:type="dxa"/>
            <w:noWrap/>
          </w:tcPr>
          <w:p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1,5</w:t>
            </w:r>
          </w:p>
        </w:tc>
        <w:tc>
          <w:tcPr>
            <w:tcW w:w="1620" w:type="dxa"/>
            <w:noWrap/>
          </w:tcPr>
          <w:p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R$1,88 </w:t>
            </w:r>
          </w:p>
        </w:tc>
      </w:tr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" w:hRule="atLeast"/>
        </w:trPr>
        <w:tc>
          <w:tcPr>
            <w:tcW w:w="2380" w:type="dxa"/>
            <w:shd w:val="clear" w:color="auto" w:fill="DBE5F1" w:themeFill="accent1" w:themeFillTint="33"/>
          </w:tcPr>
          <w:p>
            <w:pPr>
              <w:jc w:val="both"/>
              <w:rPr>
                <w:rFonts w:asciiTheme="minorHAnsi" w:hAnsiTheme="minorHAnsi" w:cstheme="minorHAnsi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color w:val="000000"/>
                <w:sz w:val="22"/>
                <w:szCs w:val="22"/>
              </w:rPr>
              <w:t>SENAI ou SENAC</w:t>
            </w:r>
          </w:p>
        </w:tc>
        <w:tc>
          <w:tcPr>
            <w:tcW w:w="700" w:type="dxa"/>
            <w:shd w:val="clear" w:color="auto" w:fill="DBE5F1" w:themeFill="accent1" w:themeFillTint="33"/>
            <w:noWrap/>
          </w:tcPr>
          <w:p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1620" w:type="dxa"/>
            <w:shd w:val="clear" w:color="auto" w:fill="DBE5F1" w:themeFill="accent1" w:themeFillTint="33"/>
            <w:noWrap/>
          </w:tcPr>
          <w:p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R$1,25 </w:t>
            </w:r>
          </w:p>
        </w:tc>
      </w:tr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" w:hRule="atLeast"/>
        </w:trPr>
        <w:tc>
          <w:tcPr>
            <w:tcW w:w="2380" w:type="dxa"/>
          </w:tcPr>
          <w:p>
            <w:pPr>
              <w:jc w:val="both"/>
              <w:rPr>
                <w:rFonts w:asciiTheme="minorHAnsi" w:hAnsiTheme="minorHAnsi" w:cstheme="minorHAnsi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color w:val="000000"/>
                <w:sz w:val="22"/>
                <w:szCs w:val="22"/>
              </w:rPr>
              <w:t>SEBRAE</w:t>
            </w:r>
          </w:p>
        </w:tc>
        <w:tc>
          <w:tcPr>
            <w:tcW w:w="700" w:type="dxa"/>
            <w:noWrap/>
          </w:tcPr>
          <w:p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0,6</w:t>
            </w:r>
          </w:p>
        </w:tc>
        <w:tc>
          <w:tcPr>
            <w:tcW w:w="1620" w:type="dxa"/>
            <w:noWrap/>
          </w:tcPr>
          <w:p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R$0,75 </w:t>
            </w:r>
          </w:p>
        </w:tc>
      </w:tr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" w:hRule="atLeast"/>
        </w:trPr>
        <w:tc>
          <w:tcPr>
            <w:tcW w:w="2380" w:type="dxa"/>
            <w:shd w:val="clear" w:color="auto" w:fill="DBE5F1" w:themeFill="accent1" w:themeFillTint="33"/>
          </w:tcPr>
          <w:p>
            <w:pPr>
              <w:jc w:val="both"/>
              <w:rPr>
                <w:rFonts w:asciiTheme="minorHAnsi" w:hAnsiTheme="minorHAnsi" w:cstheme="minorHAnsi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color w:val="000000"/>
                <w:sz w:val="22"/>
                <w:szCs w:val="22"/>
              </w:rPr>
              <w:t>INCRA</w:t>
            </w:r>
          </w:p>
        </w:tc>
        <w:tc>
          <w:tcPr>
            <w:tcW w:w="700" w:type="dxa"/>
            <w:shd w:val="clear" w:color="auto" w:fill="DBE5F1" w:themeFill="accent1" w:themeFillTint="33"/>
            <w:noWrap/>
          </w:tcPr>
          <w:p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0,2</w:t>
            </w:r>
          </w:p>
        </w:tc>
        <w:tc>
          <w:tcPr>
            <w:tcW w:w="1620" w:type="dxa"/>
            <w:shd w:val="clear" w:color="auto" w:fill="DBE5F1" w:themeFill="accent1" w:themeFillTint="33"/>
            <w:noWrap/>
          </w:tcPr>
          <w:p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R$0,25 </w:t>
            </w:r>
          </w:p>
        </w:tc>
      </w:tr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" w:hRule="atLeast"/>
        </w:trPr>
        <w:tc>
          <w:tcPr>
            <w:tcW w:w="2380" w:type="dxa"/>
          </w:tcPr>
          <w:p>
            <w:pPr>
              <w:jc w:val="both"/>
              <w:rPr>
                <w:rFonts w:asciiTheme="minorHAnsi" w:hAnsiTheme="minorHAnsi" w:cstheme="minorHAnsi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color w:val="000000"/>
                <w:sz w:val="22"/>
                <w:szCs w:val="22"/>
              </w:rPr>
              <w:t>Tributos Federais (PIS = 1,65% e COFINS = 7,60%)</w:t>
            </w:r>
          </w:p>
        </w:tc>
        <w:tc>
          <w:tcPr>
            <w:tcW w:w="700" w:type="dxa"/>
            <w:noWrap/>
          </w:tcPr>
          <w:p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9,25</w:t>
            </w:r>
          </w:p>
        </w:tc>
        <w:tc>
          <w:tcPr>
            <w:tcW w:w="1620" w:type="dxa"/>
            <w:noWrap/>
          </w:tcPr>
          <w:p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R$11,56</w:t>
            </w:r>
          </w:p>
        </w:tc>
      </w:tr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" w:hRule="atLeast"/>
        </w:trPr>
        <w:tc>
          <w:tcPr>
            <w:tcW w:w="2380" w:type="dxa"/>
            <w:shd w:val="clear" w:color="auto" w:fill="DBE5F1" w:themeFill="accent1" w:themeFillTint="33"/>
          </w:tcPr>
          <w:p>
            <w:pPr>
              <w:jc w:val="both"/>
              <w:rPr>
                <w:rFonts w:asciiTheme="minorHAnsi" w:hAnsiTheme="minorHAnsi" w:cstheme="minorHAnsi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 w:val="0"/>
                <w:bCs w:val="0"/>
                <w:color w:val="000000"/>
                <w:sz w:val="22"/>
                <w:szCs w:val="22"/>
              </w:rPr>
              <w:t>Tributos Municipais (ISS = 5,0%)</w:t>
            </w:r>
          </w:p>
        </w:tc>
        <w:tc>
          <w:tcPr>
            <w:tcW w:w="700" w:type="dxa"/>
            <w:shd w:val="clear" w:color="auto" w:fill="DBE5F1" w:themeFill="accent1" w:themeFillTint="33"/>
            <w:noWrap/>
          </w:tcPr>
          <w:p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5,00</w:t>
            </w:r>
          </w:p>
        </w:tc>
        <w:tc>
          <w:tcPr>
            <w:tcW w:w="1620" w:type="dxa"/>
            <w:shd w:val="clear" w:color="auto" w:fill="DBE5F1" w:themeFill="accent1" w:themeFillTint="33"/>
            <w:noWrap/>
          </w:tcPr>
          <w:p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R$6,25</w:t>
            </w:r>
          </w:p>
        </w:tc>
      </w:tr>
      <w:tr>
        <w:tblPrEx>
          <w:tblBorders>
            <w:top w:val="single" w:color="95B3D7" w:themeColor="accent1" w:themeTint="99" w:sz="4" w:space="0"/>
            <w:left w:val="single" w:color="95B3D7" w:themeColor="accent1" w:themeTint="99" w:sz="4" w:space="0"/>
            <w:bottom w:val="single" w:color="95B3D7" w:themeColor="accent1" w:themeTint="99" w:sz="4" w:space="0"/>
            <w:right w:val="single" w:color="95B3D7" w:themeColor="accent1" w:themeTint="99" w:sz="4" w:space="0"/>
            <w:insideH w:val="single" w:color="95B3D7" w:themeColor="accent1" w:themeTint="99" w:sz="4" w:space="0"/>
            <w:insideV w:val="single" w:color="95B3D7" w:themeColor="accent1" w:themeTint="99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9" w:hRule="atLeast"/>
        </w:trPr>
        <w:tc>
          <w:tcPr>
            <w:tcW w:w="3080" w:type="dxa"/>
            <w:gridSpan w:val="2"/>
            <w:noWrap/>
          </w:tcPr>
          <w:p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Subtotal</w:t>
            </w:r>
          </w:p>
        </w:tc>
        <w:tc>
          <w:tcPr>
            <w:tcW w:w="1620" w:type="dxa"/>
            <w:noWrap/>
          </w:tcPr>
          <w:p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R$51,31</w:t>
            </w:r>
          </w:p>
        </w:tc>
      </w:tr>
    </w:tbl>
    <w:p>
      <w:pPr>
        <w:widowControl w:val="0"/>
        <w:tabs>
          <w:tab w:val="left" w:pos="1560"/>
        </w:tabs>
        <w:spacing w:line="276" w:lineRule="auto"/>
        <w:jc w:val="both"/>
      </w:pPr>
    </w:p>
    <w:p>
      <w:pPr>
        <w:widowControl w:val="0"/>
        <w:tabs>
          <w:tab w:val="left" w:pos="1560"/>
        </w:tabs>
        <w:spacing w:line="276" w:lineRule="auto"/>
        <w:jc w:val="both"/>
        <w:rPr>
          <w:rFonts w:asciiTheme="minorHAnsi" w:hAnsiTheme="minorHAnsi" w:cstheme="minorHAnsi"/>
          <w:color w:val="FF0000"/>
          <w:sz w:val="28"/>
          <w:szCs w:val="28"/>
        </w:rPr>
      </w:pPr>
      <w:r>
        <w:rPr>
          <w:rFonts w:asciiTheme="minorHAnsi" w:hAnsiTheme="minorHAnsi" w:cstheme="minorHAnsi"/>
          <w:color w:val="FF0000"/>
          <w:sz w:val="28"/>
          <w:szCs w:val="28"/>
        </w:rPr>
        <w:t>Total de Diárias: R$186,06+R$51,31 = R$237,37</w:t>
      </w:r>
    </w:p>
    <w:p>
      <w:pPr>
        <w:widowControl w:val="0"/>
        <w:tabs>
          <w:tab w:val="left" w:pos="1560"/>
        </w:tabs>
        <w:spacing w:line="276" w:lineRule="auto"/>
        <w:jc w:val="both"/>
        <w:rPr>
          <w:rFonts w:asciiTheme="minorHAnsi" w:hAnsiTheme="minorHAnsi" w:cstheme="minorHAnsi"/>
          <w:color w:val="FF0000"/>
          <w:sz w:val="28"/>
          <w:szCs w:val="28"/>
        </w:rPr>
      </w:pPr>
    </w:p>
    <w:p>
      <w:pPr>
        <w:widowControl w:val="0"/>
        <w:tabs>
          <w:tab w:val="left" w:pos="1560"/>
        </w:tabs>
        <w:spacing w:line="276" w:lineRule="auto"/>
        <w:jc w:val="both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O campo destinado a pagamento de diárias é um valor estimado e só será executado quando da real utilização dessa verba. Previsão de 48 serviços eventuais ao longo dos 12 meses de contrato.</w:t>
      </w:r>
    </w:p>
    <w:p>
      <w:pPr>
        <w:widowControl w:val="0"/>
        <w:tabs>
          <w:tab w:val="left" w:pos="1560"/>
        </w:tabs>
        <w:spacing w:line="276" w:lineRule="auto"/>
        <w:jc w:val="both"/>
        <w:rPr>
          <w:rFonts w:ascii="Calibri" w:hAnsi="Calibri" w:cs="Calibri"/>
          <w:color w:val="000000"/>
        </w:rPr>
      </w:pPr>
    </w:p>
    <w:p>
      <w:pPr>
        <w:widowControl w:val="0"/>
        <w:tabs>
          <w:tab w:val="left" w:pos="1560"/>
        </w:tabs>
        <w:spacing w:line="276" w:lineRule="auto"/>
        <w:jc w:val="both"/>
        <w:rPr>
          <w:rFonts w:asciiTheme="minorHAnsi" w:hAnsiTheme="minorHAnsi" w:cstheme="minorHAnsi"/>
          <w:color w:val="FF0000"/>
          <w:sz w:val="28"/>
          <w:szCs w:val="28"/>
        </w:rPr>
      </w:pPr>
    </w:p>
    <w:sectPr>
      <w:headerReference r:id="rId4" w:type="default"/>
      <w:footerReference r:id="rId5" w:type="default"/>
      <w:pgSz w:w="11906" w:h="16838"/>
      <w:pgMar w:top="1417" w:right="1274" w:bottom="1417" w:left="1418" w:header="708" w:footer="306" w:gutter="0"/>
      <w:pgBorders w:offsetFrom="page">
        <w:top w:val="single" w:color="000000" w:sz="18" w:space="24"/>
        <w:left w:val="single" w:color="000000" w:sz="18" w:space="24"/>
        <w:bottom w:val="single" w:color="000000" w:sz="18" w:space="24"/>
        <w:right w:val="single" w:color="000000" w:sz="18" w:space="24"/>
      </w:pgBorders>
      <w:cols w:space="720" w:num="1"/>
      <w:formProt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Liberation Sans">
    <w:panose1 w:val="020B0604020202020204"/>
    <w:charset w:val="00"/>
    <w:family w:val="swiss"/>
    <w:pitch w:val="default"/>
    <w:sig w:usb0="E0000AFF" w:usb1="500078FF" w:usb2="00000021" w:usb3="00000000" w:csb0="600001BF" w:csb1="DFF70000"/>
  </w:font>
  <w:font w:name="Microsoft YaHei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Book Antiqua">
    <w:panose1 w:val="02040602050305030304"/>
    <w:charset w:val="00"/>
    <w:family w:val="roman"/>
    <w:pitch w:val="default"/>
    <w:sig w:usb0="00000287" w:usb1="00000000" w:usb2="00000000" w:usb3="00000000" w:csb0="2000009F" w:csb1="DFD70000"/>
  </w:font>
  <w:font w:name="Lucida Sans Unicode">
    <w:panose1 w:val="020B0602030504020204"/>
    <w:charset w:val="00"/>
    <w:family w:val="swiss"/>
    <w:pitch w:val="default"/>
    <w:sig w:usb0="80001AFF" w:usb1="0000396B" w:usb2="00000000" w:usb3="00000000" w:csb0="200000BF" w:csb1="D7F70000"/>
  </w:font>
  <w:font w:name="Mangal">
    <w:panose1 w:val="02040503050203030202"/>
    <w:charset w:val="00"/>
    <w:family w:val="roman"/>
    <w:pitch w:val="default"/>
    <w:sig w:usb0="00008003" w:usb1="00000000" w:usb2="00000000" w:usb3="00000000" w:csb0="00000001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MS Gothic">
    <w:panose1 w:val="020B0609070205080204"/>
    <w:charset w:val="80"/>
    <w:family w:val="modern"/>
    <w:pitch w:val="default"/>
    <w:sig w:usb0="E00002FF" w:usb1="6AC7FDFB" w:usb2="00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2"/>
    </w:pPr>
    <w:r>
      <w:t>____________________________________________________________________</w:t>
    </w:r>
  </w:p>
  <w:p>
    <w:pPr>
      <w:pStyle w:val="22"/>
      <w:jc w:val="center"/>
      <w:rPr>
        <w:i/>
      </w:rPr>
    </w:pPr>
    <w:r>
      <w:rPr>
        <w:sz w:val="12"/>
        <w:szCs w:val="12"/>
      </w:rPr>
      <w:t>Anexo X Memória de Cálculo</w:t>
    </w:r>
    <w:r>
      <w:rPr>
        <w:sz w:val="12"/>
        <w:szCs w:val="12"/>
      </w:rPr>
      <w:tab/>
    </w:r>
    <w:r>
      <w:rPr>
        <w:sz w:val="12"/>
        <w:szCs w:val="12"/>
      </w:rPr>
      <w:tab/>
    </w:r>
    <w:r>
      <w:rPr>
        <w:rFonts w:ascii="Verdana" w:hAnsi="Verdana"/>
        <w:sz w:val="16"/>
        <w:szCs w:val="16"/>
      </w:rPr>
      <w:t xml:space="preserve">Pág. </w:t>
    </w:r>
    <w:r>
      <w:rPr>
        <w:rStyle w:val="13"/>
        <w:rFonts w:ascii="Verdana" w:hAnsi="Verdana" w:eastAsia="MS Gothic"/>
        <w:sz w:val="16"/>
        <w:szCs w:val="16"/>
      </w:rPr>
      <w:t>1/10</w:t>
    </w:r>
  </w:p>
  <w:p>
    <w:pPr>
      <w:pStyle w:val="22"/>
      <w:rPr>
        <w:sz w:val="12"/>
        <w:szCs w:val="12"/>
      </w:rPr>
    </w:pPr>
  </w:p>
  <w:p>
    <w:pPr>
      <w:pStyle w:val="2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2">
    <w:p>
      <w:r>
        <w:separator/>
      </w:r>
    </w:p>
  </w:footnote>
  <w:footnote w:type="continuationSeparator" w:id="3">
    <w:p>
      <w:r>
        <w:continuationSeparator/>
      </w:r>
    </w:p>
  </w:footnote>
  <w:footnote w:id="0">
    <w:p>
      <w:pPr>
        <w:pStyle w:val="25"/>
      </w:pPr>
      <w:r>
        <w:rPr>
          <w:rStyle w:val="49"/>
        </w:rPr>
        <w:footnoteRef/>
      </w:r>
      <w:r>
        <w:t xml:space="preserve"> Considerando a alíquota de 3% para o RAT.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0"/>
      <w:jc w:val="right"/>
      <w:rPr>
        <w:rFonts w:asciiTheme="minorHAnsi" w:hAnsiTheme="minorHAnsi"/>
        <w:sz w:val="16"/>
        <w:szCs w:val="16"/>
      </w:rPr>
    </w:pPr>
    <w:r>
      <w:drawing>
        <wp:anchor distT="0" distB="0" distL="0" distR="0" simplePos="0" relativeHeight="251662336" behindDoc="1" locked="0" layoutInCell="1" allowOverlap="1">
          <wp:simplePos x="0" y="0"/>
          <wp:positionH relativeFrom="column">
            <wp:posOffset>-305435</wp:posOffset>
          </wp:positionH>
          <wp:positionV relativeFrom="paragraph">
            <wp:posOffset>-57150</wp:posOffset>
          </wp:positionV>
          <wp:extent cx="838200" cy="333375"/>
          <wp:effectExtent l="0" t="0" r="0" b="0"/>
          <wp:wrapNone/>
          <wp:docPr id="12" name="Imagem 2" descr="BRASAO UFF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m 2" descr="BRASAO UFF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38200" cy="333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Theme="minorHAnsi" w:hAnsiTheme="minorHAnsi"/>
        <w:sz w:val="16"/>
        <w:szCs w:val="16"/>
      </w:rPr>
      <w:t>Processo: 23069.167552/2021-41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554062C"/>
    <w:multiLevelType w:val="multilevel"/>
    <w:tmpl w:val="0554062C"/>
    <w:lvl w:ilvl="0" w:tentative="0">
      <w:start w:val="1"/>
      <w:numFmt w:val="decimal"/>
      <w:lvlText w:val="(%1)"/>
      <w:lvlJc w:val="left"/>
      <w:pPr>
        <w:ind w:left="786" w:hanging="360"/>
      </w:pPr>
    </w:lvl>
    <w:lvl w:ilvl="1" w:tentative="0">
      <w:start w:val="1"/>
      <w:numFmt w:val="lowerLetter"/>
      <w:lvlText w:val="%2."/>
      <w:lvlJc w:val="left"/>
      <w:pPr>
        <w:ind w:left="1506" w:hanging="360"/>
      </w:pPr>
    </w:lvl>
    <w:lvl w:ilvl="2" w:tentative="0">
      <w:start w:val="1"/>
      <w:numFmt w:val="lowerRoman"/>
      <w:lvlText w:val="%3."/>
      <w:lvlJc w:val="right"/>
      <w:pPr>
        <w:ind w:left="2226" w:hanging="180"/>
      </w:pPr>
    </w:lvl>
    <w:lvl w:ilvl="3" w:tentative="0">
      <w:start w:val="1"/>
      <w:numFmt w:val="decimal"/>
      <w:lvlText w:val="%4."/>
      <w:lvlJc w:val="left"/>
      <w:pPr>
        <w:ind w:left="2946" w:hanging="360"/>
      </w:pPr>
    </w:lvl>
    <w:lvl w:ilvl="4" w:tentative="0">
      <w:start w:val="1"/>
      <w:numFmt w:val="lowerLetter"/>
      <w:lvlText w:val="%5."/>
      <w:lvlJc w:val="left"/>
      <w:pPr>
        <w:ind w:left="3666" w:hanging="360"/>
      </w:pPr>
    </w:lvl>
    <w:lvl w:ilvl="5" w:tentative="0">
      <w:start w:val="1"/>
      <w:numFmt w:val="lowerRoman"/>
      <w:lvlText w:val="%6."/>
      <w:lvlJc w:val="right"/>
      <w:pPr>
        <w:ind w:left="4386" w:hanging="180"/>
      </w:pPr>
    </w:lvl>
    <w:lvl w:ilvl="6" w:tentative="0">
      <w:start w:val="1"/>
      <w:numFmt w:val="decimal"/>
      <w:lvlText w:val="%7."/>
      <w:lvlJc w:val="left"/>
      <w:pPr>
        <w:ind w:left="5106" w:hanging="360"/>
      </w:pPr>
    </w:lvl>
    <w:lvl w:ilvl="7" w:tentative="0">
      <w:start w:val="1"/>
      <w:numFmt w:val="lowerLetter"/>
      <w:lvlText w:val="%8."/>
      <w:lvlJc w:val="left"/>
      <w:pPr>
        <w:ind w:left="5826" w:hanging="360"/>
      </w:pPr>
    </w:lvl>
    <w:lvl w:ilvl="8" w:tentative="0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hyphenationZone w:val="425"/>
  <w:characterSpacingControl w:val="doNotCompress"/>
  <w:footnotePr>
    <w:footnote w:id="2"/>
    <w:footnote w:id="3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51D"/>
    <w:rsid w:val="00022464"/>
    <w:rsid w:val="00025F14"/>
    <w:rsid w:val="00041C96"/>
    <w:rsid w:val="00051860"/>
    <w:rsid w:val="00062EE7"/>
    <w:rsid w:val="0007091C"/>
    <w:rsid w:val="00081D06"/>
    <w:rsid w:val="000904BD"/>
    <w:rsid w:val="00096953"/>
    <w:rsid w:val="000D4F19"/>
    <w:rsid w:val="000E60C1"/>
    <w:rsid w:val="001338D9"/>
    <w:rsid w:val="00133CD1"/>
    <w:rsid w:val="0014616A"/>
    <w:rsid w:val="00150365"/>
    <w:rsid w:val="001518A3"/>
    <w:rsid w:val="00153038"/>
    <w:rsid w:val="001776C1"/>
    <w:rsid w:val="0019718E"/>
    <w:rsid w:val="001C5963"/>
    <w:rsid w:val="001D0DA4"/>
    <w:rsid w:val="001E1541"/>
    <w:rsid w:val="00215289"/>
    <w:rsid w:val="0022215B"/>
    <w:rsid w:val="00222366"/>
    <w:rsid w:val="00231F8E"/>
    <w:rsid w:val="00233184"/>
    <w:rsid w:val="00240C8D"/>
    <w:rsid w:val="00262EB7"/>
    <w:rsid w:val="00296321"/>
    <w:rsid w:val="002B5411"/>
    <w:rsid w:val="002E31AA"/>
    <w:rsid w:val="002F73F4"/>
    <w:rsid w:val="0030151E"/>
    <w:rsid w:val="0030302C"/>
    <w:rsid w:val="003150FF"/>
    <w:rsid w:val="00327BF6"/>
    <w:rsid w:val="0035251D"/>
    <w:rsid w:val="00363E9E"/>
    <w:rsid w:val="0036420B"/>
    <w:rsid w:val="00382F6B"/>
    <w:rsid w:val="003858BC"/>
    <w:rsid w:val="003B2BEE"/>
    <w:rsid w:val="003D2A1B"/>
    <w:rsid w:val="003F496D"/>
    <w:rsid w:val="003F53BE"/>
    <w:rsid w:val="00425FD6"/>
    <w:rsid w:val="0043494E"/>
    <w:rsid w:val="00442149"/>
    <w:rsid w:val="00481D1C"/>
    <w:rsid w:val="0048713B"/>
    <w:rsid w:val="004933EB"/>
    <w:rsid w:val="004B4712"/>
    <w:rsid w:val="004C262C"/>
    <w:rsid w:val="004C5329"/>
    <w:rsid w:val="004D0FF3"/>
    <w:rsid w:val="004D3DBC"/>
    <w:rsid w:val="004D4C2F"/>
    <w:rsid w:val="004E1728"/>
    <w:rsid w:val="00572950"/>
    <w:rsid w:val="00586BA2"/>
    <w:rsid w:val="005E5BE8"/>
    <w:rsid w:val="00643118"/>
    <w:rsid w:val="00664443"/>
    <w:rsid w:val="00674915"/>
    <w:rsid w:val="00675CD9"/>
    <w:rsid w:val="0069260A"/>
    <w:rsid w:val="006927ED"/>
    <w:rsid w:val="00694321"/>
    <w:rsid w:val="006A1B35"/>
    <w:rsid w:val="006A24B4"/>
    <w:rsid w:val="006A5225"/>
    <w:rsid w:val="006B073D"/>
    <w:rsid w:val="006B3F03"/>
    <w:rsid w:val="006B75C2"/>
    <w:rsid w:val="006C0732"/>
    <w:rsid w:val="006F4C05"/>
    <w:rsid w:val="00710621"/>
    <w:rsid w:val="00714503"/>
    <w:rsid w:val="007217B8"/>
    <w:rsid w:val="00757BF8"/>
    <w:rsid w:val="007643DE"/>
    <w:rsid w:val="00767F3C"/>
    <w:rsid w:val="00786D92"/>
    <w:rsid w:val="00791490"/>
    <w:rsid w:val="007B0AD0"/>
    <w:rsid w:val="007B1961"/>
    <w:rsid w:val="007B23CA"/>
    <w:rsid w:val="007B49CC"/>
    <w:rsid w:val="007C0B40"/>
    <w:rsid w:val="007C31B8"/>
    <w:rsid w:val="007C5E16"/>
    <w:rsid w:val="007F4CE0"/>
    <w:rsid w:val="0081045C"/>
    <w:rsid w:val="008317DF"/>
    <w:rsid w:val="00847F13"/>
    <w:rsid w:val="00860C7A"/>
    <w:rsid w:val="00864661"/>
    <w:rsid w:val="00880459"/>
    <w:rsid w:val="008A6FF3"/>
    <w:rsid w:val="008B36E0"/>
    <w:rsid w:val="008B6503"/>
    <w:rsid w:val="008C1B2B"/>
    <w:rsid w:val="008F098C"/>
    <w:rsid w:val="009143CE"/>
    <w:rsid w:val="00925FF5"/>
    <w:rsid w:val="0094756F"/>
    <w:rsid w:val="00951E7B"/>
    <w:rsid w:val="009660B4"/>
    <w:rsid w:val="00A22F79"/>
    <w:rsid w:val="00A531F5"/>
    <w:rsid w:val="00A5736E"/>
    <w:rsid w:val="00A657B5"/>
    <w:rsid w:val="00A777DD"/>
    <w:rsid w:val="00A80C29"/>
    <w:rsid w:val="00AA205C"/>
    <w:rsid w:val="00AA3D68"/>
    <w:rsid w:val="00AA68C0"/>
    <w:rsid w:val="00AC0F0D"/>
    <w:rsid w:val="00AD06CA"/>
    <w:rsid w:val="00AE71F5"/>
    <w:rsid w:val="00B73F23"/>
    <w:rsid w:val="00B807D1"/>
    <w:rsid w:val="00B9459E"/>
    <w:rsid w:val="00BC1110"/>
    <w:rsid w:val="00BD0E8C"/>
    <w:rsid w:val="00BE1D75"/>
    <w:rsid w:val="00BF05FF"/>
    <w:rsid w:val="00C57E60"/>
    <w:rsid w:val="00C60C1C"/>
    <w:rsid w:val="00C816B4"/>
    <w:rsid w:val="00C85F08"/>
    <w:rsid w:val="00C86FD7"/>
    <w:rsid w:val="00C90D31"/>
    <w:rsid w:val="00CC4061"/>
    <w:rsid w:val="00CD5693"/>
    <w:rsid w:val="00CE38FA"/>
    <w:rsid w:val="00CF30B1"/>
    <w:rsid w:val="00D23DF9"/>
    <w:rsid w:val="00D42B09"/>
    <w:rsid w:val="00D475FA"/>
    <w:rsid w:val="00D66379"/>
    <w:rsid w:val="00D91DD1"/>
    <w:rsid w:val="00DA53E7"/>
    <w:rsid w:val="00E1260A"/>
    <w:rsid w:val="00E16A83"/>
    <w:rsid w:val="00E477A6"/>
    <w:rsid w:val="00E941AC"/>
    <w:rsid w:val="00E97BDA"/>
    <w:rsid w:val="00EB64F6"/>
    <w:rsid w:val="00EC705B"/>
    <w:rsid w:val="00EF182A"/>
    <w:rsid w:val="00F02E97"/>
    <w:rsid w:val="00F136AD"/>
    <w:rsid w:val="00F14725"/>
    <w:rsid w:val="00F6782F"/>
    <w:rsid w:val="00F7074E"/>
    <w:rsid w:val="00F77BB2"/>
    <w:rsid w:val="00F92087"/>
    <w:rsid w:val="00F94D2F"/>
    <w:rsid w:val="00FA660F"/>
    <w:rsid w:val="3647529E"/>
    <w:rsid w:val="70E70BE7"/>
    <w:rsid w:val="71A13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nhideWhenUsed="0" w:uiPriority="0" w:semiHidden="0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qFormat="1" w:uiPriority="99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lang w:val="pt-BR" w:eastAsia="pt-BR" w:bidi="ar-SA"/>
    </w:rPr>
  </w:style>
  <w:style w:type="paragraph" w:styleId="2">
    <w:name w:val="heading 1"/>
    <w:basedOn w:val="1"/>
    <w:next w:val="1"/>
    <w:link w:val="34"/>
    <w:qFormat/>
    <w:uiPriority w:val="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3">
    <w:name w:val="heading 2"/>
    <w:basedOn w:val="1"/>
    <w:next w:val="1"/>
    <w:link w:val="36"/>
    <w:semiHidden/>
    <w:unhideWhenUsed/>
    <w:qFormat/>
    <w:uiPriority w:val="9"/>
    <w:pPr>
      <w:keepNext/>
      <w:keepLines/>
      <w:spacing w:before="40"/>
      <w:outlineLvl w:val="1"/>
    </w:pPr>
    <w:rPr>
      <w:rFonts w:asciiTheme="majorHAnsi" w:hAnsiTheme="majorHAnsi" w:eastAsiaTheme="majorEastAsia" w:cstheme="majorBidi"/>
      <w:color w:val="376092" w:themeColor="accent1" w:themeShade="BF"/>
      <w:sz w:val="26"/>
      <w:szCs w:val="26"/>
    </w:rPr>
  </w:style>
  <w:style w:type="paragraph" w:styleId="4">
    <w:name w:val="heading 4"/>
    <w:basedOn w:val="1"/>
    <w:next w:val="1"/>
    <w:link w:val="37"/>
    <w:semiHidden/>
    <w:unhideWhenUsed/>
    <w:qFormat/>
    <w:uiPriority w:val="9"/>
    <w:pPr>
      <w:keepNext/>
      <w:keepLines/>
      <w:spacing w:before="40"/>
      <w:outlineLvl w:val="3"/>
    </w:pPr>
    <w:rPr>
      <w:rFonts w:asciiTheme="majorHAnsi" w:hAnsiTheme="majorHAnsi" w:eastAsiaTheme="majorEastAsia" w:cstheme="majorBidi"/>
      <w:i/>
      <w:iCs/>
      <w:color w:val="376092" w:themeColor="accent1" w:themeShade="BF"/>
    </w:rPr>
  </w:style>
  <w:style w:type="paragraph" w:styleId="5">
    <w:name w:val="heading 7"/>
    <w:basedOn w:val="1"/>
    <w:next w:val="1"/>
    <w:link w:val="28"/>
    <w:qFormat/>
    <w:uiPriority w:val="0"/>
    <w:pPr>
      <w:keepNext/>
      <w:jc w:val="center"/>
      <w:outlineLvl w:val="6"/>
    </w:pPr>
    <w:rPr>
      <w:rFonts w:ascii="Arial" w:hAnsi="Arial"/>
      <w:b/>
      <w:sz w:val="28"/>
      <w:u w:val="single"/>
      <w:lang w:val="pt-PT"/>
    </w:rPr>
  </w:style>
  <w:style w:type="character" w:default="1" w:styleId="6">
    <w:name w:val="Default Paragraph Font"/>
    <w:semiHidden/>
    <w:unhideWhenUsed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8">
    <w:name w:val="Strong"/>
    <w:basedOn w:val="6"/>
    <w:qFormat/>
    <w:uiPriority w:val="22"/>
    <w:rPr>
      <w:b/>
      <w:bCs/>
    </w:rPr>
  </w:style>
  <w:style w:type="character" w:styleId="9">
    <w:name w:val="annotation reference"/>
    <w:basedOn w:val="6"/>
    <w:semiHidden/>
    <w:unhideWhenUsed/>
    <w:qFormat/>
    <w:uiPriority w:val="99"/>
    <w:rPr>
      <w:sz w:val="16"/>
      <w:szCs w:val="16"/>
    </w:rPr>
  </w:style>
  <w:style w:type="character" w:styleId="10">
    <w:name w:val="FollowedHyperlink"/>
    <w:basedOn w:val="6"/>
    <w:semiHidden/>
    <w:unhideWhenUsed/>
    <w:qFormat/>
    <w:uiPriority w:val="99"/>
    <w:rPr>
      <w:color w:val="800080" w:themeColor="followedHyperlink"/>
      <w:u w:val="single"/>
      <w14:textFill>
        <w14:solidFill>
          <w14:schemeClr w14:val="folHlink"/>
        </w14:solidFill>
      </w14:textFill>
    </w:rPr>
  </w:style>
  <w:style w:type="character" w:styleId="11">
    <w:name w:val="Emphasis"/>
    <w:basedOn w:val="6"/>
    <w:qFormat/>
    <w:uiPriority w:val="20"/>
    <w:rPr>
      <w:i/>
      <w:iCs/>
    </w:rPr>
  </w:style>
  <w:style w:type="character" w:styleId="12">
    <w:name w:val="Hyperlink"/>
    <w:basedOn w:val="6"/>
    <w:semiHidden/>
    <w:unhideWhenUsed/>
    <w:qFormat/>
    <w:uiPriority w:val="99"/>
    <w:rPr>
      <w:color w:val="0000FF"/>
      <w:u w:val="single"/>
    </w:rPr>
  </w:style>
  <w:style w:type="character" w:styleId="13">
    <w:name w:val="page number"/>
    <w:qFormat/>
    <w:uiPriority w:val="0"/>
  </w:style>
  <w:style w:type="paragraph" w:styleId="14">
    <w:name w:val="List"/>
    <w:basedOn w:val="15"/>
    <w:qFormat/>
    <w:uiPriority w:val="0"/>
    <w:rPr>
      <w:rFonts w:cs="Arial"/>
    </w:rPr>
  </w:style>
  <w:style w:type="paragraph" w:styleId="15">
    <w:name w:val="Body Text"/>
    <w:basedOn w:val="1"/>
    <w:qFormat/>
    <w:uiPriority w:val="0"/>
    <w:pPr>
      <w:spacing w:after="140" w:line="276" w:lineRule="auto"/>
    </w:pPr>
  </w:style>
  <w:style w:type="paragraph" w:styleId="16">
    <w:name w:val="annotation text"/>
    <w:basedOn w:val="1"/>
    <w:link w:val="40"/>
    <w:semiHidden/>
    <w:unhideWhenUsed/>
    <w:qFormat/>
    <w:uiPriority w:val="99"/>
  </w:style>
  <w:style w:type="paragraph" w:styleId="17">
    <w:name w:val="Body Text Indent 2"/>
    <w:basedOn w:val="1"/>
    <w:link w:val="30"/>
    <w:qFormat/>
    <w:uiPriority w:val="0"/>
    <w:pPr>
      <w:ind w:left="3686"/>
      <w:jc w:val="both"/>
    </w:pPr>
    <w:rPr>
      <w:rFonts w:ascii="Arial" w:hAnsi="Arial"/>
      <w:b/>
    </w:rPr>
  </w:style>
  <w:style w:type="paragraph" w:styleId="18">
    <w:name w:val="Title"/>
    <w:basedOn w:val="1"/>
    <w:next w:val="15"/>
    <w:qFormat/>
    <w:uiPriority w:val="0"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19">
    <w:name w:val="Normal (Web)"/>
    <w:basedOn w:val="1"/>
    <w:semiHidden/>
    <w:unhideWhenUsed/>
    <w:qFormat/>
    <w:uiPriority w:val="99"/>
    <w:pPr>
      <w:spacing w:beforeAutospacing="1" w:afterAutospacing="1"/>
    </w:pPr>
    <w:rPr>
      <w:sz w:val="24"/>
      <w:szCs w:val="24"/>
    </w:rPr>
  </w:style>
  <w:style w:type="paragraph" w:styleId="20">
    <w:name w:val="header"/>
    <w:basedOn w:val="1"/>
    <w:link w:val="32"/>
    <w:unhideWhenUsed/>
    <w:qFormat/>
    <w:uiPriority w:val="99"/>
    <w:pPr>
      <w:tabs>
        <w:tab w:val="center" w:pos="4252"/>
        <w:tab w:val="right" w:pos="8504"/>
      </w:tabs>
    </w:pPr>
  </w:style>
  <w:style w:type="paragraph" w:styleId="21">
    <w:name w:val="annotation subject"/>
    <w:basedOn w:val="16"/>
    <w:next w:val="16"/>
    <w:link w:val="41"/>
    <w:semiHidden/>
    <w:unhideWhenUsed/>
    <w:qFormat/>
    <w:uiPriority w:val="99"/>
    <w:rPr>
      <w:b/>
      <w:bCs/>
    </w:rPr>
  </w:style>
  <w:style w:type="paragraph" w:styleId="22">
    <w:name w:val="footer"/>
    <w:basedOn w:val="1"/>
    <w:link w:val="33"/>
    <w:unhideWhenUsed/>
    <w:qFormat/>
    <w:uiPriority w:val="99"/>
    <w:pPr>
      <w:tabs>
        <w:tab w:val="center" w:pos="4252"/>
        <w:tab w:val="right" w:pos="8504"/>
      </w:tabs>
    </w:pPr>
  </w:style>
  <w:style w:type="paragraph" w:styleId="23">
    <w:name w:val="caption"/>
    <w:basedOn w:val="1"/>
    <w:next w:val="1"/>
    <w:qFormat/>
    <w:uiPriority w:val="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24">
    <w:name w:val="Balloon Text"/>
    <w:basedOn w:val="1"/>
    <w:link w:val="31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25">
    <w:name w:val="footnote text"/>
    <w:basedOn w:val="1"/>
    <w:link w:val="46"/>
    <w:semiHidden/>
    <w:unhideWhenUsed/>
    <w:qFormat/>
    <w:uiPriority w:val="99"/>
  </w:style>
  <w:style w:type="paragraph" w:styleId="26">
    <w:name w:val="Body Text Indent"/>
    <w:basedOn w:val="1"/>
    <w:link w:val="29"/>
    <w:qFormat/>
    <w:uiPriority w:val="0"/>
    <w:pPr>
      <w:ind w:left="426" w:hanging="426"/>
    </w:pPr>
  </w:style>
  <w:style w:type="table" w:styleId="27">
    <w:name w:val="Table Grid"/>
    <w:basedOn w:val="7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28">
    <w:name w:val="Título 7 Char"/>
    <w:basedOn w:val="6"/>
    <w:link w:val="5"/>
    <w:qFormat/>
    <w:uiPriority w:val="0"/>
    <w:rPr>
      <w:rFonts w:ascii="Arial" w:hAnsi="Arial" w:eastAsia="Times New Roman" w:cs="Times New Roman"/>
      <w:b/>
      <w:sz w:val="28"/>
      <w:szCs w:val="20"/>
      <w:u w:val="single"/>
      <w:lang w:val="pt-PT"/>
    </w:rPr>
  </w:style>
  <w:style w:type="character" w:customStyle="1" w:styleId="29">
    <w:name w:val="Recuo de corpo de texto Char"/>
    <w:basedOn w:val="6"/>
    <w:link w:val="26"/>
    <w:qFormat/>
    <w:uiPriority w:val="0"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customStyle="1" w:styleId="30">
    <w:name w:val="Recuo de corpo de texto 2 Char"/>
    <w:basedOn w:val="6"/>
    <w:link w:val="17"/>
    <w:qFormat/>
    <w:uiPriority w:val="0"/>
    <w:rPr>
      <w:rFonts w:ascii="Arial" w:hAnsi="Arial" w:eastAsia="Times New Roman" w:cs="Times New Roman"/>
      <w:b/>
      <w:sz w:val="20"/>
      <w:szCs w:val="20"/>
    </w:rPr>
  </w:style>
  <w:style w:type="character" w:customStyle="1" w:styleId="31">
    <w:name w:val="Texto de balão Char"/>
    <w:basedOn w:val="6"/>
    <w:link w:val="24"/>
    <w:semiHidden/>
    <w:qFormat/>
    <w:uiPriority w:val="99"/>
    <w:rPr>
      <w:rFonts w:ascii="Tahoma" w:hAnsi="Tahoma" w:eastAsia="Times New Roman" w:cs="Tahoma"/>
      <w:sz w:val="16"/>
      <w:szCs w:val="16"/>
      <w:lang w:eastAsia="pt-BR"/>
    </w:rPr>
  </w:style>
  <w:style w:type="character" w:customStyle="1" w:styleId="32">
    <w:name w:val="Cabeçalho Char"/>
    <w:basedOn w:val="6"/>
    <w:link w:val="20"/>
    <w:qFormat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customStyle="1" w:styleId="33">
    <w:name w:val="Rodapé Char"/>
    <w:basedOn w:val="6"/>
    <w:link w:val="22"/>
    <w:qFormat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customStyle="1" w:styleId="34">
    <w:name w:val="Título 1 Char"/>
    <w:basedOn w:val="6"/>
    <w:link w:val="2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  <w:lang w:eastAsia="pt-BR"/>
    </w:rPr>
  </w:style>
  <w:style w:type="character" w:customStyle="1" w:styleId="35">
    <w:name w:val="Fonte parág. padrão6"/>
    <w:qFormat/>
    <w:uiPriority w:val="0"/>
  </w:style>
  <w:style w:type="character" w:customStyle="1" w:styleId="36">
    <w:name w:val="Título 2 Char"/>
    <w:basedOn w:val="6"/>
    <w:link w:val="3"/>
    <w:semiHidden/>
    <w:qFormat/>
    <w:uiPriority w:val="9"/>
    <w:rPr>
      <w:rFonts w:asciiTheme="majorHAnsi" w:hAnsiTheme="majorHAnsi" w:eastAsiaTheme="majorEastAsia" w:cstheme="majorBidi"/>
      <w:color w:val="376092" w:themeColor="accent1" w:themeShade="BF"/>
      <w:sz w:val="26"/>
      <w:szCs w:val="26"/>
      <w:lang w:eastAsia="pt-BR"/>
    </w:rPr>
  </w:style>
  <w:style w:type="character" w:customStyle="1" w:styleId="37">
    <w:name w:val="Título 4 Char"/>
    <w:basedOn w:val="6"/>
    <w:link w:val="4"/>
    <w:semiHidden/>
    <w:qFormat/>
    <w:uiPriority w:val="9"/>
    <w:rPr>
      <w:rFonts w:asciiTheme="majorHAnsi" w:hAnsiTheme="majorHAnsi" w:eastAsiaTheme="majorEastAsia" w:cstheme="majorBidi"/>
      <w:i/>
      <w:iCs/>
      <w:color w:val="376092" w:themeColor="accent1" w:themeShade="BF"/>
      <w:sz w:val="20"/>
      <w:szCs w:val="20"/>
      <w:lang w:eastAsia="pt-BR"/>
    </w:rPr>
  </w:style>
  <w:style w:type="character" w:customStyle="1" w:styleId="38">
    <w:name w:val="Link da Internet"/>
    <w:basedOn w:val="6"/>
    <w:semiHidden/>
    <w:unhideWhenUsed/>
    <w:uiPriority w:val="99"/>
    <w:rPr>
      <w:color w:val="0000FF"/>
      <w:u w:val="single"/>
    </w:rPr>
  </w:style>
  <w:style w:type="character" w:customStyle="1" w:styleId="39">
    <w:name w:val="qtip-link"/>
    <w:basedOn w:val="6"/>
    <w:qFormat/>
    <w:uiPriority w:val="0"/>
  </w:style>
  <w:style w:type="character" w:customStyle="1" w:styleId="40">
    <w:name w:val="Texto de comentário Char"/>
    <w:basedOn w:val="6"/>
    <w:link w:val="16"/>
    <w:semiHidden/>
    <w:qFormat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customStyle="1" w:styleId="41">
    <w:name w:val="Assunto do comentário Char"/>
    <w:basedOn w:val="40"/>
    <w:link w:val="21"/>
    <w:semiHidden/>
    <w:qFormat/>
    <w:uiPriority w:val="99"/>
    <w:rPr>
      <w:rFonts w:ascii="Times New Roman" w:hAnsi="Times New Roman" w:eastAsia="Times New Roman" w:cs="Times New Roman"/>
      <w:b/>
      <w:bCs/>
      <w:sz w:val="20"/>
      <w:szCs w:val="20"/>
      <w:lang w:eastAsia="pt-BR"/>
    </w:rPr>
  </w:style>
  <w:style w:type="character" w:customStyle="1" w:styleId="42">
    <w:name w:val="m_7892110431564642023ttulo2char"/>
    <w:basedOn w:val="6"/>
    <w:qFormat/>
    <w:uiPriority w:val="0"/>
  </w:style>
  <w:style w:type="character" w:customStyle="1" w:styleId="43">
    <w:name w:val="WW8Num5z3"/>
    <w:qFormat/>
    <w:uiPriority w:val="0"/>
    <w:rPr>
      <w:rFonts w:ascii="Symbol" w:hAnsi="Symbol" w:cs="Symbol"/>
    </w:rPr>
  </w:style>
  <w:style w:type="character" w:customStyle="1" w:styleId="44">
    <w:name w:val="WW8Num5z4"/>
    <w:qFormat/>
    <w:uiPriority w:val="0"/>
    <w:rPr>
      <w:rFonts w:ascii="Courier New" w:hAnsi="Courier New" w:cs="Courier New"/>
    </w:rPr>
  </w:style>
  <w:style w:type="character" w:customStyle="1" w:styleId="45">
    <w:name w:val="WW8Num6z0"/>
    <w:qFormat/>
    <w:uiPriority w:val="0"/>
    <w:rPr>
      <w:rFonts w:ascii="Times New Roman" w:hAnsi="Times New Roman" w:cs="Times New Roman"/>
    </w:rPr>
  </w:style>
  <w:style w:type="character" w:customStyle="1" w:styleId="46">
    <w:name w:val="Texto de nota de rodapé Char"/>
    <w:basedOn w:val="6"/>
    <w:link w:val="25"/>
    <w:semiHidden/>
    <w:qFormat/>
    <w:uiPriority w:val="99"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customStyle="1" w:styleId="47">
    <w:name w:val="Âncora da nota de rodapé"/>
    <w:qFormat/>
    <w:uiPriority w:val="0"/>
    <w:rPr>
      <w:vertAlign w:val="superscript"/>
    </w:rPr>
  </w:style>
  <w:style w:type="character" w:customStyle="1" w:styleId="48">
    <w:name w:val="Footnote Characters"/>
    <w:basedOn w:val="6"/>
    <w:semiHidden/>
    <w:unhideWhenUsed/>
    <w:qFormat/>
    <w:uiPriority w:val="99"/>
    <w:rPr>
      <w:vertAlign w:val="superscript"/>
    </w:rPr>
  </w:style>
  <w:style w:type="character" w:customStyle="1" w:styleId="49">
    <w:name w:val="Caracteres de nota de rodapé"/>
    <w:qFormat/>
    <w:uiPriority w:val="0"/>
  </w:style>
  <w:style w:type="character" w:customStyle="1" w:styleId="50">
    <w:name w:val="Âncora da nota de fim"/>
    <w:qFormat/>
    <w:uiPriority w:val="0"/>
    <w:rPr>
      <w:vertAlign w:val="superscript"/>
    </w:rPr>
  </w:style>
  <w:style w:type="character" w:customStyle="1" w:styleId="51">
    <w:name w:val="Caracteres de nota de fim"/>
    <w:qFormat/>
    <w:uiPriority w:val="0"/>
  </w:style>
  <w:style w:type="paragraph" w:customStyle="1" w:styleId="52">
    <w:name w:val="Índice"/>
    <w:basedOn w:val="1"/>
    <w:qFormat/>
    <w:uiPriority w:val="0"/>
    <w:pPr>
      <w:suppressLineNumbers/>
    </w:pPr>
    <w:rPr>
      <w:rFonts w:cs="Arial"/>
    </w:rPr>
  </w:style>
  <w:style w:type="paragraph" w:customStyle="1" w:styleId="53">
    <w:name w:val="ParaPrinc"/>
    <w:basedOn w:val="1"/>
    <w:qFormat/>
    <w:uiPriority w:val="0"/>
    <w:pPr>
      <w:widowControl w:val="0"/>
      <w:snapToGrid w:val="0"/>
      <w:jc w:val="both"/>
    </w:pPr>
    <w:rPr>
      <w:rFonts w:ascii="Book Antiqua" w:hAnsi="Book Antiqua"/>
      <w:sz w:val="24"/>
      <w:lang w:val="en-AU"/>
    </w:rPr>
  </w:style>
  <w:style w:type="paragraph" w:customStyle="1" w:styleId="54">
    <w:name w:val="Default"/>
    <w:qFormat/>
    <w:uiPriority w:val="0"/>
    <w:rPr>
      <w:rFonts w:ascii="Arial" w:hAnsi="Arial" w:eastAsia="Times New Roman" w:cs="Arial"/>
      <w:color w:val="000000"/>
      <w:sz w:val="24"/>
      <w:szCs w:val="24"/>
      <w:lang w:val="pt-BR" w:eastAsia="pt-BR" w:bidi="ar-SA"/>
    </w:rPr>
  </w:style>
  <w:style w:type="paragraph" w:customStyle="1" w:styleId="55">
    <w:name w:val="WW-Recuo de corpo de texto 2"/>
    <w:basedOn w:val="1"/>
    <w:qFormat/>
    <w:uiPriority w:val="0"/>
    <w:pPr>
      <w:suppressAutoHyphens/>
      <w:ind w:firstLine="708"/>
      <w:jc w:val="both"/>
    </w:pPr>
    <w:rPr>
      <w:b/>
    </w:rPr>
  </w:style>
  <w:style w:type="paragraph" w:customStyle="1" w:styleId="56">
    <w:name w:val="Contrato"/>
    <w:basedOn w:val="1"/>
    <w:qFormat/>
    <w:uiPriority w:val="0"/>
    <w:pPr>
      <w:spacing w:after="240"/>
      <w:jc w:val="both"/>
    </w:pPr>
    <w:rPr>
      <w:sz w:val="24"/>
    </w:rPr>
  </w:style>
  <w:style w:type="paragraph" w:customStyle="1" w:styleId="57">
    <w:name w:val="Cabeçalho e Rodapé"/>
    <w:basedOn w:val="1"/>
    <w:qFormat/>
    <w:uiPriority w:val="0"/>
  </w:style>
  <w:style w:type="paragraph" w:styleId="58">
    <w:name w:val="List Paragraph"/>
    <w:basedOn w:val="1"/>
    <w:qFormat/>
    <w:uiPriority w:val="34"/>
    <w:pPr>
      <w:ind w:left="720"/>
      <w:contextualSpacing/>
    </w:pPr>
  </w:style>
  <w:style w:type="paragraph" w:customStyle="1" w:styleId="59">
    <w:name w:val="Parágrafo da Lista1"/>
    <w:basedOn w:val="1"/>
    <w:qFormat/>
    <w:uiPriority w:val="0"/>
    <w:pPr>
      <w:widowControl w:val="0"/>
      <w:suppressAutoHyphens/>
      <w:textAlignment w:val="baseline"/>
    </w:pPr>
    <w:rPr>
      <w:rFonts w:eastAsia="Lucida Sans Unicode" w:cs="Mangal"/>
      <w:kern w:val="2"/>
      <w:sz w:val="24"/>
      <w:szCs w:val="24"/>
      <w:lang w:eastAsia="zh-CN" w:bidi="hi-IN"/>
    </w:rPr>
  </w:style>
  <w:style w:type="paragraph" w:customStyle="1" w:styleId="60">
    <w:name w:val="_A010165"/>
    <w:qFormat/>
    <w:uiPriority w:val="0"/>
    <w:pPr>
      <w:tabs>
        <w:tab w:val="left" w:pos="937"/>
      </w:tabs>
      <w:suppressAutoHyphens/>
      <w:jc w:val="both"/>
    </w:pPr>
    <w:rPr>
      <w:rFonts w:ascii="Arial" w:hAnsi="Arial" w:eastAsia="Times New Roman" w:cs="Times New Roman"/>
      <w:color w:val="000000"/>
      <w:lang w:val="pt-BR" w:eastAsia="ar-SA" w:bidi="ar-SA"/>
    </w:rPr>
  </w:style>
  <w:style w:type="paragraph" w:customStyle="1" w:styleId="61">
    <w:name w:val="Table Paragraph"/>
    <w:basedOn w:val="1"/>
    <w:qFormat/>
    <w:uiPriority w:val="1"/>
    <w:pPr>
      <w:widowControl w:val="0"/>
      <w:ind w:left="103"/>
    </w:pPr>
    <w:rPr>
      <w:sz w:val="22"/>
      <w:szCs w:val="22"/>
      <w:lang w:val="en-US" w:eastAsia="en-US"/>
    </w:rPr>
  </w:style>
  <w:style w:type="paragraph" w:customStyle="1" w:styleId="62">
    <w:name w:val="rtejustify"/>
    <w:basedOn w:val="1"/>
    <w:qFormat/>
    <w:uiPriority w:val="0"/>
    <w:pPr>
      <w:spacing w:beforeAutospacing="1" w:afterAutospacing="1"/>
    </w:pPr>
    <w:rPr>
      <w:sz w:val="24"/>
      <w:szCs w:val="24"/>
    </w:rPr>
  </w:style>
  <w:style w:type="paragraph" w:customStyle="1" w:styleId="63">
    <w:name w:val="rtecenter"/>
    <w:basedOn w:val="1"/>
    <w:qFormat/>
    <w:uiPriority w:val="0"/>
    <w:pPr>
      <w:spacing w:beforeAutospacing="1" w:afterAutospacing="1"/>
    </w:pPr>
    <w:rPr>
      <w:sz w:val="24"/>
      <w:szCs w:val="24"/>
    </w:rPr>
  </w:style>
  <w:style w:type="paragraph" w:customStyle="1" w:styleId="64">
    <w:name w:val="rteindent1"/>
    <w:basedOn w:val="1"/>
    <w:qFormat/>
    <w:uiPriority w:val="0"/>
    <w:pPr>
      <w:spacing w:beforeAutospacing="1" w:afterAutospacing="1"/>
    </w:pPr>
    <w:rPr>
      <w:sz w:val="24"/>
      <w:szCs w:val="24"/>
    </w:rPr>
  </w:style>
  <w:style w:type="paragraph" w:customStyle="1" w:styleId="65">
    <w:name w:val="texto_justificado"/>
    <w:basedOn w:val="1"/>
    <w:qFormat/>
    <w:uiPriority w:val="0"/>
    <w:pPr>
      <w:spacing w:beforeAutospacing="1" w:afterAutospacing="1"/>
    </w:pPr>
    <w:rPr>
      <w:sz w:val="24"/>
      <w:szCs w:val="24"/>
    </w:rPr>
  </w:style>
  <w:style w:type="paragraph" w:customStyle="1" w:styleId="66">
    <w:name w:val="Conteúdo do quadro"/>
    <w:basedOn w:val="1"/>
    <w:qFormat/>
    <w:uiPriority w:val="0"/>
  </w:style>
  <w:style w:type="table" w:customStyle="1" w:styleId="67">
    <w:name w:val="Tabela de Grade 4 - Ênfase 31"/>
    <w:basedOn w:val="7"/>
    <w:qFormat/>
    <w:uiPriority w:val="49"/>
    <w:tblPr>
      <w:tblBorders>
        <w:top w:val="single" w:color="C2D69B" w:themeColor="accent3" w:themeTint="99" w:sz="4" w:space="0"/>
        <w:left w:val="single" w:color="C2D69B" w:themeColor="accent3" w:themeTint="99" w:sz="4" w:space="0"/>
        <w:bottom w:val="single" w:color="C2D69B" w:themeColor="accent3" w:themeTint="99" w:sz="4" w:space="0"/>
        <w:right w:val="single" w:color="C2D69B" w:themeColor="accent3" w:themeTint="99" w:sz="4" w:space="0"/>
        <w:insideH w:val="single" w:color="C2D69B" w:themeColor="accent3" w:themeTint="99" w:sz="4" w:space="0"/>
        <w:insideV w:val="single" w:color="C2D69B" w:themeColor="accent3" w:themeTint="99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9BBB59" w:themeColor="accent3" w:sz="4" w:space="0"/>
          <w:left w:val="single" w:color="9BBB59" w:themeColor="accent3" w:sz="4" w:space="0"/>
          <w:bottom w:val="single" w:color="9BBB59" w:themeColor="accent3" w:sz="4" w:space="0"/>
          <w:right w:val="single" w:color="9BBB59" w:themeColor="accent3" w:sz="4" w:space="0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cPr>
        <w:tcBorders>
          <w:top w:val="double" w:color="9BBB59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AF1DD" w:themeFill="accent3" w:themeFillTint="33"/>
      </w:tcPr>
    </w:tblStylePr>
    <w:tblStylePr w:type="band1Horz">
      <w:tcPr>
        <w:shd w:val="clear" w:color="auto" w:fill="EAF1DD" w:themeFill="accent3" w:themeFillTint="33"/>
      </w:tcPr>
    </w:tblStylePr>
  </w:style>
  <w:style w:type="table" w:customStyle="1" w:styleId="68">
    <w:name w:val="Tabela de Lista 3 - Ênfase 31"/>
    <w:basedOn w:val="7"/>
    <w:qFormat/>
    <w:uiPriority w:val="48"/>
    <w:tblPr>
      <w:tblBorders>
        <w:top w:val="single" w:color="9BBB59" w:themeColor="accent3" w:sz="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shd w:val="clear" w:color="auto" w:fill="9BBB59" w:themeFill="accent3"/>
      </w:tcPr>
    </w:tblStylePr>
    <w:tblStylePr w:type="lastRow">
      <w:rPr>
        <w:b/>
        <w:bCs/>
      </w:rPr>
      <w:tcPr>
        <w:tcBorders>
          <w:top w:val="double" w:color="9BBB59" w:themeColor="accent3" w:sz="4" w:space="0"/>
        </w:tcBorders>
        <w:shd w:val="clear" w:color="auto" w:fill="FFFFFF" w:themeFill="background1"/>
      </w:tcPr>
    </w:tblStylePr>
    <w:tblStylePr w:type="firstCol">
      <w:rPr>
        <w:b/>
        <w:bCs/>
      </w:rPr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cPr>
        <w:tcBorders>
          <w:left w:val="nil"/>
        </w:tcBorders>
        <w:shd w:val="clear" w:color="auto" w:fill="FFFFFF" w:themeFill="background1"/>
      </w:tcPr>
    </w:tblStylePr>
    <w:tblStylePr w:type="band1Vert">
      <w:tcPr>
        <w:tcBorders>
          <w:left w:val="single" w:color="9BBB59" w:themeColor="accent3" w:sz="4" w:space="0"/>
          <w:right w:val="single" w:color="9BBB59" w:themeColor="accent3" w:sz="4" w:space="0"/>
        </w:tcBorders>
      </w:tcPr>
    </w:tblStylePr>
    <w:tblStylePr w:type="band1Horz">
      <w:tcPr>
        <w:tcBorders>
          <w:top w:val="single" w:color="9BBB59" w:themeColor="accent3" w:sz="4" w:space="0"/>
          <w:bottom w:val="single" w:color="9BBB59" w:themeColor="accent3" w:sz="4" w:space="0"/>
          <w:insideH w:val="nil"/>
        </w:tcBorders>
      </w:tcPr>
    </w:tblStylePr>
    <w:tblStylePr w:type="neCell">
      <w:tcPr>
        <w:tcBorders>
          <w:left w:val="nil"/>
          <w:bottom w:val="nil"/>
        </w:tcBorders>
      </w:tcPr>
    </w:tblStylePr>
    <w:tblStylePr w:type="nwCell">
      <w:tcPr>
        <w:tcBorders>
          <w:bottom w:val="nil"/>
          <w:right w:val="nil"/>
        </w:tcBorders>
      </w:tcPr>
    </w:tblStylePr>
    <w:tblStylePr w:type="seCell">
      <w:tcPr>
        <w:tcBorders>
          <w:top w:val="double" w:color="9BBB59" w:themeColor="accent3" w:sz="4" w:space="0"/>
          <w:left w:val="nil"/>
        </w:tcBorders>
      </w:tcPr>
    </w:tblStylePr>
    <w:tblStylePr w:type="swCell">
      <w:tcPr>
        <w:tcBorders>
          <w:top w:val="double" w:color="9BBB59" w:themeColor="accent3" w:sz="4" w:space="0"/>
          <w:right w:val="nil"/>
        </w:tcBorders>
      </w:tcPr>
    </w:tblStylePr>
  </w:style>
  <w:style w:type="table" w:customStyle="1" w:styleId="69">
    <w:name w:val="Tabela de Grade 6 Colorida - Ênfase 31"/>
    <w:basedOn w:val="7"/>
    <w:qFormat/>
    <w:uiPriority w:val="51"/>
    <w:rPr>
      <w:color w:val="77933C" w:themeColor="accent3" w:themeShade="BF"/>
    </w:rPr>
    <w:tblPr>
      <w:tblBorders>
        <w:top w:val="single" w:color="C2D69B" w:themeColor="accent3" w:themeTint="99" w:sz="4" w:space="0"/>
        <w:left w:val="single" w:color="C2D69B" w:themeColor="accent3" w:themeTint="99" w:sz="4" w:space="0"/>
        <w:bottom w:val="single" w:color="C2D69B" w:themeColor="accent3" w:themeTint="99" w:sz="4" w:space="0"/>
        <w:right w:val="single" w:color="C2D69B" w:themeColor="accent3" w:themeTint="99" w:sz="4" w:space="0"/>
        <w:insideH w:val="single" w:color="C2D69B" w:themeColor="accent3" w:themeTint="99" w:sz="4" w:space="0"/>
        <w:insideV w:val="single" w:color="C2D69B" w:themeColor="accent3" w:themeTint="99" w:sz="4" w:space="0"/>
      </w:tblBorders>
    </w:tblPr>
    <w:tblStylePr w:type="firstRow">
      <w:rPr>
        <w:b/>
        <w:bCs/>
      </w:rPr>
      <w:tcPr>
        <w:tcBorders>
          <w:bottom w:val="single" w:color="9BBB59" w:themeColor="accent3" w:sz="12" w:space="0"/>
        </w:tcBorders>
      </w:tcPr>
    </w:tblStylePr>
    <w:tblStylePr w:type="lastRow">
      <w:rPr>
        <w:b/>
        <w:bCs/>
      </w:rPr>
      <w:tcPr>
        <w:tcBorders>
          <w:top w:val="double" w:color="9BBB59" w:themeColor="accent3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EAF1DD" w:themeFill="accent3" w:themeFillTint="33"/>
      </w:tcPr>
    </w:tblStylePr>
    <w:tblStylePr w:type="band1Horz">
      <w:tcPr>
        <w:shd w:val="clear" w:color="auto" w:fill="EAF1DD" w:themeFill="accent3" w:themeFillTint="33"/>
      </w:tcPr>
    </w:tblStylePr>
  </w:style>
  <w:style w:type="table" w:customStyle="1" w:styleId="70">
    <w:name w:val="Tabela de Grade 4 - Ênfase 11"/>
    <w:basedOn w:val="7"/>
    <w:qFormat/>
    <w:uiPriority w:val="49"/>
    <w:tblPr>
      <w:tblBorders>
        <w:top w:val="single" w:color="95B3D7" w:themeColor="accent1" w:themeTint="99" w:sz="4" w:space="0"/>
        <w:left w:val="single" w:color="95B3D7" w:themeColor="accent1" w:themeTint="99" w:sz="4" w:space="0"/>
        <w:bottom w:val="single" w:color="95B3D7" w:themeColor="accent1" w:themeTint="99" w:sz="4" w:space="0"/>
        <w:right w:val="single" w:color="95B3D7" w:themeColor="accent1" w:themeTint="99" w:sz="4" w:space="0"/>
        <w:insideH w:val="single" w:color="95B3D7" w:themeColor="accent1" w:themeTint="99" w:sz="4" w:space="0"/>
        <w:insideV w:val="single" w:color="95B3D7" w:themeColor="accent1" w:themeTint="99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4F81BD" w:themeColor="accent1" w:sz="4" w:space="0"/>
          <w:left w:val="single" w:color="4F81BD" w:themeColor="accent1" w:sz="4" w:space="0"/>
          <w:bottom w:val="single" w:color="4F81BD" w:themeColor="accent1" w:sz="4" w:space="0"/>
          <w:right w:val="single" w:color="4F81BD" w:themeColor="accent1" w:sz="4" w:space="0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cPr>
        <w:tcBorders>
          <w:top w:val="double" w:color="4F81BD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BE5F1" w:themeFill="accent1" w:themeFillTint="33"/>
      </w:tcPr>
    </w:tblStylePr>
    <w:tblStylePr w:type="band1Horz">
      <w:tcPr>
        <w:shd w:val="clear" w:color="auto" w:fill="DBE5F1" w:themeFill="accent1" w:themeFillTint="33"/>
      </w:tcPr>
    </w:tblStylePr>
  </w:style>
  <w:style w:type="table" w:customStyle="1" w:styleId="71">
    <w:name w:val="Grid Table 2 Accent 1"/>
    <w:basedOn w:val="7"/>
    <w:qFormat/>
    <w:uiPriority w:val="47"/>
    <w:tblPr>
      <w:tblBorders>
        <w:top w:val="single" w:color="95B3D7" w:themeColor="accent1" w:themeTint="99" w:sz="2" w:space="0"/>
        <w:bottom w:val="single" w:color="95B3D7" w:themeColor="accent1" w:themeTint="99" w:sz="2" w:space="0"/>
        <w:insideH w:val="single" w:color="95B3D7" w:themeColor="accent1" w:themeTint="99" w:sz="2" w:space="0"/>
        <w:insideV w:val="single" w:color="95B3D7" w:themeColor="accent1" w:themeTint="99" w:sz="2" w:space="0"/>
      </w:tblBorders>
    </w:tblPr>
    <w:tblStylePr w:type="firstRow">
      <w:rPr>
        <w:b/>
        <w:bCs/>
      </w:rPr>
      <w:tcPr>
        <w:tcBorders>
          <w:top w:val="nil"/>
          <w:bottom w:val="single" w:color="95B3D7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cPr>
        <w:tcBorders>
          <w:top w:val="double" w:color="95B3D7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BE5F1" w:themeFill="accent1" w:themeFillTint="33"/>
      </w:tcPr>
    </w:tblStylePr>
    <w:tblStylePr w:type="band1Horz">
      <w:tcPr>
        <w:shd w:val="clear" w:color="auto" w:fill="DBE5F1" w:themeFill="accent1" w:themeFillTint="33"/>
      </w:tcPr>
    </w:tblStylePr>
  </w:style>
  <w:style w:type="table" w:customStyle="1" w:styleId="72">
    <w:name w:val="Grid Table 4 Accent 1"/>
    <w:basedOn w:val="7"/>
    <w:qFormat/>
    <w:uiPriority w:val="49"/>
    <w:tblPr>
      <w:tblBorders>
        <w:top w:val="single" w:color="95B3D7" w:themeColor="accent1" w:themeTint="99" w:sz="4" w:space="0"/>
        <w:left w:val="single" w:color="95B3D7" w:themeColor="accent1" w:themeTint="99" w:sz="4" w:space="0"/>
        <w:bottom w:val="single" w:color="95B3D7" w:themeColor="accent1" w:themeTint="99" w:sz="4" w:space="0"/>
        <w:right w:val="single" w:color="95B3D7" w:themeColor="accent1" w:themeTint="99" w:sz="4" w:space="0"/>
        <w:insideH w:val="single" w:color="95B3D7" w:themeColor="accent1" w:themeTint="99" w:sz="4" w:space="0"/>
        <w:insideV w:val="single" w:color="95B3D7" w:themeColor="accent1" w:themeTint="99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4F81BD" w:themeColor="accent1" w:sz="4" w:space="0"/>
          <w:left w:val="single" w:color="4F81BD" w:themeColor="accent1" w:sz="4" w:space="0"/>
          <w:bottom w:val="single" w:color="4F81BD" w:themeColor="accent1" w:sz="4" w:space="0"/>
          <w:right w:val="single" w:color="4F81BD" w:themeColor="accent1" w:sz="4" w:space="0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cPr>
        <w:tcBorders>
          <w:top w:val="double" w:color="4F81BD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DBE5F1" w:themeFill="accent1" w:themeFillTint="33"/>
      </w:tcPr>
    </w:tblStylePr>
    <w:tblStylePr w:type="band1Horz">
      <w:tcPr>
        <w:shd w:val="clear" w:color="auto" w:fill="DBE5F1" w:themeFill="accent1" w:themeFillTint="33"/>
      </w:tcPr>
    </w:tblStyle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2.pn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header" Target="header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94D733A-D005-4F7B-8526-FBAE27407EF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18</Pages>
  <Words>5232</Words>
  <Characters>28259</Characters>
  <Lines>235</Lines>
  <Paragraphs>66</Paragraphs>
  <TotalTime>10</TotalTime>
  <ScaleCrop>false</ScaleCrop>
  <LinksUpToDate>false</LinksUpToDate>
  <CharactersWithSpaces>33425</CharactersWithSpaces>
  <Application>WPS Office_11.2.0.10426_F1E327BC-269C-435d-A152-05C5408002CA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2021-12-24T02:23:00Z</dcterms:created>
  <dc:creator>bteixeira</dc:creator>
  <cp:lastModifiedBy>Juliana Borsoi</cp:lastModifiedBy>
  <cp:lastPrinted>2021-06-06T05:36:00Z</cp:lastPrinted>
  <dcterms:modified xsi:type="dcterms:W3CDTF">2022-01-12T15:18:49Z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1046-11.2.0.10426</vt:lpwstr>
  </property>
  <property fmtid="{D5CDD505-2E9C-101B-9397-08002B2CF9AE}" pid="9" name="ICV">
    <vt:lpwstr>79559A6846EA46749394F68AD0C26A4B</vt:lpwstr>
  </property>
</Properties>
</file>