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val="0"/>
        <w:rPr>
          <w:rFonts w:asciiTheme="minorHAnsi" w:hAnsiTheme="minorHAnsi" w:cstheme="minorHAnsi"/>
          <w:b/>
          <w:bCs/>
          <w:sz w:val="22"/>
          <w:szCs w:val="22"/>
        </w:rPr>
      </w:pPr>
    </w:p>
    <w:tbl>
      <w:tblPr>
        <w:tblStyle w:val="12"/>
        <w:tblpPr w:leftFromText="141" w:rightFromText="141" w:vertAnchor="page" w:horzAnchor="margin" w:tblpXSpec="center" w:tblpY="1756"/>
        <w:tblW w:w="9953" w:type="dxa"/>
        <w:tblInd w:w="0" w:type="dxa"/>
        <w:tblLayout w:type="fixed"/>
        <w:tblCellMar>
          <w:top w:w="0" w:type="dxa"/>
          <w:left w:w="108" w:type="dxa"/>
          <w:bottom w:w="0" w:type="dxa"/>
          <w:right w:w="108" w:type="dxa"/>
        </w:tblCellMar>
      </w:tblPr>
      <w:tblGrid>
        <w:gridCol w:w="3009"/>
        <w:gridCol w:w="6944"/>
      </w:tblGrid>
      <w:tr>
        <w:tblPrEx>
          <w:tblCellMar>
            <w:top w:w="0" w:type="dxa"/>
            <w:left w:w="108" w:type="dxa"/>
            <w:bottom w:w="0" w:type="dxa"/>
            <w:right w:w="108"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29"/>
              <w:tabs>
                <w:tab w:val="left" w:pos="708"/>
              </w:tabs>
              <w:spacing w:before="100" w:after="100"/>
              <w:jc w:val="center"/>
              <w:rPr>
                <w:color w:val="auto"/>
              </w:rPr>
            </w:pPr>
            <w:r>
              <w:rPr>
                <w:rFonts w:ascii="Verdana" w:hAnsi="Verdana" w:cs="Verdana"/>
                <w:b/>
                <w:bCs/>
                <w:color w:val="auto"/>
              </w:rPr>
              <w:t xml:space="preserve"> EDITAL DE LICITAÇÃO</w:t>
            </w:r>
          </w:p>
          <w:p>
            <w:pPr>
              <w:spacing w:before="100" w:after="100"/>
              <w:jc w:val="center"/>
              <w:rPr>
                <w:rFonts w:ascii="Verdana" w:hAnsi="Verdana" w:cs="Verdana"/>
                <w:b/>
                <w:szCs w:val="20"/>
              </w:rPr>
            </w:pPr>
            <w:r>
              <w:rPr>
                <w:rFonts w:ascii="Verdana" w:hAnsi="Verdana" w:cs="Verdana"/>
                <w:b/>
                <w:szCs w:val="20"/>
              </w:rPr>
              <w:t>PREGÃO ELETRÔNICO Nº 08/2021/AD</w:t>
            </w:r>
          </w:p>
          <w:p>
            <w:pPr>
              <w:spacing w:before="100" w:after="100"/>
              <w:jc w:val="center"/>
            </w:pPr>
            <w:r>
              <w:rPr>
                <w:rFonts w:ascii="Verdana" w:hAnsi="Verdana" w:cs="Verdana"/>
                <w:b/>
                <w:szCs w:val="20"/>
              </w:rPr>
              <w:t>SISTEMA DE REGISTRO DE PREÇOS</w:t>
            </w:r>
          </w:p>
          <w:p>
            <w:pPr>
              <w:spacing w:before="100" w:after="100"/>
              <w:jc w:val="center"/>
            </w:pPr>
            <w:r>
              <w:rPr>
                <w:rFonts w:ascii="Verdana" w:hAnsi="Verdana" w:cs="Verdana"/>
                <w:b/>
                <w:szCs w:val="20"/>
              </w:rPr>
              <w:t>PROCESSO Nº 23069.151740/2021-57</w:t>
            </w:r>
            <w:r>
              <w:rPr>
                <w:rFonts w:ascii="Verdana" w:hAnsi="Verdana" w:cs="Verdana"/>
                <w:b/>
                <w:szCs w:val="20"/>
              </w:rPr>
              <w:br w:type="textWrapping"/>
            </w:r>
          </w:p>
          <w:p>
            <w:pPr>
              <w:spacing w:before="100" w:after="100"/>
              <w:jc w:val="both"/>
              <w:rPr>
                <w:rFonts w:cs="Arial"/>
                <w:b/>
                <w:szCs w:val="20"/>
              </w:rPr>
            </w:pPr>
          </w:p>
          <w:p>
            <w:pPr>
              <w:spacing w:before="100" w:after="100"/>
              <w:jc w:val="both"/>
              <w:rPr>
                <w:sz w:val="18"/>
                <w:szCs w:val="18"/>
              </w:rPr>
            </w:pPr>
            <w:r>
              <w:rPr>
                <w:rFonts w:cs="Arial"/>
                <w:sz w:val="18"/>
                <w:szCs w:val="18"/>
              </w:rPr>
              <w:t xml:space="preserve">Regido pela </w:t>
            </w:r>
            <w:r>
              <w:rPr>
                <w:rFonts w:cs="Arial"/>
                <w:color w:val="000000"/>
                <w:sz w:val="18"/>
                <w:szCs w:val="18"/>
              </w:rPr>
              <w:t xml:space="preserve">Lei nº 10.520, de 17 de julho de 2002, </w:t>
            </w:r>
            <w:r>
              <w:rPr>
                <w:rFonts w:cs="Arial"/>
                <w:color w:val="000000" w:themeColor="text1"/>
                <w:sz w:val="18"/>
                <w:szCs w:val="18"/>
                <w14:textFill>
                  <w14:solidFill>
                    <w14:schemeClr w14:val="tx1"/>
                  </w14:solidFill>
                </w14:textFill>
              </w:rPr>
              <w:t>do Decreto nº 10.024, de 20 de setembro de 2019</w:t>
            </w:r>
            <w:r>
              <w:rPr>
                <w:rFonts w:cs="Arial"/>
                <w:color w:val="000000"/>
                <w:sz w:val="18"/>
                <w:szCs w:val="18"/>
              </w:rPr>
              <w:t>,</w:t>
            </w:r>
            <w:r>
              <w:rPr>
                <w:rFonts w:cs="Arial"/>
                <w:sz w:val="18"/>
                <w:szCs w:val="18"/>
              </w:rPr>
              <w:t xml:space="preserve"> do Decreto  nº 7.746, de 05 de junho de 2012</w:t>
            </w:r>
            <w:r>
              <w:rPr>
                <w:rFonts w:cs="Arial"/>
                <w:color w:val="000000"/>
                <w:sz w:val="18"/>
                <w:szCs w:val="18"/>
              </w:rPr>
              <w:t>,  do Decreto nº 7892, de 23 de janeiro e 2013, da Instrução</w:t>
            </w:r>
            <w:r>
              <w:rPr>
                <w:rFonts w:cs="Arial"/>
                <w:sz w:val="18"/>
                <w:szCs w:val="18"/>
              </w:rPr>
              <w:t xml:space="preserve"> Normativa SLTI/MP  nº 01, de 19 de janeiro de 2010,</w:t>
            </w:r>
            <w:r>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pPr>
              <w:spacing w:before="100" w:after="100"/>
              <w:jc w:val="both"/>
              <w:rPr>
                <w:rFonts w:cs="Arial"/>
                <w:sz w:val="18"/>
                <w:szCs w:val="18"/>
              </w:rPr>
            </w:pPr>
          </w:p>
        </w:tc>
      </w:tr>
      <w:tr>
        <w:tblPrEx>
          <w:tblCellMar>
            <w:top w:w="0" w:type="dxa"/>
            <w:left w:w="108" w:type="dxa"/>
            <w:bottom w:w="0" w:type="dxa"/>
            <w:right w:w="108"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OBJETO</w:t>
            </w:r>
          </w:p>
          <w:p>
            <w:pPr>
              <w:spacing w:before="100" w:after="100"/>
              <w:jc w:val="center"/>
              <w:rPr>
                <w:rFonts w:cs="Arial"/>
                <w:b/>
                <w:bCs/>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 xml:space="preserve">O objeto da presente licitação é </w:t>
            </w:r>
            <w:r>
              <w:rPr>
                <w:rFonts w:cs="Arial"/>
                <w:sz w:val="18"/>
                <w:szCs w:val="18"/>
              </w:rPr>
              <w:t xml:space="preserve">a construção do Sistema de Registro de Preços para eventual </w:t>
            </w:r>
            <w:r>
              <w:rPr>
                <w:rFonts w:cs="Arial"/>
                <w:color w:val="000000"/>
                <w:sz w:val="18"/>
                <w:szCs w:val="18"/>
              </w:rPr>
              <w:t xml:space="preserve">aquisição de </w:t>
            </w:r>
            <w:r>
              <w:rPr>
                <w:rFonts w:cs="Arial"/>
                <w:b/>
                <w:bCs/>
                <w:color w:val="000000"/>
                <w:sz w:val="18"/>
                <w:szCs w:val="18"/>
              </w:rPr>
              <w:t>CLORO PARA PISCINA</w:t>
            </w:r>
            <w:r>
              <w:rPr>
                <w:rFonts w:cs="Arial"/>
                <w:color w:val="000000"/>
                <w:sz w:val="18"/>
                <w:szCs w:val="18"/>
              </w:rPr>
              <w:t>, conforme condições, quantidades e exigências estabelecidas neste Edital e seus anexos.</w:t>
            </w:r>
          </w:p>
        </w:tc>
      </w:tr>
      <w:tr>
        <w:tblPrEx>
          <w:tblCellMar>
            <w:top w:w="0" w:type="dxa"/>
            <w:left w:w="108" w:type="dxa"/>
            <w:bottom w:w="0" w:type="dxa"/>
            <w:right w:w="108"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rFonts w:cs="Arial"/>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 xml:space="preserve">A partir da data de divulgação do Edital no site </w:t>
            </w:r>
            <w:r>
              <w:fldChar w:fldCharType="begin"/>
            </w:r>
            <w:r>
              <w:instrText xml:space="preserve"> HYPERLINK "http://www.gov.br/compras" </w:instrText>
            </w:r>
            <w:r>
              <w:fldChar w:fldCharType="separate"/>
            </w:r>
            <w:r>
              <w:rPr>
                <w:rStyle w:val="17"/>
                <w:rFonts w:cs="Arial"/>
                <w:sz w:val="18"/>
                <w:szCs w:val="18"/>
              </w:rPr>
              <w:t>www.gov.br/compras</w:t>
            </w:r>
            <w:r>
              <w:rPr>
                <w:rStyle w:val="17"/>
                <w:rFonts w:cs="Arial"/>
                <w:sz w:val="18"/>
                <w:szCs w:val="18"/>
              </w:rPr>
              <w:fldChar w:fldCharType="end"/>
            </w:r>
            <w:r>
              <w:rPr>
                <w:rFonts w:cs="Arial"/>
                <w:color w:val="000000"/>
                <w:sz w:val="18"/>
                <w:szCs w:val="18"/>
              </w:rPr>
              <w:t xml:space="preserve"> </w:t>
            </w:r>
          </w:p>
          <w:p>
            <w:pPr>
              <w:jc w:val="both"/>
              <w:rPr>
                <w:rFonts w:cs="Arial"/>
                <w:color w:val="000000"/>
                <w:sz w:val="18"/>
                <w:szCs w:val="18"/>
              </w:rPr>
            </w:pPr>
            <w:r>
              <w:rPr>
                <w:rFonts w:cs="Arial"/>
                <w:color w:val="000000"/>
                <w:sz w:val="18"/>
                <w:szCs w:val="18"/>
              </w:rPr>
              <w:t xml:space="preserve">até a data e horário de realização da sessão pública. </w:t>
            </w:r>
          </w:p>
        </w:tc>
      </w:tr>
      <w:tr>
        <w:tblPrEx>
          <w:tblCellMar>
            <w:top w:w="0" w:type="dxa"/>
            <w:left w:w="108" w:type="dxa"/>
            <w:bottom w:w="0" w:type="dxa"/>
            <w:right w:w="108"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rFonts w:cs="Arial"/>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hint="default" w:cs="Arial"/>
                <w:color w:val="000000"/>
                <w:sz w:val="18"/>
                <w:szCs w:val="18"/>
                <w:lang w:val="pt-BR"/>
              </w:rPr>
            </w:pPr>
            <w:r>
              <w:rPr>
                <w:rFonts w:cs="Arial"/>
                <w:sz w:val="18"/>
                <w:szCs w:val="18"/>
              </w:rPr>
              <w:t xml:space="preserve">Sessão Pública a ser realizada no endereço eletrônico informado no edital, às </w:t>
            </w:r>
            <w:r>
              <w:rPr>
                <w:rFonts w:cs="Arial"/>
                <w:b/>
                <w:sz w:val="18"/>
                <w:szCs w:val="18"/>
              </w:rPr>
              <w:t>10h</w:t>
            </w:r>
            <w:r>
              <w:rPr>
                <w:rFonts w:cs="Arial"/>
                <w:sz w:val="18"/>
                <w:szCs w:val="18"/>
              </w:rPr>
              <w:t xml:space="preserve"> do dia </w:t>
            </w:r>
            <w:r>
              <w:rPr>
                <w:rFonts w:hint="default" w:cs="Arial"/>
                <w:b/>
                <w:sz w:val="18"/>
                <w:szCs w:val="18"/>
                <w:lang w:val="pt-BR"/>
              </w:rPr>
              <w:t>10/03/2020</w:t>
            </w:r>
          </w:p>
        </w:tc>
      </w:tr>
      <w:tr>
        <w:tblPrEx>
          <w:tblCellMar>
            <w:top w:w="0" w:type="dxa"/>
            <w:left w:w="108" w:type="dxa"/>
            <w:bottom w:w="0" w:type="dxa"/>
            <w:right w:w="108"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p>
          <w:p>
            <w:pPr>
              <w:jc w:val="both"/>
              <w:rPr>
                <w:rFonts w:cs="Arial"/>
                <w:color w:val="000000"/>
                <w:sz w:val="18"/>
                <w:szCs w:val="18"/>
              </w:rPr>
            </w:pPr>
            <w:r>
              <w:rPr>
                <w:rFonts w:cs="Arial"/>
                <w:color w:val="000000"/>
                <w:sz w:val="18"/>
                <w:szCs w:val="18"/>
              </w:rPr>
              <w:t>Universidade Federal Fluminense</w:t>
            </w:r>
          </w:p>
          <w:p>
            <w:pPr>
              <w:jc w:val="both"/>
              <w:rPr>
                <w:rFonts w:cs="Arial"/>
                <w:color w:val="000000"/>
                <w:sz w:val="18"/>
                <w:szCs w:val="18"/>
              </w:rPr>
            </w:pPr>
            <w:r>
              <w:rPr>
                <w:rFonts w:cs="Arial"/>
                <w:color w:val="000000"/>
                <w:sz w:val="18"/>
                <w:szCs w:val="18"/>
              </w:rPr>
              <w:t>Pró-Reitoria de Administração - UASG: 150182</w:t>
            </w:r>
          </w:p>
          <w:p>
            <w:pPr>
              <w:jc w:val="both"/>
              <w:rPr>
                <w:rFonts w:cs="Arial"/>
                <w:color w:val="000000"/>
                <w:sz w:val="18"/>
                <w:szCs w:val="18"/>
              </w:rPr>
            </w:pPr>
            <w:r>
              <w:rPr>
                <w:rFonts w:cs="Arial"/>
                <w:color w:val="000000"/>
                <w:sz w:val="18"/>
                <w:szCs w:val="18"/>
              </w:rPr>
              <w:t>Coordenação de Licitação</w:t>
            </w:r>
          </w:p>
          <w:p>
            <w:pPr>
              <w:jc w:val="both"/>
              <w:rPr>
                <w:rFonts w:cs="Arial"/>
                <w:color w:val="000000"/>
                <w:sz w:val="18"/>
                <w:szCs w:val="18"/>
              </w:rPr>
            </w:pPr>
            <w:r>
              <w:rPr>
                <w:rFonts w:cs="Arial"/>
                <w:color w:val="000000"/>
                <w:sz w:val="18"/>
                <w:szCs w:val="18"/>
              </w:rPr>
              <w:t>Rua Miguel de Frias n.º 09, Bairro Icaraí, Niterói - RJ</w:t>
            </w:r>
          </w:p>
          <w:p>
            <w:pPr>
              <w:jc w:val="both"/>
              <w:rPr>
                <w:rFonts w:cs="Arial"/>
                <w:color w:val="000000"/>
                <w:sz w:val="18"/>
                <w:szCs w:val="18"/>
              </w:rPr>
            </w:pPr>
            <w:r>
              <w:rPr>
                <w:rFonts w:cs="Arial"/>
                <w:color w:val="000000"/>
                <w:sz w:val="18"/>
                <w:szCs w:val="18"/>
              </w:rPr>
              <w:t>CEP: 24.220-900</w:t>
            </w:r>
          </w:p>
          <w:p>
            <w:pPr>
              <w:jc w:val="both"/>
              <w:rPr>
                <w:rFonts w:cs="Arial"/>
                <w:color w:val="000000"/>
                <w:sz w:val="18"/>
                <w:szCs w:val="18"/>
              </w:rPr>
            </w:pPr>
            <w:r>
              <w:rPr>
                <w:rFonts w:cs="Arial"/>
                <w:color w:val="000000"/>
                <w:sz w:val="18"/>
                <w:szCs w:val="18"/>
              </w:rPr>
              <w:t>Telefones: (21) 2629-5386</w:t>
            </w:r>
          </w:p>
          <w:p>
            <w:pPr>
              <w:jc w:val="both"/>
              <w:rPr>
                <w:rFonts w:cs="Arial"/>
                <w:color w:val="000000"/>
                <w:sz w:val="18"/>
                <w:szCs w:val="18"/>
              </w:rPr>
            </w:pPr>
            <w:r>
              <w:rPr>
                <w:rFonts w:cs="Arial"/>
                <w:color w:val="000000"/>
                <w:sz w:val="18"/>
                <w:szCs w:val="18"/>
              </w:rPr>
              <w:t xml:space="preserve">E-mail: </w:t>
            </w:r>
            <w:r>
              <w:fldChar w:fldCharType="begin"/>
            </w:r>
            <w:r>
              <w:instrText xml:space="preserve"> HYPERLINK "mailto:cpl@id.uff.br" </w:instrText>
            </w:r>
            <w:r>
              <w:fldChar w:fldCharType="separate"/>
            </w:r>
            <w:r>
              <w:rPr>
                <w:rFonts w:cs="Arial"/>
                <w:color w:val="000000"/>
                <w:sz w:val="18"/>
                <w:szCs w:val="18"/>
              </w:rPr>
              <w:t>cpl@id.uff.br</w:t>
            </w:r>
            <w:r>
              <w:rPr>
                <w:rFonts w:cs="Arial"/>
                <w:color w:val="000000"/>
                <w:sz w:val="18"/>
                <w:szCs w:val="18"/>
              </w:rPr>
              <w:fldChar w:fldCharType="end"/>
            </w:r>
            <w:r>
              <w:rPr>
                <w:rFonts w:cs="Arial"/>
                <w:color w:val="000000"/>
                <w:sz w:val="18"/>
                <w:szCs w:val="18"/>
              </w:rPr>
              <w:t>.</w:t>
            </w:r>
          </w:p>
          <w:p>
            <w:pPr>
              <w:jc w:val="both"/>
              <w:rPr>
                <w:rFonts w:cs="Arial"/>
                <w:color w:val="000000"/>
                <w:sz w:val="18"/>
                <w:szCs w:val="18"/>
              </w:rPr>
            </w:pP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Menor preço por item.</w:t>
            </w: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p>
          <w:p>
            <w:pPr>
              <w:jc w:val="both"/>
              <w:rPr>
                <w:rFonts w:cs="Arial"/>
                <w:color w:val="000000"/>
                <w:sz w:val="18"/>
                <w:szCs w:val="18"/>
              </w:rPr>
            </w:pPr>
            <w:r>
              <w:fldChar w:fldCharType="begin"/>
            </w:r>
            <w:r>
              <w:instrText xml:space="preserve"> HYPERLINK "http://www.gov.br/compras" </w:instrText>
            </w:r>
            <w:r>
              <w:fldChar w:fldCharType="separate"/>
            </w:r>
            <w:r>
              <w:rPr>
                <w:rStyle w:val="17"/>
                <w:rFonts w:cs="Arial"/>
                <w:sz w:val="18"/>
                <w:szCs w:val="18"/>
              </w:rPr>
              <w:t>www.gov.br/compras</w:t>
            </w:r>
            <w:r>
              <w:rPr>
                <w:rStyle w:val="17"/>
                <w:rFonts w:cs="Arial"/>
                <w:sz w:val="18"/>
                <w:szCs w:val="18"/>
              </w:rPr>
              <w:fldChar w:fldCharType="end"/>
            </w:r>
          </w:p>
          <w:p>
            <w:pPr>
              <w:jc w:val="both"/>
              <w:rPr>
                <w:rFonts w:cs="Arial"/>
                <w:color w:val="000000"/>
                <w:sz w:val="18"/>
                <w:szCs w:val="18"/>
              </w:rPr>
            </w:pP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10"/>
              <w:numPr>
                <w:ilvl w:val="0"/>
                <w:numId w:val="0"/>
              </w:numPr>
              <w:snapToGrid w:val="0"/>
              <w:spacing w:before="100" w:after="100"/>
              <w:ind w:left="4320" w:hanging="4320"/>
              <w:rPr>
                <w:rFonts w:hint="default"/>
                <w:b/>
                <w:bCs/>
                <w:szCs w:val="18"/>
                <w:lang w:val="pt-BR"/>
              </w:rPr>
            </w:pPr>
            <w:r>
              <w:rPr>
                <w:rFonts w:hint="default"/>
                <w:b/>
                <w:bCs/>
                <w:szCs w:val="18"/>
                <w:lang w:val="pt-BR"/>
              </w:rPr>
              <w:t>Juliana P. Borsoi Richa</w:t>
            </w:r>
          </w:p>
        </w:tc>
      </w:tr>
    </w:tbl>
    <w:p>
      <w:pPr>
        <w:suppressAutoHyphens w:val="0"/>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p>
    <w:p>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drawing>
          <wp:anchor distT="0" distB="0" distL="114300" distR="114300" simplePos="0" relativeHeight="251659264" behindDoc="0" locked="0" layoutInCell="1" allowOverlap="1">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28650"/>
                    </a:xfrm>
                    <a:prstGeom prst="rect">
                      <a:avLst/>
                    </a:prstGeom>
                    <a:noFill/>
                  </pic:spPr>
                </pic:pic>
              </a:graphicData>
            </a:graphic>
          </wp:anchor>
        </w:drawing>
      </w:r>
    </w:p>
    <w:p>
      <w:pPr>
        <w:tabs>
          <w:tab w:val="left" w:pos="6284"/>
        </w:tabs>
        <w:jc w:val="center"/>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jc w:val="center"/>
        <w:rPr>
          <w:rFonts w:asciiTheme="minorHAnsi" w:hAnsiTheme="minorHAnsi" w:cstheme="minorHAnsi"/>
          <w:b/>
          <w:sz w:val="22"/>
          <w:szCs w:val="22"/>
        </w:rPr>
      </w:pPr>
      <w:r>
        <w:rPr>
          <w:rFonts w:asciiTheme="minorHAnsi" w:hAnsiTheme="minorHAnsi" w:cstheme="minorHAnsi"/>
          <w:b/>
          <w:sz w:val="22"/>
          <w:szCs w:val="22"/>
        </w:rPr>
        <w:t>PRÓ-REITORIA DE ADMINISTRAÇÃO</w:t>
      </w:r>
    </w:p>
    <w:p>
      <w:pPr>
        <w:jc w:val="center"/>
        <w:rPr>
          <w:rFonts w:asciiTheme="minorHAnsi" w:hAnsiTheme="minorHAnsi" w:cstheme="minorHAnsi"/>
          <w:b/>
          <w:sz w:val="22"/>
          <w:szCs w:val="22"/>
        </w:rPr>
      </w:pPr>
      <w:r>
        <w:rPr>
          <w:rFonts w:asciiTheme="minorHAnsi" w:hAnsiTheme="minorHAnsi" w:cstheme="minorHAnsi"/>
          <w:b/>
          <w:sz w:val="22"/>
          <w:szCs w:val="22"/>
        </w:rPr>
        <w:t xml:space="preserve">COORDENAÇÃO DE LICITAÇÃO </w:t>
      </w:r>
    </w:p>
    <w:p>
      <w:pPr>
        <w:pStyle w:val="29"/>
        <w:tabs>
          <w:tab w:val="left" w:pos="708"/>
        </w:tabs>
        <w:spacing w:before="100" w:after="100"/>
        <w:jc w:val="center"/>
        <w:rPr>
          <w:color w:val="auto"/>
        </w:rPr>
      </w:pPr>
      <w:r>
        <w:rPr>
          <w:rFonts w:ascii="Verdana" w:hAnsi="Verdana" w:cs="Verdana"/>
          <w:b/>
          <w:bCs/>
          <w:color w:val="auto"/>
        </w:rPr>
        <w:t>EDITAL DE LICITAÇÃO</w:t>
      </w:r>
    </w:p>
    <w:p>
      <w:pPr>
        <w:spacing w:before="100" w:after="100"/>
        <w:jc w:val="center"/>
        <w:rPr>
          <w:rFonts w:ascii="Verdana" w:hAnsi="Verdana" w:cs="Verdana"/>
          <w:b/>
          <w:szCs w:val="20"/>
        </w:rPr>
      </w:pPr>
      <w:r>
        <w:rPr>
          <w:rFonts w:ascii="Verdana" w:hAnsi="Verdana" w:cs="Verdana"/>
          <w:b/>
          <w:szCs w:val="20"/>
        </w:rPr>
        <w:t>PREGÃO ELETRÔNICO Nº 08/2021/AD</w:t>
      </w:r>
    </w:p>
    <w:p>
      <w:pPr>
        <w:spacing w:before="100" w:after="100"/>
        <w:jc w:val="center"/>
      </w:pPr>
      <w:r>
        <w:rPr>
          <w:rFonts w:ascii="Verdana" w:hAnsi="Verdana" w:cs="Verdana"/>
          <w:b/>
          <w:szCs w:val="20"/>
        </w:rPr>
        <w:t>SISTEMA DE REGISTRO DE PREÇOS</w:t>
      </w:r>
    </w:p>
    <w:p>
      <w:pPr>
        <w:spacing w:before="100" w:after="100"/>
        <w:jc w:val="center"/>
        <w:rPr>
          <w:rFonts w:ascii="Verdana" w:hAnsi="Verdana" w:cs="Verdana"/>
          <w:b/>
          <w:szCs w:val="20"/>
        </w:rPr>
      </w:pPr>
      <w:r>
        <w:rPr>
          <w:rFonts w:ascii="Verdana" w:hAnsi="Verdana" w:cs="Verdana"/>
          <w:b/>
          <w:szCs w:val="20"/>
        </w:rPr>
        <w:t>PROCESSO Nº 23069.151740/2021-57</w:t>
      </w:r>
    </w:p>
    <w:p>
      <w:pPr>
        <w:ind w:firstLine="540"/>
        <w:jc w:val="both"/>
        <w:rPr>
          <w:rFonts w:cs="Arial"/>
          <w:color w:val="000000"/>
          <w:szCs w:val="20"/>
        </w:rPr>
      </w:pPr>
    </w:p>
    <w:p>
      <w:pPr>
        <w:ind w:firstLine="540"/>
        <w:jc w:val="both"/>
        <w:rPr>
          <w:rFonts w:cs="Arial"/>
          <w:color w:val="000000"/>
          <w:szCs w:val="20"/>
        </w:rPr>
      </w:pPr>
    </w:p>
    <w:p>
      <w:pPr>
        <w:ind w:firstLine="540"/>
        <w:jc w:val="both"/>
        <w:rPr>
          <w:rFonts w:cs="Arial"/>
          <w:color w:val="000000"/>
          <w:szCs w:val="20"/>
        </w:rPr>
      </w:pPr>
      <w:r>
        <w:rPr>
          <w:rFonts w:cs="Arial"/>
          <w:color w:val="000000"/>
          <w:szCs w:val="20"/>
        </w:rPr>
        <w:t xml:space="preserve">Torna-se público, para conhecimento dos interessados, que 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Pr>
          <w:rFonts w:cs="Arial"/>
          <w:color w:val="000000"/>
          <w:szCs w:val="20"/>
        </w:rPr>
        <w:t xml:space="preserve">,  para </w:t>
      </w:r>
      <w:r>
        <w:rPr>
          <w:rFonts w:cs="Arial"/>
          <w:b/>
          <w:color w:val="000000"/>
          <w:szCs w:val="20"/>
        </w:rPr>
        <w:t>REGISTRO DE PREÇOS</w:t>
      </w:r>
      <w:r>
        <w:rPr>
          <w:rFonts w:cs="Arial"/>
          <w:color w:val="000000"/>
          <w:szCs w:val="20"/>
        </w:rPr>
        <w:t xml:space="preserve">, na modalidade </w:t>
      </w:r>
      <w:r>
        <w:rPr>
          <w:rFonts w:cs="Arial"/>
          <w:bCs/>
          <w:color w:val="000000"/>
          <w:szCs w:val="20"/>
        </w:rPr>
        <w:t xml:space="preserve">PREGÃO, </w:t>
      </w:r>
      <w:r>
        <w:rPr>
          <w:rFonts w:cs="Arial"/>
          <w:color w:val="000000"/>
          <w:szCs w:val="20"/>
        </w:rPr>
        <w:t>na forma</w:t>
      </w:r>
      <w:r>
        <w:rPr>
          <w:rFonts w:cs="Arial"/>
          <w:bCs/>
          <w:color w:val="000000"/>
          <w:szCs w:val="20"/>
        </w:rPr>
        <w:t xml:space="preserve"> ELETRÔNICA, com critério de </w:t>
      </w:r>
      <w:r>
        <w:rPr>
          <w:rFonts w:cs="Arial"/>
          <w:bCs/>
          <w:szCs w:val="20"/>
        </w:rPr>
        <w:t xml:space="preserve">julgamento </w:t>
      </w:r>
      <w:r>
        <w:rPr>
          <w:rFonts w:cs="Arial"/>
          <w:b/>
          <w:bCs/>
          <w:i/>
          <w:szCs w:val="20"/>
        </w:rPr>
        <w:t xml:space="preserve">menor preço </w:t>
      </w:r>
      <w:r>
        <w:rPr>
          <w:rFonts w:cs="Arial"/>
          <w:bCs/>
          <w:i/>
          <w:iCs/>
          <w:szCs w:val="20"/>
        </w:rPr>
        <w:t>por item</w:t>
      </w:r>
      <w:r>
        <w:rPr>
          <w:rFonts w:cs="Arial"/>
          <w:bCs/>
          <w:szCs w:val="20"/>
        </w:rPr>
        <w:t>,</w:t>
      </w:r>
      <w:r>
        <w:rPr>
          <w:rFonts w:cs="Arial"/>
          <w:color w:val="000000"/>
          <w:szCs w:val="2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pPr>
        <w:jc w:val="both"/>
        <w:rPr>
          <w:rFonts w:cs="Arial"/>
          <w:szCs w:val="20"/>
        </w:rPr>
      </w:pPr>
    </w:p>
    <w:p>
      <w:pPr>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r>
        <w:fldChar w:fldCharType="begin"/>
      </w:r>
      <w:r>
        <w:instrText xml:space="preserve"> HYPERLINK "http://www.gov.br/compras" </w:instrText>
      </w:r>
      <w:r>
        <w:fldChar w:fldCharType="separate"/>
      </w:r>
      <w:r>
        <w:rPr>
          <w:rStyle w:val="17"/>
          <w:rFonts w:cs="Arial"/>
          <w:sz w:val="18"/>
          <w:szCs w:val="18"/>
        </w:rPr>
        <w:t>www.gov.br/compras</w:t>
      </w:r>
      <w:r>
        <w:rPr>
          <w:rStyle w:val="17"/>
          <w:rFonts w:cs="Arial"/>
          <w:sz w:val="18"/>
          <w:szCs w:val="18"/>
        </w:rPr>
        <w:fldChar w:fldCharType="end"/>
      </w:r>
      <w:r>
        <w:rPr>
          <w:rFonts w:cs="Arial"/>
          <w:szCs w:val="20"/>
        </w:rPr>
        <w:t xml:space="preserve"> na data de abertura e horário informados no mesmo (Consultas &gt; Pregões &gt; Agendados &gt; situação: Aberto para propostas / </w:t>
      </w:r>
      <w:r>
        <w:rPr>
          <w:rFonts w:cs="Arial"/>
          <w:b/>
          <w:szCs w:val="20"/>
        </w:rPr>
        <w:t>cód. UASG: 150182</w:t>
      </w:r>
    </w:p>
    <w:p>
      <w:pPr>
        <w:pBdr>
          <w:bottom w:val="single" w:color="auto" w:sz="6" w:space="1"/>
        </w:pBdr>
        <w:snapToGrid w:val="0"/>
        <w:spacing w:after="240" w:line="276" w:lineRule="auto"/>
        <w:ind w:right="-30" w:firstLine="540"/>
        <w:jc w:val="both"/>
      </w:pPr>
    </w:p>
    <w:p>
      <w:pPr>
        <w:jc w:val="both"/>
        <w:rPr>
          <w:rFonts w:cs="Arial"/>
          <w:szCs w:val="20"/>
        </w:rPr>
      </w:pPr>
    </w:p>
    <w:p>
      <w:pPr>
        <w:jc w:val="both"/>
        <w:rPr>
          <w:rFonts w:cs="Arial"/>
          <w:szCs w:val="20"/>
        </w:rPr>
      </w:pPr>
    </w:p>
    <w:p>
      <w:pPr>
        <w:jc w:val="both"/>
        <w:rPr>
          <w:rFonts w:cs="Arial"/>
          <w:color w:val="000000"/>
          <w:szCs w:val="20"/>
        </w:rPr>
      </w:pPr>
    </w:p>
    <w:p>
      <w:pPr>
        <w:pStyle w:val="477"/>
        <w:numPr>
          <w:ilvl w:val="0"/>
          <w:numId w:val="8"/>
        </w:numPr>
        <w:ind w:left="502"/>
        <w:rPr>
          <w:rFonts w:ascii="Arial" w:hAnsi="Arial" w:cs="Arial"/>
        </w:rPr>
      </w:pPr>
      <w:r>
        <w:rPr>
          <w:rFonts w:ascii="Arial" w:hAnsi="Arial" w:cs="Arial"/>
        </w:rPr>
        <w:t>DO OBJETO</w:t>
      </w:r>
    </w:p>
    <w:p>
      <w:pPr>
        <w:numPr>
          <w:ilvl w:val="1"/>
          <w:numId w:val="9"/>
        </w:numPr>
        <w:suppressAutoHyphens w:val="0"/>
        <w:spacing w:before="120" w:after="120" w:line="276" w:lineRule="auto"/>
        <w:ind w:left="1141"/>
        <w:jc w:val="both"/>
        <w:rPr>
          <w:rFonts w:cs="Arial"/>
          <w:szCs w:val="20"/>
        </w:rPr>
      </w:pPr>
      <w:r>
        <w:rPr>
          <w:rFonts w:cs="Arial"/>
          <w:szCs w:val="20"/>
        </w:rPr>
        <w:t xml:space="preserve">O objeto da presente licitação é a escolha da proposta mais vantajosa para a aquisição de </w:t>
      </w:r>
      <w:r>
        <w:rPr>
          <w:rFonts w:cs="Arial"/>
          <w:b/>
          <w:bCs/>
          <w:color w:val="000000"/>
          <w:sz w:val="18"/>
          <w:szCs w:val="18"/>
        </w:rPr>
        <w:t>CLORO PARA PISCINA</w:t>
      </w:r>
      <w:r>
        <w:rPr>
          <w:rFonts w:cs="Arial"/>
          <w:szCs w:val="20"/>
        </w:rPr>
        <w:t>, conforme condições, quantidades e exigências estabelecidas neste Edital e seus anexos.</w:t>
      </w:r>
    </w:p>
    <w:p>
      <w:pPr>
        <w:numPr>
          <w:ilvl w:val="1"/>
          <w:numId w:val="9"/>
        </w:numPr>
        <w:suppressAutoHyphens w:val="0"/>
        <w:spacing w:before="120" w:after="120" w:line="276" w:lineRule="auto"/>
        <w:ind w:left="1141"/>
        <w:jc w:val="both"/>
        <w:rPr>
          <w:rFonts w:cs="Arial"/>
          <w:szCs w:val="20"/>
        </w:rPr>
      </w:pPr>
      <w:r>
        <w:rPr>
          <w:rFonts w:cs="Arial"/>
          <w:szCs w:val="20"/>
        </w:rPr>
        <w:t>A licitação será realizada em único item.</w:t>
      </w:r>
    </w:p>
    <w:p>
      <w:pPr>
        <w:numPr>
          <w:ilvl w:val="1"/>
          <w:numId w:val="9"/>
        </w:numPr>
        <w:suppressAutoHyphens w:val="0"/>
        <w:spacing w:before="120" w:after="120" w:line="276" w:lineRule="auto"/>
        <w:ind w:left="1141"/>
        <w:jc w:val="both"/>
        <w:rPr>
          <w:rFonts w:cs="Arial"/>
          <w:szCs w:val="20"/>
        </w:rPr>
      </w:pPr>
      <w:r>
        <w:rPr>
          <w:rFonts w:cs="Arial"/>
          <w:szCs w:val="20"/>
        </w:rPr>
        <w:t xml:space="preserve">O critério de julgamento adotado será o menor preço do item, observadas as exigências contidas neste Edital e seus Anexos quanto às especificações do objeto. </w:t>
      </w:r>
    </w:p>
    <w:p>
      <w:pPr>
        <w:rPr>
          <w:rFonts w:cs="Arial"/>
          <w:szCs w:val="20"/>
        </w:rPr>
      </w:pPr>
    </w:p>
    <w:p>
      <w:pPr>
        <w:tabs>
          <w:tab w:val="left" w:pos="5820"/>
        </w:tabs>
        <w:rPr>
          <w:rFonts w:cs="Arial"/>
          <w:szCs w:val="20"/>
        </w:rPr>
      </w:pPr>
      <w:r>
        <w:rPr>
          <w:rFonts w:cs="Arial"/>
          <w:szCs w:val="20"/>
        </w:rPr>
        <w:tab/>
      </w:r>
    </w:p>
    <w:p>
      <w:pPr>
        <w:pStyle w:val="477"/>
        <w:numPr>
          <w:ilvl w:val="0"/>
          <w:numId w:val="8"/>
        </w:numPr>
        <w:ind w:left="502"/>
        <w:rPr>
          <w:rFonts w:ascii="Arial" w:hAnsi="Arial" w:cs="Arial"/>
          <w:b w:val="0"/>
          <w:i/>
          <w:color w:val="auto"/>
        </w:rPr>
      </w:pPr>
      <w:r>
        <w:rPr>
          <w:rFonts w:ascii="Arial" w:hAnsi="Arial" w:cs="Arial"/>
        </w:rPr>
        <w:t>DO REGISTRO</w:t>
      </w:r>
      <w:r>
        <w:rPr>
          <w:rFonts w:ascii="Arial" w:hAnsi="Arial" w:cs="Arial"/>
          <w:i/>
          <w:color w:val="auto"/>
        </w:rPr>
        <w:t xml:space="preserve"> DE PREÇOS </w:t>
      </w:r>
    </w:p>
    <w:p>
      <w:pPr>
        <w:rPr>
          <w:rFonts w:cs="Arial"/>
          <w:b/>
          <w:i/>
          <w:szCs w:val="20"/>
        </w:rPr>
      </w:pPr>
    </w:p>
    <w:p>
      <w:pPr>
        <w:numPr>
          <w:ilvl w:val="1"/>
          <w:numId w:val="9"/>
        </w:numPr>
        <w:suppressAutoHyphens w:val="0"/>
        <w:spacing w:before="120" w:after="120" w:line="276" w:lineRule="auto"/>
        <w:ind w:left="1141"/>
        <w:jc w:val="both"/>
        <w:rPr>
          <w:rFonts w:cs="Arial"/>
          <w:i/>
          <w:szCs w:val="20"/>
        </w:rPr>
      </w:pPr>
      <w:r>
        <w:rPr>
          <w:rFonts w:cs="Arial"/>
          <w:i/>
          <w:szCs w:val="20"/>
        </w:rPr>
        <w:t>As regras referentes aos órgãos gerenciador e participantes, bem como a eventuais adesões são as que constam da minuta de Ata de Registro de Preços.</w:t>
      </w:r>
    </w:p>
    <w:p>
      <w:pPr>
        <w:spacing w:before="120" w:after="120" w:line="276" w:lineRule="auto"/>
        <w:ind w:left="1134"/>
        <w:jc w:val="both"/>
        <w:rPr>
          <w:rFonts w:cs="Arial"/>
          <w:szCs w:val="20"/>
          <w:lang w:eastAsia="en-US"/>
        </w:rPr>
      </w:pPr>
    </w:p>
    <w:p>
      <w:pPr>
        <w:pStyle w:val="477"/>
        <w:numPr>
          <w:ilvl w:val="0"/>
          <w:numId w:val="8"/>
        </w:numPr>
        <w:ind w:left="502"/>
        <w:rPr>
          <w:rFonts w:ascii="Arial" w:hAnsi="Arial" w:cs="Arial"/>
        </w:rPr>
      </w:pPr>
      <w:r>
        <w:rPr>
          <w:rFonts w:ascii="Arial" w:hAnsi="Arial" w:cs="Arial"/>
        </w:rPr>
        <w:t>DO CREDENCIAMENTO</w:t>
      </w:r>
    </w:p>
    <w:p>
      <w:pPr>
        <w:numPr>
          <w:ilvl w:val="1"/>
          <w:numId w:val="9"/>
        </w:numPr>
        <w:suppressAutoHyphens w:val="0"/>
        <w:spacing w:before="120" w:after="120" w:line="276" w:lineRule="auto"/>
        <w:ind w:left="1141"/>
        <w:jc w:val="both"/>
        <w:rPr>
          <w:rFonts w:cs="Arial"/>
          <w:szCs w:val="20"/>
        </w:rPr>
      </w:pPr>
      <w:r>
        <w:rPr>
          <w:rFonts w:cs="Arial"/>
          <w:szCs w:val="20"/>
        </w:rPr>
        <w:t>O Credenciamento é o nível básico do registro cadastral no SICAF, que permite a participação dos interessados na modalidade licitatória Pregão, em sua forma eletrônica.</w:t>
      </w:r>
    </w:p>
    <w:p>
      <w:pPr>
        <w:numPr>
          <w:ilvl w:val="1"/>
          <w:numId w:val="9"/>
        </w:numPr>
        <w:suppressAutoHyphens w:val="0"/>
        <w:spacing w:before="120" w:after="120" w:line="276" w:lineRule="auto"/>
        <w:ind w:left="1141"/>
        <w:jc w:val="both"/>
        <w:rPr>
          <w:rFonts w:cs="Arial"/>
          <w:szCs w:val="20"/>
        </w:rPr>
      </w:pPr>
      <w:r>
        <w:rPr>
          <w:rFonts w:cs="Arial"/>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7"/>
        </w:rPr>
        <w:t>www.gov.br/compras</w:t>
      </w:r>
      <w:r>
        <w:rPr>
          <w:rStyle w:val="17"/>
        </w:rPr>
        <w:fldChar w:fldCharType="end"/>
      </w:r>
      <w:r>
        <w:rPr>
          <w:rFonts w:cs="Arial"/>
          <w:szCs w:val="20"/>
        </w:rPr>
        <w:t>, por meio de certificado digital conferido pela Infraestrutura de Chaves Públicas Brasileira – ICP - Brasil.</w:t>
      </w:r>
    </w:p>
    <w:p>
      <w:pPr>
        <w:numPr>
          <w:ilvl w:val="1"/>
          <w:numId w:val="9"/>
        </w:numPr>
        <w:suppressAutoHyphens w:val="0"/>
        <w:spacing w:before="120" w:after="120" w:line="276" w:lineRule="auto"/>
        <w:ind w:left="1141"/>
        <w:jc w:val="both"/>
        <w:rPr>
          <w:rFonts w:cs="Arial"/>
          <w:szCs w:val="20"/>
        </w:rPr>
      </w:pPr>
      <w:r>
        <w:rPr>
          <w:rFonts w:cs="Arial"/>
          <w:szCs w:val="20"/>
        </w:rPr>
        <w:t>O credenciamento junto ao provedor do sistema implica a responsabilidade do licitante ou de seu representante legal e a presunção de sua capacidade técnica para realização das transações inerentes a este Pregão.</w:t>
      </w:r>
    </w:p>
    <w:p>
      <w:pPr>
        <w:numPr>
          <w:ilvl w:val="1"/>
          <w:numId w:val="9"/>
        </w:numPr>
        <w:suppressAutoHyphens w:val="0"/>
        <w:spacing w:before="120" w:after="120" w:line="276" w:lineRule="auto"/>
        <w:ind w:left="1141"/>
        <w:jc w:val="both"/>
        <w:rPr>
          <w:rFonts w:cs="Arial"/>
          <w:szCs w:val="20"/>
        </w:rPr>
      </w:pPr>
      <w:r>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9"/>
        </w:numPr>
        <w:suppressAutoHyphens w:val="0"/>
        <w:spacing w:before="120" w:after="120" w:line="276" w:lineRule="auto"/>
        <w:ind w:left="1141"/>
        <w:jc w:val="both"/>
        <w:rPr>
          <w:rFonts w:cs="Arial"/>
          <w:szCs w:val="20"/>
        </w:rPr>
      </w:pPr>
      <w:r>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8"/>
        </w:numPr>
        <w:suppressAutoHyphens w:val="0"/>
        <w:spacing w:after="240" w:line="276" w:lineRule="auto"/>
        <w:ind w:left="1638"/>
        <w:jc w:val="both"/>
        <w:rPr>
          <w:rFonts w:cs="Arial"/>
          <w:color w:val="000000"/>
          <w:szCs w:val="20"/>
        </w:rPr>
      </w:pPr>
      <w:r>
        <w:rPr>
          <w:rFonts w:cs="Arial"/>
          <w:color w:val="000000"/>
          <w:szCs w:val="20"/>
        </w:rPr>
        <w:t>A não observância do disposto no subitem anterior poderá ensejar desclassificação no momento da habilitação</w:t>
      </w:r>
    </w:p>
    <w:p>
      <w:pPr>
        <w:snapToGrid w:val="0"/>
        <w:spacing w:before="120" w:after="120" w:line="276" w:lineRule="auto"/>
        <w:ind w:left="425"/>
        <w:jc w:val="both"/>
        <w:rPr>
          <w:rFonts w:cs="Arial"/>
          <w:bCs/>
          <w:color w:val="000000"/>
          <w:szCs w:val="20"/>
        </w:rPr>
      </w:pPr>
    </w:p>
    <w:p>
      <w:pPr>
        <w:pStyle w:val="477"/>
        <w:numPr>
          <w:ilvl w:val="0"/>
          <w:numId w:val="8"/>
        </w:numPr>
        <w:ind w:left="502"/>
        <w:rPr>
          <w:rFonts w:ascii="Arial" w:hAnsi="Arial" w:cs="Arial"/>
        </w:rPr>
      </w:pPr>
      <w:r>
        <w:rPr>
          <w:rFonts w:ascii="Arial" w:hAnsi="Arial" w:cs="Arial"/>
        </w:rPr>
        <w:t>DA PARTICIPAÇÃO NO PREGÃO.</w:t>
      </w:r>
    </w:p>
    <w:p>
      <w:pPr>
        <w:numPr>
          <w:ilvl w:val="1"/>
          <w:numId w:val="9"/>
        </w:numPr>
        <w:suppressAutoHyphens w:val="0"/>
        <w:spacing w:before="120" w:after="120" w:line="276" w:lineRule="auto"/>
        <w:ind w:left="1141"/>
        <w:jc w:val="both"/>
        <w:rPr>
          <w:rFonts w:cs="Arial"/>
          <w:szCs w:val="20"/>
        </w:rPr>
      </w:pPr>
      <w:r>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uppressAutoHyphens w:val="0"/>
        <w:spacing w:after="240" w:line="276" w:lineRule="auto"/>
        <w:ind w:left="1638"/>
        <w:jc w:val="both"/>
        <w:rPr>
          <w:rFonts w:cs="Arial"/>
          <w:color w:val="000000"/>
          <w:szCs w:val="20"/>
        </w:rPr>
      </w:pPr>
      <w:r>
        <w:rPr>
          <w:rFonts w:cs="Arial"/>
          <w:color w:val="000000"/>
          <w:szCs w:val="20"/>
        </w:rPr>
        <w:t>Os licitantes deverão utilizar o certificado digital para acesso ao Sistema.</w:t>
      </w:r>
    </w:p>
    <w:p>
      <w:pPr>
        <w:numPr>
          <w:ilvl w:val="2"/>
          <w:numId w:val="8"/>
        </w:numPr>
        <w:suppressAutoHyphens w:val="0"/>
        <w:spacing w:after="240" w:line="276" w:lineRule="auto"/>
        <w:ind w:left="1638"/>
        <w:jc w:val="both"/>
        <w:rPr>
          <w:rFonts w:cs="Arial"/>
          <w:szCs w:val="20"/>
        </w:rPr>
      </w:pPr>
      <w:r>
        <w:rPr>
          <w:rFonts w:cs="Arial"/>
          <w:szCs w:val="20"/>
        </w:rPr>
        <w:t>Para os itens indicados no Anexo I-A, a participação é exclusiva a microempresas e empresas de pequeno porte, nos termos do art. 48 da Lei Complementar nº 123, de 14 de dezembro de 2006.</w:t>
      </w:r>
    </w:p>
    <w:p>
      <w:pPr>
        <w:numPr>
          <w:ilvl w:val="1"/>
          <w:numId w:val="9"/>
        </w:numPr>
        <w:suppressAutoHyphens w:val="0"/>
        <w:spacing w:before="120" w:after="120" w:line="276" w:lineRule="auto"/>
        <w:ind w:left="1141"/>
        <w:jc w:val="both"/>
        <w:rPr>
          <w:rFonts w:cs="Arial"/>
          <w:szCs w:val="20"/>
        </w:rPr>
      </w:pPr>
      <w:r>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pPr>
        <w:numPr>
          <w:ilvl w:val="1"/>
          <w:numId w:val="9"/>
        </w:numPr>
        <w:suppressAutoHyphens w:val="0"/>
        <w:spacing w:before="120" w:after="120" w:line="276" w:lineRule="auto"/>
        <w:ind w:left="1141"/>
        <w:jc w:val="both"/>
        <w:rPr>
          <w:rFonts w:cs="Arial"/>
          <w:szCs w:val="20"/>
        </w:rPr>
      </w:pPr>
      <w:r>
        <w:rPr>
          <w:rFonts w:cs="Arial"/>
          <w:szCs w:val="20"/>
        </w:rPr>
        <w:t>Não poderão participar desta licitação os interessados:</w:t>
      </w:r>
    </w:p>
    <w:p>
      <w:pPr>
        <w:numPr>
          <w:ilvl w:val="2"/>
          <w:numId w:val="8"/>
        </w:numPr>
        <w:tabs>
          <w:tab w:val="left" w:pos="1440"/>
        </w:tabs>
        <w:suppressAutoHyphens w:val="0"/>
        <w:autoSpaceDE w:val="0"/>
        <w:snapToGrid w:val="0"/>
        <w:spacing w:after="240" w:line="276" w:lineRule="auto"/>
        <w:ind w:left="1134" w:firstLine="0"/>
        <w:jc w:val="both"/>
        <w:rPr>
          <w:rFonts w:cs="Arial"/>
          <w:bCs/>
          <w:szCs w:val="20"/>
        </w:rPr>
      </w:pPr>
      <w:r>
        <w:rPr>
          <w:rFonts w:cs="Arial"/>
          <w:bCs/>
          <w:szCs w:val="20"/>
        </w:rPr>
        <w:t>proibidos de participar de licitações e celebrar contratos administrativos, na forma da legislação vigente;</w:t>
      </w:r>
    </w:p>
    <w:p>
      <w:pPr>
        <w:numPr>
          <w:ilvl w:val="2"/>
          <w:numId w:val="8"/>
        </w:numPr>
        <w:tabs>
          <w:tab w:val="left" w:pos="1440"/>
        </w:tabs>
        <w:suppressAutoHyphens w:val="0"/>
        <w:autoSpaceDE w:val="0"/>
        <w:snapToGrid w:val="0"/>
        <w:spacing w:after="240" w:line="276" w:lineRule="auto"/>
        <w:ind w:left="1134" w:firstLine="0"/>
        <w:jc w:val="both"/>
        <w:rPr>
          <w:rFonts w:cs="Arial"/>
          <w:bCs/>
          <w:szCs w:val="20"/>
        </w:rPr>
      </w:pPr>
      <w:r>
        <w:rPr>
          <w:rFonts w:cs="Arial"/>
          <w:bCs/>
          <w:szCs w:val="20"/>
        </w:rPr>
        <w:t>que não atendam às condições deste Edital e seu(s) anexo(s);</w:t>
      </w:r>
    </w:p>
    <w:p>
      <w:pPr>
        <w:numPr>
          <w:ilvl w:val="2"/>
          <w:numId w:val="8"/>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Pr>
          <w:rFonts w:cs="Arial"/>
          <w:bCs/>
          <w:color w:val="000000"/>
          <w:szCs w:val="20"/>
        </w:rPr>
        <w:t>estrangeiros que não tenham representação legal no Brasil com poderes expressos para receber citação e responder administrativa ou judicialmente;</w:t>
      </w:r>
    </w:p>
    <w:p>
      <w:pPr>
        <w:numPr>
          <w:ilvl w:val="2"/>
          <w:numId w:val="8"/>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Pr>
          <w:rFonts w:eastAsia="Arial Unicode MS" w:cs="Arial"/>
          <w:color w:val="000000"/>
          <w:szCs w:val="20"/>
        </w:rPr>
        <w:t>que se enquadrem nas vedações previstas no artigo 9º da Lei nº 8.666, de 1993;</w:t>
      </w:r>
    </w:p>
    <w:p>
      <w:pPr>
        <w:numPr>
          <w:ilvl w:val="2"/>
          <w:numId w:val="8"/>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Pr>
          <w:rFonts w:cs="Arial"/>
          <w:color w:val="000000"/>
          <w:szCs w:val="20"/>
        </w:rPr>
        <w:t xml:space="preserve">que estejam sob falência, concurso de credores, </w:t>
      </w:r>
      <w:r>
        <w:rPr>
          <w:rFonts w:cs="Arial"/>
          <w:szCs w:val="20"/>
        </w:rPr>
        <w:t xml:space="preserve">concordata ou </w:t>
      </w:r>
      <w:r>
        <w:rPr>
          <w:rFonts w:cs="Arial"/>
          <w:color w:val="000000"/>
          <w:szCs w:val="20"/>
        </w:rPr>
        <w:t>em processo de dissolução ou liquidação;</w:t>
      </w:r>
    </w:p>
    <w:p>
      <w:pPr>
        <w:numPr>
          <w:ilvl w:val="2"/>
          <w:numId w:val="8"/>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Pr>
          <w:rFonts w:cs="Arial"/>
          <w:szCs w:val="20"/>
        </w:rPr>
        <w:t>entidades empresariais que estejam reunidas em consórcio;</w:t>
      </w:r>
    </w:p>
    <w:p>
      <w:pPr>
        <w:numPr>
          <w:ilvl w:val="2"/>
          <w:numId w:val="8"/>
        </w:numPr>
        <w:tabs>
          <w:tab w:val="left" w:pos="1440"/>
        </w:tabs>
        <w:suppressAutoHyphens w:val="0"/>
        <w:autoSpaceDE w:val="0"/>
        <w:snapToGrid w:val="0"/>
        <w:spacing w:after="240" w:line="276" w:lineRule="auto"/>
        <w:ind w:left="1134" w:firstLine="0"/>
        <w:jc w:val="both"/>
        <w:rPr>
          <w:rFonts w:cs="Arial"/>
          <w:color w:val="000000"/>
          <w:szCs w:val="20"/>
        </w:rPr>
      </w:pPr>
      <w:r>
        <w:rPr>
          <w:rFonts w:cs="Arial"/>
          <w:color w:val="000000"/>
          <w:szCs w:val="20"/>
        </w:rPr>
        <w:t>Organizações da Sociedade Civil de Interesse Público - OSCIP, atuando nessa condição (Acórdão nº 746/2014-TCU-Plenário).</w:t>
      </w:r>
    </w:p>
    <w:p>
      <w:pPr>
        <w:numPr>
          <w:ilvl w:val="1"/>
          <w:numId w:val="9"/>
        </w:numPr>
        <w:suppressAutoHyphens w:val="0"/>
        <w:spacing w:before="120" w:after="120" w:line="276" w:lineRule="auto"/>
        <w:ind w:left="1141"/>
        <w:jc w:val="both"/>
        <w:rPr>
          <w:rFonts w:cs="Arial"/>
          <w:szCs w:val="20"/>
        </w:rPr>
      </w:pPr>
      <w:r>
        <w:rPr>
          <w:rFonts w:cs="Arial"/>
          <w:szCs w:val="20"/>
        </w:rPr>
        <w:t xml:space="preserve">Como condição para participação no Pregão, a licitante assinalará “sim” ou “não” em campo próprio do sistema eletrônico, relativo às seguintes declarações: </w:t>
      </w:r>
    </w:p>
    <w:p>
      <w:pPr>
        <w:numPr>
          <w:ilvl w:val="2"/>
          <w:numId w:val="8"/>
        </w:numPr>
        <w:tabs>
          <w:tab w:val="left" w:pos="1440"/>
        </w:tabs>
        <w:suppressAutoHyphens w:val="0"/>
        <w:autoSpaceDE w:val="0"/>
        <w:snapToGrid w:val="0"/>
        <w:spacing w:after="240" w:line="276" w:lineRule="auto"/>
        <w:ind w:left="1134" w:firstLine="0"/>
        <w:jc w:val="both"/>
        <w:rPr>
          <w:rFonts w:cs="Arial"/>
          <w:color w:val="000000"/>
          <w:szCs w:val="20"/>
        </w:rPr>
      </w:pPr>
      <w:r>
        <w:rPr>
          <w:rFonts w:cs="Arial"/>
          <w:bCs/>
          <w:color w:val="000000"/>
          <w:szCs w:val="20"/>
        </w:rPr>
        <w:t xml:space="preserve">que cumpre os requisitos estabelecidos no artigo 3° </w:t>
      </w:r>
      <w:r>
        <w:rPr>
          <w:rFonts w:cs="Arial"/>
          <w:color w:val="000000"/>
          <w:szCs w:val="20"/>
        </w:rPr>
        <w:t xml:space="preserve">da Lei Complementar nº 123, de 2006, estando apta a usufruir do tratamento favorecido estabelecido em seus arts. 42 a 49; </w:t>
      </w:r>
    </w:p>
    <w:p>
      <w:pPr>
        <w:numPr>
          <w:ilvl w:val="3"/>
          <w:numId w:val="8"/>
        </w:numPr>
        <w:tabs>
          <w:tab w:val="left" w:pos="1440"/>
        </w:tabs>
        <w:suppressAutoHyphens w:val="0"/>
        <w:autoSpaceDE w:val="0"/>
        <w:snapToGrid w:val="0"/>
        <w:spacing w:after="240" w:line="276" w:lineRule="auto"/>
        <w:jc w:val="both"/>
        <w:rPr>
          <w:rFonts w:cs="Arial"/>
          <w:bCs/>
          <w:color w:val="000000"/>
          <w:szCs w:val="20"/>
        </w:rPr>
      </w:pPr>
      <w:r>
        <w:rPr>
          <w:rFonts w:cs="Arial"/>
          <w:bCs/>
          <w:color w:val="000000"/>
          <w:szCs w:val="20"/>
        </w:rPr>
        <w:t>nos itens exclusivos para participação de microempresas e empresas de pequeno porte, a assinalação do campo “não” impedirá o prosseguimento no certame;</w:t>
      </w:r>
    </w:p>
    <w:p>
      <w:pPr>
        <w:numPr>
          <w:ilvl w:val="3"/>
          <w:numId w:val="8"/>
        </w:numPr>
        <w:tabs>
          <w:tab w:val="left" w:pos="1440"/>
        </w:tabs>
        <w:suppressAutoHyphens w:val="0"/>
        <w:autoSpaceDE w:val="0"/>
        <w:snapToGrid w:val="0"/>
        <w:spacing w:after="240" w:line="276" w:lineRule="auto"/>
        <w:jc w:val="both"/>
        <w:rPr>
          <w:rFonts w:cs="Arial"/>
          <w:bCs/>
          <w:color w:val="000000"/>
          <w:szCs w:val="20"/>
        </w:rPr>
      </w:pPr>
      <w:r>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pPr>
        <w:numPr>
          <w:ilvl w:val="2"/>
          <w:numId w:val="8"/>
        </w:numPr>
        <w:tabs>
          <w:tab w:val="left" w:pos="1440"/>
        </w:tabs>
        <w:suppressAutoHyphens w:val="0"/>
        <w:autoSpaceDE w:val="0"/>
        <w:snapToGrid w:val="0"/>
        <w:spacing w:after="240" w:line="276" w:lineRule="auto"/>
        <w:ind w:left="1134" w:firstLine="0"/>
        <w:jc w:val="both"/>
        <w:rPr>
          <w:rFonts w:cs="Arial"/>
          <w:bCs/>
          <w:color w:val="000000"/>
          <w:szCs w:val="20"/>
        </w:rPr>
      </w:pPr>
      <w:r>
        <w:rPr>
          <w:rFonts w:cs="Arial"/>
          <w:bCs/>
          <w:color w:val="000000"/>
          <w:szCs w:val="20"/>
        </w:rPr>
        <w:t>que está ciente e concorda com as condições contidas no Edital e seus anexos;</w:t>
      </w:r>
    </w:p>
    <w:p>
      <w:pPr>
        <w:pStyle w:val="68"/>
        <w:numPr>
          <w:ilvl w:val="2"/>
          <w:numId w:val="8"/>
        </w:numPr>
        <w:tabs>
          <w:tab w:val="left" w:pos="1440"/>
        </w:tabs>
        <w:suppressAutoHyphens w:val="0"/>
        <w:autoSpaceDE w:val="0"/>
        <w:snapToGrid w:val="0"/>
        <w:spacing w:after="240" w:line="276" w:lineRule="auto"/>
        <w:ind w:left="1638"/>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 xml:space="preserve">         que cumpre os requisitos para a habilitação definidos no Edital e que a </w:t>
      </w:r>
      <w:r>
        <w:rPr>
          <w:rFonts w:cs="Arial"/>
          <w:color w:val="000000"/>
          <w:szCs w:val="20"/>
        </w:rPr>
        <w:t>proposta apresentada está em conformidade com as exigências editalícias;</w:t>
      </w:r>
    </w:p>
    <w:p>
      <w:pPr>
        <w:numPr>
          <w:ilvl w:val="2"/>
          <w:numId w:val="8"/>
        </w:numPr>
        <w:tabs>
          <w:tab w:val="left" w:pos="1440"/>
        </w:tabs>
        <w:suppressAutoHyphens w:val="0"/>
        <w:autoSpaceDE w:val="0"/>
        <w:snapToGrid w:val="0"/>
        <w:spacing w:after="240" w:line="276" w:lineRule="auto"/>
        <w:ind w:left="1134" w:firstLine="0"/>
        <w:jc w:val="both"/>
        <w:rPr>
          <w:rFonts w:cs="Arial"/>
          <w:bCs/>
          <w:color w:val="000000"/>
          <w:szCs w:val="20"/>
        </w:rPr>
      </w:pPr>
      <w:r>
        <w:rPr>
          <w:rFonts w:cs="Arial"/>
          <w:bCs/>
          <w:color w:val="000000"/>
          <w:szCs w:val="20"/>
        </w:rPr>
        <w:t xml:space="preserve">que inexistem fatos impeditivos para sua habilitação no certame, ciente da obrigatoriedade de declarar ocorrências posteriores; </w:t>
      </w:r>
    </w:p>
    <w:p>
      <w:pPr>
        <w:numPr>
          <w:ilvl w:val="2"/>
          <w:numId w:val="8"/>
        </w:numPr>
        <w:tabs>
          <w:tab w:val="left" w:pos="1440"/>
        </w:tabs>
        <w:suppressAutoHyphens w:val="0"/>
        <w:autoSpaceDE w:val="0"/>
        <w:snapToGrid w:val="0"/>
        <w:spacing w:after="240" w:line="276" w:lineRule="auto"/>
        <w:ind w:left="1134" w:firstLine="0"/>
        <w:jc w:val="both"/>
        <w:rPr>
          <w:rFonts w:cs="Arial"/>
          <w:bCs/>
          <w:color w:val="000000"/>
          <w:szCs w:val="20"/>
        </w:rPr>
      </w:pPr>
      <w:r>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pPr>
        <w:numPr>
          <w:ilvl w:val="2"/>
          <w:numId w:val="8"/>
        </w:numPr>
        <w:tabs>
          <w:tab w:val="left" w:pos="1440"/>
        </w:tabs>
        <w:suppressAutoHyphens w:val="0"/>
        <w:autoSpaceDE w:val="0"/>
        <w:snapToGrid w:val="0"/>
        <w:spacing w:after="240" w:line="276" w:lineRule="auto"/>
        <w:ind w:left="1134" w:firstLine="0"/>
        <w:jc w:val="both"/>
        <w:rPr>
          <w:rFonts w:cs="Arial"/>
          <w:bCs/>
          <w:color w:val="000000"/>
          <w:szCs w:val="20"/>
        </w:rPr>
      </w:pPr>
      <w:r>
        <w:rPr>
          <w:rFonts w:cs="Arial"/>
          <w:bCs/>
          <w:color w:val="000000"/>
          <w:szCs w:val="20"/>
        </w:rPr>
        <w:t>que a proposta foi elaborada de forma independente, nos termos da Instrução Normativa SLTI/MP nº 2, de 16 de setembro de 2009.</w:t>
      </w:r>
    </w:p>
    <w:p>
      <w:pPr>
        <w:numPr>
          <w:ilvl w:val="2"/>
          <w:numId w:val="8"/>
        </w:numPr>
        <w:tabs>
          <w:tab w:val="left" w:pos="1440"/>
        </w:tabs>
        <w:suppressAutoHyphens w:val="0"/>
        <w:autoSpaceDE w:val="0"/>
        <w:snapToGrid w:val="0"/>
        <w:spacing w:after="240" w:line="276" w:lineRule="auto"/>
        <w:ind w:left="1134" w:firstLine="0"/>
        <w:jc w:val="both"/>
        <w:rPr>
          <w:rFonts w:cs="Arial"/>
          <w:bCs/>
          <w:color w:val="000000"/>
          <w:szCs w:val="20"/>
        </w:rPr>
      </w:pPr>
      <w:r>
        <w:rPr>
          <w:rFonts w:cs="Arial"/>
          <w:bCs/>
          <w:color w:val="000000"/>
          <w:szCs w:val="20"/>
        </w:rPr>
        <w:t>que não possui, em sua cadeia produtiva, empregados executando trabalho degradante ou forçado, observando o disposto nos incisos III e IV do art. 1º e no inciso III do art. 5º da Constituição Federal;</w:t>
      </w:r>
    </w:p>
    <w:p>
      <w:pPr>
        <w:numPr>
          <w:ilvl w:val="2"/>
          <w:numId w:val="8"/>
        </w:numPr>
        <w:tabs>
          <w:tab w:val="left" w:pos="1440"/>
        </w:tabs>
        <w:suppressAutoHyphens w:val="0"/>
        <w:autoSpaceDE w:val="0"/>
        <w:snapToGrid w:val="0"/>
        <w:spacing w:after="240" w:line="276" w:lineRule="auto"/>
        <w:ind w:left="1134" w:firstLine="0"/>
        <w:jc w:val="both"/>
        <w:rPr>
          <w:rFonts w:cs="Arial"/>
          <w:bCs/>
          <w:color w:val="FF0000"/>
          <w:szCs w:val="20"/>
        </w:rPr>
      </w:pPr>
      <w:r>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cs="Arial"/>
          <w:bCs/>
          <w:szCs w:val="20"/>
        </w:rPr>
        <w:t>1991.</w:t>
      </w:r>
    </w:p>
    <w:p>
      <w:pPr>
        <w:numPr>
          <w:ilvl w:val="1"/>
          <w:numId w:val="8"/>
        </w:numPr>
        <w:suppressAutoHyphens w:val="0"/>
        <w:autoSpaceDE w:val="0"/>
        <w:snapToGrid w:val="0"/>
        <w:spacing w:after="240" w:line="276" w:lineRule="auto"/>
        <w:ind w:left="425" w:firstLine="0"/>
        <w:jc w:val="both"/>
        <w:rPr>
          <w:rFonts w:cs="Arial"/>
          <w:color w:val="000000"/>
          <w:szCs w:val="20"/>
        </w:rPr>
      </w:pPr>
      <w:r>
        <w:rPr>
          <w:rFonts w:cs="Arial"/>
          <w:color w:val="000000"/>
          <w:szCs w:val="20"/>
        </w:rPr>
        <w:t>A declaração falsa relativa ao cumprimento de qualquer condição sujeitará o licitante às sanções previstas em lei e neste Edital.</w:t>
      </w:r>
    </w:p>
    <w:p>
      <w:pPr>
        <w:autoSpaceDE w:val="0"/>
        <w:snapToGrid w:val="0"/>
        <w:spacing w:before="120" w:after="120" w:line="276" w:lineRule="auto"/>
        <w:ind w:left="425"/>
        <w:jc w:val="both"/>
        <w:rPr>
          <w:rFonts w:cs="Arial"/>
          <w:color w:val="000000"/>
          <w:szCs w:val="20"/>
        </w:rPr>
      </w:pPr>
    </w:p>
    <w:p>
      <w:pPr>
        <w:pStyle w:val="477"/>
        <w:numPr>
          <w:ilvl w:val="0"/>
          <w:numId w:val="8"/>
        </w:numPr>
        <w:ind w:left="502"/>
        <w:rPr>
          <w:rFonts w:ascii="Arial" w:hAnsi="Arial" w:cs="Arial"/>
        </w:rPr>
      </w:pPr>
      <w:r>
        <w:rPr>
          <w:rFonts w:ascii="Arial" w:hAnsi="Arial" w:cs="Arial"/>
        </w:rPr>
        <w:t>DA SUSTENTABILIDADE AMBIENTAL</w:t>
      </w:r>
    </w:p>
    <w:p/>
    <w:p>
      <w:pPr>
        <w:numPr>
          <w:ilvl w:val="1"/>
          <w:numId w:val="8"/>
        </w:numPr>
        <w:suppressAutoHyphens w:val="0"/>
        <w:spacing w:after="240"/>
        <w:ind w:left="999"/>
        <w:jc w:val="both"/>
        <w:rPr>
          <w:rFonts w:cs="Arial"/>
          <w:color w:val="000000"/>
          <w:szCs w:val="20"/>
        </w:rPr>
      </w:pPr>
      <w:r>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pPr>
        <w:numPr>
          <w:ilvl w:val="1"/>
          <w:numId w:val="8"/>
        </w:numPr>
        <w:suppressAutoHyphens w:val="0"/>
        <w:spacing w:after="240"/>
        <w:ind w:left="999"/>
        <w:jc w:val="both"/>
        <w:rPr>
          <w:rFonts w:cs="Arial"/>
          <w:color w:val="000000"/>
          <w:szCs w:val="20"/>
        </w:rPr>
      </w:pPr>
      <w:r>
        <w:rPr>
          <w:rFonts w:cs="Arial"/>
          <w:color w:val="000000"/>
          <w:szCs w:val="20"/>
        </w:rPr>
        <w:t>6.1.1</w:t>
      </w:r>
      <w:r>
        <w:rPr>
          <w:rFonts w:cs="Arial"/>
          <w:color w:val="000000"/>
          <w:szCs w:val="20"/>
        </w:rPr>
        <w:tab/>
      </w:r>
      <w:r>
        <w:rPr>
          <w:rFonts w:cs="Arial"/>
          <w:color w:val="000000"/>
          <w:szCs w:val="2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pPr>
        <w:numPr>
          <w:ilvl w:val="1"/>
          <w:numId w:val="8"/>
        </w:numPr>
        <w:suppressAutoHyphens w:val="0"/>
        <w:spacing w:after="240"/>
        <w:ind w:left="999"/>
        <w:jc w:val="both"/>
      </w:pPr>
      <w:r>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r>
        <w:fldChar w:fldCharType="begin"/>
      </w:r>
      <w:r>
        <w:instrText xml:space="preserve"> HYPERLINK "https://www.agu.gov.br/page/content/detail/id_conteudo/138067" </w:instrText>
      </w:r>
      <w:r>
        <w:fldChar w:fldCharType="separate"/>
      </w:r>
      <w:r>
        <w:rPr>
          <w:color w:val="000000"/>
          <w:szCs w:val="20"/>
        </w:rPr>
        <w:t>https://www.agu.gov.br/page/content/detail/id_conteudo/138067</w:t>
      </w:r>
      <w:r>
        <w:rPr>
          <w:color w:val="000000"/>
          <w:szCs w:val="20"/>
        </w:rPr>
        <w:fldChar w:fldCharType="end"/>
      </w:r>
      <w:r>
        <w:rPr>
          <w:rFonts w:cs="Arial"/>
          <w:color w:val="000000"/>
        </w:rPr>
        <w:t>.</w:t>
      </w:r>
    </w:p>
    <w:p>
      <w:pPr>
        <w:pStyle w:val="477"/>
        <w:ind w:firstLine="0"/>
        <w:rPr>
          <w:rFonts w:ascii="Arial" w:hAnsi="Arial" w:cs="Arial"/>
        </w:rPr>
      </w:pPr>
    </w:p>
    <w:p>
      <w:pPr>
        <w:pStyle w:val="477"/>
        <w:numPr>
          <w:ilvl w:val="0"/>
          <w:numId w:val="8"/>
        </w:numPr>
        <w:ind w:left="502"/>
        <w:rPr>
          <w:rFonts w:ascii="Arial" w:hAnsi="Arial" w:cs="Arial"/>
        </w:rPr>
      </w:pPr>
      <w:r>
        <w:rPr>
          <w:rFonts w:ascii="Arial" w:hAnsi="Arial" w:cs="Arial"/>
        </w:rPr>
        <w:t>DA APRESENTAÇÃO DA PROPOSTA E DOS DOCUMENTOS DE HABILITAÇÃO</w:t>
      </w:r>
    </w:p>
    <w:p/>
    <w:p>
      <w:pPr>
        <w:numPr>
          <w:ilvl w:val="1"/>
          <w:numId w:val="8"/>
        </w:numPr>
        <w:suppressAutoHyphens w:val="0"/>
        <w:spacing w:after="240"/>
        <w:ind w:left="999"/>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 xml:space="preserve">Os licitantes </w:t>
      </w:r>
      <w:r>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cs="Arial"/>
          <w:color w:val="000000" w:themeColor="text1"/>
          <w:szCs w:val="20"/>
          <w14:textFill>
            <w14:solidFill>
              <w14:schemeClr w14:val="tx1"/>
            </w14:solidFill>
          </w14:textFill>
        </w:rPr>
        <w:t xml:space="preserve">, quando, então, encerrar-se-á automaticamente a etapa de envio dessa documentação. </w:t>
      </w:r>
    </w:p>
    <w:p>
      <w:pPr>
        <w:numPr>
          <w:ilvl w:val="1"/>
          <w:numId w:val="9"/>
        </w:numPr>
        <w:suppressAutoHyphens w:val="0"/>
        <w:spacing w:before="120" w:after="120" w:line="276" w:lineRule="auto"/>
        <w:ind w:left="1141"/>
        <w:jc w:val="both"/>
        <w:rPr>
          <w:rFonts w:cs="Arial"/>
          <w:szCs w:val="20"/>
        </w:rPr>
      </w:pPr>
      <w:r>
        <w:rPr>
          <w:rFonts w:cs="Arial"/>
          <w:szCs w:val="20"/>
        </w:rPr>
        <w:t>O envio da proposta, acompanhada dos documentos de habilitação exigidos neste Edital, ocorrerá por meio de chave de acesso e senha.</w:t>
      </w:r>
    </w:p>
    <w:p>
      <w:pPr>
        <w:numPr>
          <w:ilvl w:val="1"/>
          <w:numId w:val="9"/>
        </w:numPr>
        <w:suppressAutoHyphens w:val="0"/>
        <w:spacing w:before="120" w:after="120" w:line="276" w:lineRule="auto"/>
        <w:ind w:left="1141"/>
        <w:jc w:val="both"/>
        <w:rPr>
          <w:rFonts w:cs="Arial"/>
          <w:szCs w:val="20"/>
        </w:rPr>
      </w:pPr>
      <w:r>
        <w:rPr>
          <w:rFonts w:cs="Arial"/>
          <w:szCs w:val="20"/>
        </w:rPr>
        <w:t>Os licitantes poderão deixar de apresentar os documentos de habilitação que constem do SICAF, assegurado aos demais licitantes o direito de acesso aos dados constantes dos sistemas.</w:t>
      </w:r>
    </w:p>
    <w:p>
      <w:pPr>
        <w:numPr>
          <w:ilvl w:val="1"/>
          <w:numId w:val="9"/>
        </w:numPr>
        <w:suppressAutoHyphens w:val="0"/>
        <w:spacing w:before="120" w:after="120" w:line="276" w:lineRule="auto"/>
        <w:ind w:left="1141"/>
        <w:jc w:val="both"/>
        <w:rPr>
          <w:rFonts w:cs="Arial"/>
          <w:szCs w:val="20"/>
        </w:rPr>
      </w:pPr>
      <w:r>
        <w:rPr>
          <w:rFonts w:cs="Arial"/>
          <w:szCs w:val="20"/>
        </w:rPr>
        <w:t>As Microempresas e Empresas de Pequeno Porte deverão encaminhar a documentação de habilitação, ainda que haja alguma restrição de regularidade fiscal e trabalhista, nos termos do art. 43, § 1º da LC nº 123, de 2006.</w:t>
      </w:r>
    </w:p>
    <w:p>
      <w:pPr>
        <w:numPr>
          <w:ilvl w:val="1"/>
          <w:numId w:val="9"/>
        </w:numPr>
        <w:suppressAutoHyphens w:val="0"/>
        <w:spacing w:before="120" w:after="120" w:line="276" w:lineRule="auto"/>
        <w:ind w:left="1141"/>
        <w:jc w:val="both"/>
        <w:rPr>
          <w:rFonts w:cs="Arial"/>
          <w:szCs w:val="20"/>
        </w:rPr>
      </w:pPr>
      <w:r>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9"/>
        </w:numPr>
        <w:suppressAutoHyphens w:val="0"/>
        <w:spacing w:before="120" w:after="120" w:line="276" w:lineRule="auto"/>
        <w:ind w:left="1141"/>
        <w:jc w:val="both"/>
        <w:rPr>
          <w:rFonts w:cs="Arial"/>
          <w:szCs w:val="20"/>
        </w:rPr>
      </w:pPr>
      <w:r>
        <w:rPr>
          <w:rFonts w:cs="Arial"/>
          <w:szCs w:val="20"/>
        </w:rPr>
        <w:t>Até a abertura da sessão pública, os licitantes poderão retirar ou substituir a proposta e os documentos de habilitação anteriormente inseridos no sistema;</w:t>
      </w:r>
    </w:p>
    <w:p>
      <w:pPr>
        <w:numPr>
          <w:ilvl w:val="1"/>
          <w:numId w:val="9"/>
        </w:numPr>
        <w:suppressAutoHyphens w:val="0"/>
        <w:spacing w:before="120" w:after="120" w:line="276" w:lineRule="auto"/>
        <w:ind w:left="1141"/>
        <w:jc w:val="both"/>
        <w:rPr>
          <w:rFonts w:cs="Arial"/>
          <w:szCs w:val="20"/>
        </w:rPr>
      </w:pPr>
      <w:r>
        <w:rPr>
          <w:rFonts w:cs="Arial"/>
          <w:szCs w:val="20"/>
        </w:rPr>
        <w:t>Não será estabelecida, nessa etapa do certame, ordem de classificação entre as propostas apresentadas, o que somente ocorrerá após a realização dos procedimentos de negociação e julgamento da proposta.</w:t>
      </w:r>
    </w:p>
    <w:p>
      <w:pPr>
        <w:numPr>
          <w:ilvl w:val="1"/>
          <w:numId w:val="9"/>
        </w:numPr>
        <w:suppressAutoHyphens w:val="0"/>
        <w:spacing w:before="120" w:after="120" w:line="276" w:lineRule="auto"/>
        <w:ind w:left="1141"/>
        <w:jc w:val="both"/>
        <w:rPr>
          <w:rFonts w:cs="Arial"/>
          <w:szCs w:val="20"/>
        </w:rPr>
      </w:pPr>
      <w:r>
        <w:rPr>
          <w:rFonts w:cs="Arial"/>
          <w:szCs w:val="20"/>
        </w:rPr>
        <w:t>Os documentos que compõem a proposta e a habilitação do licitante melhor classificado somente serão disponibilizados para avaliação do pregoeiro e para acesso público após o encerramento do envio de lances.</w:t>
      </w:r>
    </w:p>
    <w:p>
      <w:pPr>
        <w:spacing w:after="240" w:line="276" w:lineRule="auto"/>
        <w:ind w:left="425"/>
        <w:jc w:val="both"/>
        <w:rPr>
          <w:rFonts w:cs="Arial"/>
          <w:szCs w:val="20"/>
        </w:rPr>
      </w:pPr>
    </w:p>
    <w:p>
      <w:pPr>
        <w:pStyle w:val="477"/>
        <w:numPr>
          <w:ilvl w:val="0"/>
          <w:numId w:val="8"/>
        </w:numPr>
        <w:ind w:left="502"/>
        <w:rPr>
          <w:rFonts w:ascii="Arial" w:hAnsi="Arial" w:cs="Arial"/>
        </w:rPr>
      </w:pPr>
      <w:r>
        <w:rPr>
          <w:rFonts w:ascii="Arial" w:hAnsi="Arial" w:cs="Arial"/>
        </w:rPr>
        <w:t>DO PREENCHIMENTO DA PROPOSTA</w:t>
      </w:r>
    </w:p>
    <w:p>
      <w:pPr>
        <w:numPr>
          <w:ilvl w:val="1"/>
          <w:numId w:val="9"/>
        </w:numPr>
        <w:suppressAutoHyphens w:val="0"/>
        <w:spacing w:before="120" w:after="120" w:line="276" w:lineRule="auto"/>
        <w:ind w:left="1141"/>
        <w:jc w:val="both"/>
        <w:rPr>
          <w:rFonts w:cs="Arial"/>
          <w:szCs w:val="20"/>
        </w:rPr>
      </w:pPr>
      <w:r>
        <w:rPr>
          <w:rFonts w:cs="Arial"/>
          <w:szCs w:val="20"/>
        </w:rPr>
        <w:t>O licitante deverá enviar sua proposta mediante o preenchimento, no sistema eletrônico, dos seguintes campos:</w:t>
      </w:r>
    </w:p>
    <w:p>
      <w:pPr>
        <w:numPr>
          <w:ilvl w:val="2"/>
          <w:numId w:val="8"/>
        </w:numPr>
        <w:tabs>
          <w:tab w:val="left" w:pos="1440"/>
        </w:tabs>
        <w:suppressAutoHyphens w:val="0"/>
        <w:autoSpaceDE w:val="0"/>
        <w:snapToGrid w:val="0"/>
        <w:spacing w:after="240"/>
        <w:ind w:left="1134" w:firstLine="0"/>
        <w:jc w:val="both"/>
        <w:rPr>
          <w:rFonts w:cs="Arial"/>
          <w:i/>
          <w:szCs w:val="20"/>
        </w:rPr>
      </w:pPr>
      <w:r>
        <w:rPr>
          <w:rFonts w:cs="Arial"/>
          <w:i/>
          <w:szCs w:val="20"/>
        </w:rPr>
        <w:t xml:space="preserve">Valor unitário e total </w:t>
      </w:r>
      <w:r>
        <w:rPr>
          <w:rFonts w:cs="Arial"/>
          <w:bCs/>
          <w:i/>
          <w:iCs/>
          <w:szCs w:val="20"/>
        </w:rPr>
        <w:t>do item;</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bCs/>
          <w:iCs/>
          <w:color w:val="000000"/>
          <w:szCs w:val="20"/>
        </w:rPr>
        <w:t>Marca e Modelo;</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bCs/>
          <w:iCs/>
          <w:color w:val="000000"/>
          <w:szCs w:val="20"/>
        </w:rPr>
        <w:t xml:space="preserve">Fabricante; </w:t>
      </w:r>
    </w:p>
    <w:p>
      <w:pPr>
        <w:numPr>
          <w:ilvl w:val="2"/>
          <w:numId w:val="8"/>
        </w:numPr>
        <w:tabs>
          <w:tab w:val="left" w:pos="1440"/>
        </w:tabs>
        <w:suppressAutoHyphens w:val="0"/>
        <w:autoSpaceDE w:val="0"/>
        <w:snapToGrid w:val="0"/>
        <w:spacing w:after="240"/>
        <w:ind w:left="1134" w:firstLine="0"/>
        <w:jc w:val="both"/>
        <w:rPr>
          <w:rFonts w:cs="Arial"/>
          <w:szCs w:val="20"/>
        </w:rPr>
      </w:pPr>
      <w:r>
        <w:rPr>
          <w:rFonts w:cs="Arial"/>
          <w:bCs/>
          <w:iCs/>
          <w:color w:val="000000"/>
          <w:szCs w:val="20"/>
        </w:rPr>
        <w:t>Descrição detalhada do objeto, contendo as informações similares à especificação do Termo de Referência: indicando, no que for aplicável</w:t>
      </w:r>
      <w:r>
        <w:rPr>
          <w:rFonts w:cs="Arial"/>
          <w:color w:val="000000"/>
          <w:szCs w:val="20"/>
        </w:rPr>
        <w:t xml:space="preserve">, </w:t>
      </w:r>
      <w:r>
        <w:rPr>
          <w:rFonts w:cs="Arial"/>
          <w:szCs w:val="20"/>
        </w:rPr>
        <w:t xml:space="preserve">o modelo, prazo de validade ou de garantia, número do registro ou inscrição do bem no órgão competente, quando for o caso; </w:t>
      </w:r>
    </w:p>
    <w:p>
      <w:pPr>
        <w:numPr>
          <w:ilvl w:val="1"/>
          <w:numId w:val="9"/>
        </w:numPr>
        <w:suppressAutoHyphens w:val="0"/>
        <w:spacing w:before="120" w:after="120" w:line="276" w:lineRule="auto"/>
        <w:ind w:left="1141"/>
        <w:jc w:val="both"/>
        <w:rPr>
          <w:rFonts w:cs="Arial"/>
          <w:szCs w:val="20"/>
        </w:rPr>
      </w:pPr>
      <w:r>
        <w:rPr>
          <w:rFonts w:cs="Arial"/>
          <w:szCs w:val="20"/>
        </w:rPr>
        <w:t>Todas as especificações do objeto contidas na proposta vinculam a Contratada.</w:t>
      </w:r>
    </w:p>
    <w:p>
      <w:pPr>
        <w:numPr>
          <w:ilvl w:val="1"/>
          <w:numId w:val="9"/>
        </w:numPr>
        <w:suppressAutoHyphens w:val="0"/>
        <w:spacing w:before="120" w:after="120" w:line="276" w:lineRule="auto"/>
        <w:ind w:left="1141"/>
        <w:jc w:val="both"/>
        <w:rPr>
          <w:rFonts w:cs="Arial"/>
          <w:szCs w:val="20"/>
        </w:rPr>
      </w:pPr>
      <w:r>
        <w:rPr>
          <w:rFonts w:cs="Arial"/>
          <w:szCs w:val="20"/>
        </w:rPr>
        <w:t>Nos valores propostos estarão inclusos todos os custos operacionais, encargos previdenciários, trabalhistas, tributários, comerciais e quaisquer outros que incidam direta ou indiretamente no fornecimento dos bens.</w:t>
      </w:r>
    </w:p>
    <w:p>
      <w:pPr>
        <w:numPr>
          <w:ilvl w:val="1"/>
          <w:numId w:val="9"/>
        </w:numPr>
        <w:suppressAutoHyphens w:val="0"/>
        <w:spacing w:before="120" w:after="120" w:line="276" w:lineRule="auto"/>
        <w:ind w:left="1141"/>
        <w:jc w:val="both"/>
        <w:rPr>
          <w:rFonts w:cs="Arial"/>
          <w:szCs w:val="20"/>
        </w:rPr>
      </w:pPr>
      <w:r>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9"/>
        </w:numPr>
        <w:suppressAutoHyphens w:val="0"/>
        <w:spacing w:before="120" w:after="120" w:line="276" w:lineRule="auto"/>
        <w:ind w:left="1141"/>
        <w:jc w:val="both"/>
        <w:rPr>
          <w:rFonts w:cs="Arial"/>
          <w:szCs w:val="20"/>
        </w:rPr>
      </w:pPr>
      <w:r>
        <w:rPr>
          <w:rFonts w:cs="Arial"/>
          <w:szCs w:val="20"/>
        </w:rPr>
        <w:t xml:space="preserve">O prazo de validade da proposta não será inferior a </w:t>
      </w:r>
      <w:r>
        <w:rPr>
          <w:rFonts w:cs="Arial"/>
          <w:b/>
          <w:bCs/>
          <w:szCs w:val="20"/>
        </w:rPr>
        <w:t>60 (sessenta) dias</w:t>
      </w:r>
      <w:r>
        <w:rPr>
          <w:rFonts w:cs="Arial"/>
          <w:szCs w:val="20"/>
        </w:rPr>
        <w:t xml:space="preserve">, a contar da data de sua apresentação. </w:t>
      </w:r>
    </w:p>
    <w:p>
      <w:pPr>
        <w:numPr>
          <w:ilvl w:val="1"/>
          <w:numId w:val="9"/>
        </w:numPr>
        <w:suppressAutoHyphens w:val="0"/>
        <w:spacing w:before="120" w:after="120" w:line="276" w:lineRule="auto"/>
        <w:ind w:left="1141"/>
        <w:jc w:val="both"/>
        <w:rPr>
          <w:rFonts w:cs="Arial"/>
          <w:szCs w:val="20"/>
        </w:rPr>
      </w:pPr>
      <w:r>
        <w:rPr>
          <w:rFonts w:cs="Arial"/>
          <w:szCs w:val="20"/>
        </w:rPr>
        <w:t>Os licitantes devem respeitar os preços máximos estabelecidos nas normas de regência de contratações públicas federais, quando participarem de licitações públicas;</w:t>
      </w:r>
    </w:p>
    <w:p>
      <w:pPr>
        <w:pStyle w:val="68"/>
        <w:numPr>
          <w:ilvl w:val="2"/>
          <w:numId w:val="8"/>
        </w:numPr>
        <w:suppressAutoHyphens w:val="0"/>
        <w:spacing w:after="240"/>
        <w:ind w:left="1638"/>
        <w:contextualSpacing w:val="0"/>
        <w:jc w:val="both"/>
        <w:rPr>
          <w:rFonts w:cs="Arial"/>
          <w:color w:val="000000"/>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68"/>
        <w:spacing w:after="240"/>
        <w:ind w:left="1638"/>
        <w:contextualSpacing w:val="0"/>
        <w:jc w:val="both"/>
        <w:rPr>
          <w:rFonts w:cs="Arial"/>
          <w:color w:val="000000"/>
          <w:szCs w:val="20"/>
        </w:rPr>
      </w:pPr>
    </w:p>
    <w:p>
      <w:pPr>
        <w:pStyle w:val="477"/>
        <w:numPr>
          <w:ilvl w:val="0"/>
          <w:numId w:val="8"/>
        </w:numPr>
        <w:ind w:left="0" w:firstLine="0"/>
        <w:rPr>
          <w:rFonts w:ascii="Arial" w:hAnsi="Arial" w:cs="Arial"/>
          <w:color w:val="auto"/>
        </w:rPr>
      </w:pPr>
      <w:r>
        <w:rPr>
          <w:rFonts w:ascii="Arial" w:hAnsi="Arial" w:cs="Arial"/>
          <w:color w:val="auto"/>
        </w:rPr>
        <w:t xml:space="preserve">DA ABERTURA DA SESSÃO, CLASSIFICAÇÃO DAS PROPOSTAS E FORMULAÇÃO DE LANCES </w:t>
      </w:r>
    </w:p>
    <w:p/>
    <w:p>
      <w:pPr>
        <w:numPr>
          <w:ilvl w:val="1"/>
          <w:numId w:val="9"/>
        </w:numPr>
        <w:suppressAutoHyphens w:val="0"/>
        <w:spacing w:before="120" w:after="120" w:line="276" w:lineRule="auto"/>
        <w:ind w:left="1141"/>
        <w:jc w:val="both"/>
        <w:rPr>
          <w:rFonts w:cs="Arial"/>
          <w:szCs w:val="20"/>
        </w:rPr>
      </w:pPr>
      <w:r>
        <w:rPr>
          <w:rFonts w:cs="Arial"/>
          <w:szCs w:val="20"/>
        </w:rPr>
        <w:t>A abertura da presente licitação dar-se-á em sessão pública, por meio de sistema eletrônico, na data, horário e local indicados neste Edital.</w:t>
      </w:r>
    </w:p>
    <w:p>
      <w:pPr>
        <w:numPr>
          <w:ilvl w:val="1"/>
          <w:numId w:val="9"/>
        </w:numPr>
        <w:suppressAutoHyphens w:val="0"/>
        <w:spacing w:before="120" w:after="120" w:line="276" w:lineRule="auto"/>
        <w:ind w:left="1141"/>
        <w:jc w:val="both"/>
        <w:rPr>
          <w:rFonts w:cs="Arial"/>
          <w:szCs w:val="20"/>
        </w:rPr>
      </w:pPr>
      <w:r>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pPr>
        <w:numPr>
          <w:ilvl w:val="2"/>
          <w:numId w:val="8"/>
        </w:numPr>
        <w:tabs>
          <w:tab w:val="left" w:pos="1440"/>
        </w:tabs>
        <w:suppressAutoHyphens w:val="0"/>
        <w:autoSpaceDE w:val="0"/>
        <w:snapToGrid w:val="0"/>
        <w:spacing w:after="240"/>
        <w:ind w:left="1134" w:firstLine="0"/>
        <w:jc w:val="both"/>
        <w:rPr>
          <w:rFonts w:cs="Arial"/>
          <w:color w:val="000000"/>
          <w:szCs w:val="20"/>
          <w:lang w:eastAsia="en-US"/>
        </w:rPr>
      </w:pPr>
      <w:r>
        <w:rPr>
          <w:rFonts w:cs="Arial"/>
          <w:color w:val="000000"/>
          <w:szCs w:val="20"/>
          <w:lang w:eastAsia="en-US"/>
        </w:rPr>
        <w:t>Também será desclassificada a proposta que identifique o licitante.</w:t>
      </w:r>
    </w:p>
    <w:p>
      <w:pPr>
        <w:numPr>
          <w:ilvl w:val="2"/>
          <w:numId w:val="8"/>
        </w:numPr>
        <w:tabs>
          <w:tab w:val="left" w:pos="1440"/>
        </w:tabs>
        <w:suppressAutoHyphens w:val="0"/>
        <w:autoSpaceDE w:val="0"/>
        <w:snapToGrid w:val="0"/>
        <w:spacing w:after="240"/>
        <w:ind w:left="1134" w:firstLine="0"/>
        <w:jc w:val="both"/>
        <w:rPr>
          <w:rFonts w:cs="Arial"/>
          <w:color w:val="000000"/>
          <w:szCs w:val="20"/>
          <w:lang w:eastAsia="en-US"/>
        </w:rPr>
      </w:pPr>
      <w:r>
        <w:rPr>
          <w:rFonts w:cs="Arial"/>
          <w:color w:val="000000"/>
          <w:szCs w:val="20"/>
        </w:rPr>
        <w:t>A desclassificação será sempre fundamentada e registrada no sistema, com acompanhamento em tempo real por todos os participantes.</w:t>
      </w:r>
    </w:p>
    <w:p>
      <w:pPr>
        <w:numPr>
          <w:ilvl w:val="2"/>
          <w:numId w:val="8"/>
        </w:numPr>
        <w:tabs>
          <w:tab w:val="left" w:pos="1440"/>
        </w:tabs>
        <w:suppressAutoHyphens w:val="0"/>
        <w:autoSpaceDE w:val="0"/>
        <w:snapToGrid w:val="0"/>
        <w:spacing w:after="240"/>
        <w:ind w:left="1134" w:firstLine="0"/>
        <w:jc w:val="both"/>
        <w:rPr>
          <w:rFonts w:cs="Arial"/>
          <w:color w:val="000000"/>
          <w:szCs w:val="20"/>
          <w:lang w:eastAsia="en-US"/>
        </w:rPr>
      </w:pPr>
      <w:r>
        <w:rPr>
          <w:rFonts w:cs="Arial"/>
          <w:color w:val="000000"/>
          <w:szCs w:val="20"/>
        </w:rPr>
        <w:t>A não desclassificação da proposta não impede o seu julgamento definitivo em sentido contrário, levado a efeito na fase de aceitação.</w:t>
      </w:r>
    </w:p>
    <w:p>
      <w:pPr>
        <w:numPr>
          <w:ilvl w:val="1"/>
          <w:numId w:val="9"/>
        </w:numPr>
        <w:suppressAutoHyphens w:val="0"/>
        <w:spacing w:before="120" w:after="120" w:line="276" w:lineRule="auto"/>
        <w:ind w:left="1141"/>
        <w:jc w:val="both"/>
        <w:rPr>
          <w:rFonts w:cs="Arial"/>
          <w:szCs w:val="20"/>
        </w:rPr>
      </w:pPr>
      <w:r>
        <w:rPr>
          <w:rFonts w:cs="Arial"/>
          <w:szCs w:val="20"/>
        </w:rPr>
        <w:t>O sistema ordenará automaticamente as propostas classificadas, sendo que somente estas participarão da fase de lances.</w:t>
      </w:r>
    </w:p>
    <w:p>
      <w:pPr>
        <w:numPr>
          <w:ilvl w:val="1"/>
          <w:numId w:val="9"/>
        </w:numPr>
        <w:suppressAutoHyphens w:val="0"/>
        <w:spacing w:before="120" w:after="120" w:line="276" w:lineRule="auto"/>
        <w:ind w:left="1141"/>
        <w:jc w:val="both"/>
        <w:rPr>
          <w:rFonts w:cs="Arial"/>
          <w:szCs w:val="20"/>
        </w:rPr>
      </w:pPr>
      <w:r>
        <w:rPr>
          <w:rFonts w:cs="Arial"/>
          <w:szCs w:val="20"/>
        </w:rPr>
        <w:t>O sistema disponibilizará campo próprio para troca de mensagens entre o Pregoeiro e os licitantes.</w:t>
      </w:r>
    </w:p>
    <w:p>
      <w:pPr>
        <w:numPr>
          <w:ilvl w:val="1"/>
          <w:numId w:val="9"/>
        </w:numPr>
        <w:suppressAutoHyphens w:val="0"/>
        <w:spacing w:before="120" w:after="120" w:line="276" w:lineRule="auto"/>
        <w:ind w:left="1141"/>
        <w:jc w:val="both"/>
        <w:rPr>
          <w:rFonts w:cs="Arial"/>
          <w:szCs w:val="20"/>
        </w:rPr>
      </w:pPr>
      <w:r>
        <w:rPr>
          <w:rFonts w:cs="Arial"/>
          <w:szCs w:val="20"/>
        </w:rPr>
        <w:t xml:space="preserve"> Iniciada a etapa competitiva, os licitantes deverão encaminhar lances exclusivamente por meio do sistema eletrônico, sendo imediatamente informados do seu recebimento e do valor consignado no registro. </w:t>
      </w:r>
    </w:p>
    <w:p>
      <w:pPr>
        <w:numPr>
          <w:ilvl w:val="2"/>
          <w:numId w:val="8"/>
        </w:numPr>
        <w:tabs>
          <w:tab w:val="left" w:pos="1440"/>
        </w:tabs>
        <w:suppressAutoHyphens w:val="0"/>
        <w:autoSpaceDE w:val="0"/>
        <w:snapToGrid w:val="0"/>
        <w:spacing w:after="240"/>
        <w:ind w:left="1134" w:firstLine="0"/>
        <w:jc w:val="both"/>
        <w:rPr>
          <w:rFonts w:cs="Arial"/>
          <w:szCs w:val="20"/>
        </w:rPr>
      </w:pPr>
      <w:r>
        <w:rPr>
          <w:rFonts w:cs="Arial"/>
          <w:szCs w:val="20"/>
        </w:rPr>
        <w:t xml:space="preserve">O lance deverá ser ofertado pelo </w:t>
      </w:r>
      <w:r>
        <w:rPr>
          <w:rFonts w:cs="Arial"/>
          <w:b/>
          <w:bCs/>
          <w:i/>
          <w:szCs w:val="20"/>
        </w:rPr>
        <w:t>unitário do item</w:t>
      </w:r>
      <w:r>
        <w:rPr>
          <w:rFonts w:cs="Arial"/>
          <w:i/>
          <w:szCs w:val="20"/>
        </w:rPr>
        <w:t>.</w:t>
      </w:r>
    </w:p>
    <w:p>
      <w:pPr>
        <w:numPr>
          <w:ilvl w:val="1"/>
          <w:numId w:val="9"/>
        </w:numPr>
        <w:suppressAutoHyphens w:val="0"/>
        <w:spacing w:before="120" w:after="120" w:line="276" w:lineRule="auto"/>
        <w:ind w:left="1141"/>
        <w:jc w:val="both"/>
        <w:rPr>
          <w:rFonts w:cs="Arial"/>
          <w:szCs w:val="20"/>
        </w:rPr>
      </w:pPr>
      <w:r>
        <w:rPr>
          <w:rFonts w:cs="Arial"/>
          <w:szCs w:val="20"/>
        </w:rPr>
        <w:t>Os licitantes poderão oferecer lances sucessivos, observando o horário fixado para abertura da sessão e as regras estabelecidas no Edital.</w:t>
      </w:r>
    </w:p>
    <w:p>
      <w:pPr>
        <w:numPr>
          <w:ilvl w:val="1"/>
          <w:numId w:val="9"/>
        </w:numPr>
        <w:suppressAutoHyphens w:val="0"/>
        <w:spacing w:before="120" w:after="120" w:line="276" w:lineRule="auto"/>
        <w:ind w:left="1141"/>
        <w:jc w:val="both"/>
        <w:rPr>
          <w:rFonts w:cs="Arial"/>
          <w:szCs w:val="20"/>
        </w:rPr>
      </w:pPr>
      <w:r>
        <w:rPr>
          <w:rFonts w:cs="Arial"/>
          <w:szCs w:val="20"/>
        </w:rPr>
        <w:t>O licitante somente poderá oferecer lance de valor inferior ao último por ele ofertado e registrado pelo sistema.</w:t>
      </w:r>
    </w:p>
    <w:p>
      <w:pPr>
        <w:numPr>
          <w:ilvl w:val="1"/>
          <w:numId w:val="9"/>
        </w:numPr>
        <w:suppressAutoHyphens w:val="0"/>
        <w:spacing w:before="120" w:after="120" w:line="276" w:lineRule="auto"/>
        <w:ind w:left="1141"/>
        <w:jc w:val="both"/>
        <w:rPr>
          <w:rFonts w:cs="Arial"/>
          <w:iCs/>
          <w:szCs w:val="20"/>
        </w:rPr>
      </w:pPr>
      <w:r>
        <w:rPr>
          <w:rFonts w:cs="Arial"/>
          <w:szCs w:val="20"/>
        </w:rPr>
        <w:t xml:space="preserve">O </w:t>
      </w:r>
      <w:r>
        <w:rPr>
          <w:rFonts w:cs="Arial"/>
          <w:szCs w:val="20"/>
          <w:u w:val="single"/>
        </w:rPr>
        <w:t>intervalo mínimo de diferença de valores ou percentuais entre os lances</w:t>
      </w:r>
      <w:r>
        <w:rPr>
          <w:rFonts w:cs="Arial"/>
          <w:szCs w:val="20"/>
        </w:rPr>
        <w:t>, que incidirá tanto em relação aos lances intermediários quanto em relação à proposta que cobrir a melhor oferta deverá ser de acordo com o Anexo I-A – Planilha Estimativa.</w:t>
      </w:r>
    </w:p>
    <w:p>
      <w:pPr>
        <w:pStyle w:val="68"/>
        <w:numPr>
          <w:ilvl w:val="0"/>
          <w:numId w:val="10"/>
        </w:numPr>
        <w:suppressAutoHyphens w:val="0"/>
        <w:spacing w:after="240"/>
        <w:contextualSpacing w:val="0"/>
        <w:jc w:val="both"/>
        <w:rPr>
          <w:rFonts w:cs="Arial"/>
          <w:iCs/>
          <w:vanish/>
          <w:szCs w:val="20"/>
        </w:rPr>
      </w:pPr>
    </w:p>
    <w:p>
      <w:pPr>
        <w:pStyle w:val="68"/>
        <w:numPr>
          <w:ilvl w:val="0"/>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pStyle w:val="68"/>
        <w:numPr>
          <w:ilvl w:val="1"/>
          <w:numId w:val="10"/>
        </w:numPr>
        <w:suppressAutoHyphens w:val="0"/>
        <w:spacing w:after="240"/>
        <w:contextualSpacing w:val="0"/>
        <w:jc w:val="both"/>
        <w:rPr>
          <w:rFonts w:cs="Arial"/>
          <w:iCs/>
          <w:vanish/>
          <w:szCs w:val="20"/>
        </w:rPr>
      </w:pPr>
    </w:p>
    <w:p>
      <w:pPr>
        <w:numPr>
          <w:ilvl w:val="1"/>
          <w:numId w:val="9"/>
        </w:numPr>
        <w:suppressAutoHyphens w:val="0"/>
        <w:spacing w:before="120" w:after="120" w:line="276" w:lineRule="auto"/>
        <w:ind w:left="1141"/>
        <w:jc w:val="both"/>
        <w:rPr>
          <w:rFonts w:cs="Arial"/>
          <w:szCs w:val="20"/>
        </w:rPr>
      </w:pPr>
      <w:r>
        <w:rPr>
          <w:rFonts w:cs="Arial"/>
          <w:szCs w:val="20"/>
        </w:rPr>
        <w:t>Será adotado para o envio de lances no pregão eletrônico o modo de disputa “</w:t>
      </w:r>
      <w:r>
        <w:rPr>
          <w:rFonts w:cs="Arial"/>
          <w:b/>
          <w:szCs w:val="20"/>
        </w:rPr>
        <w:t>aberto</w:t>
      </w:r>
      <w:r>
        <w:rPr>
          <w:rFonts w:cs="Arial"/>
          <w:szCs w:val="20"/>
        </w:rPr>
        <w:t>”, em que os licitantes apresentarão lances públicos e sucessivos, com prorrogações.</w:t>
      </w:r>
    </w:p>
    <w:p>
      <w:pPr>
        <w:numPr>
          <w:ilvl w:val="1"/>
          <w:numId w:val="9"/>
        </w:numPr>
        <w:suppressAutoHyphens w:val="0"/>
        <w:spacing w:before="120" w:after="120" w:line="276" w:lineRule="auto"/>
        <w:ind w:left="1141"/>
        <w:jc w:val="both"/>
        <w:rPr>
          <w:rFonts w:cs="Arial"/>
          <w:szCs w:val="20"/>
        </w:rPr>
      </w:pPr>
      <w:r>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pPr>
        <w:numPr>
          <w:ilvl w:val="1"/>
          <w:numId w:val="9"/>
        </w:numPr>
        <w:suppressAutoHyphens w:val="0"/>
        <w:spacing w:before="120" w:after="120" w:line="276" w:lineRule="auto"/>
        <w:ind w:left="1141"/>
        <w:jc w:val="both"/>
        <w:rPr>
          <w:rFonts w:cs="Arial"/>
          <w:szCs w:val="20"/>
        </w:rPr>
      </w:pPr>
      <w:r>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pPr>
        <w:numPr>
          <w:ilvl w:val="1"/>
          <w:numId w:val="9"/>
        </w:numPr>
        <w:suppressAutoHyphens w:val="0"/>
        <w:spacing w:before="120" w:after="120" w:line="276" w:lineRule="auto"/>
        <w:ind w:left="1141"/>
        <w:jc w:val="both"/>
        <w:rPr>
          <w:rFonts w:cs="Arial"/>
          <w:szCs w:val="20"/>
        </w:rPr>
      </w:pPr>
      <w:r>
        <w:rPr>
          <w:rFonts w:cs="Arial"/>
          <w:szCs w:val="20"/>
        </w:rPr>
        <w:t>Não havendo novos lances na forma estabelecida nos itens anteriores, a sessão pública encerrar-se-á automaticamente.</w:t>
      </w:r>
    </w:p>
    <w:p>
      <w:pPr>
        <w:numPr>
          <w:ilvl w:val="1"/>
          <w:numId w:val="9"/>
        </w:numPr>
        <w:suppressAutoHyphens w:val="0"/>
        <w:spacing w:before="120" w:after="120" w:line="276" w:lineRule="auto"/>
        <w:ind w:left="1141"/>
        <w:jc w:val="both"/>
        <w:rPr>
          <w:rFonts w:cs="Arial"/>
          <w:szCs w:val="20"/>
        </w:rPr>
      </w:pPr>
      <w:r>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numPr>
          <w:ilvl w:val="1"/>
          <w:numId w:val="9"/>
        </w:numPr>
        <w:suppressAutoHyphens w:val="0"/>
        <w:spacing w:before="120" w:after="120" w:line="276" w:lineRule="auto"/>
        <w:ind w:left="1141"/>
        <w:jc w:val="both"/>
        <w:rPr>
          <w:rFonts w:cs="Arial"/>
          <w:szCs w:val="20"/>
        </w:rPr>
      </w:pPr>
      <w:r>
        <w:rPr>
          <w:rFonts w:cs="Arial"/>
          <w:szCs w:val="20"/>
        </w:rPr>
        <w:t xml:space="preserve">Não serão aceitos dois ou mais lances de mesmo valor, prevalecendo aquele que for recebido e registrado em primeiro lugar. </w:t>
      </w:r>
    </w:p>
    <w:p>
      <w:pPr>
        <w:numPr>
          <w:ilvl w:val="1"/>
          <w:numId w:val="9"/>
        </w:numPr>
        <w:suppressAutoHyphens w:val="0"/>
        <w:spacing w:before="120" w:after="120" w:line="276" w:lineRule="auto"/>
        <w:ind w:left="1141"/>
        <w:jc w:val="both"/>
        <w:rPr>
          <w:rFonts w:cs="Arial"/>
          <w:szCs w:val="20"/>
        </w:rPr>
      </w:pPr>
      <w:r>
        <w:rPr>
          <w:rFonts w:cs="Arial"/>
          <w:szCs w:val="20"/>
        </w:rPr>
        <w:t xml:space="preserve">Durante o transcurso da sessão pública, os licitantes serão informados, em tempo real, do valor do menor lance registrado, vedada a identificação do licitante. </w:t>
      </w:r>
    </w:p>
    <w:p>
      <w:pPr>
        <w:numPr>
          <w:ilvl w:val="1"/>
          <w:numId w:val="9"/>
        </w:numPr>
        <w:suppressAutoHyphens w:val="0"/>
        <w:spacing w:before="120" w:after="120" w:line="276" w:lineRule="auto"/>
        <w:ind w:left="1141"/>
        <w:jc w:val="both"/>
        <w:rPr>
          <w:rFonts w:cs="Arial"/>
          <w:szCs w:val="20"/>
        </w:rPr>
      </w:pPr>
      <w:r>
        <w:rPr>
          <w:rFonts w:cs="Arial"/>
          <w:szCs w:val="20"/>
        </w:rPr>
        <w:t xml:space="preserve">No caso de desconexão com o Pregoeiro, no decorrer da etapa competitiva do Pregão, o sistema eletrônico poderá permanecer acessível aos licitantes para a recepção dos lances. </w:t>
      </w:r>
    </w:p>
    <w:p>
      <w:pPr>
        <w:numPr>
          <w:ilvl w:val="1"/>
          <w:numId w:val="9"/>
        </w:numPr>
        <w:suppressAutoHyphens w:val="0"/>
        <w:spacing w:before="120" w:after="120" w:line="276" w:lineRule="auto"/>
        <w:ind w:left="1141"/>
        <w:jc w:val="both"/>
        <w:rPr>
          <w:rFonts w:cs="Arial"/>
          <w:szCs w:val="20"/>
        </w:rPr>
      </w:pPr>
      <w:r>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9"/>
        </w:numPr>
        <w:suppressAutoHyphens w:val="0"/>
        <w:spacing w:before="120" w:after="120" w:line="276" w:lineRule="auto"/>
        <w:ind w:left="1141"/>
        <w:jc w:val="both"/>
        <w:rPr>
          <w:rFonts w:cs="Arial"/>
          <w:szCs w:val="20"/>
        </w:rPr>
      </w:pPr>
      <w:r>
        <w:rPr>
          <w:rFonts w:cs="Arial"/>
          <w:szCs w:val="20"/>
        </w:rPr>
        <w:t xml:space="preserve">O Critério de julgamento adotado será o </w:t>
      </w:r>
      <w:r>
        <w:rPr>
          <w:rFonts w:cs="Arial"/>
          <w:b/>
          <w:bCs/>
          <w:szCs w:val="20"/>
        </w:rPr>
        <w:t>menor preço</w:t>
      </w:r>
      <w:r>
        <w:rPr>
          <w:rFonts w:cs="Arial"/>
          <w:szCs w:val="20"/>
        </w:rPr>
        <w:t xml:space="preserve">, conforme definido neste Edital e seus anexos. </w:t>
      </w:r>
    </w:p>
    <w:p>
      <w:pPr>
        <w:numPr>
          <w:ilvl w:val="1"/>
          <w:numId w:val="9"/>
        </w:numPr>
        <w:suppressAutoHyphens w:val="0"/>
        <w:spacing w:before="120" w:after="120" w:line="276" w:lineRule="auto"/>
        <w:ind w:left="1141"/>
        <w:jc w:val="both"/>
        <w:rPr>
          <w:rFonts w:cs="Arial"/>
          <w:szCs w:val="20"/>
        </w:rPr>
      </w:pPr>
      <w:r>
        <w:rPr>
          <w:rFonts w:cs="Arial"/>
          <w:szCs w:val="20"/>
        </w:rPr>
        <w:t>Caso o licitante não apresente lances, concorrerá com o valor de sua proposta.</w:t>
      </w:r>
    </w:p>
    <w:p>
      <w:pPr>
        <w:numPr>
          <w:ilvl w:val="1"/>
          <w:numId w:val="9"/>
        </w:numPr>
        <w:suppressAutoHyphens w:val="0"/>
        <w:spacing w:before="120" w:after="120" w:line="276" w:lineRule="auto"/>
        <w:ind w:left="1141"/>
        <w:jc w:val="both"/>
        <w:rPr>
          <w:rFonts w:cs="Arial"/>
          <w:szCs w:val="20"/>
        </w:rPr>
      </w:pPr>
      <w:r>
        <w:rPr>
          <w:rFonts w:cs="Arial"/>
          <w:szCs w:val="20"/>
        </w:rP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9"/>
        </w:numPr>
        <w:suppressAutoHyphens w:val="0"/>
        <w:spacing w:before="120" w:after="120" w:line="276" w:lineRule="auto"/>
        <w:ind w:left="1141"/>
        <w:jc w:val="both"/>
        <w:rPr>
          <w:rFonts w:cs="Arial"/>
          <w:szCs w:val="20"/>
        </w:rPr>
      </w:pPr>
      <w:r>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9"/>
        </w:numPr>
        <w:suppressAutoHyphens w:val="0"/>
        <w:spacing w:before="120" w:after="120" w:line="276" w:lineRule="auto"/>
        <w:ind w:left="1141"/>
        <w:jc w:val="both"/>
        <w:rPr>
          <w:rFonts w:cs="Arial"/>
          <w:szCs w:val="20"/>
        </w:rPr>
      </w:pPr>
      <w:r>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9"/>
        </w:numPr>
        <w:suppressAutoHyphens w:val="0"/>
        <w:spacing w:before="120" w:after="120" w:line="276" w:lineRule="auto"/>
        <w:ind w:left="1141"/>
        <w:jc w:val="both"/>
        <w:rPr>
          <w:rFonts w:cs="Arial"/>
          <w:szCs w:val="20"/>
        </w:rPr>
      </w:pPr>
      <w:r>
        <w:rPr>
          <w:rFonts w:cs="Arial"/>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9"/>
        </w:numPr>
        <w:suppressAutoHyphens w:val="0"/>
        <w:spacing w:before="120" w:after="120" w:line="276" w:lineRule="auto"/>
        <w:ind w:left="1141"/>
        <w:jc w:val="both"/>
        <w:rPr>
          <w:rFonts w:cs="Arial"/>
          <w:szCs w:val="20"/>
        </w:rPr>
      </w:pPr>
      <w:r>
        <w:rPr>
          <w:rFonts w:cs="Arial"/>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9"/>
        </w:numPr>
        <w:suppressAutoHyphens w:val="0"/>
        <w:spacing w:before="120" w:after="120" w:line="276" w:lineRule="auto"/>
        <w:ind w:left="1141"/>
        <w:jc w:val="both"/>
        <w:rPr>
          <w:rFonts w:cs="Arial"/>
          <w:color w:val="000000"/>
          <w:szCs w:val="20"/>
          <w:lang w:eastAsia="en-US"/>
        </w:rPr>
      </w:pPr>
      <w:r>
        <w:rPr>
          <w:rFonts w:eastAsia="Arial" w:cs="Arial"/>
          <w:szCs w:val="20"/>
        </w:rPr>
        <w:t xml:space="preserve">Só poderá haver empate entre propostas iguais (não seguidas de lances), ou entre lances finais da fase fechada do modo de disputa aberto e fechado. </w:t>
      </w:r>
    </w:p>
    <w:p>
      <w:pPr>
        <w:numPr>
          <w:ilvl w:val="1"/>
          <w:numId w:val="9"/>
        </w:numPr>
        <w:suppressAutoHyphens w:val="0"/>
        <w:spacing w:before="120" w:after="120" w:line="276" w:lineRule="auto"/>
        <w:ind w:left="1141"/>
        <w:jc w:val="both"/>
        <w:rPr>
          <w:rFonts w:cs="Arial"/>
          <w:szCs w:val="20"/>
        </w:rPr>
      </w:pPr>
      <w:r>
        <w:rPr>
          <w:rFonts w:cs="Arial"/>
          <w:szCs w:val="20"/>
        </w:rPr>
        <w:t>Havendo eventual empate entre propostas ou lances, o critério de desempate será aquele previsto no art. 3º, § 2º, da Lei nº 8.666, de 1993, assegurando-se a preferência, sucessivamente, aos bens produzidos:</w:t>
      </w:r>
    </w:p>
    <w:p>
      <w:pPr>
        <w:pStyle w:val="68"/>
        <w:numPr>
          <w:ilvl w:val="2"/>
          <w:numId w:val="8"/>
        </w:numPr>
        <w:suppressAutoHyphens w:val="0"/>
        <w:spacing w:after="240"/>
        <w:ind w:left="1638"/>
        <w:contextualSpacing w:val="0"/>
        <w:jc w:val="both"/>
        <w:rPr>
          <w:rFonts w:cs="Arial"/>
          <w:color w:val="000000"/>
          <w:szCs w:val="20"/>
          <w:lang w:eastAsia="en-US"/>
        </w:rPr>
      </w:pPr>
      <w:r>
        <w:rPr>
          <w:rFonts w:cs="Arial"/>
          <w:color w:val="000000"/>
          <w:szCs w:val="20"/>
          <w:lang w:eastAsia="en-US"/>
        </w:rPr>
        <w:t>no país;</w:t>
      </w:r>
    </w:p>
    <w:p>
      <w:pPr>
        <w:pStyle w:val="68"/>
        <w:numPr>
          <w:ilvl w:val="2"/>
          <w:numId w:val="8"/>
        </w:numPr>
        <w:suppressAutoHyphens w:val="0"/>
        <w:spacing w:after="240"/>
        <w:ind w:left="1638"/>
        <w:contextualSpacing w:val="0"/>
        <w:jc w:val="both"/>
        <w:rPr>
          <w:rFonts w:cs="Arial"/>
          <w:color w:val="000000"/>
          <w:szCs w:val="20"/>
          <w:lang w:eastAsia="en-US"/>
        </w:rPr>
      </w:pPr>
      <w:r>
        <w:rPr>
          <w:rFonts w:cs="Arial"/>
          <w:color w:val="000000"/>
          <w:szCs w:val="20"/>
          <w:lang w:eastAsia="en-US"/>
        </w:rPr>
        <w:t xml:space="preserve">por empresas brasileiras; </w:t>
      </w:r>
    </w:p>
    <w:p>
      <w:pPr>
        <w:pStyle w:val="68"/>
        <w:numPr>
          <w:ilvl w:val="2"/>
          <w:numId w:val="8"/>
        </w:numPr>
        <w:suppressAutoHyphens w:val="0"/>
        <w:spacing w:after="240"/>
        <w:ind w:left="1638"/>
        <w:contextualSpacing w:val="0"/>
        <w:jc w:val="both"/>
        <w:rPr>
          <w:rFonts w:cs="Arial"/>
          <w:color w:val="000000"/>
          <w:szCs w:val="20"/>
          <w:lang w:eastAsia="en-US"/>
        </w:rPr>
      </w:pPr>
      <w:r>
        <w:rPr>
          <w:rFonts w:cs="Arial"/>
          <w:color w:val="000000"/>
          <w:szCs w:val="20"/>
          <w:lang w:eastAsia="en-US"/>
        </w:rPr>
        <w:t>por empresas que invistam em pesquisa e no desenvolvimento de tecnologia no País;</w:t>
      </w:r>
    </w:p>
    <w:p>
      <w:pPr>
        <w:pStyle w:val="68"/>
        <w:numPr>
          <w:ilvl w:val="2"/>
          <w:numId w:val="8"/>
        </w:numPr>
        <w:suppressAutoHyphens w:val="0"/>
        <w:spacing w:after="240"/>
        <w:ind w:left="1638"/>
        <w:contextualSpacing w:val="0"/>
        <w:jc w:val="both"/>
        <w:rPr>
          <w:rFonts w:cs="Arial"/>
          <w:color w:val="000000"/>
          <w:szCs w:val="20"/>
          <w:lang w:eastAsia="en-US"/>
        </w:rPr>
      </w:pPr>
      <w:r>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pPr>
        <w:numPr>
          <w:ilvl w:val="1"/>
          <w:numId w:val="9"/>
        </w:numPr>
        <w:suppressAutoHyphens w:val="0"/>
        <w:spacing w:before="120" w:after="120" w:line="276" w:lineRule="auto"/>
        <w:ind w:left="1141"/>
        <w:jc w:val="both"/>
        <w:rPr>
          <w:rFonts w:cs="Arial"/>
          <w:szCs w:val="20"/>
        </w:rPr>
      </w:pPr>
      <w:r>
        <w:rPr>
          <w:rFonts w:cs="Arial"/>
          <w:szCs w:val="20"/>
        </w:rPr>
        <w:t>Persistindo o empate, a proposta vencedora será sorteada pelo sistema eletrônico dentre as propostas ou os lances empatados.</w:t>
      </w:r>
    </w:p>
    <w:p>
      <w:pPr>
        <w:numPr>
          <w:ilvl w:val="1"/>
          <w:numId w:val="9"/>
        </w:numPr>
        <w:suppressAutoHyphens w:val="0"/>
        <w:spacing w:before="120" w:after="120" w:line="276" w:lineRule="auto"/>
        <w:ind w:left="1141"/>
        <w:jc w:val="both"/>
        <w:rPr>
          <w:rFonts w:cs="Arial"/>
          <w:szCs w:val="20"/>
        </w:rPr>
      </w:pPr>
      <w:r>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8"/>
        <w:numPr>
          <w:ilvl w:val="2"/>
          <w:numId w:val="8"/>
        </w:numPr>
        <w:suppressAutoHyphens w:val="0"/>
        <w:spacing w:after="240"/>
        <w:ind w:left="1638"/>
        <w:contextualSpacing w:val="0"/>
        <w:jc w:val="both"/>
        <w:rPr>
          <w:rFonts w:cs="Arial"/>
          <w:color w:val="000000"/>
          <w:szCs w:val="20"/>
          <w:lang w:eastAsia="en-US"/>
        </w:rPr>
      </w:pPr>
      <w:r>
        <w:rPr>
          <w:rFonts w:cs="Arial"/>
          <w:color w:val="000000"/>
          <w:szCs w:val="20"/>
          <w:lang w:eastAsia="en-US"/>
        </w:rPr>
        <w:t>A negociação será realizada por meio do sistema, podendo ser acompanhada pelos demais licitantes.</w:t>
      </w:r>
    </w:p>
    <w:p>
      <w:pPr>
        <w:pStyle w:val="68"/>
        <w:numPr>
          <w:ilvl w:val="2"/>
          <w:numId w:val="8"/>
        </w:numPr>
        <w:tabs>
          <w:tab w:val="left" w:pos="-12"/>
        </w:tabs>
        <w:suppressAutoHyphens w:val="0"/>
        <w:spacing w:after="240"/>
        <w:ind w:left="1638"/>
        <w:contextualSpacing w:val="0"/>
        <w:jc w:val="both"/>
        <w:rPr>
          <w:rFonts w:eastAsia="Arial" w:cs="Arial"/>
          <w:szCs w:val="20"/>
        </w:rPr>
      </w:pPr>
      <w:r>
        <w:rPr>
          <w:rFonts w:cs="Arial"/>
          <w:color w:val="000000"/>
          <w:szCs w:val="20"/>
        </w:rPr>
        <w:t xml:space="preserve">O pregoeiro solicitará ao licitante </w:t>
      </w:r>
      <w:r>
        <w:rPr>
          <w:rFonts w:cs="Arial"/>
          <w:color w:val="000000" w:themeColor="text1"/>
          <w:szCs w:val="20"/>
          <w14:textFill>
            <w14:solidFill>
              <w14:schemeClr w14:val="tx1"/>
            </w14:solidFill>
          </w14:textFill>
        </w:rPr>
        <w:t xml:space="preserve">melhor classificado </w:t>
      </w:r>
      <w:r>
        <w:rPr>
          <w:rFonts w:cs="Arial"/>
          <w:color w:val="000000"/>
          <w:szCs w:val="20"/>
        </w:rPr>
        <w:t xml:space="preserve">que, </w:t>
      </w:r>
      <w:r>
        <w:rPr>
          <w:rFonts w:cs="Arial"/>
          <w:color w:val="000000" w:themeColor="text1"/>
          <w:szCs w:val="20"/>
          <w14:textFill>
            <w14:solidFill>
              <w14:schemeClr w14:val="tx1"/>
            </w14:solidFill>
          </w14:textFill>
        </w:rPr>
        <w:t xml:space="preserve">no prazo de </w:t>
      </w:r>
      <w:r>
        <w:rPr>
          <w:rFonts w:cs="Arial"/>
          <w:szCs w:val="20"/>
        </w:rPr>
        <w:t>2 (duas</w:t>
      </w:r>
      <w:r>
        <w:rPr>
          <w:rFonts w:cs="Arial"/>
          <w:color w:val="000000"/>
          <w:szCs w:val="20"/>
        </w:rPr>
        <w:t xml:space="preserve">) horas, </w:t>
      </w:r>
      <w:r>
        <w:rPr>
          <w:rFonts w:cs="Arial"/>
          <w:color w:val="000000" w:themeColor="text1"/>
          <w:szCs w:val="20"/>
          <w14:textFill>
            <w14:solidFill>
              <w14:schemeClr w14:val="tx1"/>
            </w14:solidFill>
          </w14:textFill>
        </w:rPr>
        <w:t xml:space="preserve">envie </w:t>
      </w:r>
      <w:r>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pPr>
        <w:numPr>
          <w:ilvl w:val="1"/>
          <w:numId w:val="9"/>
        </w:numPr>
        <w:suppressAutoHyphens w:val="0"/>
        <w:spacing w:before="120" w:after="120" w:line="276" w:lineRule="auto"/>
        <w:ind w:left="1141"/>
        <w:jc w:val="both"/>
        <w:rPr>
          <w:rFonts w:cs="Arial"/>
          <w:szCs w:val="20"/>
        </w:rPr>
      </w:pPr>
      <w:r>
        <w:rPr>
          <w:rFonts w:cs="Arial"/>
          <w:szCs w:val="20"/>
        </w:rPr>
        <w:t>Após a negociação do preço, o Pregoeiro iniciará a fase de aceitação e julgamento da proposta.</w:t>
      </w:r>
    </w:p>
    <w:p>
      <w:pPr>
        <w:spacing w:after="240"/>
        <w:jc w:val="both"/>
        <w:rPr>
          <w:rFonts w:cs="Arial"/>
          <w:i/>
          <w:color w:val="FF0000"/>
          <w:szCs w:val="20"/>
          <w:highlight w:val="yellow"/>
        </w:rPr>
      </w:pPr>
    </w:p>
    <w:p>
      <w:pPr>
        <w:spacing w:after="240"/>
        <w:jc w:val="both"/>
        <w:rPr>
          <w:rFonts w:cs="Arial"/>
          <w:i/>
          <w:color w:val="FF0000"/>
          <w:szCs w:val="20"/>
          <w:highlight w:val="yellow"/>
        </w:rPr>
      </w:pPr>
    </w:p>
    <w:p>
      <w:pPr>
        <w:pStyle w:val="477"/>
        <w:numPr>
          <w:ilvl w:val="0"/>
          <w:numId w:val="8"/>
        </w:numPr>
        <w:ind w:left="0" w:firstLine="0"/>
        <w:rPr>
          <w:rFonts w:ascii="Arial" w:hAnsi="Arial" w:cs="Arial"/>
          <w:lang w:eastAsia="en-US"/>
        </w:rPr>
      </w:pPr>
      <w:r>
        <w:rPr>
          <w:rFonts w:ascii="Arial" w:hAnsi="Arial" w:cs="Arial"/>
          <w:lang w:eastAsia="en-US"/>
        </w:rPr>
        <w:t>DA ACEITABILIDADE DA PROPOSTA VENCEDORA</w:t>
      </w:r>
    </w:p>
    <w:p>
      <w:pPr>
        <w:numPr>
          <w:ilvl w:val="1"/>
          <w:numId w:val="9"/>
        </w:numPr>
        <w:suppressAutoHyphens w:val="0"/>
        <w:spacing w:before="120" w:after="120" w:line="276" w:lineRule="auto"/>
        <w:ind w:left="1141"/>
        <w:jc w:val="both"/>
        <w:rPr>
          <w:rFonts w:cs="Arial"/>
          <w:szCs w:val="20"/>
        </w:rPr>
      </w:pPr>
      <w:r>
        <w:rPr>
          <w:rFonts w:cs="Arial"/>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9"/>
        </w:numPr>
        <w:suppressAutoHyphens w:val="0"/>
        <w:spacing w:before="120" w:after="120" w:line="276" w:lineRule="auto"/>
        <w:ind w:left="1141"/>
        <w:jc w:val="both"/>
        <w:rPr>
          <w:rFonts w:cs="Arial"/>
          <w:szCs w:val="20"/>
        </w:rPr>
      </w:pPr>
      <w:r>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pPr>
        <w:numPr>
          <w:ilvl w:val="1"/>
          <w:numId w:val="9"/>
        </w:numPr>
        <w:suppressAutoHyphens w:val="0"/>
        <w:spacing w:before="120" w:after="120" w:line="276" w:lineRule="auto"/>
        <w:ind w:left="1141"/>
        <w:jc w:val="both"/>
        <w:rPr>
          <w:rFonts w:cs="Arial"/>
          <w:szCs w:val="20"/>
        </w:rPr>
      </w:pPr>
      <w:r>
        <w:rPr>
          <w:rFonts w:cs="Arial"/>
          <w:szCs w:val="20"/>
        </w:rPr>
        <w:t>Será desclassificada a proposta ou o lance vencedor, apresentar preço final superior ao preço máximo fixado (Acórdão nº 1455/2018 -TCU - Plenário), desconto menor do que o mínimo exigido ou que apresentar preço manifestamente inexequível.</w:t>
      </w:r>
    </w:p>
    <w:p>
      <w:pPr>
        <w:pStyle w:val="68"/>
        <w:numPr>
          <w:ilvl w:val="2"/>
          <w:numId w:val="8"/>
        </w:numPr>
        <w:suppressAutoHyphens w:val="0"/>
        <w:spacing w:after="240"/>
        <w:ind w:left="1638"/>
        <w:contextualSpacing w:val="0"/>
        <w:jc w:val="both"/>
        <w:rPr>
          <w:rFonts w:cs="Arial"/>
          <w:b/>
          <w:color w:val="7030A0"/>
          <w:szCs w:val="20"/>
        </w:rPr>
      </w:pPr>
      <w:r>
        <w:rPr>
          <w:rFonts w:cs="Arial"/>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pPr>
        <w:numPr>
          <w:ilvl w:val="1"/>
          <w:numId w:val="9"/>
        </w:numPr>
        <w:suppressAutoHyphens w:val="0"/>
        <w:spacing w:before="120" w:after="120" w:line="276" w:lineRule="auto"/>
        <w:ind w:left="1141"/>
        <w:jc w:val="both"/>
        <w:rPr>
          <w:rFonts w:cs="Arial"/>
          <w:szCs w:val="20"/>
        </w:rPr>
      </w:pPr>
      <w:r>
        <w:rPr>
          <w:rFonts w:cs="Arial"/>
          <w:szCs w:val="20"/>
        </w:rPr>
        <w:t>Qualquer interessado poderá requerer que se realizem diligências para aferir a exequibilidade e a legalidade das propostas, devendo apresentar as provas ou os indícios que fundamentam a suspeita;</w:t>
      </w:r>
    </w:p>
    <w:p>
      <w:pPr>
        <w:numPr>
          <w:ilvl w:val="1"/>
          <w:numId w:val="9"/>
        </w:numPr>
        <w:suppressAutoHyphens w:val="0"/>
        <w:spacing w:before="120" w:after="120" w:line="276" w:lineRule="auto"/>
        <w:ind w:left="1141"/>
        <w:jc w:val="both"/>
        <w:rPr>
          <w:rFonts w:cs="Arial"/>
          <w:szCs w:val="20"/>
        </w:rPr>
      </w:pPr>
      <w:r>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9"/>
        </w:numPr>
        <w:suppressAutoHyphens w:val="0"/>
        <w:spacing w:before="120" w:after="120" w:line="276" w:lineRule="auto"/>
        <w:ind w:left="1141"/>
        <w:jc w:val="both"/>
        <w:rPr>
          <w:rFonts w:cs="Arial"/>
          <w:szCs w:val="20"/>
        </w:rPr>
      </w:pPr>
      <w:r>
        <w:rPr>
          <w:rFonts w:cs="Arial"/>
          <w:szCs w:val="20"/>
        </w:rPr>
        <w:t>O Pregoeiro poderá convocar o licitante para enviar documento digital complementar, por meio de funcionalidade disponível no sistema, no prazo de 2 (duas) horas sob pena de não aceitação da proposta.</w:t>
      </w:r>
    </w:p>
    <w:p>
      <w:pPr>
        <w:numPr>
          <w:ilvl w:val="2"/>
          <w:numId w:val="8"/>
        </w:numPr>
        <w:suppressAutoHyphens w:val="0"/>
        <w:spacing w:before="120" w:after="120" w:line="276" w:lineRule="auto"/>
        <w:ind w:left="1638" w:right="-15"/>
        <w:jc w:val="both"/>
        <w:rPr>
          <w:rFonts w:cs="Arial"/>
          <w:color w:val="000000" w:themeColor="text1"/>
          <w:szCs w:val="20"/>
          <w:lang w:eastAsia="en-US"/>
          <w14:textFill>
            <w14:solidFill>
              <w14:schemeClr w14:val="tx1"/>
            </w14:solidFill>
          </w14:textFill>
        </w:rPr>
      </w:pPr>
      <w:r>
        <w:rPr>
          <w:rFonts w:cs="Arial"/>
          <w:color w:val="000000" w:themeColor="text1"/>
          <w:szCs w:val="20"/>
          <w:lang w:eastAsia="en-US"/>
          <w14:textFill>
            <w14:solidFill>
              <w14:schemeClr w14:val="tx1"/>
            </w14:solidFill>
          </w14:textFill>
        </w:rPr>
        <w:t xml:space="preserve">O prazo estabelecido poderá ser prorrogado pelo Pregoeiro por solicitação escrita e justificada do licitante, formulada antes de findo o prazo, e formalmente aceita pelo Pregoeiro. </w:t>
      </w:r>
      <w:r>
        <w:rPr>
          <w:rFonts w:cs="Arial"/>
          <w:color w:val="000000"/>
          <w:szCs w:val="20"/>
          <w:lang w:eastAsia="en-US"/>
        </w:rPr>
        <w:t>É facultado ao pregoeiro prorrogar o prazo estabelecido, a partir de solicitação fundamentada feita no chat pelo licitante, antes de findo o prazo</w:t>
      </w:r>
      <w:r>
        <w:rPr>
          <w:rFonts w:cs="Arial"/>
          <w:color w:val="000000" w:themeColor="text1"/>
          <w:szCs w:val="20"/>
          <w:lang w:eastAsia="en-US"/>
          <w14:textFill>
            <w14:solidFill>
              <w14:schemeClr w14:val="tx1"/>
            </w14:solidFill>
          </w14:textFill>
        </w:rPr>
        <w:t xml:space="preserve">. </w:t>
      </w:r>
    </w:p>
    <w:p>
      <w:pPr>
        <w:pStyle w:val="68"/>
        <w:numPr>
          <w:ilvl w:val="2"/>
          <w:numId w:val="8"/>
        </w:numPr>
        <w:suppressAutoHyphens w:val="0"/>
        <w:spacing w:after="240"/>
        <w:ind w:left="1638"/>
        <w:contextualSpacing w:val="0"/>
        <w:jc w:val="both"/>
        <w:rPr>
          <w:rFonts w:cs="Arial"/>
          <w:strike/>
          <w:szCs w:val="20"/>
        </w:rPr>
      </w:pPr>
      <w:r>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szCs w:val="20"/>
          <w:lang w:eastAsia="en-US"/>
        </w:rPr>
        <w:t>.</w:t>
      </w:r>
    </w:p>
    <w:p>
      <w:pPr>
        <w:pStyle w:val="68"/>
        <w:numPr>
          <w:ilvl w:val="2"/>
          <w:numId w:val="8"/>
        </w:numPr>
        <w:suppressAutoHyphens w:val="0"/>
        <w:spacing w:after="240"/>
        <w:ind w:left="1638"/>
        <w:contextualSpacing w:val="0"/>
        <w:jc w:val="both"/>
        <w:rPr>
          <w:rFonts w:cs="Arial"/>
          <w:iCs/>
          <w:szCs w:val="20"/>
        </w:rPr>
      </w:pPr>
      <w:r>
        <w:rPr>
          <w:rFonts w:cs="Arial"/>
          <w:iCs/>
          <w:szCs w:val="20"/>
        </w:rPr>
        <w:t xml:space="preserve">Caso a compatibilidade com as especificações demandadas, sobretudo quanto a padrões de qualidade e desempenho, não possa ser aferida pelos meios previstos nos subitens acima, o Pregoeiro exigirá que o licitante classificado em primeiro lugar apresente </w:t>
      </w:r>
      <w:bookmarkStart w:id="0" w:name="_GoBack"/>
      <w:r>
        <w:rPr>
          <w:rFonts w:cs="Arial"/>
          <w:iCs/>
          <w:szCs w:val="20"/>
        </w:rPr>
        <w:t>amostra</w:t>
      </w:r>
      <w:bookmarkEnd w:id="0"/>
      <w:r>
        <w:rPr>
          <w:rFonts w:cs="Arial"/>
          <w:iCs/>
          <w:szCs w:val="20"/>
        </w:rPr>
        <w:t>, sob pena de não aceitação da proposta, no local a ser indicado e dentro das condições estabelecidas no Termo de Referência (Anexo I).</w:t>
      </w:r>
    </w:p>
    <w:p>
      <w:pPr>
        <w:numPr>
          <w:ilvl w:val="3"/>
          <w:numId w:val="8"/>
        </w:numPr>
        <w:tabs>
          <w:tab w:val="left" w:pos="1440"/>
        </w:tabs>
        <w:spacing w:after="240"/>
        <w:jc w:val="both"/>
        <w:rPr>
          <w:i/>
        </w:rPr>
      </w:pPr>
      <w:r>
        <w:rPr>
          <w:i/>
        </w:rPr>
        <w:t>Por meio de mensagem no sistema, será divulgado o local e horário de realização do procedimento para a avaliação das amostras, cuja presença será facultada a todos os interessados, incluindo os demais licitantes.</w:t>
      </w:r>
    </w:p>
    <w:p>
      <w:pPr>
        <w:numPr>
          <w:ilvl w:val="3"/>
          <w:numId w:val="8"/>
        </w:numPr>
        <w:tabs>
          <w:tab w:val="left" w:pos="1440"/>
        </w:tabs>
        <w:spacing w:after="240"/>
        <w:jc w:val="both"/>
        <w:rPr>
          <w:i/>
        </w:rPr>
      </w:pPr>
      <w:r>
        <w:rPr>
          <w:i/>
        </w:rPr>
        <w:t>Os resultados das avaliações serão divulgados por meio de mensagem no sistema.</w:t>
      </w:r>
    </w:p>
    <w:p>
      <w:pPr>
        <w:numPr>
          <w:ilvl w:val="3"/>
          <w:numId w:val="8"/>
        </w:numPr>
        <w:pBdr>
          <w:top w:val="none" w:color="auto" w:sz="0" w:space="0"/>
          <w:left w:val="none" w:color="auto" w:sz="0" w:space="0"/>
          <w:bottom w:val="none" w:color="auto" w:sz="0" w:space="0"/>
          <w:right w:val="none" w:color="auto" w:sz="0" w:space="0"/>
          <w:between w:val="none" w:color="auto" w:sz="0" w:space="0"/>
        </w:pBdr>
        <w:spacing w:after="240"/>
        <w:jc w:val="both"/>
        <w:rPr>
          <w:rFonts w:cs="Arial"/>
          <w:i/>
          <w:szCs w:val="20"/>
        </w:rPr>
      </w:pPr>
      <w:r>
        <w:rPr>
          <w:rFonts w:cs="Arial"/>
          <w:i/>
          <w:szCs w:val="20"/>
        </w:rPr>
        <w:t>No caso de não haver entrega da amostra ou ocorrer atraso na entrega, sem justificativa aceita pelo Pregoeiro, ou havendo entrega de amostra fora das especificações previstas neste Edital, a proposta do licitante será recusada.</w:t>
      </w:r>
    </w:p>
    <w:p>
      <w:pPr>
        <w:numPr>
          <w:ilvl w:val="3"/>
          <w:numId w:val="8"/>
        </w:numPr>
        <w:pBdr>
          <w:top w:val="none" w:color="auto" w:sz="0" w:space="0"/>
          <w:left w:val="none" w:color="auto" w:sz="0" w:space="0"/>
          <w:bottom w:val="none" w:color="auto" w:sz="0" w:space="0"/>
          <w:right w:val="none" w:color="auto" w:sz="0" w:space="0"/>
          <w:between w:val="none" w:color="auto" w:sz="0" w:space="0"/>
        </w:pBdr>
        <w:spacing w:after="240"/>
        <w:jc w:val="both"/>
        <w:rPr>
          <w:rFonts w:cs="Arial"/>
          <w:i/>
          <w:szCs w:val="20"/>
        </w:rPr>
      </w:pPr>
      <w:r>
        <w:rPr>
          <w:rFonts w:cs="Arial"/>
          <w:i/>
          <w:szCs w:val="20"/>
        </w:rPr>
        <w:t xml:space="preserve">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 </w:t>
      </w:r>
    </w:p>
    <w:p>
      <w:pPr>
        <w:numPr>
          <w:ilvl w:val="3"/>
          <w:numId w:val="8"/>
        </w:numPr>
        <w:tabs>
          <w:tab w:val="left" w:pos="1440"/>
        </w:tabs>
        <w:spacing w:after="240"/>
        <w:jc w:val="both"/>
        <w:rPr>
          <w:i/>
        </w:rPr>
      </w:pPr>
      <w:r>
        <w:rPr>
          <w:i/>
        </w:rPr>
        <w:t>Os exemplares colocados à disposição da Administração serão tratados como protótipos, podendo ser manuseados e desmontados pela equipe técnica responsável pela análise, não gerando direito a ressarcimento.</w:t>
      </w:r>
    </w:p>
    <w:p>
      <w:pPr>
        <w:numPr>
          <w:ilvl w:val="3"/>
          <w:numId w:val="8"/>
        </w:numPr>
        <w:tabs>
          <w:tab w:val="left" w:pos="1440"/>
        </w:tabs>
        <w:spacing w:after="240"/>
        <w:jc w:val="both"/>
        <w:rPr>
          <w:i/>
        </w:rPr>
      </w:pPr>
      <w:r>
        <w:rPr>
          <w:i/>
        </w:rPr>
        <w:t>Após a divulgação do resultado final da licitação, as amostras entregues deverão ser recolhidas pelos licitantes no prazo de 30 (trinta) dias, após o qual poderão ser descartadas pela Administração, sem direito a ressarcimento.</w:t>
      </w:r>
    </w:p>
    <w:p>
      <w:pPr>
        <w:numPr>
          <w:ilvl w:val="3"/>
          <w:numId w:val="8"/>
        </w:numPr>
        <w:tabs>
          <w:tab w:val="left" w:pos="1440"/>
        </w:tabs>
        <w:spacing w:after="240"/>
        <w:jc w:val="both"/>
        <w:rPr>
          <w:i/>
        </w:rPr>
      </w:pPr>
      <w:r>
        <w:rPr>
          <w:i/>
        </w:rPr>
        <w:t xml:space="preserve"> Os licitantes deverão colocar à disposição da Administração todas as condições indispensáveis à realização de testes e fornecer, sem ônus, os manuais impressos em língua portuguesa, necessários ao seu perfeito manuseio, quando for o caso.</w:t>
      </w:r>
    </w:p>
    <w:p>
      <w:pPr>
        <w:numPr>
          <w:ilvl w:val="1"/>
          <w:numId w:val="9"/>
        </w:numPr>
        <w:suppressAutoHyphens w:val="0"/>
        <w:spacing w:before="120" w:after="120" w:line="276" w:lineRule="auto"/>
        <w:ind w:left="1141"/>
        <w:jc w:val="both"/>
        <w:rPr>
          <w:rFonts w:cs="Arial"/>
          <w:szCs w:val="20"/>
        </w:rPr>
      </w:pPr>
      <w:r>
        <w:rPr>
          <w:rFonts w:cs="Arial"/>
          <w:szCs w:val="20"/>
        </w:rPr>
        <w:t>Se a proposta ou lance vencedor for desclassificado, o Pregoeiro examinará a proposta ou lance subsequente, e, assim sucessivamente, na ordem de classificação.</w:t>
      </w:r>
    </w:p>
    <w:p>
      <w:pPr>
        <w:numPr>
          <w:ilvl w:val="1"/>
          <w:numId w:val="9"/>
        </w:numPr>
        <w:suppressAutoHyphens w:val="0"/>
        <w:spacing w:before="120" w:after="120" w:line="276" w:lineRule="auto"/>
        <w:ind w:left="1141"/>
        <w:jc w:val="both"/>
        <w:rPr>
          <w:rFonts w:cs="Arial"/>
          <w:szCs w:val="20"/>
        </w:rPr>
      </w:pPr>
      <w:r>
        <w:rPr>
          <w:rFonts w:cs="Arial"/>
          <w:szCs w:val="20"/>
        </w:rPr>
        <w:t>Havendo necessidade, o Pregoeiro suspenderá a sessão, informando no “chat” a nova data e horário para a sua continuidade.</w:t>
      </w:r>
    </w:p>
    <w:p>
      <w:pPr>
        <w:numPr>
          <w:ilvl w:val="1"/>
          <w:numId w:val="9"/>
        </w:numPr>
        <w:suppressAutoHyphens w:val="0"/>
        <w:spacing w:before="120" w:after="120" w:line="276" w:lineRule="auto"/>
        <w:ind w:left="1141"/>
        <w:jc w:val="both"/>
        <w:rPr>
          <w:rFonts w:cs="Arial"/>
          <w:szCs w:val="20"/>
        </w:rPr>
      </w:pPr>
      <w:r>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pPr>
        <w:numPr>
          <w:ilvl w:val="2"/>
          <w:numId w:val="8"/>
        </w:numPr>
        <w:tabs>
          <w:tab w:val="left" w:pos="1440"/>
        </w:tabs>
        <w:suppressAutoHyphens w:val="0"/>
        <w:autoSpaceDE w:val="0"/>
        <w:snapToGrid w:val="0"/>
        <w:spacing w:after="240"/>
        <w:ind w:left="1134" w:firstLine="0"/>
        <w:jc w:val="both"/>
        <w:rPr>
          <w:rFonts w:cs="Arial"/>
          <w:szCs w:val="20"/>
        </w:rPr>
      </w:pPr>
      <w:r>
        <w:rPr>
          <w:rFonts w:cs="Arial"/>
          <w:szCs w:val="20"/>
        </w:rPr>
        <w:t>Também nas hipóteses em que o Pregoeiro não aceitar a proposta e passar à subsequente, poderá negociar com o licitante para que seja obtido preço melhor.</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color w:val="000000"/>
          <w:szCs w:val="20"/>
        </w:rPr>
        <w:t>A negociação será realizada por meio do sistema, podendo ser acompanhada pelos demais licitantes.</w:t>
      </w:r>
    </w:p>
    <w:p>
      <w:pPr>
        <w:numPr>
          <w:ilvl w:val="1"/>
          <w:numId w:val="9"/>
        </w:numPr>
        <w:suppressAutoHyphens w:val="0"/>
        <w:spacing w:before="120" w:after="120" w:line="276" w:lineRule="auto"/>
        <w:ind w:left="1141"/>
        <w:jc w:val="both"/>
        <w:rPr>
          <w:rFonts w:cs="Arial"/>
          <w:szCs w:val="20"/>
        </w:rPr>
      </w:pPr>
      <w:r>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9"/>
        </w:numPr>
        <w:suppressAutoHyphens w:val="0"/>
        <w:spacing w:before="120" w:after="120" w:line="276" w:lineRule="auto"/>
        <w:ind w:left="1141"/>
        <w:jc w:val="both"/>
        <w:rPr>
          <w:rFonts w:cs="Arial"/>
          <w:szCs w:val="20"/>
        </w:rPr>
      </w:pPr>
      <w:r>
        <w:rPr>
          <w:rFonts w:cs="Arial"/>
          <w:b/>
          <w:szCs w:val="20"/>
        </w:rPr>
        <w:t>Para os itens enquadrados no Anexo I da Instrução Normativa IBAMA n° 06</w:t>
      </w:r>
      <w:r>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Pr>
          <w:rFonts w:cs="Arial"/>
          <w:szCs w:val="20"/>
          <w:u w:val="single"/>
        </w:rPr>
        <w:t>Cadastro Técnico Federal de Atividades Potencialmente Poluidoras ou Utilizadoras de Recursos Ambientais</w:t>
      </w:r>
      <w:r>
        <w:rPr>
          <w:rFonts w:cs="Arial"/>
          <w:szCs w:val="20"/>
        </w:rPr>
        <w:t>, acompanhado do respectivo Certificado de Regularidade válido, nos termos do artigo 17, inciso II, da Lei n° 6.938, de 1981, e da Instrução.</w:t>
      </w:r>
    </w:p>
    <w:p>
      <w:pPr>
        <w:pStyle w:val="68"/>
        <w:numPr>
          <w:ilvl w:val="2"/>
          <w:numId w:val="11"/>
        </w:numPr>
        <w:suppressAutoHyphens w:val="0"/>
        <w:spacing w:after="240"/>
        <w:ind w:left="1638"/>
        <w:jc w:val="both"/>
        <w:rPr>
          <w:rFonts w:cs="Arial"/>
          <w:szCs w:val="20"/>
        </w:rPr>
      </w:pPr>
      <w:r>
        <w:rPr>
          <w:rFonts w:cs="Arial"/>
          <w:szCs w:val="20"/>
        </w:rPr>
        <w:t>A apresentação do Certificado de Regularidade será dispensada, caso o Pregoeiro logre êxito em obtê-lo mediante consulta on-line ao sítio oficial do IBAMA, anexando-o ao processo.</w:t>
      </w:r>
    </w:p>
    <w:p>
      <w:pPr>
        <w:numPr>
          <w:ilvl w:val="1"/>
          <w:numId w:val="9"/>
        </w:numPr>
        <w:suppressAutoHyphens w:val="0"/>
        <w:spacing w:before="120" w:after="120" w:line="276" w:lineRule="auto"/>
        <w:ind w:left="1141"/>
        <w:jc w:val="both"/>
        <w:rPr>
          <w:rFonts w:cs="Arial"/>
          <w:szCs w:val="20"/>
        </w:rPr>
      </w:pPr>
      <w:r>
        <w:rPr>
          <w:rFonts w:cs="Arial"/>
          <w:szCs w:val="20"/>
        </w:rPr>
        <w:t>Encerrada a análise quanto à aceitação da proposta, o pregoeiro verificará a habilitação do licitante, observado o disposto neste Edital. </w:t>
      </w:r>
    </w:p>
    <w:p>
      <w:pPr>
        <w:spacing w:after="240"/>
        <w:ind w:left="999" w:right="-15"/>
        <w:jc w:val="both"/>
        <w:rPr>
          <w:rFonts w:cs="Arial"/>
          <w:color w:val="000000" w:themeColor="text1"/>
          <w:szCs w:val="20"/>
          <w14:textFill>
            <w14:solidFill>
              <w14:schemeClr w14:val="tx1"/>
            </w14:solidFill>
          </w14:textFill>
        </w:rPr>
      </w:pPr>
    </w:p>
    <w:p>
      <w:pPr>
        <w:pStyle w:val="477"/>
        <w:numPr>
          <w:ilvl w:val="0"/>
          <w:numId w:val="8"/>
        </w:numPr>
        <w:ind w:left="0" w:firstLine="0"/>
        <w:rPr>
          <w:rFonts w:ascii="Arial" w:hAnsi="Arial" w:cs="Arial"/>
          <w:lang w:eastAsia="en-US"/>
        </w:rPr>
      </w:pPr>
      <w:r>
        <w:rPr>
          <w:rFonts w:ascii="Arial" w:hAnsi="Arial" w:cs="Arial"/>
          <w:lang w:eastAsia="en-US"/>
        </w:rPr>
        <w:t>DA HABILITAÇÃO</w:t>
      </w:r>
    </w:p>
    <w:p>
      <w:pPr>
        <w:rPr>
          <w:lang w:eastAsia="en-US"/>
        </w:rPr>
      </w:pPr>
    </w:p>
    <w:p>
      <w:pPr>
        <w:pStyle w:val="477"/>
        <w:numPr>
          <w:ilvl w:val="1"/>
          <w:numId w:val="9"/>
        </w:numPr>
        <w:spacing w:line="276" w:lineRule="auto"/>
        <w:ind w:left="999"/>
        <w:rPr>
          <w:rFonts w:ascii="Arial" w:hAnsi="Arial" w:cs="Arial"/>
          <w:b w:val="0"/>
          <w:lang w:eastAsia="ar-SA"/>
        </w:rPr>
      </w:pPr>
      <w:r>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pStyle w:val="68"/>
        <w:spacing w:before="120" w:after="120" w:line="276" w:lineRule="auto"/>
        <w:ind w:left="1134"/>
        <w:jc w:val="both"/>
        <w:rPr>
          <w:rFonts w:cs="Arial"/>
          <w:szCs w:val="20"/>
          <w:lang w:eastAsia="ar-SA"/>
        </w:rPr>
      </w:pPr>
      <w:r>
        <w:rPr>
          <w:rFonts w:cs="Arial"/>
          <w:szCs w:val="20"/>
          <w:lang w:eastAsia="ar-SA"/>
        </w:rPr>
        <w:t xml:space="preserve">a) SICAF;  </w:t>
      </w:r>
    </w:p>
    <w:p>
      <w:pPr>
        <w:pStyle w:val="68"/>
        <w:spacing w:before="120" w:after="120" w:line="276" w:lineRule="auto"/>
        <w:ind w:left="1134"/>
        <w:jc w:val="both"/>
        <w:rPr>
          <w:rFonts w:cs="Arial"/>
          <w:szCs w:val="20"/>
          <w:lang w:eastAsia="ar-SA"/>
        </w:rPr>
      </w:pPr>
      <w:r>
        <w:rPr>
          <w:rFonts w:cs="Arial"/>
          <w:szCs w:val="20"/>
          <w:lang w:eastAsia="ar-SA"/>
        </w:rPr>
        <w:t>b)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7"/>
          <w:rFonts w:cs="Arial"/>
          <w:szCs w:val="20"/>
          <w:lang w:eastAsia="ar-SA"/>
        </w:rPr>
        <w:t>www.portaldatransparencia.gov.br/ceis</w:t>
      </w:r>
      <w:r>
        <w:rPr>
          <w:rStyle w:val="17"/>
          <w:rFonts w:cs="Arial"/>
          <w:szCs w:val="20"/>
          <w:lang w:eastAsia="ar-SA"/>
        </w:rPr>
        <w:fldChar w:fldCharType="end"/>
      </w:r>
      <w:r>
        <w:rPr>
          <w:rFonts w:cs="Arial"/>
          <w:szCs w:val="20"/>
          <w:lang w:eastAsia="ar-SA"/>
        </w:rPr>
        <w:t xml:space="preserve">);  </w:t>
      </w:r>
    </w:p>
    <w:p>
      <w:pPr>
        <w:pStyle w:val="68"/>
        <w:spacing w:before="120" w:after="120" w:line="276" w:lineRule="auto"/>
        <w:ind w:left="1134"/>
        <w:jc w:val="both"/>
        <w:rPr>
          <w:rFonts w:cs="Arial"/>
          <w:szCs w:val="20"/>
          <w:lang w:eastAsia="ar-SA"/>
        </w:rPr>
      </w:pPr>
      <w:r>
        <w:rPr>
          <w:rFonts w:cs="Arial"/>
          <w:szCs w:val="20"/>
          <w:lang w:eastAsia="ar-SA"/>
        </w:rPr>
        <w:t>c)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7"/>
          <w:rFonts w:cs="Arial"/>
          <w:szCs w:val="20"/>
          <w:lang w:eastAsia="ar-SA"/>
        </w:rPr>
        <w:t>www.cnj.jus.br/improbidade_adm/consultar_requerido.php</w:t>
      </w:r>
      <w:r>
        <w:rPr>
          <w:rStyle w:val="17"/>
          <w:rFonts w:cs="Arial"/>
          <w:szCs w:val="20"/>
          <w:lang w:eastAsia="ar-SA"/>
        </w:rPr>
        <w:fldChar w:fldCharType="end"/>
      </w:r>
      <w:r>
        <w:rPr>
          <w:rFonts w:cs="Arial"/>
          <w:szCs w:val="20"/>
          <w:lang w:eastAsia="ar-SA"/>
        </w:rPr>
        <w:t xml:space="preserve">).  </w:t>
      </w:r>
    </w:p>
    <w:p>
      <w:pPr>
        <w:pStyle w:val="68"/>
        <w:spacing w:before="120" w:after="120" w:line="276" w:lineRule="auto"/>
        <w:ind w:left="1134"/>
        <w:jc w:val="both"/>
        <w:rPr>
          <w:rFonts w:cs="Arial"/>
          <w:szCs w:val="20"/>
          <w:lang w:eastAsia="ar-SA"/>
        </w:rPr>
      </w:pPr>
      <w:r>
        <w:rPr>
          <w:rFonts w:cs="Arial"/>
          <w:szCs w:val="20"/>
          <w:lang w:eastAsia="ar-SA"/>
        </w:rPr>
        <w:t xml:space="preserve">d) Lista de Inidôneos e o Cadastro Integrado de Condenações por Ilícitos Administrativos - CADICON, mantidos pelo Tribunal de Contas da União - TCU; </w:t>
      </w:r>
    </w:p>
    <w:p>
      <w:pPr>
        <w:pStyle w:val="477"/>
        <w:numPr>
          <w:ilvl w:val="2"/>
          <w:numId w:val="9"/>
        </w:numPr>
        <w:spacing w:line="276" w:lineRule="auto"/>
        <w:ind w:left="1638"/>
        <w:rPr>
          <w:rFonts w:ascii="Arial" w:hAnsi="Arial" w:cs="Arial"/>
          <w:b w:val="0"/>
        </w:rPr>
      </w:pPr>
      <w:r>
        <w:rPr>
          <w:rFonts w:ascii="Arial" w:hAnsi="Arial" w:cs="Arial"/>
          <w:b w:val="0"/>
          <w:bCs w:val="0"/>
          <w:lang w:eastAsia="ar-SA"/>
        </w:rPr>
        <w:t>Para a consulta de licitantes pessoa jurídica poderá haver a substituição das consultas</w:t>
      </w:r>
      <w:r>
        <w:rPr>
          <w:rFonts w:ascii="Arial" w:hAnsi="Arial" w:cs="Arial"/>
          <w:b w:val="0"/>
          <w:lang w:eastAsia="ar-SA"/>
        </w:rPr>
        <w:t xml:space="preserve"> das alíneas “b”, “c” e “d” acima pela Consulta Consolidada de Pessoa Jurídica do TCU (https://certidoesapf.apps.tcu.gov.br/)</w:t>
      </w:r>
    </w:p>
    <w:p>
      <w:pPr>
        <w:pStyle w:val="477"/>
        <w:numPr>
          <w:ilvl w:val="2"/>
          <w:numId w:val="9"/>
        </w:numPr>
        <w:spacing w:line="276" w:lineRule="auto"/>
        <w:ind w:left="1638"/>
        <w:rPr>
          <w:rFonts w:ascii="Arial" w:hAnsi="Arial" w:cs="Arial"/>
        </w:rPr>
      </w:pPr>
      <w:r>
        <w:rPr>
          <w:rFonts w:ascii="Arial" w:hAnsi="Arial" w:cs="Arial"/>
          <w:b w:val="0"/>
          <w:bCs w:val="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ascii="Arial" w:hAnsi="Arial" w:cs="Arial"/>
        </w:rPr>
        <w:t>.</w:t>
      </w:r>
    </w:p>
    <w:p>
      <w:pPr>
        <w:pStyle w:val="68"/>
        <w:numPr>
          <w:ilvl w:val="3"/>
          <w:numId w:val="8"/>
        </w:numPr>
        <w:suppressAutoHyphens w:val="0"/>
        <w:spacing w:after="240"/>
        <w:contextualSpacing w:val="0"/>
        <w:jc w:val="both"/>
        <w:rPr>
          <w:rFonts w:cs="Arial"/>
          <w:bCs/>
          <w:color w:val="000000"/>
          <w:szCs w:val="20"/>
        </w:rPr>
      </w:pPr>
      <w:r>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68"/>
        <w:numPr>
          <w:ilvl w:val="3"/>
          <w:numId w:val="8"/>
        </w:numPr>
        <w:suppressAutoHyphens w:val="0"/>
        <w:spacing w:after="240"/>
        <w:contextualSpacing w:val="0"/>
        <w:jc w:val="both"/>
        <w:rPr>
          <w:rFonts w:cs="Arial"/>
          <w:bCs/>
          <w:color w:val="000000"/>
          <w:szCs w:val="20"/>
        </w:rPr>
      </w:pPr>
      <w:r>
        <w:rPr>
          <w:rFonts w:cs="Arial"/>
          <w:bCs/>
          <w:color w:val="000000"/>
          <w:szCs w:val="20"/>
        </w:rPr>
        <w:t>A tentativa de burla será verificada por meio dos vínculos societários, linhas de fornecimento similares, dentre outros.</w:t>
      </w:r>
    </w:p>
    <w:p>
      <w:pPr>
        <w:pStyle w:val="68"/>
        <w:numPr>
          <w:ilvl w:val="3"/>
          <w:numId w:val="8"/>
        </w:numPr>
        <w:suppressAutoHyphens w:val="0"/>
        <w:spacing w:after="240"/>
        <w:contextualSpacing w:val="0"/>
        <w:jc w:val="both"/>
        <w:rPr>
          <w:rFonts w:cs="Arial"/>
          <w:bCs/>
          <w:color w:val="000000"/>
          <w:szCs w:val="20"/>
        </w:rPr>
      </w:pPr>
      <w:r>
        <w:rPr>
          <w:rFonts w:cs="Arial"/>
          <w:bCs/>
          <w:color w:val="000000"/>
          <w:szCs w:val="20"/>
        </w:rPr>
        <w:t>O licitante será convocado para manifestação previamente à sua desclassificação.</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Constatada a existência de sanção, o Pregoeiro reputará o licitante inabilitado, por falta de condição de participação.</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9"/>
        </w:numPr>
        <w:suppressAutoHyphens w:val="0"/>
        <w:spacing w:before="120" w:after="120" w:line="276" w:lineRule="auto"/>
        <w:ind w:left="1141"/>
        <w:jc w:val="both"/>
        <w:rPr>
          <w:rFonts w:cs="Arial"/>
          <w:szCs w:val="20"/>
        </w:rPr>
      </w:pPr>
      <w:r>
        <w:rPr>
          <w:rFonts w:cs="Arial"/>
          <w:szCs w:val="20"/>
        </w:rP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pPr>
        <w:pStyle w:val="68"/>
        <w:numPr>
          <w:ilvl w:val="2"/>
          <w:numId w:val="12"/>
        </w:numPr>
        <w:suppressAutoHyphens w:val="0"/>
        <w:spacing w:after="240"/>
        <w:ind w:left="1638"/>
        <w:contextualSpacing w:val="0"/>
        <w:jc w:val="both"/>
        <w:rPr>
          <w:rFonts w:cs="Arial"/>
          <w:szCs w:val="20"/>
          <w:lang w:eastAsia="ar-SA"/>
        </w:rPr>
      </w:pPr>
      <w:r>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2"/>
        </w:numPr>
        <w:suppressAutoHyphens w:val="0"/>
        <w:spacing w:after="240"/>
        <w:ind w:left="1638"/>
        <w:jc w:val="both"/>
        <w:rPr>
          <w:rFonts w:cs="Arial"/>
          <w:color w:val="000000"/>
          <w:szCs w:val="20"/>
        </w:rPr>
      </w:pPr>
      <w:r>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2"/>
        </w:numPr>
        <w:suppressAutoHyphens w:val="0"/>
        <w:spacing w:after="240"/>
        <w:ind w:left="1638"/>
        <w:jc w:val="both"/>
        <w:rPr>
          <w:rFonts w:cs="Arial"/>
          <w:color w:val="000000" w:themeColor="text1"/>
          <w:szCs w:val="20"/>
          <w14:textFill>
            <w14:solidFill>
              <w14:schemeClr w14:val="tx1"/>
            </w14:solidFill>
          </w14:textFill>
        </w:rPr>
      </w:pPr>
      <w:r>
        <w:rPr>
          <w:rFonts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9"/>
        </w:numPr>
        <w:suppressAutoHyphens w:val="0"/>
        <w:spacing w:before="120" w:after="120" w:line="276" w:lineRule="auto"/>
        <w:ind w:left="1141"/>
        <w:jc w:val="both"/>
        <w:rPr>
          <w:rFonts w:cs="Arial"/>
          <w:szCs w:val="20"/>
        </w:rPr>
      </w:pPr>
      <w:r>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pPr>
        <w:numPr>
          <w:ilvl w:val="1"/>
          <w:numId w:val="9"/>
        </w:numPr>
        <w:suppressAutoHyphens w:val="0"/>
        <w:spacing w:before="120" w:after="120" w:line="276" w:lineRule="auto"/>
        <w:ind w:left="1141"/>
        <w:jc w:val="both"/>
        <w:rPr>
          <w:rFonts w:cs="Arial"/>
          <w:szCs w:val="20"/>
        </w:rPr>
      </w:pPr>
      <w:r>
        <w:rPr>
          <w:rFonts w:cs="Arial"/>
          <w:szCs w:val="20"/>
        </w:rPr>
        <w:t>Somente haverá a necessidade de comprovação do preenchimento de requisitos mediante apresentação dos documentos originais não-digitais quando houver dúvida em relação à integridade do documento digital.</w:t>
      </w:r>
    </w:p>
    <w:p>
      <w:pPr>
        <w:numPr>
          <w:ilvl w:val="1"/>
          <w:numId w:val="9"/>
        </w:numPr>
        <w:suppressAutoHyphens w:val="0"/>
        <w:spacing w:before="120" w:after="120" w:line="276" w:lineRule="auto"/>
        <w:ind w:left="1141"/>
        <w:jc w:val="both"/>
        <w:rPr>
          <w:rFonts w:cs="Arial"/>
          <w:szCs w:val="20"/>
        </w:rPr>
      </w:pPr>
      <w:r>
        <w:rPr>
          <w:rFonts w:cs="Arial"/>
          <w:szCs w:val="20"/>
        </w:rPr>
        <w:t>Não serão aceitos documentos de habilitação com indicação de CNPJ/CPF diferentes, salvo aqueles legalmente permitidos.</w:t>
      </w:r>
    </w:p>
    <w:p>
      <w:pPr>
        <w:numPr>
          <w:ilvl w:val="1"/>
          <w:numId w:val="9"/>
        </w:numPr>
        <w:suppressAutoHyphens w:val="0"/>
        <w:spacing w:before="120" w:after="120" w:line="276" w:lineRule="auto"/>
        <w:ind w:left="1141"/>
        <w:jc w:val="both"/>
        <w:rPr>
          <w:rFonts w:cs="Arial"/>
          <w:szCs w:val="20"/>
        </w:rPr>
      </w:pPr>
      <w:r>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68"/>
        <w:numPr>
          <w:ilvl w:val="2"/>
          <w:numId w:val="13"/>
        </w:numPr>
        <w:suppressAutoHyphens w:val="0"/>
        <w:spacing w:after="240"/>
        <w:ind w:left="1638"/>
        <w:jc w:val="both"/>
        <w:rPr>
          <w:rFonts w:cs="Arial"/>
          <w:szCs w:val="20"/>
        </w:rPr>
      </w:pPr>
      <w:r>
        <w:rPr>
          <w:rFonts w:cs="Arial"/>
          <w:szCs w:val="20"/>
        </w:rPr>
        <w:t>Serão aceitos registros de CNPJ de licitante matriz e filial com diferenças de números de documentos pertinentes ao CND e ao CRF/FGTS, quando for comprovada a centralização do recolhimento dessas contribuições.</w:t>
      </w:r>
    </w:p>
    <w:p>
      <w:pPr>
        <w:numPr>
          <w:ilvl w:val="1"/>
          <w:numId w:val="9"/>
        </w:numPr>
        <w:suppressAutoHyphens w:val="0"/>
        <w:spacing w:before="120" w:after="120" w:line="276" w:lineRule="auto"/>
        <w:ind w:left="1141"/>
        <w:jc w:val="both"/>
        <w:rPr>
          <w:rFonts w:cs="Arial"/>
          <w:szCs w:val="20"/>
        </w:rPr>
      </w:pPr>
      <w:r>
        <w:rPr>
          <w:rFonts w:cs="Arial"/>
          <w:szCs w:val="20"/>
        </w:rPr>
        <w:t>Ressalvado o disposto no item 5.3, os licitantes deverão encaminhar, nos termos deste Edital, a documentação relacionada nos itens a seguir, para fins de habilitação:</w:t>
      </w:r>
    </w:p>
    <w:p>
      <w:pPr>
        <w:spacing w:before="120" w:after="120" w:line="276" w:lineRule="auto"/>
        <w:ind w:left="1141"/>
        <w:jc w:val="both"/>
        <w:rPr>
          <w:rFonts w:cs="Arial"/>
          <w:szCs w:val="20"/>
        </w:rPr>
      </w:pPr>
    </w:p>
    <w:p>
      <w:pPr>
        <w:numPr>
          <w:ilvl w:val="1"/>
          <w:numId w:val="9"/>
        </w:numPr>
        <w:suppressAutoHyphens w:val="0"/>
        <w:spacing w:before="120" w:after="120" w:line="276" w:lineRule="auto"/>
        <w:ind w:left="1141"/>
        <w:jc w:val="both"/>
        <w:rPr>
          <w:rFonts w:cs="Arial"/>
          <w:b/>
          <w:szCs w:val="20"/>
        </w:rPr>
      </w:pPr>
      <w:r>
        <w:rPr>
          <w:rFonts w:cs="Arial"/>
          <w:b/>
          <w:szCs w:val="20"/>
        </w:rPr>
        <w:t xml:space="preserve">Habilitação jurídica: </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empresário individual: inscrição no Registro Público de Empresas Mercantis, a cargo da Junta Comercial da respectiva sede;</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inscrição no Registro Público de Empresas Mercantis onde opera, com averbação no Registro onde tem sede a matriz, no caso de ser o participante sucursal, filial ou agência;</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sociedade simples: inscrição do ato constitutivo no Registro Civil das Pessoas Jurídicas do local de sua sede, acompanhada de prova da indicação dos seus administradores;</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No caso de empresa ou sociedade estrangeira em funcionamento no País: decreto de autorização;</w:t>
      </w:r>
    </w:p>
    <w:p>
      <w:pPr>
        <w:pStyle w:val="68"/>
        <w:numPr>
          <w:ilvl w:val="2"/>
          <w:numId w:val="8"/>
        </w:numPr>
        <w:suppressAutoHyphens w:val="0"/>
        <w:spacing w:after="240"/>
        <w:ind w:left="1134" w:firstLine="0"/>
        <w:contextualSpacing w:val="0"/>
        <w:jc w:val="both"/>
        <w:rPr>
          <w:rFonts w:cs="Arial"/>
          <w:bCs/>
          <w:color w:val="000000"/>
          <w:szCs w:val="20"/>
        </w:rPr>
      </w:pPr>
      <w:r>
        <w:rPr>
          <w:rFonts w:cs="Arial"/>
          <w:bCs/>
          <w:color w:val="000000"/>
          <w:szCs w:val="20"/>
        </w:rPr>
        <w:t>Os documentos acima deverão estar acompanhados de todas as alterações ou da consolidação respectiva;</w:t>
      </w:r>
    </w:p>
    <w:p>
      <w:pPr>
        <w:numPr>
          <w:ilvl w:val="1"/>
          <w:numId w:val="9"/>
        </w:numPr>
        <w:suppressAutoHyphens w:val="0"/>
        <w:spacing w:before="120" w:after="120" w:line="276" w:lineRule="auto"/>
        <w:ind w:left="1141"/>
        <w:jc w:val="both"/>
        <w:rPr>
          <w:rFonts w:cs="Arial"/>
          <w:b/>
          <w:bCs/>
          <w:color w:val="000000"/>
          <w:szCs w:val="20"/>
        </w:rPr>
      </w:pPr>
      <w:r>
        <w:rPr>
          <w:rFonts w:cs="Arial"/>
          <w:b/>
          <w:szCs w:val="20"/>
        </w:rPr>
        <w:t>Regularidade fiscal e trabalhista:</w:t>
      </w:r>
    </w:p>
    <w:p>
      <w:pPr>
        <w:numPr>
          <w:ilvl w:val="2"/>
          <w:numId w:val="8"/>
        </w:numPr>
        <w:tabs>
          <w:tab w:val="left" w:pos="1440"/>
        </w:tabs>
        <w:suppressAutoHyphens w:val="0"/>
        <w:autoSpaceDE w:val="0"/>
        <w:snapToGrid w:val="0"/>
        <w:spacing w:after="240"/>
        <w:ind w:left="1134" w:firstLine="0"/>
        <w:jc w:val="both"/>
        <w:rPr>
          <w:rFonts w:cs="Arial"/>
          <w:szCs w:val="20"/>
          <w:lang w:eastAsia="en-US"/>
        </w:rPr>
      </w:pPr>
      <w:r>
        <w:rPr>
          <w:rFonts w:cs="Arial"/>
          <w:szCs w:val="20"/>
          <w:lang w:eastAsia="en-US"/>
        </w:rPr>
        <w:t>prova de inscrição no Cadastro Nacional de Pessoas Jurídicas ou no Cadastro de Pessoas Físicas, conforme o caso;</w:t>
      </w:r>
    </w:p>
    <w:p>
      <w:pPr>
        <w:numPr>
          <w:ilvl w:val="2"/>
          <w:numId w:val="8"/>
        </w:numPr>
        <w:tabs>
          <w:tab w:val="left" w:pos="1440"/>
        </w:tabs>
        <w:suppressAutoHyphens w:val="0"/>
        <w:autoSpaceDE w:val="0"/>
        <w:snapToGrid w:val="0"/>
        <w:spacing w:after="240"/>
        <w:ind w:left="1134" w:firstLine="0"/>
        <w:jc w:val="both"/>
        <w:rPr>
          <w:rFonts w:cs="Arial"/>
          <w:szCs w:val="20"/>
        </w:rPr>
      </w:pPr>
      <w:r>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color w:val="000000"/>
          <w:szCs w:val="20"/>
          <w:lang w:eastAsia="en-US"/>
        </w:rPr>
        <w:t>prova de regularidade com o Fundo de Garantia do Tempo de Serviço (FGTS);</w:t>
      </w:r>
    </w:p>
    <w:p>
      <w:pPr>
        <w:numPr>
          <w:ilvl w:val="2"/>
          <w:numId w:val="8"/>
        </w:numPr>
        <w:tabs>
          <w:tab w:val="left" w:pos="1440"/>
        </w:tabs>
        <w:suppressAutoHyphens w:val="0"/>
        <w:autoSpaceDE w:val="0"/>
        <w:snapToGrid w:val="0"/>
        <w:spacing w:after="240"/>
        <w:ind w:left="1134" w:firstLine="0"/>
        <w:jc w:val="both"/>
        <w:rPr>
          <w:rFonts w:cs="Arial"/>
          <w:szCs w:val="20"/>
        </w:rPr>
      </w:pPr>
      <w:r>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8"/>
        </w:numPr>
        <w:tabs>
          <w:tab w:val="left" w:pos="1440"/>
        </w:tabs>
        <w:suppressAutoHyphens w:val="0"/>
        <w:autoSpaceDE w:val="0"/>
        <w:snapToGrid w:val="0"/>
        <w:spacing w:after="240"/>
        <w:ind w:left="1134" w:firstLine="0"/>
        <w:jc w:val="both"/>
        <w:rPr>
          <w:rFonts w:cs="Arial"/>
          <w:bCs/>
          <w:color w:val="000000"/>
          <w:szCs w:val="20"/>
        </w:rPr>
      </w:pPr>
      <w:r>
        <w:rPr>
          <w:rFonts w:cs="Arial"/>
          <w:bCs/>
          <w:color w:val="000000"/>
          <w:szCs w:val="20"/>
        </w:rPr>
        <w:t xml:space="preserve">prova de inscrição no cadastro de contribuintes estadual, relativo ao domicílio ou sede do licitante, pertinente ao seu ramo de atividade e compatível com o objeto contratual; </w:t>
      </w:r>
    </w:p>
    <w:p>
      <w:pPr>
        <w:numPr>
          <w:ilvl w:val="2"/>
          <w:numId w:val="8"/>
        </w:numPr>
        <w:tabs>
          <w:tab w:val="left" w:pos="1440"/>
        </w:tabs>
        <w:suppressAutoHyphens w:val="0"/>
        <w:autoSpaceDE w:val="0"/>
        <w:snapToGrid w:val="0"/>
        <w:spacing w:after="240"/>
        <w:ind w:left="1134" w:firstLine="0"/>
        <w:jc w:val="both"/>
        <w:rPr>
          <w:rFonts w:cs="Arial"/>
          <w:b/>
          <w:szCs w:val="20"/>
        </w:rPr>
      </w:pPr>
      <w:r>
        <w:rPr>
          <w:rFonts w:cs="Arial"/>
          <w:szCs w:val="20"/>
        </w:rPr>
        <w:t xml:space="preserve"> prova de regularidade com a Fazenda Estadual do domicílio ou sede do licitante, relativa à atividade em cujo exercício contrata ou concorre;</w:t>
      </w:r>
    </w:p>
    <w:p>
      <w:pPr>
        <w:numPr>
          <w:ilvl w:val="2"/>
          <w:numId w:val="8"/>
        </w:numPr>
        <w:tabs>
          <w:tab w:val="left" w:pos="1440"/>
        </w:tabs>
        <w:suppressAutoHyphens w:val="0"/>
        <w:autoSpaceDE w:val="0"/>
        <w:snapToGrid w:val="0"/>
        <w:spacing w:after="240"/>
        <w:ind w:left="1134" w:firstLine="0"/>
        <w:jc w:val="both"/>
        <w:rPr>
          <w:rFonts w:cs="Arial"/>
          <w:b/>
          <w:color w:val="000000"/>
          <w:szCs w:val="20"/>
        </w:rPr>
      </w:pPr>
      <w:r>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pPr>
        <w:numPr>
          <w:ilvl w:val="2"/>
          <w:numId w:val="8"/>
        </w:numPr>
        <w:tabs>
          <w:tab w:val="left" w:pos="1440"/>
        </w:tabs>
        <w:suppressAutoHyphens w:val="0"/>
        <w:autoSpaceDE w:val="0"/>
        <w:snapToGrid w:val="0"/>
        <w:spacing w:after="240"/>
        <w:ind w:left="1134" w:firstLine="0"/>
        <w:jc w:val="both"/>
        <w:rPr>
          <w:rFonts w:cs="Arial"/>
          <w:b/>
          <w:bCs/>
          <w:iCs/>
          <w:color w:val="7030A0"/>
          <w:szCs w:val="20"/>
          <w:u w:val="single"/>
        </w:rPr>
      </w:pPr>
      <w:r>
        <w:rPr>
          <w:rFonts w:cs="Arial"/>
          <w:color w:val="000000"/>
          <w:szCs w:val="20"/>
          <w:lang w:eastAsia="en-US" w:bidi="pt-BR"/>
        </w:rPr>
        <w:t xml:space="preserve">caso o licitante detentor do menor preço seja qualificado como microempresa ou empresa de pequeno porte </w:t>
      </w:r>
      <w:r>
        <w:rPr>
          <w:rFonts w:cs="Arial"/>
          <w:color w:val="000000"/>
          <w:szCs w:val="20"/>
          <w:lang w:eastAsia="en-US"/>
        </w:rPr>
        <w:t>deverá apresentar toda a documentação exigida para efeito de comprovação de regularidade fiscal, mesmo que esta apresente alguma restrição, sob pena de inabilitação.</w:t>
      </w:r>
    </w:p>
    <w:p>
      <w:pPr>
        <w:numPr>
          <w:ilvl w:val="2"/>
          <w:numId w:val="8"/>
        </w:numPr>
        <w:tabs>
          <w:tab w:val="left" w:pos="1440"/>
        </w:tabs>
        <w:suppressAutoHyphens w:val="0"/>
        <w:autoSpaceDE w:val="0"/>
        <w:snapToGrid w:val="0"/>
        <w:spacing w:after="240"/>
        <w:ind w:left="1134" w:firstLine="0"/>
        <w:jc w:val="both"/>
        <w:rPr>
          <w:rFonts w:cs="Arial"/>
          <w:bCs/>
          <w:i/>
          <w:iCs/>
          <w:szCs w:val="20"/>
        </w:rPr>
      </w:pPr>
      <w:r>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pPr>
        <w:tabs>
          <w:tab w:val="left" w:pos="1440"/>
        </w:tabs>
        <w:suppressAutoHyphens w:val="0"/>
        <w:autoSpaceDE w:val="0"/>
        <w:snapToGrid w:val="0"/>
        <w:spacing w:after="240"/>
        <w:ind w:left="1134"/>
        <w:jc w:val="both"/>
        <w:rPr>
          <w:rFonts w:cs="Arial"/>
          <w:bCs/>
          <w:i/>
          <w:iCs/>
          <w:szCs w:val="20"/>
        </w:rPr>
      </w:pPr>
    </w:p>
    <w:p>
      <w:pPr>
        <w:numPr>
          <w:ilvl w:val="1"/>
          <w:numId w:val="9"/>
        </w:numPr>
        <w:suppressAutoHyphens w:val="0"/>
        <w:spacing w:before="120" w:after="120" w:line="276" w:lineRule="auto"/>
        <w:ind w:left="1141"/>
        <w:jc w:val="both"/>
        <w:rPr>
          <w:rFonts w:cs="Arial"/>
          <w:b/>
          <w:szCs w:val="20"/>
        </w:rPr>
      </w:pPr>
      <w:r>
        <w:rPr>
          <w:rFonts w:cs="Arial"/>
          <w:b/>
          <w:szCs w:val="20"/>
        </w:rPr>
        <w:t>Qualificação  Econômico-Financeira.</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68"/>
        <w:numPr>
          <w:ilvl w:val="3"/>
          <w:numId w:val="8"/>
        </w:numPr>
        <w:suppressAutoHyphens w:val="0"/>
        <w:spacing w:after="240"/>
        <w:ind w:left="1701" w:firstLine="0"/>
        <w:contextualSpacing w:val="0"/>
        <w:jc w:val="both"/>
        <w:rPr>
          <w:rFonts w:cs="Arial"/>
          <w:color w:val="000000"/>
          <w:szCs w:val="20"/>
          <w:lang w:eastAsia="en-US"/>
        </w:rPr>
      </w:pPr>
      <w:r>
        <w:rPr>
          <w:rFonts w:cs="Arial"/>
          <w:bCs/>
          <w:iCs/>
          <w:color w:val="000000"/>
          <w:szCs w:val="20"/>
        </w:rPr>
        <w:t>No caso de fornecimento</w:t>
      </w:r>
      <w:r>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pPr>
        <w:pStyle w:val="68"/>
        <w:numPr>
          <w:ilvl w:val="3"/>
          <w:numId w:val="8"/>
        </w:numPr>
        <w:suppressAutoHyphens w:val="0"/>
        <w:spacing w:after="240"/>
        <w:ind w:left="1701" w:firstLine="0"/>
        <w:contextualSpacing w:val="0"/>
        <w:jc w:val="both"/>
        <w:rPr>
          <w:rFonts w:cs="Arial"/>
          <w:color w:val="000000"/>
          <w:szCs w:val="20"/>
          <w:lang w:eastAsia="en-US"/>
        </w:rPr>
      </w:pPr>
      <w:r>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pPr>
        <w:pStyle w:val="68"/>
        <w:numPr>
          <w:ilvl w:val="3"/>
          <w:numId w:val="8"/>
        </w:numPr>
        <w:suppressAutoHyphens w:val="0"/>
        <w:spacing w:after="240"/>
        <w:ind w:left="1701" w:firstLine="0"/>
        <w:contextualSpacing w:val="0"/>
        <w:jc w:val="both"/>
        <w:rPr>
          <w:rFonts w:cs="Arial"/>
          <w:color w:val="000000"/>
          <w:szCs w:val="20"/>
          <w:lang w:eastAsia="en-US"/>
        </w:rPr>
      </w:pPr>
      <w:r>
        <w:rPr>
          <w:rFonts w:cs="Arial"/>
          <w:color w:val="000000"/>
          <w:szCs w:val="20"/>
          <w:lang w:eastAsia="en-US"/>
        </w:rPr>
        <w:t>é admissível o balanço intermediário, se decorrer de lei ou contrato social/estatuto social.</w:t>
      </w:r>
    </w:p>
    <w:p>
      <w:pPr>
        <w:pStyle w:val="68"/>
        <w:numPr>
          <w:ilvl w:val="3"/>
          <w:numId w:val="8"/>
        </w:numPr>
        <w:suppressAutoHyphens w:val="0"/>
        <w:spacing w:after="240"/>
        <w:ind w:left="1701" w:firstLine="0"/>
        <w:contextualSpacing w:val="0"/>
        <w:jc w:val="both"/>
        <w:rPr>
          <w:rFonts w:cs="Arial"/>
          <w:color w:val="000000"/>
          <w:szCs w:val="20"/>
        </w:rPr>
      </w:pPr>
      <w:r>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color w:val="000000"/>
          <w:szCs w:val="20"/>
        </w:rPr>
        <w:t>A comprovação da situação financeira da empresa será constatada mediante obtenção de índices de Liquidez Geral (LG), Solvência Geral (SG) e Liquidez Corrente (LC), superiores a 1 ( um) resultantes da aplicação das fórmulas:</w:t>
      </w: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autoSpaceDE w:val="0"/>
              <w:snapToGrid w:val="0"/>
              <w:spacing w:after="240"/>
              <w:jc w:val="right"/>
              <w:rPr>
                <w:rFonts w:cs="Arial" w:eastAsiaTheme="minorHAnsi"/>
                <w:color w:val="000000"/>
                <w:sz w:val="20"/>
                <w:szCs w:val="20"/>
                <w:lang w:eastAsia="en-US"/>
              </w:rPr>
            </w:pPr>
            <w:r>
              <w:rPr>
                <w:rFonts w:cs="Arial" w:eastAsiaTheme="minorHAnsi"/>
                <w:color w:val="000000"/>
                <w:sz w:val="20"/>
                <w:szCs w:val="20"/>
                <w:lang w:eastAsia="en-US"/>
              </w:rPr>
              <w:t>LG =</w:t>
            </w:r>
          </w:p>
        </w:tc>
        <w:tc>
          <w:tcPr>
            <w:tcW w:w="4252" w:type="dxa"/>
            <w:tcBorders>
              <w:bottom w:val="single" w:color="auto" w:sz="4" w:space="0"/>
            </w:tcBorders>
            <w:vAlign w:val="bottom"/>
          </w:tcPr>
          <w:p>
            <w:pPr>
              <w:tabs>
                <w:tab w:val="left" w:pos="1440"/>
              </w:tabs>
              <w:autoSpaceDE w:val="0"/>
              <w:snapToGrid w:val="0"/>
              <w:spacing w:after="240"/>
              <w:rPr>
                <w:rFonts w:cs="Arial" w:eastAsiaTheme="minorHAnsi"/>
                <w:color w:val="000000"/>
                <w:sz w:val="20"/>
                <w:szCs w:val="20"/>
                <w:lang w:eastAsia="en-US"/>
              </w:rPr>
            </w:pPr>
            <w:r>
              <w:rPr>
                <w:rFonts w:cs="Arial" w:eastAsiaTheme="minorHAnsi"/>
                <w:color w:val="000000"/>
                <w:sz w:val="20"/>
                <w:szCs w:val="20"/>
                <w:lang w:eastAsia="en-US"/>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tcPr>
          <w:p>
            <w:pPr>
              <w:tabs>
                <w:tab w:val="left" w:pos="1440"/>
              </w:tabs>
              <w:autoSpaceDE w:val="0"/>
              <w:snapToGrid w:val="0"/>
              <w:spacing w:after="240"/>
              <w:jc w:val="both"/>
              <w:rPr>
                <w:rFonts w:cs="Arial" w:eastAsiaTheme="minorHAnsi"/>
                <w:color w:val="000000"/>
                <w:sz w:val="20"/>
                <w:szCs w:val="20"/>
                <w:lang w:eastAsia="en-US"/>
              </w:rPr>
            </w:pPr>
          </w:p>
        </w:tc>
        <w:tc>
          <w:tcPr>
            <w:tcW w:w="4252" w:type="dxa"/>
            <w:tcBorders>
              <w:top w:val="single" w:color="auto" w:sz="4" w:space="0"/>
            </w:tcBorders>
          </w:tcPr>
          <w:p>
            <w:pPr>
              <w:tabs>
                <w:tab w:val="left" w:pos="1440"/>
              </w:tabs>
              <w:autoSpaceDE w:val="0"/>
              <w:snapToGrid w:val="0"/>
              <w:spacing w:after="240"/>
              <w:rPr>
                <w:rFonts w:cs="Arial" w:eastAsiaTheme="minorHAnsi"/>
                <w:color w:val="000000"/>
                <w:sz w:val="20"/>
                <w:szCs w:val="20"/>
                <w:lang w:eastAsia="en-US"/>
              </w:rPr>
            </w:pPr>
            <w:r>
              <w:rPr>
                <w:rFonts w:cs="Arial" w:eastAsiaTheme="minorHAnsi"/>
                <w:color w:val="000000"/>
                <w:sz w:val="20"/>
                <w:szCs w:val="20"/>
                <w:lang w:eastAsia="en-US"/>
              </w:rPr>
              <w:t>Passivo Circulante + Passivo Não Circulante</w:t>
            </w:r>
          </w:p>
        </w:tc>
      </w:tr>
    </w:tbl>
    <w:p>
      <w:pPr>
        <w:tabs>
          <w:tab w:val="left" w:pos="1440"/>
        </w:tabs>
        <w:autoSpaceDE w:val="0"/>
        <w:snapToGrid w:val="0"/>
        <w:spacing w:after="240"/>
        <w:ind w:left="1134"/>
        <w:jc w:val="both"/>
        <w:rPr>
          <w:rFonts w:cs="Arial"/>
          <w:color w:val="000000"/>
          <w:szCs w:val="20"/>
        </w:rPr>
      </w:pP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autoSpaceDE w:val="0"/>
              <w:snapToGrid w:val="0"/>
              <w:spacing w:after="240"/>
              <w:jc w:val="right"/>
              <w:rPr>
                <w:rFonts w:cs="Arial" w:eastAsiaTheme="minorHAnsi"/>
                <w:color w:val="000000"/>
                <w:sz w:val="20"/>
                <w:szCs w:val="20"/>
                <w:lang w:eastAsia="en-US"/>
              </w:rPr>
            </w:pPr>
            <w:r>
              <w:rPr>
                <w:rFonts w:cs="Arial" w:eastAsiaTheme="minorHAnsi"/>
                <w:color w:val="000000"/>
                <w:sz w:val="20"/>
                <w:szCs w:val="20"/>
                <w:lang w:eastAsia="en-US"/>
              </w:rPr>
              <w:t>SG =</w:t>
            </w:r>
          </w:p>
        </w:tc>
        <w:tc>
          <w:tcPr>
            <w:tcW w:w="4394" w:type="dxa"/>
            <w:tcBorders>
              <w:bottom w:val="single" w:color="auto" w:sz="4" w:space="0"/>
            </w:tcBorders>
            <w:vAlign w:val="bottom"/>
          </w:tcPr>
          <w:p>
            <w:pPr>
              <w:tabs>
                <w:tab w:val="left" w:pos="1440"/>
              </w:tabs>
              <w:autoSpaceDE w:val="0"/>
              <w:snapToGrid w:val="0"/>
              <w:spacing w:after="240"/>
              <w:jc w:val="center"/>
              <w:rPr>
                <w:rFonts w:cs="Arial" w:eastAsiaTheme="minorHAnsi"/>
                <w:color w:val="000000"/>
                <w:sz w:val="20"/>
                <w:szCs w:val="20"/>
                <w:lang w:eastAsia="en-US"/>
              </w:rPr>
            </w:pPr>
            <w:r>
              <w:rPr>
                <w:rFonts w:cs="Arial" w:eastAsiaTheme="minorHAnsi"/>
                <w:color w:val="000000"/>
                <w:sz w:val="20"/>
                <w:szCs w:val="20"/>
                <w:lang w:eastAsia="en-US"/>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tcPr>
          <w:p>
            <w:pPr>
              <w:tabs>
                <w:tab w:val="left" w:pos="1440"/>
              </w:tabs>
              <w:autoSpaceDE w:val="0"/>
              <w:snapToGrid w:val="0"/>
              <w:spacing w:after="240"/>
              <w:jc w:val="both"/>
              <w:rPr>
                <w:rFonts w:cs="Arial" w:eastAsiaTheme="minorHAnsi"/>
                <w:color w:val="000000"/>
                <w:sz w:val="20"/>
                <w:szCs w:val="20"/>
                <w:lang w:eastAsia="en-US"/>
              </w:rPr>
            </w:pPr>
          </w:p>
        </w:tc>
        <w:tc>
          <w:tcPr>
            <w:tcW w:w="4394" w:type="dxa"/>
            <w:tcBorders>
              <w:top w:val="single" w:color="auto" w:sz="4" w:space="0"/>
            </w:tcBorders>
          </w:tcPr>
          <w:p>
            <w:pPr>
              <w:tabs>
                <w:tab w:val="left" w:pos="1440"/>
              </w:tabs>
              <w:autoSpaceDE w:val="0"/>
              <w:snapToGrid w:val="0"/>
              <w:spacing w:after="240"/>
              <w:jc w:val="center"/>
              <w:rPr>
                <w:rFonts w:cs="Arial" w:eastAsiaTheme="minorHAnsi"/>
                <w:color w:val="000000"/>
                <w:sz w:val="20"/>
                <w:szCs w:val="20"/>
                <w:lang w:eastAsia="en-US"/>
              </w:rPr>
            </w:pPr>
            <w:r>
              <w:rPr>
                <w:rFonts w:cs="Arial" w:eastAsiaTheme="minorHAnsi"/>
                <w:color w:val="000000"/>
                <w:sz w:val="20"/>
                <w:szCs w:val="20"/>
                <w:lang w:eastAsia="en-US"/>
              </w:rPr>
              <w:t>Passivo Circulante + Passivo Não Circulante</w:t>
            </w:r>
          </w:p>
        </w:tc>
      </w:tr>
    </w:tbl>
    <w:p>
      <w:pPr>
        <w:tabs>
          <w:tab w:val="left" w:pos="1440"/>
        </w:tabs>
        <w:autoSpaceDE w:val="0"/>
        <w:snapToGrid w:val="0"/>
        <w:spacing w:after="240"/>
        <w:ind w:left="1134"/>
        <w:jc w:val="both"/>
        <w:rPr>
          <w:rFonts w:cs="Arial"/>
          <w:color w:val="000000"/>
          <w:szCs w:val="20"/>
        </w:rPr>
      </w:pP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autoSpaceDE w:val="0"/>
              <w:snapToGrid w:val="0"/>
              <w:spacing w:after="240"/>
              <w:jc w:val="right"/>
              <w:rPr>
                <w:rFonts w:cs="Arial" w:eastAsiaTheme="minorHAnsi"/>
                <w:color w:val="000000"/>
                <w:sz w:val="20"/>
                <w:szCs w:val="20"/>
                <w:lang w:eastAsia="en-US"/>
              </w:rPr>
            </w:pPr>
            <w:r>
              <w:rPr>
                <w:rFonts w:cs="Arial" w:eastAsiaTheme="minorHAnsi"/>
                <w:color w:val="000000"/>
                <w:sz w:val="20"/>
                <w:szCs w:val="20"/>
                <w:lang w:eastAsia="en-US"/>
              </w:rPr>
              <w:t>LC =</w:t>
            </w:r>
          </w:p>
        </w:tc>
        <w:tc>
          <w:tcPr>
            <w:tcW w:w="2551" w:type="dxa"/>
            <w:tcBorders>
              <w:bottom w:val="single" w:color="auto" w:sz="4" w:space="0"/>
            </w:tcBorders>
            <w:vAlign w:val="bottom"/>
          </w:tcPr>
          <w:p>
            <w:pPr>
              <w:tabs>
                <w:tab w:val="left" w:pos="1440"/>
              </w:tabs>
              <w:autoSpaceDE w:val="0"/>
              <w:snapToGrid w:val="0"/>
              <w:spacing w:after="240"/>
              <w:jc w:val="center"/>
              <w:rPr>
                <w:rFonts w:cs="Arial" w:eastAsiaTheme="minorHAnsi"/>
                <w:color w:val="000000"/>
                <w:sz w:val="20"/>
                <w:szCs w:val="20"/>
                <w:lang w:eastAsia="en-US"/>
              </w:rPr>
            </w:pPr>
            <w:r>
              <w:rPr>
                <w:rFonts w:cs="Arial" w:eastAsiaTheme="minorHAnsi"/>
                <w:color w:val="000000"/>
                <w:sz w:val="20"/>
                <w:szCs w:val="20"/>
                <w:lang w:eastAsia="en-US"/>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tcPr>
          <w:p>
            <w:pPr>
              <w:tabs>
                <w:tab w:val="left" w:pos="1440"/>
              </w:tabs>
              <w:autoSpaceDE w:val="0"/>
              <w:snapToGrid w:val="0"/>
              <w:spacing w:after="240"/>
              <w:jc w:val="both"/>
              <w:rPr>
                <w:rFonts w:cs="Arial" w:eastAsiaTheme="minorHAnsi"/>
                <w:color w:val="000000"/>
                <w:sz w:val="20"/>
                <w:szCs w:val="20"/>
                <w:lang w:eastAsia="en-US"/>
              </w:rPr>
            </w:pPr>
          </w:p>
        </w:tc>
        <w:tc>
          <w:tcPr>
            <w:tcW w:w="2551" w:type="dxa"/>
            <w:tcBorders>
              <w:top w:val="single" w:color="auto" w:sz="4" w:space="0"/>
            </w:tcBorders>
          </w:tcPr>
          <w:p>
            <w:pPr>
              <w:tabs>
                <w:tab w:val="left" w:pos="1440"/>
              </w:tabs>
              <w:autoSpaceDE w:val="0"/>
              <w:snapToGrid w:val="0"/>
              <w:spacing w:after="240"/>
              <w:jc w:val="center"/>
              <w:rPr>
                <w:rFonts w:cs="Arial" w:eastAsiaTheme="minorHAnsi"/>
                <w:color w:val="000000"/>
                <w:sz w:val="20"/>
                <w:szCs w:val="20"/>
                <w:lang w:eastAsia="en-US"/>
              </w:rPr>
            </w:pPr>
            <w:r>
              <w:rPr>
                <w:rFonts w:cs="Arial" w:eastAsiaTheme="minorHAnsi"/>
                <w:color w:val="000000"/>
                <w:sz w:val="20"/>
                <w:szCs w:val="20"/>
                <w:lang w:eastAsia="en-US"/>
              </w:rPr>
              <w:t>Passivo Circulante</w:t>
            </w:r>
          </w:p>
        </w:tc>
      </w:tr>
    </w:tbl>
    <w:p>
      <w:pPr>
        <w:tabs>
          <w:tab w:val="left" w:pos="1440"/>
        </w:tabs>
        <w:autoSpaceDE w:val="0"/>
        <w:snapToGrid w:val="0"/>
        <w:spacing w:after="240"/>
        <w:ind w:left="1134"/>
        <w:jc w:val="both"/>
        <w:rPr>
          <w:rFonts w:cs="Arial"/>
          <w:color w:val="000000"/>
          <w:szCs w:val="20"/>
        </w:rPr>
      </w:pPr>
    </w:p>
    <w:p>
      <w:pPr>
        <w:numPr>
          <w:ilvl w:val="2"/>
          <w:numId w:val="8"/>
        </w:numPr>
        <w:tabs>
          <w:tab w:val="left" w:pos="1440"/>
        </w:tabs>
        <w:suppressAutoHyphens w:val="0"/>
        <w:autoSpaceDE w:val="0"/>
        <w:snapToGrid w:val="0"/>
        <w:spacing w:after="240"/>
        <w:ind w:left="1134" w:firstLine="0"/>
        <w:jc w:val="both"/>
        <w:rPr>
          <w:rFonts w:cs="Arial"/>
          <w:i/>
          <w:color w:val="FF0000"/>
          <w:szCs w:val="20"/>
          <w:lang w:eastAsia="en-US"/>
        </w:rPr>
      </w:pPr>
      <w:r>
        <w:rPr>
          <w:rFonts w:cs="Arial"/>
          <w:bCs/>
          <w:szCs w:val="20"/>
        </w:rPr>
        <w:t xml:space="preserve">As empresas que apresentarem </w:t>
      </w:r>
      <w:r>
        <w:rPr>
          <w:rFonts w:cs="Arial"/>
          <w:bCs/>
          <w:color w:val="000000"/>
          <w:szCs w:val="20"/>
        </w:rPr>
        <w:t>resultado inferior ou igual a 1(um) em qualquer dos índices de</w:t>
      </w:r>
      <w:r>
        <w:rPr>
          <w:rFonts w:cs="Arial"/>
          <w:bCs/>
          <w:szCs w:val="20"/>
        </w:rPr>
        <w:t xml:space="preserve"> Liquidez Geral (LG), Solvência Geral (SG) e Liquidez Corrente (LC), deverão comprovar, considerados os riscos para a Administração, e, a critério da autoridade competente, o capital mínimo ou o patrimônio líquido mínimo de </w:t>
      </w:r>
      <w:r>
        <w:rPr>
          <w:rFonts w:cs="Arial"/>
          <w:szCs w:val="20"/>
          <w:lang w:eastAsia="en-US"/>
        </w:rPr>
        <w:t xml:space="preserve">5 (cinco) por cento </w:t>
      </w:r>
      <w:r>
        <w:rPr>
          <w:rFonts w:cs="Arial"/>
          <w:bCs/>
          <w:szCs w:val="20"/>
        </w:rPr>
        <w:t>do valor estimado da contratação ou do item pertinente</w:t>
      </w:r>
      <w:r>
        <w:rPr>
          <w:rFonts w:cs="Arial"/>
          <w:szCs w:val="20"/>
          <w:lang w:eastAsia="en-US"/>
        </w:rPr>
        <w:t xml:space="preserve">. </w:t>
      </w:r>
    </w:p>
    <w:p>
      <w:pPr>
        <w:spacing w:after="240"/>
        <w:rPr>
          <w:rFonts w:cs="Arial"/>
          <w:szCs w:val="20"/>
          <w:lang w:eastAsia="en-US"/>
        </w:rPr>
      </w:pPr>
    </w:p>
    <w:p>
      <w:pPr>
        <w:numPr>
          <w:ilvl w:val="1"/>
          <w:numId w:val="9"/>
        </w:numPr>
        <w:suppressAutoHyphens w:val="0"/>
        <w:spacing w:before="120" w:after="120" w:line="276" w:lineRule="auto"/>
        <w:ind w:left="1141"/>
        <w:jc w:val="both"/>
        <w:rPr>
          <w:rFonts w:cs="Arial"/>
          <w:b/>
          <w:szCs w:val="20"/>
        </w:rPr>
      </w:pPr>
      <w:r>
        <w:rPr>
          <w:rFonts w:cs="Arial"/>
          <w:b/>
          <w:szCs w:val="20"/>
        </w:rPr>
        <w:t xml:space="preserve">Qualificação Técnica  </w:t>
      </w:r>
    </w:p>
    <w:p>
      <w:pPr>
        <w:pStyle w:val="68"/>
        <w:spacing w:after="240"/>
        <w:ind w:left="1071"/>
        <w:jc w:val="both"/>
        <w:rPr>
          <w:rFonts w:cs="Arial"/>
          <w:strike/>
          <w:color w:val="000000"/>
          <w:szCs w:val="20"/>
          <w:highlight w:val="yellow"/>
        </w:rPr>
      </w:pPr>
    </w:p>
    <w:p>
      <w:pPr>
        <w:pStyle w:val="68"/>
        <w:numPr>
          <w:ilvl w:val="2"/>
          <w:numId w:val="8"/>
        </w:numPr>
        <w:tabs>
          <w:tab w:val="left" w:pos="1440"/>
        </w:tabs>
        <w:suppressAutoHyphens w:val="0"/>
        <w:autoSpaceDE w:val="0"/>
        <w:snapToGrid w:val="0"/>
        <w:spacing w:after="240"/>
        <w:ind w:left="1638"/>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pPr>
        <w:numPr>
          <w:ilvl w:val="1"/>
          <w:numId w:val="9"/>
        </w:numPr>
        <w:suppressAutoHyphens w:val="0"/>
        <w:spacing w:before="120" w:after="120" w:line="276" w:lineRule="auto"/>
        <w:ind w:left="1141"/>
        <w:jc w:val="both"/>
        <w:rPr>
          <w:rFonts w:cs="Arial"/>
          <w:szCs w:val="20"/>
        </w:rPr>
      </w:pPr>
      <w:r>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numPr>
          <w:ilvl w:val="1"/>
          <w:numId w:val="9"/>
        </w:numPr>
        <w:suppressAutoHyphens w:val="0"/>
        <w:spacing w:before="120" w:after="120" w:line="276" w:lineRule="auto"/>
        <w:ind w:left="1141"/>
        <w:jc w:val="both"/>
        <w:rPr>
          <w:rFonts w:cs="Arial"/>
          <w:szCs w:val="20"/>
        </w:rPr>
      </w:pPr>
      <w:r>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68"/>
        <w:numPr>
          <w:ilvl w:val="2"/>
          <w:numId w:val="11"/>
        </w:numPr>
        <w:suppressAutoHyphens w:val="0"/>
        <w:spacing w:after="240"/>
        <w:ind w:left="1638"/>
        <w:jc w:val="both"/>
        <w:rPr>
          <w:rFonts w:cs="Arial"/>
          <w:bCs/>
          <w:color w:val="000000"/>
          <w:szCs w:val="20"/>
        </w:rPr>
      </w:pPr>
      <w:r>
        <w:rPr>
          <w:rFonts w:cs="Arial"/>
          <w:bCs/>
          <w:color w:val="000000"/>
          <w:szCs w:val="20"/>
        </w:rPr>
        <w:t>A declaração do vencedor acontecerá no momento imediatamente posterior à fase de habilitação.</w:t>
      </w:r>
    </w:p>
    <w:p>
      <w:pPr>
        <w:numPr>
          <w:ilvl w:val="1"/>
          <w:numId w:val="9"/>
        </w:numPr>
        <w:suppressAutoHyphens w:val="0"/>
        <w:spacing w:before="120" w:after="120" w:line="276" w:lineRule="auto"/>
        <w:ind w:left="1141"/>
        <w:jc w:val="both"/>
        <w:rPr>
          <w:rFonts w:cs="Arial"/>
          <w:szCs w:val="20"/>
        </w:rPr>
      </w:pPr>
      <w:r>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9"/>
        </w:numPr>
        <w:suppressAutoHyphens w:val="0"/>
        <w:spacing w:before="120" w:after="120" w:line="276" w:lineRule="auto"/>
        <w:ind w:left="1141"/>
        <w:jc w:val="both"/>
        <w:rPr>
          <w:rFonts w:cs="Arial"/>
          <w:szCs w:val="20"/>
        </w:rPr>
      </w:pPr>
      <w:r>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9"/>
        </w:numPr>
        <w:suppressAutoHyphens w:val="0"/>
        <w:spacing w:before="120" w:after="120" w:line="276" w:lineRule="auto"/>
        <w:ind w:left="1141"/>
        <w:jc w:val="both"/>
        <w:rPr>
          <w:rFonts w:cs="Arial"/>
          <w:szCs w:val="20"/>
        </w:rPr>
      </w:pPr>
      <w:r>
        <w:rPr>
          <w:rFonts w:cs="Arial"/>
          <w:szCs w:val="20"/>
        </w:rPr>
        <w:t>Havendo necessidade de analisar minuciosamente os documentos exigidos, o Pregoeiro suspenderá a sessão, informando no “chat” a nova data e horário para a continuidade da mesma.</w:t>
      </w:r>
    </w:p>
    <w:p>
      <w:pPr>
        <w:numPr>
          <w:ilvl w:val="1"/>
          <w:numId w:val="9"/>
        </w:numPr>
        <w:suppressAutoHyphens w:val="0"/>
        <w:spacing w:before="120" w:after="120" w:line="276" w:lineRule="auto"/>
        <w:ind w:left="1141"/>
        <w:jc w:val="both"/>
        <w:rPr>
          <w:rFonts w:cs="Arial"/>
          <w:szCs w:val="20"/>
        </w:rPr>
      </w:pPr>
      <w:r>
        <w:rPr>
          <w:rFonts w:cs="Arial"/>
          <w:szCs w:val="20"/>
        </w:rPr>
        <w:t>Será inabilitado o licitante que não comprovar sua habilitação, seja por não apresentar quaisquer dos documentos exigidos, ou apresentá-los em desacordo com o estabelecido neste Edital.</w:t>
      </w:r>
    </w:p>
    <w:p>
      <w:pPr>
        <w:numPr>
          <w:ilvl w:val="1"/>
          <w:numId w:val="9"/>
        </w:numPr>
        <w:suppressAutoHyphens w:val="0"/>
        <w:spacing w:before="120" w:after="120" w:line="276" w:lineRule="auto"/>
        <w:ind w:left="1141"/>
        <w:jc w:val="both"/>
        <w:rPr>
          <w:rFonts w:cs="Arial"/>
          <w:szCs w:val="20"/>
        </w:rPr>
      </w:pPr>
      <w:r>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9"/>
        </w:numPr>
        <w:suppressAutoHyphens w:val="0"/>
        <w:spacing w:before="120" w:after="120" w:line="276" w:lineRule="auto"/>
        <w:ind w:left="1141"/>
        <w:jc w:val="both"/>
        <w:rPr>
          <w:rFonts w:cs="Arial"/>
          <w:szCs w:val="20"/>
        </w:rPr>
      </w:pPr>
      <w:r>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2"/>
          <w:numId w:val="8"/>
        </w:numPr>
        <w:suppressAutoHyphens w:val="0"/>
        <w:spacing w:after="240"/>
        <w:ind w:left="1638"/>
        <w:jc w:val="both"/>
        <w:rPr>
          <w:rFonts w:cs="Arial"/>
          <w:szCs w:val="20"/>
        </w:rPr>
      </w:pPr>
      <w:r>
        <w:rPr>
          <w:rFonts w:cs="Arial"/>
          <w:szCs w:val="20"/>
        </w:rPr>
        <w:t>Não havendo a comprovação cumulativa dos requisitos de habilitação, a inabilitação recairá sobre o(s) item(ns) de menor(es) valor(es) cuja retirada(s) seja(m) suficiente(s) para a habilitação do licitante nos remanescentes.</w:t>
      </w:r>
    </w:p>
    <w:p>
      <w:pPr>
        <w:numPr>
          <w:ilvl w:val="1"/>
          <w:numId w:val="9"/>
        </w:numPr>
        <w:suppressAutoHyphens w:val="0"/>
        <w:spacing w:before="120" w:after="120" w:line="276" w:lineRule="auto"/>
        <w:ind w:left="1141"/>
        <w:jc w:val="both"/>
        <w:rPr>
          <w:rFonts w:cs="Arial"/>
          <w:szCs w:val="20"/>
        </w:rPr>
      </w:pPr>
      <w:r>
        <w:rPr>
          <w:rFonts w:cs="Arial"/>
          <w:szCs w:val="20"/>
        </w:rPr>
        <w:t>Constatado o atendimento às exigências de habilitação fixadas no Edital, o licitante será declarado vencedor.</w:t>
      </w:r>
    </w:p>
    <w:p>
      <w:pPr>
        <w:spacing w:after="240"/>
        <w:ind w:left="425"/>
        <w:jc w:val="both"/>
        <w:rPr>
          <w:rFonts w:cs="Arial"/>
          <w:color w:val="000000"/>
          <w:szCs w:val="20"/>
        </w:rPr>
      </w:pPr>
    </w:p>
    <w:p>
      <w:pPr>
        <w:pStyle w:val="477"/>
        <w:numPr>
          <w:ilvl w:val="0"/>
          <w:numId w:val="8"/>
        </w:numPr>
        <w:ind w:left="0" w:firstLine="0"/>
        <w:rPr>
          <w:rFonts w:ascii="Arial" w:hAnsi="Arial" w:cs="Arial"/>
          <w:i/>
          <w:color w:val="auto"/>
          <w:lang w:eastAsia="en-US"/>
        </w:rPr>
      </w:pPr>
      <w:r>
        <w:rPr>
          <w:rFonts w:ascii="Arial" w:hAnsi="Arial" w:cs="Arial"/>
          <w:i/>
          <w:color w:val="auto"/>
          <w:lang w:eastAsia="en-US"/>
        </w:rPr>
        <w:t xml:space="preserve">DO </w:t>
      </w:r>
      <w:r>
        <w:rPr>
          <w:rFonts w:ascii="Arial" w:hAnsi="Arial" w:cs="Arial"/>
          <w:i/>
          <w:color w:val="auto"/>
        </w:rPr>
        <w:t>ENCAMINHAMENTO</w:t>
      </w:r>
      <w:r>
        <w:rPr>
          <w:rFonts w:ascii="Arial" w:hAnsi="Arial" w:cs="Arial"/>
          <w:i/>
          <w:color w:val="auto"/>
          <w:lang w:eastAsia="en-US"/>
        </w:rPr>
        <w:t xml:space="preserve"> DA PROPOSTA VENCEDORA</w:t>
      </w:r>
    </w:p>
    <w:p>
      <w:pPr>
        <w:numPr>
          <w:ilvl w:val="1"/>
          <w:numId w:val="9"/>
        </w:numPr>
        <w:suppressAutoHyphens w:val="0"/>
        <w:spacing w:before="120" w:after="120" w:line="276" w:lineRule="auto"/>
        <w:ind w:left="1141"/>
        <w:jc w:val="both"/>
        <w:rPr>
          <w:rFonts w:cs="Arial"/>
          <w:szCs w:val="20"/>
        </w:rPr>
      </w:pPr>
      <w:r>
        <w:rPr>
          <w:rFonts w:cs="Arial"/>
          <w:szCs w:val="20"/>
        </w:rPr>
        <w:t>A proposta final do licitante declarado vencedor deverá ser encaminhada no prazo de 2 (duas) horas, a contar da solicitação do Pregoeiro no sistema eletrônico e deverá:</w:t>
      </w:r>
    </w:p>
    <w:p>
      <w:pPr>
        <w:numPr>
          <w:ilvl w:val="2"/>
          <w:numId w:val="8"/>
        </w:numPr>
        <w:suppressAutoHyphens w:val="0"/>
        <w:spacing w:after="240"/>
        <w:ind w:left="1134" w:firstLine="0"/>
        <w:jc w:val="both"/>
        <w:rPr>
          <w:rFonts w:cs="Arial"/>
          <w:szCs w:val="20"/>
        </w:rPr>
      </w:pPr>
      <w:r>
        <w:rPr>
          <w:rFonts w:cs="Arial"/>
          <w:szCs w:val="20"/>
        </w:rPr>
        <w:t>ser redigida em língua portuguesa, datilografada ou digitada, em uma via, sem emendas, rasuras, entrelinhas ou ressalvas, devendo a última folha ser assinada e as demais rubricadas pelo licitante ou seu representante legal.</w:t>
      </w:r>
    </w:p>
    <w:p>
      <w:pPr>
        <w:numPr>
          <w:ilvl w:val="2"/>
          <w:numId w:val="8"/>
        </w:numPr>
        <w:suppressAutoHyphens w:val="0"/>
        <w:spacing w:after="240"/>
        <w:ind w:left="1134" w:firstLine="0"/>
        <w:jc w:val="both"/>
        <w:rPr>
          <w:rFonts w:cs="Arial"/>
          <w:szCs w:val="20"/>
        </w:rPr>
      </w:pPr>
      <w:r>
        <w:rPr>
          <w:rFonts w:cs="Arial"/>
          <w:szCs w:val="20"/>
        </w:rPr>
        <w:t>conter a indicação do banco, número da conta e agência do licitante vencedor, para fins de pagamento.</w:t>
      </w:r>
    </w:p>
    <w:p>
      <w:pPr>
        <w:numPr>
          <w:ilvl w:val="1"/>
          <w:numId w:val="9"/>
        </w:numPr>
        <w:suppressAutoHyphens w:val="0"/>
        <w:spacing w:before="120" w:after="120" w:line="276" w:lineRule="auto"/>
        <w:ind w:left="1141"/>
        <w:jc w:val="both"/>
        <w:rPr>
          <w:rFonts w:cs="Arial"/>
          <w:szCs w:val="20"/>
        </w:rPr>
      </w:pPr>
      <w:r>
        <w:rPr>
          <w:rFonts w:cs="Arial"/>
          <w:szCs w:val="20"/>
        </w:rPr>
        <w:t>A proposta final deverá ser documentada nos autos e será levada em consideração no decorrer da execução do contrato e aplicação de eventual sanção à Contratada, se for o caso.</w:t>
      </w:r>
    </w:p>
    <w:p>
      <w:pPr>
        <w:numPr>
          <w:ilvl w:val="2"/>
          <w:numId w:val="8"/>
        </w:numPr>
        <w:suppressAutoHyphens w:val="0"/>
        <w:spacing w:after="240"/>
        <w:ind w:left="1134" w:firstLine="0"/>
        <w:jc w:val="both"/>
        <w:rPr>
          <w:rFonts w:cs="Arial"/>
          <w:szCs w:val="20"/>
        </w:rPr>
      </w:pPr>
      <w:r>
        <w:rPr>
          <w:rFonts w:cs="Arial"/>
          <w:szCs w:val="20"/>
        </w:rPr>
        <w:t>Todas as especificações do objeto contidas na proposta, tais como marca, modelo, tipo, fabricante e procedência, vinculam a Contratada.</w:t>
      </w:r>
    </w:p>
    <w:p>
      <w:pPr>
        <w:numPr>
          <w:ilvl w:val="1"/>
          <w:numId w:val="9"/>
        </w:numPr>
        <w:suppressAutoHyphens w:val="0"/>
        <w:spacing w:before="120" w:after="120" w:line="276" w:lineRule="auto"/>
        <w:ind w:left="1141"/>
        <w:jc w:val="both"/>
        <w:rPr>
          <w:rFonts w:cs="Arial"/>
          <w:szCs w:val="20"/>
        </w:rPr>
      </w:pPr>
      <w:r>
        <w:rPr>
          <w:rFonts w:cs="Arial"/>
          <w:szCs w:val="20"/>
        </w:rPr>
        <w:t>Os preços deverão ser expressos em moeda corrente nacional, o valor unitário em algarismos e o valor global em algarismos e por extenso (art. 5º da Lei nº 8.666/93).</w:t>
      </w:r>
    </w:p>
    <w:p>
      <w:pPr>
        <w:numPr>
          <w:ilvl w:val="2"/>
          <w:numId w:val="8"/>
        </w:numPr>
        <w:suppressAutoHyphens w:val="0"/>
        <w:spacing w:after="240"/>
        <w:ind w:left="1134" w:firstLine="0"/>
        <w:jc w:val="both"/>
        <w:rPr>
          <w:rFonts w:cs="Arial"/>
          <w:szCs w:val="20"/>
        </w:rPr>
      </w:pPr>
      <w:r>
        <w:rPr>
          <w:rFonts w:cs="Arial"/>
          <w:szCs w:val="20"/>
        </w:rPr>
        <w:t>Ocorrendo divergência entre os preços unitários e o preço global, prevalecerão os primeiros; no caso de divergência entre os valores numéricos e os valores expressos por extenso, prevalecerão estes últimos.</w:t>
      </w:r>
    </w:p>
    <w:p>
      <w:pPr>
        <w:numPr>
          <w:ilvl w:val="1"/>
          <w:numId w:val="9"/>
        </w:numPr>
        <w:suppressAutoHyphens w:val="0"/>
        <w:spacing w:before="120" w:after="120" w:line="276" w:lineRule="auto"/>
        <w:ind w:left="1141"/>
        <w:jc w:val="both"/>
        <w:rPr>
          <w:rFonts w:cs="Arial"/>
          <w:szCs w:val="20"/>
        </w:rPr>
      </w:pPr>
      <w:r>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pPr>
        <w:numPr>
          <w:ilvl w:val="1"/>
          <w:numId w:val="9"/>
        </w:numPr>
        <w:suppressAutoHyphens w:val="0"/>
        <w:spacing w:before="120" w:after="120" w:line="276" w:lineRule="auto"/>
        <w:ind w:left="1141"/>
        <w:jc w:val="both"/>
        <w:rPr>
          <w:rFonts w:cs="Arial"/>
          <w:szCs w:val="20"/>
        </w:rPr>
      </w:pPr>
      <w:r>
        <w:rPr>
          <w:rFonts w:cs="Arial"/>
          <w:szCs w:val="20"/>
        </w:rPr>
        <w:t>A proposta deverá obedecer aos termos deste Edital e seus Anexos, não sendo considerada aquela que não corresponda às especificações ali contidas ou que estabeleça vínculo à proposta de outro licitante.</w:t>
      </w:r>
    </w:p>
    <w:p>
      <w:pPr>
        <w:numPr>
          <w:ilvl w:val="1"/>
          <w:numId w:val="9"/>
        </w:numPr>
        <w:suppressAutoHyphens w:val="0"/>
        <w:spacing w:before="120" w:after="120" w:line="276" w:lineRule="auto"/>
        <w:ind w:left="1141"/>
        <w:jc w:val="both"/>
        <w:rPr>
          <w:rFonts w:cs="Arial"/>
          <w:szCs w:val="20"/>
        </w:rPr>
      </w:pPr>
      <w:r>
        <w:rPr>
          <w:rFonts w:cs="Arial"/>
          <w:szCs w:val="20"/>
        </w:rPr>
        <w:t>As propostas que contenham a descrição do objeto, o valor e os documentos complementares estarão disponíveis na internet, após a homologação.</w:t>
      </w:r>
    </w:p>
    <w:p>
      <w:pPr>
        <w:pStyle w:val="68"/>
        <w:spacing w:after="240"/>
        <w:ind w:left="999"/>
        <w:jc w:val="both"/>
        <w:rPr>
          <w:rFonts w:cs="Arial"/>
          <w:i/>
          <w:szCs w:val="20"/>
        </w:rPr>
      </w:pPr>
    </w:p>
    <w:p>
      <w:pPr>
        <w:pStyle w:val="477"/>
        <w:numPr>
          <w:ilvl w:val="0"/>
          <w:numId w:val="8"/>
        </w:numPr>
        <w:ind w:left="0" w:firstLine="0"/>
        <w:rPr>
          <w:rFonts w:ascii="Arial" w:hAnsi="Arial" w:cs="Arial"/>
          <w:lang w:eastAsia="en-US"/>
        </w:rPr>
      </w:pPr>
      <w:r>
        <w:rPr>
          <w:rFonts w:ascii="Arial" w:hAnsi="Arial" w:cs="Arial"/>
          <w:lang w:eastAsia="en-US"/>
        </w:rPr>
        <w:t>DOS RECURSOS</w:t>
      </w:r>
    </w:p>
    <w:p>
      <w:pPr>
        <w:numPr>
          <w:ilvl w:val="1"/>
          <w:numId w:val="9"/>
        </w:numPr>
        <w:suppressAutoHyphens w:val="0"/>
        <w:spacing w:before="120" w:after="120" w:line="276" w:lineRule="auto"/>
        <w:ind w:left="1141"/>
        <w:jc w:val="both"/>
        <w:rPr>
          <w:rFonts w:cs="Arial"/>
          <w:szCs w:val="20"/>
        </w:rPr>
      </w:pPr>
      <w:r>
        <w:rPr>
          <w:rFonts w:cs="Arial"/>
          <w:szCs w:val="20"/>
        </w:rP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pPr>
        <w:numPr>
          <w:ilvl w:val="1"/>
          <w:numId w:val="9"/>
        </w:numPr>
        <w:suppressAutoHyphens w:val="0"/>
        <w:spacing w:before="120" w:after="120" w:line="276" w:lineRule="auto"/>
        <w:ind w:left="1141"/>
        <w:jc w:val="both"/>
        <w:rPr>
          <w:rFonts w:cs="Arial"/>
          <w:szCs w:val="20"/>
        </w:rPr>
      </w:pPr>
      <w:r>
        <w:rPr>
          <w:rFonts w:cs="Arial"/>
          <w:szCs w:val="20"/>
        </w:rPr>
        <w:t>Havendo quem se manifeste, caberá ao Pregoeiro verificar a tempestividade e a existência de motivação da intenção de recorrer, para decidir se admite ou não o recurso, fundamentadamente.</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color w:val="000000"/>
          <w:szCs w:val="20"/>
        </w:rPr>
        <w:t>Nesse momento o Pregoeiro não adentrará no mérito recursal, mas apenas verificará as condições de admissibilidade do recurso.</w:t>
      </w:r>
    </w:p>
    <w:p>
      <w:pPr>
        <w:numPr>
          <w:ilvl w:val="2"/>
          <w:numId w:val="8"/>
        </w:numPr>
        <w:tabs>
          <w:tab w:val="left" w:pos="1440"/>
        </w:tabs>
        <w:suppressAutoHyphens w:val="0"/>
        <w:autoSpaceDE w:val="0"/>
        <w:snapToGrid w:val="0"/>
        <w:spacing w:after="240"/>
        <w:ind w:left="1134" w:firstLine="0"/>
        <w:jc w:val="both"/>
        <w:rPr>
          <w:rFonts w:cs="Arial"/>
          <w:szCs w:val="20"/>
          <w:u w:val="single"/>
        </w:rPr>
      </w:pPr>
      <w:r>
        <w:rPr>
          <w:rFonts w:cs="Arial"/>
          <w:szCs w:val="20"/>
        </w:rPr>
        <w:t>A falta de manifestação motivada do licitante quanto à intenção de recorrer importará a decadência desse direito.</w:t>
      </w:r>
    </w:p>
    <w:p>
      <w:pPr>
        <w:numPr>
          <w:ilvl w:val="2"/>
          <w:numId w:val="8"/>
        </w:numPr>
        <w:tabs>
          <w:tab w:val="left" w:pos="1440"/>
        </w:tabs>
        <w:suppressAutoHyphens w:val="0"/>
        <w:autoSpaceDE w:val="0"/>
        <w:snapToGrid w:val="0"/>
        <w:spacing w:after="240"/>
        <w:ind w:left="1134" w:firstLine="0"/>
        <w:jc w:val="both"/>
        <w:rPr>
          <w:rFonts w:cs="Arial"/>
          <w:color w:val="000000"/>
          <w:szCs w:val="20"/>
        </w:rPr>
      </w:pPr>
      <w:r>
        <w:rPr>
          <w:rFonts w:cs="Arial"/>
          <w:szCs w:val="20"/>
        </w:rPr>
        <w:t xml:space="preserve">Uma vez admitido </w:t>
      </w:r>
      <w:r>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9"/>
        </w:numPr>
        <w:suppressAutoHyphens w:val="0"/>
        <w:spacing w:before="120" w:after="120" w:line="276" w:lineRule="auto"/>
        <w:ind w:left="1141"/>
        <w:jc w:val="both"/>
        <w:rPr>
          <w:rFonts w:cs="Arial"/>
          <w:szCs w:val="20"/>
        </w:rPr>
      </w:pPr>
      <w:r>
        <w:rPr>
          <w:rFonts w:cs="Arial"/>
          <w:szCs w:val="20"/>
        </w:rPr>
        <w:t xml:space="preserve">O acolhimento do recurso invalida tão somente os atos insuscetíveis de aproveitamento. </w:t>
      </w:r>
    </w:p>
    <w:p>
      <w:pPr>
        <w:numPr>
          <w:ilvl w:val="1"/>
          <w:numId w:val="9"/>
        </w:numPr>
        <w:suppressAutoHyphens w:val="0"/>
        <w:spacing w:before="120" w:after="120" w:line="276" w:lineRule="auto"/>
        <w:ind w:left="1141"/>
        <w:jc w:val="both"/>
        <w:rPr>
          <w:rFonts w:cs="Arial"/>
          <w:szCs w:val="20"/>
        </w:rPr>
      </w:pPr>
      <w:r>
        <w:rPr>
          <w:rFonts w:cs="Arial"/>
          <w:szCs w:val="20"/>
        </w:rPr>
        <w:t>Os autos do processo permanecerão com vista franqueada aos interessados, no endereço constante neste Edital.</w:t>
      </w:r>
    </w:p>
    <w:p>
      <w:pPr>
        <w:pStyle w:val="68"/>
        <w:spacing w:after="240"/>
        <w:ind w:left="425"/>
        <w:contextualSpacing w:val="0"/>
        <w:jc w:val="both"/>
        <w:rPr>
          <w:rFonts w:cs="Arial"/>
          <w:color w:val="000000"/>
          <w:szCs w:val="20"/>
        </w:rPr>
      </w:pPr>
    </w:p>
    <w:p>
      <w:pPr>
        <w:pStyle w:val="477"/>
        <w:numPr>
          <w:ilvl w:val="0"/>
          <w:numId w:val="8"/>
        </w:numPr>
        <w:ind w:left="0" w:firstLine="0"/>
        <w:rPr>
          <w:rFonts w:ascii="Arial" w:hAnsi="Arial" w:cs="Arial"/>
          <w:lang w:eastAsia="en-US"/>
        </w:rPr>
      </w:pPr>
      <w:r>
        <w:rPr>
          <w:rFonts w:ascii="Arial" w:hAnsi="Arial" w:cs="Arial"/>
          <w:lang w:eastAsia="en-US"/>
        </w:rPr>
        <w:t>DA REABERTURA DA SESSÃO PÚBLICA</w:t>
      </w:r>
    </w:p>
    <w:p>
      <w:pPr>
        <w:numPr>
          <w:ilvl w:val="1"/>
          <w:numId w:val="9"/>
        </w:numPr>
        <w:suppressAutoHyphens w:val="0"/>
        <w:spacing w:before="120" w:after="120" w:line="276" w:lineRule="auto"/>
        <w:ind w:left="1141"/>
        <w:jc w:val="both"/>
        <w:rPr>
          <w:rFonts w:cs="Arial"/>
          <w:szCs w:val="20"/>
        </w:rPr>
      </w:pPr>
      <w:r>
        <w:rPr>
          <w:rFonts w:cs="Arial"/>
          <w:szCs w:val="20"/>
        </w:rPr>
        <w:t>A sessão pública poderá ser reaberta:</w:t>
      </w:r>
    </w:p>
    <w:p>
      <w:pPr>
        <w:pStyle w:val="477"/>
        <w:keepNext w:val="0"/>
        <w:keepLines w:val="0"/>
        <w:numPr>
          <w:ilvl w:val="2"/>
          <w:numId w:val="8"/>
        </w:numPr>
        <w:spacing w:before="120" w:after="120" w:line="276" w:lineRule="auto"/>
        <w:ind w:left="1134" w:firstLine="0"/>
        <w:outlineLvl w:val="9"/>
        <w:rPr>
          <w:rFonts w:ascii="Arial" w:hAnsi="Arial" w:cs="Arial" w:eastAsiaTheme="minorEastAsia"/>
          <w:b w:val="0"/>
          <w:bCs w:val="0"/>
          <w:color w:val="auto"/>
        </w:rPr>
      </w:pPr>
      <w:r>
        <w:rPr>
          <w:rFonts w:ascii="Arial" w:hAnsi="Arial" w:cs="Arial" w:eastAsiaTheme="minorEastAsia"/>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477"/>
        <w:keepNext w:val="0"/>
        <w:keepLines w:val="0"/>
        <w:numPr>
          <w:ilvl w:val="2"/>
          <w:numId w:val="8"/>
        </w:numPr>
        <w:spacing w:before="120" w:after="120" w:line="276" w:lineRule="auto"/>
        <w:ind w:left="1134" w:firstLine="0"/>
        <w:outlineLvl w:val="9"/>
        <w:rPr>
          <w:rFonts w:ascii="Arial" w:hAnsi="Arial" w:cs="Arial" w:eastAsiaTheme="minorEastAsia"/>
          <w:b w:val="0"/>
          <w:bCs w:val="0"/>
          <w:color w:val="auto"/>
        </w:rPr>
      </w:pPr>
      <w:r>
        <w:rPr>
          <w:rFonts w:ascii="Arial" w:hAnsi="Arial" w:cs="Arial" w:eastAsiaTheme="minorEastAsia"/>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pPr>
        <w:numPr>
          <w:ilvl w:val="1"/>
          <w:numId w:val="9"/>
        </w:numPr>
        <w:suppressAutoHyphens w:val="0"/>
        <w:spacing w:before="120" w:after="120" w:line="276" w:lineRule="auto"/>
        <w:ind w:left="1141"/>
        <w:jc w:val="both"/>
        <w:rPr>
          <w:rFonts w:cs="Arial"/>
          <w:szCs w:val="20"/>
        </w:rPr>
      </w:pPr>
      <w:r>
        <w:rPr>
          <w:rFonts w:cs="Arial"/>
          <w:szCs w:val="20"/>
        </w:rPr>
        <w:t>Todos os licitantes remanescentes deverão ser convocados para acompanhar a sessão reaberta.</w:t>
      </w:r>
    </w:p>
    <w:p>
      <w:pPr>
        <w:pStyle w:val="477"/>
        <w:keepNext w:val="0"/>
        <w:keepLines w:val="0"/>
        <w:numPr>
          <w:ilvl w:val="2"/>
          <w:numId w:val="8"/>
        </w:numPr>
        <w:spacing w:before="120" w:after="120" w:line="276" w:lineRule="auto"/>
        <w:ind w:left="1134" w:firstLine="0"/>
        <w:outlineLvl w:val="9"/>
        <w:rPr>
          <w:rFonts w:ascii="Arial" w:hAnsi="Arial" w:cs="Arial" w:eastAsiaTheme="minorEastAsia"/>
          <w:b w:val="0"/>
          <w:bCs w:val="0"/>
          <w:color w:val="auto"/>
        </w:rPr>
      </w:pPr>
      <w:r>
        <w:rPr>
          <w:rFonts w:ascii="Arial" w:hAnsi="Arial" w:cs="Arial" w:eastAsiaTheme="minorEastAsia"/>
          <w:b w:val="0"/>
          <w:bCs w:val="0"/>
          <w:color w:val="auto"/>
        </w:rPr>
        <w:t>A convocação se dará por meio do sistema eletrônico (“chat”), e-mail, ou, ainda, fac-símile, de acordo com a fase do procedimento licitatório.</w:t>
      </w:r>
    </w:p>
    <w:p>
      <w:pPr>
        <w:pStyle w:val="477"/>
        <w:keepNext w:val="0"/>
        <w:keepLines w:val="0"/>
        <w:numPr>
          <w:ilvl w:val="2"/>
          <w:numId w:val="8"/>
        </w:numPr>
        <w:spacing w:before="120" w:after="120" w:line="276" w:lineRule="auto"/>
        <w:ind w:left="1134" w:firstLine="0"/>
        <w:outlineLvl w:val="9"/>
        <w:rPr>
          <w:rFonts w:ascii="Arial" w:hAnsi="Arial" w:cs="Arial" w:eastAsiaTheme="minorEastAsia"/>
          <w:b w:val="0"/>
          <w:bCs w:val="0"/>
          <w:color w:val="auto"/>
        </w:rPr>
      </w:pPr>
      <w:r>
        <w:rPr>
          <w:rFonts w:ascii="Arial" w:hAnsi="Arial" w:cs="Arial" w:eastAsiaTheme="minorEastAsia"/>
          <w:b w:val="0"/>
          <w:bCs w:val="0"/>
          <w:color w:val="auto"/>
        </w:rPr>
        <w:t>A convocação feita por e-mail ou fac-símile dar-se-á de acordo com os dados contidos no SICAF, sendo responsabilidade do licitante manter seus dados cadastrais atualizados.</w:t>
      </w:r>
    </w:p>
    <w:p/>
    <w:p>
      <w:pPr>
        <w:pStyle w:val="477"/>
        <w:numPr>
          <w:ilvl w:val="0"/>
          <w:numId w:val="8"/>
        </w:numPr>
        <w:ind w:left="0" w:firstLine="0"/>
        <w:rPr>
          <w:rFonts w:ascii="Arial" w:hAnsi="Arial" w:cs="Arial"/>
        </w:rPr>
      </w:pPr>
      <w:r>
        <w:rPr>
          <w:rFonts w:ascii="Arial" w:hAnsi="Arial" w:cs="Arial"/>
        </w:rPr>
        <w:t xml:space="preserve">DA ADJUDICAÇÃO E HOMOLOGAÇÃO </w:t>
      </w:r>
    </w:p>
    <w:p>
      <w:pPr>
        <w:numPr>
          <w:ilvl w:val="1"/>
          <w:numId w:val="9"/>
        </w:numPr>
        <w:suppressAutoHyphens w:val="0"/>
        <w:spacing w:before="120" w:after="120" w:line="276" w:lineRule="auto"/>
        <w:ind w:left="1141"/>
        <w:jc w:val="both"/>
        <w:rPr>
          <w:rFonts w:cs="Arial"/>
          <w:szCs w:val="20"/>
        </w:rPr>
      </w:pPr>
      <w:r>
        <w:rPr>
          <w:rFonts w:cs="Arial"/>
          <w:szCs w:val="20"/>
        </w:rPr>
        <w:t>O objeto da licitação será adjudicado ao licitante declarado vencedor, por ato do Pregoeiro, caso não haja interposição de recurso, ou pela autoridade competente, após a regular decisão dos recursos apresentados.</w:t>
      </w:r>
    </w:p>
    <w:p>
      <w:pPr>
        <w:numPr>
          <w:ilvl w:val="1"/>
          <w:numId w:val="9"/>
        </w:numPr>
        <w:suppressAutoHyphens w:val="0"/>
        <w:spacing w:before="120" w:after="120" w:line="276" w:lineRule="auto"/>
        <w:ind w:left="1141"/>
        <w:jc w:val="both"/>
        <w:rPr>
          <w:rFonts w:cs="Arial"/>
          <w:szCs w:val="20"/>
        </w:rPr>
      </w:pPr>
      <w:r>
        <w:rPr>
          <w:rFonts w:cs="Arial"/>
          <w:szCs w:val="20"/>
        </w:rPr>
        <w:t xml:space="preserve">Após a fase recursal, constatada a regularidade dos atos praticados, a autoridade competente homologará o procedimento licitatório. </w:t>
      </w:r>
    </w:p>
    <w:p>
      <w:pPr>
        <w:pStyle w:val="68"/>
        <w:spacing w:before="120" w:after="120" w:line="276" w:lineRule="auto"/>
        <w:ind w:left="425"/>
        <w:contextualSpacing w:val="0"/>
        <w:jc w:val="both"/>
        <w:rPr>
          <w:rFonts w:cs="Arial"/>
          <w:color w:val="000000"/>
          <w:szCs w:val="20"/>
        </w:rPr>
      </w:pPr>
    </w:p>
    <w:p>
      <w:pPr>
        <w:pStyle w:val="477"/>
        <w:numPr>
          <w:ilvl w:val="0"/>
          <w:numId w:val="8"/>
        </w:numPr>
        <w:ind w:left="0" w:firstLine="0"/>
        <w:rPr>
          <w:rFonts w:ascii="Arial" w:hAnsi="Arial" w:cs="Arial"/>
          <w:color w:val="auto"/>
        </w:rPr>
      </w:pPr>
      <w:r>
        <w:rPr>
          <w:rFonts w:ascii="Arial" w:hAnsi="Arial" w:cs="Arial"/>
          <w:color w:val="auto"/>
        </w:rPr>
        <w:t xml:space="preserve">DA GARANTIA DE EXECUÇÃO </w:t>
      </w:r>
    </w:p>
    <w:p>
      <w:pPr>
        <w:rPr>
          <w:rFonts w:cs="Arial"/>
          <w:szCs w:val="20"/>
        </w:rPr>
      </w:pPr>
    </w:p>
    <w:p>
      <w:pPr>
        <w:pStyle w:val="68"/>
        <w:numPr>
          <w:ilvl w:val="1"/>
          <w:numId w:val="8"/>
        </w:numPr>
        <w:suppressAutoHyphens w:val="0"/>
        <w:spacing w:before="120" w:after="120" w:line="276" w:lineRule="auto"/>
        <w:ind w:left="425" w:firstLine="0"/>
        <w:contextualSpacing w:val="0"/>
        <w:jc w:val="both"/>
        <w:rPr>
          <w:rFonts w:cs="Arial"/>
          <w:color w:val="FF0000"/>
          <w:szCs w:val="20"/>
        </w:rPr>
      </w:pPr>
      <w:r>
        <w:rPr>
          <w:rFonts w:cs="Arial"/>
          <w:szCs w:val="20"/>
        </w:rPr>
        <w:t>Não haverá exigência de garantia de execução para a presente contratação.</w:t>
      </w:r>
    </w:p>
    <w:p>
      <w:pPr>
        <w:pStyle w:val="68"/>
        <w:suppressAutoHyphens w:val="0"/>
        <w:spacing w:before="120" w:after="120" w:line="276" w:lineRule="auto"/>
        <w:ind w:left="425"/>
        <w:contextualSpacing w:val="0"/>
        <w:jc w:val="both"/>
        <w:rPr>
          <w:rFonts w:cs="Arial"/>
          <w:color w:val="FF0000"/>
          <w:szCs w:val="20"/>
        </w:rPr>
      </w:pPr>
    </w:p>
    <w:p>
      <w:pPr>
        <w:pStyle w:val="68"/>
        <w:numPr>
          <w:ilvl w:val="0"/>
          <w:numId w:val="14"/>
        </w:numPr>
        <w:suppressAutoHyphens w:val="0"/>
        <w:spacing w:before="120" w:after="120" w:line="276" w:lineRule="auto"/>
        <w:contextualSpacing w:val="0"/>
        <w:jc w:val="both"/>
        <w:rPr>
          <w:rFonts w:cs="Arial"/>
          <w:vanish/>
          <w:color w:val="FF0000"/>
          <w:szCs w:val="20"/>
        </w:rPr>
      </w:pPr>
    </w:p>
    <w:p>
      <w:pPr>
        <w:pStyle w:val="68"/>
        <w:numPr>
          <w:ilvl w:val="0"/>
          <w:numId w:val="14"/>
        </w:numPr>
        <w:suppressAutoHyphens w:val="0"/>
        <w:spacing w:before="120" w:after="120" w:line="276" w:lineRule="auto"/>
        <w:contextualSpacing w:val="0"/>
        <w:jc w:val="both"/>
        <w:rPr>
          <w:rFonts w:cs="Arial"/>
          <w:vanish/>
          <w:color w:val="FF0000"/>
          <w:szCs w:val="20"/>
        </w:rPr>
      </w:pPr>
    </w:p>
    <w:p>
      <w:pPr>
        <w:pStyle w:val="477"/>
        <w:numPr>
          <w:ilvl w:val="0"/>
          <w:numId w:val="8"/>
        </w:numPr>
        <w:ind w:left="0" w:firstLine="0"/>
        <w:rPr>
          <w:rFonts w:ascii="Arial" w:hAnsi="Arial" w:cs="Arial"/>
          <w:color w:val="auto"/>
        </w:rPr>
      </w:pPr>
      <w:r>
        <w:rPr>
          <w:rFonts w:ascii="Arial" w:hAnsi="Arial" w:cs="Arial"/>
          <w:color w:val="auto"/>
        </w:rPr>
        <w:t xml:space="preserve">DA GARANTIA CONTRATUAL DOS BENS </w:t>
      </w:r>
    </w:p>
    <w:p>
      <w:pPr>
        <w:pStyle w:val="477"/>
        <w:numPr>
          <w:ilvl w:val="1"/>
          <w:numId w:val="14"/>
        </w:numPr>
        <w:rPr>
          <w:rFonts w:ascii="Arial" w:hAnsi="Arial" w:cs="Arial"/>
          <w:b w:val="0"/>
          <w:i/>
          <w:iCs/>
          <w:color w:val="auto"/>
        </w:rPr>
      </w:pPr>
      <w:r>
        <w:rPr>
          <w:rFonts w:ascii="Arial" w:hAnsi="Arial" w:cs="Arial"/>
          <w:b w:val="0"/>
          <w:i/>
          <w:iCs/>
          <w:color w:val="auto"/>
        </w:rPr>
        <w:t xml:space="preserve"> Não haverá exigência de garantia contratual dos bens fornecidos na presente contratação.</w:t>
      </w:r>
    </w:p>
    <w:p>
      <w:pPr>
        <w:pStyle w:val="477"/>
        <w:ind w:left="0" w:firstLine="0"/>
        <w:rPr>
          <w:rFonts w:ascii="Arial" w:hAnsi="Arial" w:cs="Arial"/>
          <w:color w:val="auto"/>
        </w:rPr>
      </w:pPr>
    </w:p>
    <w:p>
      <w:pPr>
        <w:pStyle w:val="477"/>
        <w:numPr>
          <w:ilvl w:val="0"/>
          <w:numId w:val="8"/>
        </w:numPr>
        <w:ind w:left="0" w:firstLine="0"/>
        <w:rPr>
          <w:rFonts w:ascii="Arial" w:hAnsi="Arial" w:cs="Arial"/>
          <w:color w:val="auto"/>
        </w:rPr>
      </w:pPr>
      <w:r>
        <w:rPr>
          <w:rFonts w:ascii="Arial" w:hAnsi="Arial" w:cs="Arial"/>
          <w:color w:val="auto"/>
        </w:rPr>
        <w:t>DA ATA DE REGISTRO DE PREÇOS</w:t>
      </w:r>
    </w:p>
    <w:p>
      <w:pPr>
        <w:numPr>
          <w:ilvl w:val="1"/>
          <w:numId w:val="9"/>
        </w:numPr>
        <w:suppressAutoHyphens w:val="0"/>
        <w:spacing w:before="120" w:after="120" w:line="276" w:lineRule="auto"/>
        <w:ind w:left="1141"/>
        <w:jc w:val="both"/>
        <w:rPr>
          <w:rFonts w:cs="Arial"/>
          <w:szCs w:val="20"/>
        </w:rPr>
      </w:pPr>
      <w:r>
        <w:rPr>
          <w:rFonts w:cs="Arial"/>
          <w:szCs w:val="20"/>
        </w:rPr>
        <w:t xml:space="preserve">Homologado o resultado da licitação, terá o adjudicatário o prazo de </w:t>
      </w:r>
      <w:r>
        <w:rPr>
          <w:rFonts w:eastAsia="Arial" w:cs="Arial"/>
          <w:szCs w:val="20"/>
        </w:rPr>
        <w:t>2 (dois) dias</w:t>
      </w:r>
      <w:r>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pPr>
        <w:numPr>
          <w:ilvl w:val="1"/>
          <w:numId w:val="9"/>
        </w:numPr>
        <w:suppressAutoHyphens w:val="0"/>
        <w:spacing w:before="120" w:after="120" w:line="276" w:lineRule="auto"/>
        <w:ind w:left="1141"/>
        <w:jc w:val="both"/>
        <w:rPr>
          <w:szCs w:val="20"/>
        </w:rPr>
      </w:pPr>
      <w:r>
        <w:rPr>
          <w:rFonts w:eastAsia="Arial" w:cs="Arial"/>
          <w:szCs w:val="20"/>
        </w:rPr>
        <w:t>A Administração encaminhará para assinatura, mediante meio eletrônico, para que seja assinada e devolvida no prazo de 2 (dois) dias, a contar da data de seu recebimento.</w:t>
      </w:r>
    </w:p>
    <w:p>
      <w:pPr>
        <w:numPr>
          <w:ilvl w:val="1"/>
          <w:numId w:val="9"/>
        </w:numPr>
        <w:suppressAutoHyphens w:val="0"/>
        <w:spacing w:before="120" w:after="120" w:line="276" w:lineRule="auto"/>
        <w:ind w:left="1141"/>
        <w:jc w:val="both"/>
        <w:rPr>
          <w:rFonts w:cs="Arial"/>
          <w:szCs w:val="20"/>
        </w:rPr>
      </w:pPr>
      <w:r>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pPr>
        <w:numPr>
          <w:ilvl w:val="1"/>
          <w:numId w:val="9"/>
        </w:numPr>
        <w:suppressAutoHyphens w:val="0"/>
        <w:spacing w:before="120" w:after="120" w:line="276" w:lineRule="auto"/>
        <w:ind w:left="1141"/>
        <w:jc w:val="both"/>
        <w:rPr>
          <w:rFonts w:cs="Arial"/>
          <w:szCs w:val="20"/>
        </w:rPr>
      </w:pPr>
      <w:r>
        <w:rPr>
          <w:rFonts w:cs="Arial"/>
          <w:szCs w:val="20"/>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pPr>
        <w:pStyle w:val="477"/>
        <w:numPr>
          <w:ilvl w:val="2"/>
          <w:numId w:val="8"/>
        </w:numPr>
        <w:spacing w:before="0" w:after="240"/>
        <w:ind w:left="1638"/>
        <w:rPr>
          <w:rFonts w:ascii="Arial" w:hAnsi="Arial" w:cs="Arial"/>
          <w:b w:val="0"/>
          <w:i/>
          <w:color w:val="auto"/>
        </w:rPr>
      </w:pPr>
      <w:r>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pPr>
        <w:pStyle w:val="477"/>
        <w:spacing w:before="0" w:after="240"/>
        <w:ind w:firstLine="0"/>
        <w:rPr>
          <w:rFonts w:ascii="Arial" w:hAnsi="Arial" w:cs="Arial"/>
        </w:rPr>
      </w:pPr>
    </w:p>
    <w:p>
      <w:pPr>
        <w:pStyle w:val="477"/>
        <w:numPr>
          <w:ilvl w:val="0"/>
          <w:numId w:val="8"/>
        </w:numPr>
        <w:ind w:left="502"/>
        <w:rPr>
          <w:rFonts w:ascii="Arial" w:hAnsi="Arial" w:cs="Arial"/>
        </w:rPr>
      </w:pPr>
      <w:r>
        <w:rPr>
          <w:rFonts w:ascii="Arial" w:hAnsi="Arial" w:cs="Arial"/>
        </w:rPr>
        <w:t>DO TERMO DE CONTRATO OU INSTRUMENTO EQUIVALENTE</w:t>
      </w:r>
    </w:p>
    <w:p>
      <w:pPr>
        <w:rPr>
          <w:rFonts w:cs="Arial"/>
          <w:szCs w:val="20"/>
        </w:rPr>
      </w:pPr>
    </w:p>
    <w:p>
      <w:pPr>
        <w:numPr>
          <w:ilvl w:val="1"/>
          <w:numId w:val="9"/>
        </w:numPr>
        <w:suppressAutoHyphens w:val="0"/>
        <w:spacing w:before="120" w:after="120" w:line="276" w:lineRule="auto"/>
        <w:ind w:left="1141"/>
        <w:jc w:val="both"/>
        <w:rPr>
          <w:rFonts w:cs="Arial"/>
          <w:szCs w:val="20"/>
        </w:rPr>
      </w:pPr>
      <w:r>
        <w:rPr>
          <w:rFonts w:cs="Arial"/>
          <w:szCs w:val="20"/>
        </w:rPr>
        <w:t>Após a homologação da licitação, em sendo realizada a contratação, será firmado Termo de Contrato ou emitido instrumento equivalente.</w:t>
      </w:r>
    </w:p>
    <w:p>
      <w:pPr>
        <w:numPr>
          <w:ilvl w:val="1"/>
          <w:numId w:val="9"/>
        </w:numPr>
        <w:suppressAutoHyphens w:val="0"/>
        <w:spacing w:before="120" w:after="120" w:line="276" w:lineRule="auto"/>
        <w:ind w:left="1141"/>
        <w:jc w:val="both"/>
        <w:rPr>
          <w:szCs w:val="20"/>
        </w:rPr>
      </w:pPr>
      <w:r>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pPr>
        <w:pStyle w:val="68"/>
        <w:spacing w:line="136" w:lineRule="exact"/>
        <w:ind w:left="360"/>
        <w:rPr>
          <w:szCs w:val="20"/>
        </w:rPr>
      </w:pPr>
    </w:p>
    <w:p>
      <w:pPr>
        <w:pStyle w:val="477"/>
        <w:numPr>
          <w:ilvl w:val="2"/>
          <w:numId w:val="8"/>
        </w:numPr>
        <w:spacing w:before="0" w:after="240"/>
        <w:ind w:left="1638"/>
        <w:rPr>
          <w:rFonts w:ascii="Arial" w:hAnsi="Arial" w:eastAsia="Arial" w:cs="Arial"/>
          <w:b w:val="0"/>
        </w:rPr>
      </w:pPr>
      <w:r>
        <w:rPr>
          <w:rFonts w:ascii="Arial" w:hAnsi="Arial" w:eastAsia="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pPr>
        <w:pStyle w:val="477"/>
        <w:numPr>
          <w:ilvl w:val="2"/>
          <w:numId w:val="8"/>
        </w:numPr>
        <w:spacing w:before="0" w:after="240"/>
        <w:ind w:left="1638"/>
        <w:rPr>
          <w:rFonts w:ascii="Arial" w:hAnsi="Arial" w:eastAsia="Arial" w:cs="Arial"/>
          <w:b w:val="0"/>
        </w:rPr>
      </w:pPr>
      <w:r>
        <w:rPr>
          <w:rFonts w:ascii="Arial" w:hAnsi="Arial" w:eastAsia="Arial" w:cs="Arial"/>
          <w:b w:val="0"/>
        </w:rPr>
        <w:t>O prazo previsto no subitem anterior poderá ser prorrogado, por igual período, por solicitação justificada do adjudicatário e aceita pela Administração.</w:t>
      </w:r>
    </w:p>
    <w:p>
      <w:pPr>
        <w:numPr>
          <w:ilvl w:val="1"/>
          <w:numId w:val="9"/>
        </w:numPr>
        <w:suppressAutoHyphens w:val="0"/>
        <w:spacing w:before="120" w:after="120" w:line="276" w:lineRule="auto"/>
        <w:ind w:left="1141"/>
        <w:jc w:val="both"/>
        <w:rPr>
          <w:rFonts w:cs="Arial"/>
          <w:szCs w:val="20"/>
        </w:rPr>
      </w:pPr>
      <w:r>
        <w:rPr>
          <w:rFonts w:cs="Arial"/>
          <w:szCs w:val="20"/>
        </w:rPr>
        <w:t>O Aceite da Nota de Empenho ou do instrumento equivalente, emitida à empresa adjudicada, implica no reconhecimento de que:</w:t>
      </w:r>
    </w:p>
    <w:p>
      <w:pPr>
        <w:pStyle w:val="68"/>
        <w:numPr>
          <w:ilvl w:val="2"/>
          <w:numId w:val="8"/>
        </w:numPr>
        <w:suppressAutoHyphens w:val="0"/>
        <w:spacing w:after="240"/>
        <w:ind w:left="1638"/>
        <w:jc w:val="both"/>
        <w:rPr>
          <w:rFonts w:eastAsia="Arial" w:cs="Arial"/>
          <w:color w:val="000000"/>
          <w:szCs w:val="20"/>
        </w:rPr>
      </w:pPr>
      <w:r>
        <w:rPr>
          <w:rFonts w:eastAsia="Arial" w:cs="Arial"/>
          <w:color w:val="000000"/>
          <w:szCs w:val="20"/>
        </w:rPr>
        <w:t>referida Nota está substituindo o contrato, aplicando-se à relação de negócios ali estabelecida as disposições da Lei nº 8.666, de 1993;</w:t>
      </w:r>
    </w:p>
    <w:p>
      <w:pPr>
        <w:pStyle w:val="68"/>
        <w:numPr>
          <w:ilvl w:val="2"/>
          <w:numId w:val="8"/>
        </w:numPr>
        <w:suppressAutoHyphens w:val="0"/>
        <w:spacing w:after="240"/>
        <w:ind w:left="1638"/>
        <w:jc w:val="both"/>
        <w:rPr>
          <w:rFonts w:eastAsia="Arial" w:cs="Arial"/>
          <w:color w:val="000000"/>
          <w:szCs w:val="20"/>
        </w:rPr>
      </w:pPr>
      <w:r>
        <w:rPr>
          <w:rFonts w:eastAsia="Arial" w:cs="Arial"/>
          <w:color w:val="000000"/>
          <w:szCs w:val="20"/>
        </w:rPr>
        <w:t>a contratada se vincula à sua proposta e às previsões contidas no edital e seus anexos;</w:t>
      </w:r>
    </w:p>
    <w:p>
      <w:pPr>
        <w:pStyle w:val="68"/>
        <w:numPr>
          <w:ilvl w:val="2"/>
          <w:numId w:val="8"/>
        </w:numPr>
        <w:suppressAutoHyphens w:val="0"/>
        <w:spacing w:after="240"/>
        <w:ind w:left="1638"/>
        <w:jc w:val="both"/>
        <w:rPr>
          <w:rFonts w:eastAsia="Arial" w:cs="Arial"/>
          <w:color w:val="000000"/>
          <w:szCs w:val="20"/>
        </w:rPr>
      </w:pPr>
      <w:r>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pPr>
        <w:numPr>
          <w:ilvl w:val="1"/>
          <w:numId w:val="9"/>
        </w:numPr>
        <w:suppressAutoHyphens w:val="0"/>
        <w:spacing w:before="120" w:after="120" w:line="276" w:lineRule="auto"/>
        <w:ind w:left="1141"/>
        <w:jc w:val="both"/>
        <w:rPr>
          <w:rFonts w:cs="Arial"/>
          <w:szCs w:val="20"/>
        </w:rPr>
      </w:pPr>
      <w:r>
        <w:rPr>
          <w:rFonts w:cs="Arial"/>
          <w:szCs w:val="20"/>
        </w:rPr>
        <w:t xml:space="preserve">O prazo de vigência da contratação é de 12 (doze) meses prorrogável conforme previsão no instrumento contratual ou no termo de referência. </w:t>
      </w:r>
    </w:p>
    <w:p>
      <w:pPr>
        <w:numPr>
          <w:ilvl w:val="1"/>
          <w:numId w:val="9"/>
        </w:numPr>
        <w:suppressAutoHyphens w:val="0"/>
        <w:spacing w:before="120" w:after="120" w:line="276" w:lineRule="auto"/>
        <w:ind w:left="1141"/>
        <w:jc w:val="both"/>
        <w:rPr>
          <w:rFonts w:cs="Arial"/>
          <w:szCs w:val="20"/>
        </w:rPr>
      </w:pPr>
      <w:r>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477"/>
        <w:numPr>
          <w:ilvl w:val="2"/>
          <w:numId w:val="8"/>
        </w:numPr>
        <w:spacing w:before="0" w:after="240"/>
        <w:ind w:left="1638"/>
        <w:rPr>
          <w:rFonts w:ascii="Arial" w:hAnsi="Arial" w:eastAsia="Arial" w:cs="Arial"/>
          <w:b w:val="0"/>
        </w:rPr>
      </w:pPr>
      <w:r>
        <w:rPr>
          <w:rFonts w:ascii="Arial" w:hAnsi="Arial" w:eastAsia="Arial" w:cs="Arial"/>
          <w:b w:val="0"/>
        </w:rPr>
        <w:t>Nos casos em que houver necessidade de assinatura do instrumento de contrato, e o fornecedor não estiver inscrito no SICAF, este deverá proceder ao seu cadastramento, sem ônus, antes da contratação.</w:t>
      </w:r>
    </w:p>
    <w:p>
      <w:pPr>
        <w:pStyle w:val="477"/>
        <w:numPr>
          <w:ilvl w:val="2"/>
          <w:numId w:val="8"/>
        </w:numPr>
        <w:spacing w:before="0" w:after="240"/>
        <w:ind w:left="1638"/>
        <w:rPr>
          <w:rFonts w:ascii="Arial" w:hAnsi="Arial" w:eastAsia="Arial" w:cs="Arial"/>
          <w:b w:val="0"/>
        </w:rPr>
      </w:pPr>
      <w:r>
        <w:rPr>
          <w:rFonts w:ascii="Arial" w:hAnsi="Arial" w:eastAsia="Arial" w:cs="Arial"/>
          <w:b w:val="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9"/>
        </w:numPr>
        <w:suppressAutoHyphens w:val="0"/>
        <w:spacing w:before="120" w:after="120" w:line="276" w:lineRule="auto"/>
        <w:ind w:left="1141"/>
        <w:jc w:val="both"/>
        <w:rPr>
          <w:rFonts w:cs="Arial"/>
          <w:szCs w:val="20"/>
        </w:rPr>
      </w:pPr>
      <w:r>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9"/>
        </w:numPr>
        <w:suppressAutoHyphens w:val="0"/>
        <w:spacing w:before="120" w:after="120" w:line="276" w:lineRule="auto"/>
        <w:ind w:left="1141"/>
        <w:jc w:val="both"/>
        <w:rPr>
          <w:rFonts w:cs="Arial"/>
          <w:szCs w:val="20"/>
        </w:rPr>
      </w:pPr>
      <w:r>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spacing w:before="120" w:after="120" w:line="276" w:lineRule="auto"/>
        <w:ind w:left="1141"/>
        <w:jc w:val="both"/>
        <w:rPr>
          <w:rFonts w:cs="Arial"/>
          <w:szCs w:val="20"/>
        </w:rPr>
      </w:pPr>
    </w:p>
    <w:p>
      <w:pPr>
        <w:pStyle w:val="477"/>
        <w:numPr>
          <w:ilvl w:val="0"/>
          <w:numId w:val="8"/>
        </w:numPr>
        <w:ind w:left="0" w:firstLine="0"/>
        <w:rPr>
          <w:rFonts w:ascii="Arial" w:hAnsi="Arial" w:cs="Arial"/>
        </w:rPr>
      </w:pPr>
      <w:r>
        <w:rPr>
          <w:rFonts w:ascii="Arial" w:hAnsi="Arial" w:cs="Arial"/>
        </w:rPr>
        <w:t>DO REAJUSTAMENTO EM SENTIDO GERAL</w:t>
      </w:r>
    </w:p>
    <w:p>
      <w:pPr>
        <w:numPr>
          <w:ilvl w:val="1"/>
          <w:numId w:val="9"/>
        </w:numPr>
        <w:suppressAutoHyphens w:val="0"/>
        <w:spacing w:before="120" w:after="120" w:line="276" w:lineRule="auto"/>
        <w:ind w:left="1141"/>
        <w:jc w:val="both"/>
        <w:rPr>
          <w:rFonts w:cs="Arial"/>
          <w:szCs w:val="20"/>
        </w:rPr>
      </w:pPr>
      <w:r>
        <w:rPr>
          <w:rFonts w:cs="Arial"/>
          <w:szCs w:val="20"/>
        </w:rPr>
        <w:t>As regras acerca do reajustamento em sentido geral do valor contratual são as estabelecidas no Termo de Referência, anexo a este Edital.</w:t>
      </w:r>
    </w:p>
    <w:p>
      <w:pPr>
        <w:pStyle w:val="68"/>
        <w:spacing w:before="120" w:after="120" w:line="276" w:lineRule="auto"/>
        <w:ind w:left="800"/>
        <w:jc w:val="both"/>
        <w:rPr>
          <w:rFonts w:cs="Arial"/>
          <w:color w:val="000000"/>
          <w:szCs w:val="20"/>
        </w:rPr>
      </w:pPr>
    </w:p>
    <w:p>
      <w:pPr>
        <w:pStyle w:val="477"/>
        <w:numPr>
          <w:ilvl w:val="0"/>
          <w:numId w:val="8"/>
        </w:numPr>
        <w:ind w:left="0" w:firstLine="0"/>
        <w:rPr>
          <w:rFonts w:ascii="Arial" w:hAnsi="Arial" w:cs="Arial"/>
        </w:rPr>
      </w:pPr>
      <w:r>
        <w:rPr>
          <w:rFonts w:ascii="Arial" w:hAnsi="Arial" w:cs="Arial"/>
        </w:rPr>
        <w:t>DO RECEBIMENTO DO OBJETO E DA FISCALIZAÇÃO</w:t>
      </w:r>
    </w:p>
    <w:p>
      <w:pPr>
        <w:numPr>
          <w:ilvl w:val="1"/>
          <w:numId w:val="9"/>
        </w:numPr>
        <w:suppressAutoHyphens w:val="0"/>
        <w:spacing w:before="120" w:after="120" w:line="276" w:lineRule="auto"/>
        <w:ind w:left="1141"/>
        <w:jc w:val="both"/>
        <w:rPr>
          <w:rFonts w:cs="Arial"/>
          <w:szCs w:val="20"/>
        </w:rPr>
      </w:pPr>
      <w:r>
        <w:rPr>
          <w:rFonts w:cs="Arial"/>
          <w:szCs w:val="20"/>
        </w:rPr>
        <w:t>Os critérios de recebimento e aceitação do objeto e de fiscalização estão previstos no Termo de Referência.</w:t>
      </w:r>
    </w:p>
    <w:p>
      <w:pPr>
        <w:pStyle w:val="68"/>
        <w:spacing w:before="120" w:after="120" w:line="276" w:lineRule="auto"/>
        <w:ind w:left="999"/>
        <w:contextualSpacing w:val="0"/>
        <w:jc w:val="both"/>
        <w:rPr>
          <w:rFonts w:cs="Arial"/>
          <w:color w:val="000000"/>
          <w:szCs w:val="20"/>
        </w:rPr>
      </w:pPr>
    </w:p>
    <w:p>
      <w:pPr>
        <w:pStyle w:val="477"/>
        <w:numPr>
          <w:ilvl w:val="0"/>
          <w:numId w:val="8"/>
        </w:numPr>
        <w:ind w:left="0" w:firstLine="0"/>
        <w:rPr>
          <w:rFonts w:ascii="Arial" w:hAnsi="Arial" w:cs="Arial"/>
          <w:lang w:eastAsia="en-US"/>
        </w:rPr>
      </w:pPr>
      <w:r>
        <w:rPr>
          <w:rFonts w:ascii="Arial" w:hAnsi="Arial" w:cs="Arial"/>
          <w:lang w:eastAsia="en-US"/>
        </w:rPr>
        <w:t>DAS OBRIGAÇÕES DA CONTRATANTE E DA CONTRATADA</w:t>
      </w:r>
    </w:p>
    <w:p>
      <w:pPr>
        <w:numPr>
          <w:ilvl w:val="1"/>
          <w:numId w:val="9"/>
        </w:numPr>
        <w:suppressAutoHyphens w:val="0"/>
        <w:spacing w:before="120" w:after="120" w:line="276" w:lineRule="auto"/>
        <w:ind w:left="1141"/>
        <w:jc w:val="both"/>
        <w:rPr>
          <w:rFonts w:cs="Arial"/>
          <w:szCs w:val="20"/>
        </w:rPr>
      </w:pPr>
      <w:r>
        <w:rPr>
          <w:rFonts w:cs="Arial"/>
          <w:szCs w:val="20"/>
        </w:rPr>
        <w:t xml:space="preserve">As obrigações da Contratante e da Contratada são as estabelecidas no Termo de Referência. </w:t>
      </w:r>
    </w:p>
    <w:p>
      <w:pPr>
        <w:pStyle w:val="68"/>
        <w:spacing w:before="120" w:after="120" w:line="276" w:lineRule="auto"/>
        <w:ind w:left="999"/>
        <w:contextualSpacing w:val="0"/>
        <w:jc w:val="both"/>
        <w:rPr>
          <w:rFonts w:cs="Arial"/>
          <w:b/>
          <w:color w:val="000000"/>
          <w:szCs w:val="20"/>
        </w:rPr>
      </w:pPr>
    </w:p>
    <w:p>
      <w:pPr>
        <w:pStyle w:val="477"/>
        <w:numPr>
          <w:ilvl w:val="0"/>
          <w:numId w:val="8"/>
        </w:numPr>
        <w:ind w:left="0" w:firstLine="0"/>
      </w:pPr>
      <w:r>
        <w:rPr>
          <w:rFonts w:ascii="Arial" w:hAnsi="Arial" w:cs="Arial"/>
        </w:rPr>
        <w:t>DO PAGAMENTO</w:t>
      </w:r>
    </w:p>
    <w:tbl>
      <w:tblPr>
        <w:tblStyle w:val="38"/>
        <w:tblW w:w="0" w:type="auto"/>
        <w:tblInd w:w="4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14"/>
        <w:gridCol w:w="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14" w:type="dxa"/>
          </w:tcPr>
          <w:p>
            <w:pPr>
              <w:rPr>
                <w:rFonts w:cs="Arial" w:eastAsiaTheme="minorHAnsi"/>
                <w:color w:val="000000"/>
                <w:sz w:val="20"/>
                <w:szCs w:val="20"/>
                <w:lang w:eastAsia="en-US"/>
              </w:rPr>
            </w:pPr>
          </w:p>
        </w:tc>
        <w:tc>
          <w:tcPr>
            <w:tcW w:w="588" w:type="dxa"/>
          </w:tcPr>
          <w:p>
            <w:pPr>
              <w:tabs>
                <w:tab w:val="left" w:pos="1701"/>
              </w:tabs>
              <w:jc w:val="both"/>
              <w:rPr>
                <w:rFonts w:cs="Arial" w:eastAsiaTheme="minorHAnsi"/>
                <w:color w:val="000000"/>
                <w:sz w:val="20"/>
                <w:szCs w:val="20"/>
                <w:lang w:eastAsia="en-US"/>
              </w:rPr>
            </w:pPr>
          </w:p>
        </w:tc>
      </w:tr>
    </w:tbl>
    <w:p>
      <w:pPr>
        <w:numPr>
          <w:ilvl w:val="1"/>
          <w:numId w:val="9"/>
        </w:numPr>
        <w:suppressAutoHyphens w:val="0"/>
        <w:spacing w:before="120" w:after="120" w:line="276" w:lineRule="auto"/>
        <w:ind w:left="1141"/>
        <w:jc w:val="both"/>
        <w:rPr>
          <w:rFonts w:cs="Arial"/>
          <w:szCs w:val="20"/>
        </w:rPr>
      </w:pPr>
      <w:r>
        <w:rPr>
          <w:rFonts w:cs="Arial"/>
          <w:szCs w:val="20"/>
        </w:rPr>
        <w:t>As regras acerca do pagamento são as estabelecidas no Termo de Referência, anexo a este Edital.</w:t>
      </w:r>
    </w:p>
    <w:p>
      <w:pPr>
        <w:pStyle w:val="68"/>
        <w:spacing w:before="120" w:after="120" w:line="276" w:lineRule="auto"/>
        <w:ind w:left="999"/>
        <w:contextualSpacing w:val="0"/>
        <w:jc w:val="both"/>
        <w:rPr>
          <w:rFonts w:cs="Arial"/>
          <w:color w:val="000000"/>
          <w:szCs w:val="20"/>
          <w:lang w:eastAsia="en-US"/>
        </w:rPr>
      </w:pPr>
    </w:p>
    <w:p>
      <w:pPr>
        <w:pStyle w:val="477"/>
        <w:numPr>
          <w:ilvl w:val="0"/>
          <w:numId w:val="8"/>
        </w:numPr>
        <w:ind w:left="0" w:firstLine="0"/>
        <w:rPr>
          <w:rFonts w:ascii="Arial" w:hAnsi="Arial" w:cs="Arial"/>
        </w:rPr>
      </w:pPr>
      <w:r>
        <w:rPr>
          <w:rFonts w:ascii="Arial" w:hAnsi="Arial" w:cs="Arial"/>
        </w:rPr>
        <w:t>DAS SANÇÕES ADMINISTRATIVAS</w:t>
      </w:r>
    </w:p>
    <w:p/>
    <w:p>
      <w:pPr>
        <w:numPr>
          <w:ilvl w:val="1"/>
          <w:numId w:val="9"/>
        </w:numPr>
        <w:suppressAutoHyphens w:val="0"/>
        <w:spacing w:before="120" w:after="120" w:line="276" w:lineRule="auto"/>
        <w:ind w:left="1141"/>
        <w:jc w:val="both"/>
        <w:rPr>
          <w:rFonts w:cs="Arial"/>
          <w:szCs w:val="20"/>
        </w:rPr>
      </w:pPr>
      <w:r>
        <w:rPr>
          <w:rFonts w:cs="Arial"/>
          <w:szCs w:val="20"/>
        </w:rPr>
        <w:t xml:space="preserve">Comete infração administrativa, nos termos da Lei nº 10.520, de 2002, o licitante/adjudicatário que: </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não assinar o termo de contrato ou aceitar/retirar o instrumento equivalente, quando convocado dentro do prazo de validade da proposta;</w:t>
      </w:r>
    </w:p>
    <w:p>
      <w:pPr>
        <w:pStyle w:val="68"/>
        <w:numPr>
          <w:ilvl w:val="2"/>
          <w:numId w:val="8"/>
        </w:numPr>
        <w:suppressAutoHyphens w:val="0"/>
        <w:spacing w:after="240"/>
        <w:ind w:left="1638"/>
        <w:rPr>
          <w:rFonts w:cs="Arial"/>
          <w:szCs w:val="20"/>
          <w:shd w:val="clear" w:color="auto" w:fill="FFFFFF"/>
        </w:rPr>
      </w:pPr>
      <w:r>
        <w:rPr>
          <w:rFonts w:cs="Arial"/>
          <w:szCs w:val="20"/>
          <w:shd w:val="clear" w:color="auto" w:fill="FFFFFF"/>
        </w:rPr>
        <w:t>não assinar a ata de registro de preços, quando cabível;</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apresentar documentação falsa;</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deixar de entregar os documentos exigidos no certame;</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rPr>
        <w:t>ensejar o retardamento da execução do objeto;</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não mantiver a proposta;</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cometer fraude fiscal;</w:t>
      </w:r>
    </w:p>
    <w:p>
      <w:pPr>
        <w:numPr>
          <w:ilvl w:val="2"/>
          <w:numId w:val="8"/>
        </w:numPr>
        <w:tabs>
          <w:tab w:val="left" w:pos="1440"/>
        </w:tabs>
        <w:suppressAutoHyphens w:val="0"/>
        <w:autoSpaceDE w:val="0"/>
        <w:snapToGrid w:val="0"/>
        <w:spacing w:after="240"/>
        <w:ind w:left="1638"/>
        <w:jc w:val="both"/>
        <w:rPr>
          <w:rFonts w:cs="Arial"/>
          <w:szCs w:val="20"/>
          <w:shd w:val="clear" w:color="auto" w:fill="FFFFFF"/>
        </w:rPr>
      </w:pPr>
      <w:r>
        <w:rPr>
          <w:rFonts w:cs="Arial"/>
          <w:szCs w:val="20"/>
          <w:shd w:val="clear" w:color="auto" w:fill="FFFFFF"/>
        </w:rPr>
        <w:t>comportar-se de modo inidôneo;</w:t>
      </w:r>
    </w:p>
    <w:p>
      <w:pPr>
        <w:rPr>
          <w:rFonts w:cs="Arial"/>
          <w:szCs w:val="20"/>
          <w:lang w:eastAsia="en-US"/>
        </w:rPr>
      </w:pPr>
    </w:p>
    <w:p>
      <w:pPr>
        <w:numPr>
          <w:ilvl w:val="1"/>
          <w:numId w:val="9"/>
        </w:numPr>
        <w:suppressAutoHyphens w:val="0"/>
        <w:spacing w:before="120" w:after="120" w:line="276" w:lineRule="auto"/>
        <w:ind w:left="1141"/>
        <w:jc w:val="both"/>
        <w:rPr>
          <w:rFonts w:cs="Arial"/>
          <w:color w:val="000000"/>
          <w:szCs w:val="20"/>
        </w:rPr>
      </w:pPr>
      <w:r>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pPr>
        <w:numPr>
          <w:ilvl w:val="1"/>
          <w:numId w:val="9"/>
        </w:numPr>
        <w:suppressAutoHyphens w:val="0"/>
        <w:spacing w:before="120" w:after="120" w:line="276" w:lineRule="auto"/>
        <w:ind w:left="1141"/>
        <w:jc w:val="both"/>
        <w:rPr>
          <w:rFonts w:cs="Arial"/>
          <w:szCs w:val="20"/>
        </w:rPr>
      </w:pPr>
      <w:r>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9"/>
        </w:numPr>
        <w:suppressAutoHyphens w:val="0"/>
        <w:spacing w:before="120" w:after="120" w:line="276" w:lineRule="auto"/>
        <w:ind w:left="1141"/>
        <w:jc w:val="both"/>
        <w:rPr>
          <w:rFonts w:cs="Arial"/>
          <w:szCs w:val="20"/>
        </w:rPr>
      </w:pPr>
      <w:r>
        <w:rPr>
          <w:rFonts w:cs="Arial"/>
          <w:szCs w:val="20"/>
        </w:rPr>
        <w:t xml:space="preserve">O licitante/adjudicatário que cometer qualquer das infrações discriminadas nos subitens anteriores ficará sujeito, sem prejuízo da responsabilidade civil e criminal, às seguintes sanções: </w:t>
      </w:r>
    </w:p>
    <w:p>
      <w:pPr>
        <w:pStyle w:val="68"/>
        <w:numPr>
          <w:ilvl w:val="2"/>
          <w:numId w:val="15"/>
        </w:numPr>
        <w:suppressAutoHyphens w:val="0"/>
        <w:spacing w:after="240"/>
        <w:ind w:left="1638"/>
        <w:contextualSpacing w:val="0"/>
        <w:jc w:val="both"/>
        <w:rPr>
          <w:rFonts w:cs="Arial"/>
          <w:szCs w:val="20"/>
          <w:shd w:val="clear" w:color="auto" w:fill="FFFFFF"/>
        </w:rPr>
      </w:pPr>
      <w:r>
        <w:rPr>
          <w:rFonts w:cs="Arial"/>
          <w:szCs w:val="20"/>
          <w:shd w:val="clear" w:color="auto" w:fill="FFFFFF"/>
        </w:rPr>
        <w:t>Advertência por faltas leves, assim entendidas como aquelas que não acarretarem prejuízos significativos ao objeto da contratação;</w:t>
      </w:r>
    </w:p>
    <w:p>
      <w:pPr>
        <w:pStyle w:val="68"/>
        <w:numPr>
          <w:ilvl w:val="2"/>
          <w:numId w:val="15"/>
        </w:numPr>
        <w:suppressAutoHyphens w:val="0"/>
        <w:spacing w:after="240"/>
        <w:ind w:left="1638"/>
        <w:contextualSpacing w:val="0"/>
        <w:jc w:val="both"/>
        <w:rPr>
          <w:rFonts w:cs="Arial"/>
          <w:szCs w:val="20"/>
          <w:shd w:val="clear" w:color="auto" w:fill="FFFFFF"/>
        </w:rPr>
      </w:pPr>
      <w:r>
        <w:rPr>
          <w:rFonts w:cs="Arial"/>
          <w:szCs w:val="20"/>
          <w:shd w:val="clear" w:color="auto" w:fill="FFFFFF"/>
        </w:rPr>
        <w:t>Multa de</w:t>
      </w:r>
      <w:r>
        <w:rPr>
          <w:rFonts w:eastAsia="Arial" w:cs="Arial"/>
          <w:szCs w:val="20"/>
        </w:rPr>
        <w:t xml:space="preserve">10% (dez por cento) </w:t>
      </w:r>
      <w:r>
        <w:rPr>
          <w:rFonts w:cs="Arial"/>
          <w:szCs w:val="20"/>
          <w:shd w:val="clear" w:color="auto" w:fill="FFFFFF"/>
        </w:rPr>
        <w:t>sobre o valor estimado do(s) item(s) prejudicado(s) pela conduta do licitante;</w:t>
      </w:r>
    </w:p>
    <w:p>
      <w:pPr>
        <w:pStyle w:val="68"/>
        <w:numPr>
          <w:ilvl w:val="2"/>
          <w:numId w:val="15"/>
        </w:numPr>
        <w:suppressAutoHyphens w:val="0"/>
        <w:spacing w:after="240"/>
        <w:ind w:left="1638"/>
        <w:contextualSpacing w:val="0"/>
        <w:jc w:val="both"/>
        <w:rPr>
          <w:rFonts w:cs="Arial"/>
          <w:szCs w:val="20"/>
          <w:shd w:val="clear" w:color="auto" w:fill="FFFFFF"/>
        </w:rPr>
      </w:pPr>
      <w:r>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pPr>
        <w:pStyle w:val="68"/>
        <w:numPr>
          <w:ilvl w:val="2"/>
          <w:numId w:val="15"/>
        </w:numPr>
        <w:suppressAutoHyphens w:val="0"/>
        <w:spacing w:after="240"/>
        <w:ind w:left="1638"/>
        <w:contextualSpacing w:val="0"/>
        <w:jc w:val="both"/>
        <w:rPr>
          <w:rFonts w:cs="Arial"/>
          <w:szCs w:val="20"/>
          <w:shd w:val="clear" w:color="auto" w:fill="FFFFFF"/>
        </w:rPr>
      </w:pPr>
      <w:r>
        <w:rPr>
          <w:rFonts w:cs="Arial"/>
          <w:szCs w:val="20"/>
          <w:shd w:val="clear" w:color="auto" w:fill="FFFFFF"/>
        </w:rPr>
        <w:t>Impedimento de licitar e de contratar com a União e descredenciamento no SICAF, pelo prazo de até cinco anos;</w:t>
      </w:r>
    </w:p>
    <w:p>
      <w:pPr>
        <w:numPr>
          <w:ilvl w:val="1"/>
          <w:numId w:val="9"/>
        </w:numPr>
        <w:suppressAutoHyphens w:val="0"/>
        <w:spacing w:before="120" w:after="120" w:line="276" w:lineRule="auto"/>
        <w:ind w:left="1141"/>
        <w:jc w:val="both"/>
        <w:rPr>
          <w:rFonts w:cs="Arial"/>
          <w:szCs w:val="20"/>
        </w:rPr>
      </w:pPr>
      <w:r>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9"/>
        </w:numPr>
        <w:suppressAutoHyphens w:val="0"/>
        <w:spacing w:before="120" w:after="120" w:line="276" w:lineRule="auto"/>
        <w:ind w:left="1141"/>
        <w:jc w:val="both"/>
        <w:rPr>
          <w:rFonts w:cs="Arial"/>
          <w:szCs w:val="20"/>
        </w:rPr>
      </w:pPr>
      <w:r>
        <w:rPr>
          <w:rFonts w:cs="Arial"/>
          <w:szCs w:val="20"/>
        </w:rPr>
        <w:t>A penalidade de multa pode ser aplicada cumulativamente com as demais sanções.</w:t>
      </w:r>
    </w:p>
    <w:p>
      <w:pPr>
        <w:numPr>
          <w:ilvl w:val="1"/>
          <w:numId w:val="9"/>
        </w:numPr>
        <w:suppressAutoHyphens w:val="0"/>
        <w:spacing w:before="120" w:after="120" w:line="276" w:lineRule="auto"/>
        <w:ind w:left="1141"/>
        <w:jc w:val="both"/>
        <w:rPr>
          <w:rFonts w:cs="Arial"/>
          <w:szCs w:val="20"/>
        </w:rPr>
      </w:pPr>
      <w:r>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9"/>
        </w:numPr>
        <w:suppressAutoHyphens w:val="0"/>
        <w:spacing w:before="120" w:after="120" w:line="276" w:lineRule="auto"/>
        <w:ind w:left="1141"/>
        <w:jc w:val="both"/>
        <w:rPr>
          <w:rFonts w:cs="Arial"/>
          <w:szCs w:val="20"/>
        </w:rPr>
      </w:pPr>
      <w:r>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pPr>
        <w:numPr>
          <w:ilvl w:val="1"/>
          <w:numId w:val="9"/>
        </w:numPr>
        <w:suppressAutoHyphens w:val="0"/>
        <w:spacing w:before="120" w:after="120" w:line="276" w:lineRule="auto"/>
        <w:ind w:left="1141"/>
        <w:jc w:val="both"/>
        <w:rPr>
          <w:rFonts w:cs="Arial"/>
          <w:szCs w:val="20"/>
        </w:rPr>
      </w:pPr>
      <w:r>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9"/>
        </w:numPr>
        <w:suppressAutoHyphens w:val="0"/>
        <w:spacing w:before="120" w:after="120" w:line="276" w:lineRule="auto"/>
        <w:ind w:left="1141"/>
        <w:jc w:val="both"/>
        <w:rPr>
          <w:rFonts w:cs="Arial"/>
          <w:szCs w:val="20"/>
        </w:rPr>
      </w:pPr>
      <w:r>
        <w:rPr>
          <w:rFonts w:cs="Arial"/>
          <w:szCs w:val="20"/>
        </w:rPr>
        <w:t>Caso o valor da multa não seja suficiente para cobrir os prejuízos causados pela conduta do licitante, a União ou Entidade poderá cobrar o valor remanescente judicialmente, conforme artigo 419 do Código Civil.</w:t>
      </w:r>
    </w:p>
    <w:p>
      <w:pPr>
        <w:numPr>
          <w:ilvl w:val="1"/>
          <w:numId w:val="9"/>
        </w:numPr>
        <w:suppressAutoHyphens w:val="0"/>
        <w:spacing w:before="120" w:after="120" w:line="276" w:lineRule="auto"/>
        <w:ind w:left="1141"/>
        <w:jc w:val="both"/>
        <w:rPr>
          <w:rFonts w:cs="Arial"/>
          <w:szCs w:val="20"/>
        </w:rPr>
      </w:pPr>
      <w:r>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9"/>
        </w:numPr>
        <w:suppressAutoHyphens w:val="0"/>
        <w:spacing w:before="120" w:after="120" w:line="276" w:lineRule="auto"/>
        <w:ind w:left="1141"/>
        <w:jc w:val="both"/>
        <w:rPr>
          <w:rFonts w:cs="Arial"/>
          <w:szCs w:val="20"/>
        </w:rPr>
      </w:pPr>
      <w:r>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9"/>
        </w:numPr>
        <w:suppressAutoHyphens w:val="0"/>
        <w:spacing w:before="120" w:after="120" w:line="276" w:lineRule="auto"/>
        <w:ind w:left="1141"/>
        <w:jc w:val="both"/>
        <w:rPr>
          <w:rFonts w:cs="Arial"/>
          <w:szCs w:val="20"/>
        </w:rPr>
      </w:pPr>
      <w:r>
        <w:rPr>
          <w:rFonts w:cs="Arial"/>
          <w:szCs w:val="20"/>
        </w:rPr>
        <w:t>As penalidades serão obrigatoriamente registradas no SICAF.</w:t>
      </w:r>
    </w:p>
    <w:p>
      <w:pPr>
        <w:numPr>
          <w:ilvl w:val="1"/>
          <w:numId w:val="9"/>
        </w:numPr>
        <w:suppressAutoHyphens w:val="0"/>
        <w:spacing w:before="120" w:after="120" w:line="276" w:lineRule="auto"/>
        <w:ind w:left="1141"/>
        <w:jc w:val="both"/>
        <w:rPr>
          <w:rFonts w:cs="Arial"/>
          <w:szCs w:val="20"/>
        </w:rPr>
      </w:pPr>
      <w:r>
        <w:rPr>
          <w:rFonts w:cs="Arial"/>
          <w:szCs w:val="20"/>
        </w:rPr>
        <w:t>As sanções por atos praticados no decorrer da contratação estão previstas no Termo de Referência.</w:t>
      </w:r>
    </w:p>
    <w:p>
      <w:pPr>
        <w:pStyle w:val="68"/>
        <w:spacing w:before="120" w:after="120" w:line="276" w:lineRule="auto"/>
        <w:ind w:left="425"/>
        <w:contextualSpacing w:val="0"/>
        <w:jc w:val="both"/>
        <w:rPr>
          <w:rFonts w:cs="Arial"/>
          <w:color w:val="000000"/>
          <w:szCs w:val="20"/>
        </w:rPr>
      </w:pPr>
    </w:p>
    <w:p>
      <w:pPr>
        <w:pStyle w:val="477"/>
        <w:numPr>
          <w:ilvl w:val="0"/>
          <w:numId w:val="8"/>
        </w:numPr>
        <w:ind w:left="0" w:firstLine="0"/>
        <w:rPr>
          <w:rFonts w:ascii="Arial" w:hAnsi="Arial" w:cs="Arial"/>
        </w:rPr>
      </w:pPr>
      <w:r>
        <w:rPr>
          <w:rFonts w:ascii="Arial" w:hAnsi="Arial" w:cs="Arial"/>
        </w:rPr>
        <w:t xml:space="preserve">DA FORMAÇÃO DO CADASTRO DE RESERVA </w:t>
      </w:r>
    </w:p>
    <w:p/>
    <w:p>
      <w:pPr>
        <w:numPr>
          <w:ilvl w:val="1"/>
          <w:numId w:val="9"/>
        </w:numPr>
        <w:suppressAutoHyphens w:val="0"/>
        <w:spacing w:before="120" w:after="120" w:line="276" w:lineRule="auto"/>
        <w:ind w:left="1141"/>
        <w:jc w:val="both"/>
        <w:rPr>
          <w:rFonts w:cs="Arial"/>
          <w:szCs w:val="20"/>
        </w:rPr>
      </w:pPr>
      <w:r>
        <w:rPr>
          <w:rFonts w:cs="Arial"/>
          <w:szCs w:val="20"/>
        </w:rPr>
        <w:t>Após o encerramento da etapa competitiva, os licitantes poderão reduzir seus preços ao valor da proposta do licitante mais bem classificado.</w:t>
      </w:r>
    </w:p>
    <w:p>
      <w:pPr>
        <w:numPr>
          <w:ilvl w:val="1"/>
          <w:numId w:val="9"/>
        </w:numPr>
        <w:suppressAutoHyphens w:val="0"/>
        <w:spacing w:before="120" w:after="120" w:line="276" w:lineRule="auto"/>
        <w:ind w:left="1141"/>
        <w:jc w:val="both"/>
        <w:rPr>
          <w:rFonts w:cs="Arial"/>
          <w:szCs w:val="20"/>
        </w:rPr>
      </w:pPr>
      <w:r>
        <w:rPr>
          <w:rFonts w:cs="Arial"/>
          <w:szCs w:val="20"/>
        </w:rPr>
        <w:t>A apresentação de novas propostas na forma deste item não prejudicará o resultado do certame em relação ao licitante melhor classificado.</w:t>
      </w:r>
    </w:p>
    <w:p>
      <w:pPr>
        <w:numPr>
          <w:ilvl w:val="1"/>
          <w:numId w:val="9"/>
        </w:numPr>
        <w:suppressAutoHyphens w:val="0"/>
        <w:spacing w:before="120" w:after="120" w:line="276" w:lineRule="auto"/>
        <w:ind w:left="1141"/>
        <w:jc w:val="both"/>
        <w:rPr>
          <w:rFonts w:cs="Arial"/>
          <w:szCs w:val="20"/>
        </w:rPr>
      </w:pPr>
      <w:r>
        <w:rPr>
          <w:rFonts w:cs="Arial"/>
          <w:szCs w:val="20"/>
        </w:rPr>
        <w:t>Havendo um ou mais licitantes que aceitem cotar suas propostas em valor igual ao do licitante vencedor, estes serão classificados segundo a ordem da última proposta individual apresentada durante a fase competitiva.</w:t>
      </w:r>
    </w:p>
    <w:p>
      <w:pPr>
        <w:numPr>
          <w:ilvl w:val="1"/>
          <w:numId w:val="9"/>
        </w:numPr>
        <w:suppressAutoHyphens w:val="0"/>
        <w:spacing w:before="120" w:after="120" w:line="276" w:lineRule="auto"/>
        <w:ind w:left="1141"/>
        <w:jc w:val="both"/>
        <w:rPr>
          <w:rFonts w:cs="Arial"/>
          <w:szCs w:val="20"/>
        </w:rPr>
      </w:pPr>
      <w:r>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pPr>
        <w:pStyle w:val="477"/>
        <w:ind w:left="0" w:firstLine="0"/>
        <w:rPr>
          <w:rFonts w:ascii="Arial" w:hAnsi="Arial" w:cs="Arial"/>
        </w:rPr>
      </w:pPr>
    </w:p>
    <w:p>
      <w:pPr>
        <w:pStyle w:val="477"/>
        <w:numPr>
          <w:ilvl w:val="0"/>
          <w:numId w:val="8"/>
        </w:numPr>
        <w:ind w:left="0" w:firstLine="0"/>
        <w:rPr>
          <w:rFonts w:ascii="Arial" w:hAnsi="Arial" w:cs="Arial"/>
        </w:rPr>
      </w:pPr>
      <w:r>
        <w:rPr>
          <w:rFonts w:ascii="Arial" w:hAnsi="Arial" w:cs="Arial"/>
        </w:rPr>
        <w:t>DA IMPUGNAÇÃO AO EDITAL E DO PEDIDO DE ESCLARECIMENTO</w:t>
      </w:r>
    </w:p>
    <w:p/>
    <w:p>
      <w:pPr>
        <w:numPr>
          <w:ilvl w:val="1"/>
          <w:numId w:val="9"/>
        </w:numPr>
        <w:suppressAutoHyphens w:val="0"/>
        <w:spacing w:before="120" w:after="120" w:line="276" w:lineRule="auto"/>
        <w:ind w:left="1141"/>
        <w:jc w:val="both"/>
        <w:rPr>
          <w:rFonts w:cs="Arial"/>
          <w:szCs w:val="20"/>
        </w:rPr>
      </w:pPr>
      <w:r>
        <w:rPr>
          <w:rFonts w:cs="Arial"/>
          <w:szCs w:val="20"/>
        </w:rPr>
        <w:t>Até 03 (três) dias úteis antes da data designada para a abertura da sessão pública, qualquer pessoa poderá impugnar este Edital.</w:t>
      </w:r>
    </w:p>
    <w:p>
      <w:pPr>
        <w:numPr>
          <w:ilvl w:val="1"/>
          <w:numId w:val="9"/>
        </w:numPr>
        <w:suppressAutoHyphens w:val="0"/>
        <w:spacing w:before="120" w:after="120" w:line="276" w:lineRule="auto"/>
        <w:ind w:left="1141"/>
        <w:jc w:val="both"/>
        <w:rPr>
          <w:rFonts w:cs="Arial"/>
          <w:szCs w:val="20"/>
        </w:rPr>
      </w:pPr>
      <w:r>
        <w:rPr>
          <w:rFonts w:cs="Arial"/>
          <w:szCs w:val="20"/>
        </w:rPr>
        <w:t>A impugnação poderá ser realizada por forma eletrônica, pelo e-mail cpl@id.uff.br.</w:t>
      </w:r>
    </w:p>
    <w:p>
      <w:pPr>
        <w:numPr>
          <w:ilvl w:val="1"/>
          <w:numId w:val="9"/>
        </w:numPr>
        <w:suppressAutoHyphens w:val="0"/>
        <w:spacing w:before="120" w:after="120" w:line="276" w:lineRule="auto"/>
        <w:ind w:left="1141"/>
        <w:jc w:val="both"/>
        <w:rPr>
          <w:rFonts w:cs="Arial"/>
          <w:szCs w:val="20"/>
        </w:rPr>
      </w:pPr>
      <w:r>
        <w:rPr>
          <w:rFonts w:cs="Arial"/>
          <w:szCs w:val="20"/>
        </w:rPr>
        <w:t>Caberá ao Pregoeiro, auxiliado pelos responsáveis pela elaboração deste Edital e seus anexos, decidir sobre a impugnação no prazo de até dois dias úteis contados da data de recebimento da impugnação.</w:t>
      </w:r>
    </w:p>
    <w:p>
      <w:pPr>
        <w:numPr>
          <w:ilvl w:val="1"/>
          <w:numId w:val="9"/>
        </w:numPr>
        <w:suppressAutoHyphens w:val="0"/>
        <w:spacing w:before="120" w:after="120" w:line="276" w:lineRule="auto"/>
        <w:ind w:left="1141"/>
        <w:jc w:val="both"/>
        <w:rPr>
          <w:rFonts w:cs="Arial"/>
          <w:szCs w:val="20"/>
        </w:rPr>
      </w:pPr>
      <w:r>
        <w:rPr>
          <w:rFonts w:cs="Arial"/>
          <w:szCs w:val="20"/>
        </w:rPr>
        <w:t>Acolhida a impugnação, será definida e publicada nova data para a realização do certame.</w:t>
      </w:r>
    </w:p>
    <w:p>
      <w:pPr>
        <w:numPr>
          <w:ilvl w:val="1"/>
          <w:numId w:val="9"/>
        </w:numPr>
        <w:suppressAutoHyphens w:val="0"/>
        <w:spacing w:before="120" w:after="120" w:line="276" w:lineRule="auto"/>
        <w:ind w:left="1141"/>
        <w:jc w:val="both"/>
        <w:rPr>
          <w:rFonts w:cs="Arial"/>
          <w:szCs w:val="20"/>
        </w:rPr>
      </w:pPr>
      <w:r>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9"/>
        </w:numPr>
        <w:suppressAutoHyphens w:val="0"/>
        <w:spacing w:before="120" w:after="120" w:line="276" w:lineRule="auto"/>
        <w:ind w:left="1141"/>
        <w:jc w:val="both"/>
        <w:rPr>
          <w:rFonts w:cs="Arial"/>
          <w:szCs w:val="20"/>
        </w:rPr>
      </w:pPr>
      <w:r>
        <w:rPr>
          <w:rFonts w:cs="Arial"/>
          <w:szCs w:val="20"/>
        </w:rPr>
        <w:t>O pregoeiro responderá aos pedidos de esclarecimentos no prazo de dois dias úteis, contado da data de recebimento do pedido, e poderá requisitar subsídios formais aos responsáveis pela elaboração do edital e dos anexos.</w:t>
      </w:r>
    </w:p>
    <w:p>
      <w:pPr>
        <w:numPr>
          <w:ilvl w:val="1"/>
          <w:numId w:val="9"/>
        </w:numPr>
        <w:suppressAutoHyphens w:val="0"/>
        <w:spacing w:before="120" w:after="120" w:line="276" w:lineRule="auto"/>
        <w:ind w:left="1141"/>
        <w:jc w:val="both"/>
        <w:rPr>
          <w:rFonts w:cs="Arial"/>
          <w:szCs w:val="20"/>
        </w:rPr>
      </w:pPr>
      <w:r>
        <w:rPr>
          <w:rFonts w:cs="Arial"/>
          <w:szCs w:val="20"/>
        </w:rPr>
        <w:t>As impugnações e pedidos de esclarecimentos não suspendem os prazos previstos no certame.</w:t>
      </w:r>
    </w:p>
    <w:p>
      <w:pPr>
        <w:numPr>
          <w:ilvl w:val="2"/>
          <w:numId w:val="16"/>
        </w:numPr>
        <w:suppressAutoHyphens w:val="0"/>
        <w:spacing w:after="240"/>
        <w:ind w:left="1638"/>
        <w:jc w:val="both"/>
        <w:rPr>
          <w:rFonts w:cs="Arial"/>
          <w:color w:val="000000"/>
          <w:szCs w:val="20"/>
        </w:rPr>
      </w:pPr>
      <w:r>
        <w:rPr>
          <w:rFonts w:cs="Arial"/>
          <w:color w:val="000000"/>
          <w:szCs w:val="20"/>
        </w:rPr>
        <w:t>A concessão de efeito suspensivo à impugnação é medida excepcional e deverá ser motivada pelo pregoeiro, nos autos do processo de licitação.</w:t>
      </w:r>
    </w:p>
    <w:p>
      <w:pPr>
        <w:numPr>
          <w:ilvl w:val="1"/>
          <w:numId w:val="9"/>
        </w:numPr>
        <w:suppressAutoHyphens w:val="0"/>
        <w:spacing w:before="120" w:after="120" w:line="276" w:lineRule="auto"/>
        <w:ind w:left="1141"/>
        <w:jc w:val="both"/>
        <w:rPr>
          <w:rFonts w:cs="Arial"/>
          <w:szCs w:val="20"/>
        </w:rPr>
      </w:pPr>
      <w:r>
        <w:rPr>
          <w:rFonts w:cs="Arial"/>
          <w:szCs w:val="20"/>
        </w:rPr>
        <w:t>As respostas aos pedidos de esclarecimentos serão divulgadas pelo sistema e vincularão os participantes e a Administração.</w:t>
      </w:r>
    </w:p>
    <w:p>
      <w:pPr>
        <w:spacing w:before="120" w:after="120" w:line="276" w:lineRule="auto"/>
        <w:ind w:left="1141"/>
        <w:jc w:val="both"/>
        <w:rPr>
          <w:rFonts w:cs="Arial"/>
          <w:szCs w:val="20"/>
        </w:rPr>
      </w:pPr>
    </w:p>
    <w:p>
      <w:pPr>
        <w:pStyle w:val="477"/>
        <w:numPr>
          <w:ilvl w:val="0"/>
          <w:numId w:val="8"/>
        </w:numPr>
        <w:ind w:left="0" w:firstLine="0"/>
        <w:rPr>
          <w:rFonts w:ascii="Arial" w:hAnsi="Arial" w:cs="Arial"/>
        </w:rPr>
      </w:pPr>
      <w:r>
        <w:rPr>
          <w:rFonts w:ascii="Arial" w:hAnsi="Arial" w:cs="Arial"/>
        </w:rPr>
        <w:t>DAS DISPOSIÇÕES GERAIS</w:t>
      </w:r>
    </w:p>
    <w:p>
      <w:pPr>
        <w:rPr>
          <w:rFonts w:cs="Arial"/>
          <w:szCs w:val="20"/>
        </w:rPr>
      </w:pPr>
    </w:p>
    <w:p>
      <w:pPr>
        <w:numPr>
          <w:ilvl w:val="1"/>
          <w:numId w:val="9"/>
        </w:numPr>
        <w:suppressAutoHyphens w:val="0"/>
        <w:spacing w:before="120" w:after="120" w:line="276" w:lineRule="auto"/>
        <w:ind w:left="1141"/>
        <w:jc w:val="both"/>
        <w:rPr>
          <w:rFonts w:cs="Arial"/>
          <w:szCs w:val="20"/>
        </w:rPr>
      </w:pPr>
      <w:r>
        <w:rPr>
          <w:rFonts w:cs="Arial"/>
          <w:szCs w:val="20"/>
        </w:rPr>
        <w:t>Da sessão pública do Pregão divulgar-se-á Ata no sistema eletrônico.</w:t>
      </w:r>
    </w:p>
    <w:p>
      <w:pPr>
        <w:numPr>
          <w:ilvl w:val="1"/>
          <w:numId w:val="9"/>
        </w:numPr>
        <w:suppressAutoHyphens w:val="0"/>
        <w:spacing w:before="120" w:after="120" w:line="276" w:lineRule="auto"/>
        <w:ind w:left="1141"/>
        <w:jc w:val="both"/>
        <w:rPr>
          <w:rFonts w:cs="Arial"/>
          <w:szCs w:val="20"/>
        </w:rPr>
      </w:pPr>
      <w:r>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9"/>
        </w:numPr>
        <w:suppressAutoHyphens w:val="0"/>
        <w:spacing w:before="120" w:after="120" w:line="276" w:lineRule="auto"/>
        <w:ind w:left="1141"/>
        <w:jc w:val="both"/>
        <w:rPr>
          <w:rFonts w:cs="Arial"/>
          <w:szCs w:val="20"/>
        </w:rPr>
      </w:pPr>
      <w:r>
        <w:rPr>
          <w:rFonts w:cs="Arial"/>
          <w:szCs w:val="20"/>
        </w:rPr>
        <w:t>Todas as referências de tempo no Edital, no aviso e durante a sessão pública observarão o horário de Brasília – DF.</w:t>
      </w:r>
    </w:p>
    <w:p>
      <w:pPr>
        <w:numPr>
          <w:ilvl w:val="1"/>
          <w:numId w:val="9"/>
        </w:numPr>
        <w:suppressAutoHyphens w:val="0"/>
        <w:spacing w:before="120" w:after="120" w:line="276" w:lineRule="auto"/>
        <w:ind w:left="1141"/>
        <w:jc w:val="both"/>
        <w:rPr>
          <w:rFonts w:cs="Arial"/>
          <w:szCs w:val="20"/>
        </w:rPr>
      </w:pPr>
      <w:r>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9"/>
        </w:numPr>
        <w:suppressAutoHyphens w:val="0"/>
        <w:spacing w:before="120" w:after="120" w:line="276" w:lineRule="auto"/>
        <w:ind w:left="1141"/>
        <w:jc w:val="both"/>
        <w:rPr>
          <w:rFonts w:cs="Arial"/>
          <w:szCs w:val="20"/>
        </w:rPr>
      </w:pPr>
      <w:r>
        <w:rPr>
          <w:rFonts w:cs="Arial"/>
          <w:szCs w:val="20"/>
        </w:rPr>
        <w:t>A homologação do resultado desta licitação não implicará direito à contratação.</w:t>
      </w:r>
    </w:p>
    <w:p>
      <w:pPr>
        <w:numPr>
          <w:ilvl w:val="1"/>
          <w:numId w:val="9"/>
        </w:numPr>
        <w:suppressAutoHyphens w:val="0"/>
        <w:spacing w:before="120" w:after="120" w:line="276" w:lineRule="auto"/>
        <w:ind w:left="1141"/>
        <w:jc w:val="both"/>
        <w:rPr>
          <w:rFonts w:cs="Arial"/>
          <w:szCs w:val="20"/>
        </w:rPr>
      </w:pPr>
      <w:r>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9"/>
        </w:numPr>
        <w:suppressAutoHyphens w:val="0"/>
        <w:spacing w:before="120" w:after="120" w:line="276" w:lineRule="auto"/>
        <w:ind w:left="1141"/>
        <w:jc w:val="both"/>
        <w:rPr>
          <w:rFonts w:cs="Arial"/>
          <w:szCs w:val="20"/>
        </w:rPr>
      </w:pPr>
      <w:r>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9"/>
        </w:numPr>
        <w:suppressAutoHyphens w:val="0"/>
        <w:spacing w:before="120" w:after="120" w:line="276" w:lineRule="auto"/>
        <w:ind w:left="1141"/>
        <w:jc w:val="both"/>
        <w:rPr>
          <w:rFonts w:cs="Arial"/>
          <w:szCs w:val="20"/>
        </w:rPr>
      </w:pPr>
      <w:r>
        <w:rPr>
          <w:rFonts w:cs="Arial"/>
          <w:szCs w:val="20"/>
        </w:rPr>
        <w:t>Na contagem dos prazos estabelecidos neste Edital e seus Anexos, excluir-se-á o dia do início e incluir-se-á o do vencimento. Só se iniciam e vencem os prazos em dias de expediente na Administração.</w:t>
      </w:r>
    </w:p>
    <w:p>
      <w:pPr>
        <w:numPr>
          <w:ilvl w:val="1"/>
          <w:numId w:val="9"/>
        </w:numPr>
        <w:suppressAutoHyphens w:val="0"/>
        <w:spacing w:before="120" w:after="120" w:line="276" w:lineRule="auto"/>
        <w:ind w:left="1141"/>
        <w:jc w:val="both"/>
        <w:rPr>
          <w:rFonts w:cs="Arial"/>
          <w:szCs w:val="20"/>
        </w:rPr>
      </w:pPr>
      <w:r>
        <w:rPr>
          <w:rFonts w:cs="Arial"/>
          <w:szCs w:val="20"/>
        </w:rPr>
        <w:t>O desatendimento de exigências formais não essenciais não importará o afastamento do licitante, desde que seja possível o aproveitamento do ato, observados os princípios da isonomia e do interesse público.</w:t>
      </w:r>
    </w:p>
    <w:p>
      <w:pPr>
        <w:numPr>
          <w:ilvl w:val="1"/>
          <w:numId w:val="9"/>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pPr>
        <w:numPr>
          <w:ilvl w:val="1"/>
          <w:numId w:val="9"/>
        </w:numPr>
        <w:suppressAutoHyphens w:val="0"/>
        <w:spacing w:before="120" w:after="120" w:line="276" w:lineRule="auto"/>
        <w:ind w:left="1141"/>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9"/>
        </w:numPr>
        <w:suppressAutoHyphens w:val="0"/>
        <w:spacing w:before="120" w:after="120" w:line="276" w:lineRule="auto"/>
        <w:ind w:left="1141"/>
        <w:jc w:val="both"/>
        <w:rPr>
          <w:rFonts w:cs="Arial"/>
          <w:szCs w:val="20"/>
        </w:rPr>
      </w:pPr>
      <w:r>
        <w:rPr>
          <w:rFonts w:cs="Arial"/>
          <w:szCs w:val="20"/>
        </w:rPr>
        <w:t>Integram este Edital, para todos os fins e efeitos, os seguintes anexos:</w:t>
      </w:r>
    </w:p>
    <w:p>
      <w:pPr>
        <w:numPr>
          <w:ilvl w:val="2"/>
          <w:numId w:val="16"/>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 xml:space="preserve"> ANEXO I - Termo de Referência</w:t>
      </w:r>
    </w:p>
    <w:p>
      <w:pPr>
        <w:numPr>
          <w:ilvl w:val="2"/>
          <w:numId w:val="16"/>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pPr>
        <w:numPr>
          <w:ilvl w:val="2"/>
          <w:numId w:val="16"/>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I-B – Procedimento para Entregas de Materiais e Locais</w:t>
      </w:r>
    </w:p>
    <w:p>
      <w:pPr>
        <w:numPr>
          <w:ilvl w:val="2"/>
          <w:numId w:val="16"/>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I-C – Modelo de Indicação de Preposto</w:t>
      </w:r>
    </w:p>
    <w:p>
      <w:pPr>
        <w:numPr>
          <w:ilvl w:val="2"/>
          <w:numId w:val="16"/>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II – Modelo de Declaração Ambiental</w:t>
      </w:r>
    </w:p>
    <w:p>
      <w:pPr>
        <w:numPr>
          <w:ilvl w:val="2"/>
          <w:numId w:val="16"/>
        </w:numPr>
        <w:suppressAutoHyphens w:val="0"/>
        <w:spacing w:before="120" w:after="120" w:line="276" w:lineRule="auto"/>
        <w:ind w:left="1638"/>
        <w:jc w:val="both"/>
        <w:rPr>
          <w:rFonts w:cs="Arial"/>
          <w:color w:val="000000"/>
          <w:szCs w:val="20"/>
        </w:rPr>
      </w:pPr>
      <w:r>
        <w:rPr>
          <w:rFonts w:cs="Arial"/>
          <w:color w:val="000000"/>
          <w:szCs w:val="20"/>
        </w:rPr>
        <w:t>ANEXO III – Minuta de Ata de Registro de Preços;</w:t>
      </w:r>
    </w:p>
    <w:p>
      <w:pPr>
        <w:numPr>
          <w:ilvl w:val="2"/>
          <w:numId w:val="16"/>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pPr>
        <w:suppressAutoHyphens w:val="0"/>
        <w:spacing w:before="120" w:after="120" w:line="276" w:lineRule="auto"/>
        <w:ind w:left="1638"/>
        <w:jc w:val="both"/>
        <w:rPr>
          <w:rFonts w:cs="Arial"/>
          <w:color w:val="000000"/>
          <w:szCs w:val="20"/>
        </w:rPr>
      </w:pPr>
    </w:p>
    <w:p>
      <w:pPr>
        <w:spacing w:before="240" w:after="240" w:line="276" w:lineRule="auto"/>
        <w:ind w:left="360" w:right="-15" w:firstLine="709"/>
        <w:rPr>
          <w:rFonts w:cs="Arial"/>
          <w:color w:val="000000"/>
          <w:szCs w:val="20"/>
        </w:rPr>
      </w:pPr>
    </w:p>
    <w:p>
      <w:pPr>
        <w:spacing w:before="240" w:after="240" w:line="276" w:lineRule="auto"/>
        <w:ind w:left="360" w:right="-15" w:firstLine="709"/>
        <w:jc w:val="center"/>
        <w:rPr>
          <w:rFonts w:cs="Arial"/>
          <w:color w:val="000000"/>
          <w:szCs w:val="20"/>
        </w:rPr>
      </w:pPr>
      <w:r>
        <w:rPr>
          <w:rFonts w:cs="Arial"/>
          <w:color w:val="000000"/>
          <w:szCs w:val="20"/>
        </w:rPr>
        <w:t>Niterói, 18 de fevereiro de 2021.</w:t>
      </w:r>
    </w:p>
    <w:p>
      <w:pPr>
        <w:spacing w:before="240" w:after="240" w:line="276" w:lineRule="auto"/>
        <w:ind w:right="-15" w:firstLine="709"/>
        <w:jc w:val="both"/>
        <w:rPr>
          <w:rFonts w:cs="Arial"/>
          <w:color w:val="000000"/>
          <w:szCs w:val="20"/>
        </w:rPr>
      </w:pPr>
    </w:p>
    <w:p>
      <w:pPr>
        <w:pStyle w:val="479"/>
        <w:ind w:firstLine="709"/>
        <w:jc w:val="center"/>
        <w:rPr>
          <w:b/>
          <w:color w:val="000000"/>
        </w:rPr>
      </w:pPr>
      <w:r>
        <w:rPr>
          <w:b/>
          <w:color w:val="000000"/>
        </w:rPr>
        <w:t>Hellen de Lima Medeiros da Silva</w:t>
      </w:r>
    </w:p>
    <w:p>
      <w:pPr>
        <w:pStyle w:val="479"/>
        <w:ind w:firstLine="709"/>
        <w:jc w:val="center"/>
        <w:rPr>
          <w:b/>
          <w:bCs/>
          <w:color w:val="000000"/>
        </w:rPr>
      </w:pPr>
      <w:r>
        <w:rPr>
          <w:b/>
          <w:color w:val="000000"/>
        </w:rPr>
        <w:t>Membro da CLI</w:t>
      </w:r>
    </w:p>
    <w:p>
      <w:pPr>
        <w:spacing w:after="120" w:line="276" w:lineRule="auto"/>
        <w:ind w:right="-15"/>
        <w:jc w:val="center"/>
        <w:rPr>
          <w:rFonts w:asciiTheme="minorHAnsi" w:hAnsiTheme="minorHAnsi" w:cstheme="minorHAnsi"/>
          <w:b/>
          <w:bCs/>
          <w:color w:val="000000"/>
          <w:sz w:val="22"/>
          <w:szCs w:val="22"/>
        </w:rPr>
      </w:pPr>
    </w:p>
    <w:sectPr>
      <w:headerReference r:id="rId3" w:type="default"/>
      <w:footerReference r:id="rId4" w:type="default"/>
      <w:pgSz w:w="11906" w:h="16838"/>
      <w:pgMar w:top="-1276" w:right="1077" w:bottom="1702" w:left="1077" w:header="142"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 w:name="StarSymbol">
    <w:altName w:val="MS Mincho"/>
    <w:panose1 w:val="00000000000000000000"/>
    <w:charset w:val="80"/>
    <w:family w:val="auto"/>
    <w:pitch w:val="default"/>
    <w:sig w:usb0="00000000" w:usb1="00000000" w:usb2="00000000" w:usb3="00000000" w:csb0="00000000" w:csb1="00000000"/>
  </w:font>
  <w:font w:name="OpenSymbol">
    <w:panose1 w:val="05010000000000000000"/>
    <w:charset w:val="00"/>
    <w:family w:val="auto"/>
    <w:pitch w:val="default"/>
    <w:sig w:usb0="800000AF" w:usb1="1001ECEA"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Segoe Print"/>
    <w:panose1 w:val="00000000000000000000"/>
    <w:charset w:val="00"/>
    <w:family w:val="roman"/>
    <w:pitch w:val="default"/>
    <w:sig w:usb0="00000000" w:usb1="00000000" w:usb2="00000000" w:usb3="00000000" w:csb0="00000000" w:csb1="00000000"/>
  </w:font>
  <w:font w:name="Zurich BT">
    <w:altName w:val="Segoe Print"/>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rPr>
        <w:i/>
      </w:rPr>
    </w:pP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2</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22</w:t>
    </w:r>
    <w:r>
      <w:rPr>
        <w:rStyle w:val="18"/>
        <w:rFonts w:ascii="Verdana" w:hAnsi="Verdana" w:eastAsia="MS Gothic"/>
        <w:sz w:val="16"/>
        <w:szCs w:val="16"/>
      </w:rPr>
      <w:fldChar w:fldCharType="end"/>
    </w:r>
  </w:p>
  <w:p>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rPr>
        <w:rFonts w:ascii="Verdana" w:hAnsi="Verdana"/>
        <w:sz w:val="16"/>
        <w:szCs w:val="16"/>
      </w:rPr>
    </w:pPr>
  </w:p>
  <w:p>
    <w:pPr>
      <w:pStyle w:val="29"/>
      <w:jc w:val="right"/>
      <w:rPr>
        <w:rFonts w:ascii="Verdana" w:hAnsi="Verdana"/>
        <w:sz w:val="16"/>
        <w:szCs w:val="16"/>
      </w:rPr>
    </w:pPr>
  </w:p>
  <w:p>
    <w:pPr>
      <w:pStyle w:val="29"/>
      <w:jc w:val="right"/>
      <w:rPr>
        <w:rFonts w:ascii="Verdana" w:hAnsi="Verdana"/>
        <w:sz w:val="16"/>
        <w:szCs w:val="16"/>
      </w:rPr>
    </w:pPr>
    <w:r>
      <w:rPr>
        <w:rFonts w:ascii="Verdana" w:hAnsi="Verdana"/>
        <w:sz w:val="16"/>
        <w:szCs w:val="16"/>
      </w:rPr>
      <w:t>Fls.__________</w:t>
    </w:r>
  </w:p>
  <w:p>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t>Processo n.º 23069.151740/2021-57</w:t>
    </w:r>
  </w:p>
  <w:p>
    <w:pPr>
      <w:pStyle w:val="29"/>
      <w:jc w:val="right"/>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7608A9"/>
    <w:multiLevelType w:val="multilevel"/>
    <w:tmpl w:val="0D7608A9"/>
    <w:lvl w:ilvl="0" w:tentative="0">
      <w:start w:val="13"/>
      <w:numFmt w:val="decimal"/>
      <w:lvlText w:val="%1"/>
      <w:lvlJc w:val="left"/>
      <w:pPr>
        <w:ind w:left="360" w:hanging="360"/>
      </w:pPr>
      <w:rPr>
        <w:rFonts w:hint="default"/>
      </w:rPr>
    </w:lvl>
    <w:lvl w:ilvl="1" w:tentative="0">
      <w:start w:val="1"/>
      <w:numFmt w:val="decimal"/>
      <w:lvlText w:val="%1.%2"/>
      <w:lvlJc w:val="left"/>
      <w:pPr>
        <w:ind w:left="927" w:hanging="360"/>
      </w:pPr>
      <w:rPr>
        <w:rFonts w:hint="default"/>
        <w:strike w:val="0"/>
      </w:rPr>
    </w:lvl>
    <w:lvl w:ilvl="2" w:tentative="0">
      <w:start w:val="1"/>
      <w:numFmt w:val="decimal"/>
      <w:lvlText w:val="%1.%2.%3"/>
      <w:lvlJc w:val="left"/>
      <w:pPr>
        <w:ind w:left="1288" w:hanging="720"/>
      </w:pPr>
      <w:rPr>
        <w:rFonts w:hint="default"/>
      </w:rPr>
    </w:lvl>
    <w:lvl w:ilvl="3" w:tentative="0">
      <w:start w:val="1"/>
      <w:numFmt w:val="decimal"/>
      <w:lvlText w:val="%1.%2.%3.%4"/>
      <w:lvlJc w:val="left"/>
      <w:pPr>
        <w:ind w:left="1572" w:hanging="720"/>
      </w:pPr>
      <w:rPr>
        <w:rFonts w:hint="default"/>
      </w:rPr>
    </w:lvl>
    <w:lvl w:ilvl="4" w:tentative="0">
      <w:start w:val="1"/>
      <w:numFmt w:val="decimal"/>
      <w:lvlText w:val="%1.%2.%3.%4.%5"/>
      <w:lvlJc w:val="left"/>
      <w:pPr>
        <w:ind w:left="2216" w:hanging="1080"/>
      </w:pPr>
      <w:rPr>
        <w:rFonts w:hint="default"/>
      </w:rPr>
    </w:lvl>
    <w:lvl w:ilvl="5" w:tentative="0">
      <w:start w:val="1"/>
      <w:numFmt w:val="decimal"/>
      <w:lvlText w:val="%1.%2.%3.%4.%5.%6"/>
      <w:lvlJc w:val="left"/>
      <w:pPr>
        <w:ind w:left="2500" w:hanging="1080"/>
      </w:pPr>
      <w:rPr>
        <w:rFonts w:hint="default"/>
      </w:rPr>
    </w:lvl>
    <w:lvl w:ilvl="6" w:tentative="0">
      <w:start w:val="1"/>
      <w:numFmt w:val="decimal"/>
      <w:lvlText w:val="%1.%2.%3.%4.%5.%6.%7"/>
      <w:lvlJc w:val="left"/>
      <w:pPr>
        <w:ind w:left="3144" w:hanging="1440"/>
      </w:pPr>
      <w:rPr>
        <w:rFonts w:hint="default"/>
      </w:rPr>
    </w:lvl>
    <w:lvl w:ilvl="7" w:tentative="0">
      <w:start w:val="1"/>
      <w:numFmt w:val="decimal"/>
      <w:lvlText w:val="%1.%2.%3.%4.%5.%6.%7.%8"/>
      <w:lvlJc w:val="left"/>
      <w:pPr>
        <w:ind w:left="3428" w:hanging="1440"/>
      </w:pPr>
      <w:rPr>
        <w:rFonts w:hint="default"/>
      </w:rPr>
    </w:lvl>
    <w:lvl w:ilvl="8" w:tentative="0">
      <w:start w:val="1"/>
      <w:numFmt w:val="decimal"/>
      <w:lvlText w:val="%1.%2.%3.%4.%5.%6.%7.%8.%9"/>
      <w:lvlJc w:val="left"/>
      <w:pPr>
        <w:ind w:left="4072" w:hanging="1800"/>
      </w:pPr>
      <w:rPr>
        <w:rFonts w:hint="default"/>
      </w:rPr>
    </w:lvl>
  </w:abstractNum>
  <w:abstractNum w:abstractNumId="1">
    <w:nsid w:val="1D5C100D"/>
    <w:multiLevelType w:val="multilevel"/>
    <w:tmpl w:val="1D5C100D"/>
    <w:lvl w:ilvl="0" w:tentative="0">
      <w:start w:val="1"/>
      <w:numFmt w:val="decimal"/>
      <w:lvlText w:val="%1."/>
      <w:lvlJc w:val="left"/>
      <w:pPr>
        <w:ind w:left="360" w:hanging="360"/>
      </w:pPr>
      <w:rPr>
        <w:rFonts w:hint="default"/>
        <w:b/>
        <w:color w:val="auto"/>
      </w:rPr>
    </w:lvl>
    <w:lvl w:ilvl="1" w:tentative="0">
      <w:start w:val="1"/>
      <w:numFmt w:val="decimal"/>
      <w:lvlText w:val="%1.%2."/>
      <w:lvlJc w:val="left"/>
      <w:pPr>
        <w:ind w:left="716" w:hanging="432"/>
      </w:pPr>
      <w:rPr>
        <w:rFonts w:hint="default"/>
        <w:b w:val="0"/>
        <w:i w:val="0"/>
        <w:strike w:val="0"/>
        <w:color w:val="auto"/>
      </w:rPr>
    </w:lvl>
    <w:lvl w:ilvl="2" w:tentative="0">
      <w:start w:val="1"/>
      <w:numFmt w:val="decimal"/>
      <w:lvlText w:val="%1.%2.%3."/>
      <w:lvlJc w:val="left"/>
      <w:pPr>
        <w:ind w:left="930" w:hanging="504"/>
      </w:pPr>
      <w:rPr>
        <w:rFonts w:hint="default"/>
        <w:b w:val="0"/>
        <w:i w:val="0"/>
        <w:strike w:val="0"/>
        <w:color w:val="auto"/>
      </w:rPr>
    </w:lvl>
    <w:lvl w:ilvl="3" w:tentative="0">
      <w:start w:val="1"/>
      <w:numFmt w:val="decimal"/>
      <w:lvlText w:val="%1.%2.%3.%4."/>
      <w:lvlJc w:val="left"/>
      <w:pPr>
        <w:ind w:left="2491" w:hanging="648"/>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346250F7"/>
    <w:multiLevelType w:val="multilevel"/>
    <w:tmpl w:val="346250F7"/>
    <w:lvl w:ilvl="0" w:tentative="0">
      <w:start w:val="6"/>
      <w:numFmt w:val="decimal"/>
      <w:lvlText w:val="%1"/>
      <w:lvlJc w:val="left"/>
      <w:pPr>
        <w:ind w:left="360" w:hanging="360"/>
      </w:pPr>
      <w:rPr>
        <w:rFonts w:hint="default"/>
      </w:rPr>
    </w:lvl>
    <w:lvl w:ilvl="1" w:tentative="0">
      <w:start w:val="1"/>
      <w:numFmt w:val="decimal"/>
      <w:lvlText w:val="%1.%2"/>
      <w:lvlJc w:val="left"/>
      <w:pPr>
        <w:ind w:left="785" w:hanging="360"/>
      </w:pPr>
      <w:rPr>
        <w:rFonts w:hint="default"/>
      </w:rPr>
    </w:lvl>
    <w:lvl w:ilvl="2" w:tentative="0">
      <w:start w:val="1"/>
      <w:numFmt w:val="decimal"/>
      <w:lvlText w:val="%1.%2.%3"/>
      <w:lvlJc w:val="left"/>
      <w:pPr>
        <w:ind w:left="1712" w:hanging="720"/>
      </w:pPr>
      <w:rPr>
        <w:rFonts w:hint="default"/>
      </w:rPr>
    </w:lvl>
    <w:lvl w:ilvl="3" w:tentative="0">
      <w:start w:val="1"/>
      <w:numFmt w:val="decimal"/>
      <w:lvlText w:val="%1.%2.%3.%4"/>
      <w:lvlJc w:val="left"/>
      <w:pPr>
        <w:ind w:left="2208" w:hanging="720"/>
      </w:pPr>
      <w:rPr>
        <w:rFonts w:hint="default"/>
      </w:rPr>
    </w:lvl>
    <w:lvl w:ilvl="4" w:tentative="0">
      <w:start w:val="1"/>
      <w:numFmt w:val="decimal"/>
      <w:lvlText w:val="%1.%2.%3.%4.%5"/>
      <w:lvlJc w:val="left"/>
      <w:pPr>
        <w:ind w:left="3064" w:hanging="1080"/>
      </w:pPr>
      <w:rPr>
        <w:rFonts w:hint="default"/>
      </w:rPr>
    </w:lvl>
    <w:lvl w:ilvl="5" w:tentative="0">
      <w:start w:val="1"/>
      <w:numFmt w:val="decimal"/>
      <w:lvlText w:val="%1.%2.%3.%4.%5.%6"/>
      <w:lvlJc w:val="left"/>
      <w:pPr>
        <w:ind w:left="3560" w:hanging="1080"/>
      </w:pPr>
      <w:rPr>
        <w:rFonts w:hint="default"/>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4">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8">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7"/>
  </w:num>
  <w:num w:numId="3">
    <w:abstractNumId w:val="8"/>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
  </w:num>
  <w:num w:numId="8">
    <w:abstractNumId w:val="1"/>
  </w:num>
  <w:num w:numId="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lvlOverride w:ilvl="0">
      <w:startOverride w:val="9"/>
    </w:lvlOverride>
    <w:lvlOverride w:ilvl="1">
      <w:startOverride w:val="13"/>
    </w:lvlOverride>
    <w:lvlOverride w:ilvl="2">
      <w:startOverride w:val="1"/>
    </w:lvlOverride>
  </w:num>
  <w:num w:numId="12">
    <w:abstractNumId w:val="1"/>
    <w:lvlOverride w:ilvl="0">
      <w:startOverride w:val="8"/>
    </w:lvlOverride>
    <w:lvlOverride w:ilvl="1">
      <w:startOverride w:val="1"/>
    </w:lvlOverride>
  </w:num>
  <w:num w:numId="13">
    <w:abstractNumId w:val="1"/>
    <w:lvlOverride w:ilvl="0">
      <w:startOverride w:val="9"/>
    </w:lvlOverride>
    <w:lvlOverride w:ilvl="1">
      <w:startOverride w:val="5"/>
    </w:lvlOverride>
  </w:num>
  <w:num w:numId="14">
    <w:abstractNumId w:val="0"/>
  </w:num>
  <w:num w:numId="15">
    <w:abstractNumId w:val="1"/>
    <w:lvlOverride w:ilvl="0">
      <w:startOverride w:val="20"/>
    </w:lvlOverride>
    <w:lvlOverride w:ilvl="1">
      <w:startOverride w:val="1"/>
    </w:lvlOverride>
  </w:num>
  <w:num w:numId="16">
    <w:abstractNumId w:val="1"/>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5406"/>
    <w:rsid w:val="00030F32"/>
    <w:rsid w:val="00040D39"/>
    <w:rsid w:val="000425AB"/>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22A72"/>
    <w:rsid w:val="00131CC6"/>
    <w:rsid w:val="00136505"/>
    <w:rsid w:val="0014109B"/>
    <w:rsid w:val="0014267B"/>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205EF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7E71"/>
    <w:rsid w:val="003205A6"/>
    <w:rsid w:val="0032139D"/>
    <w:rsid w:val="003277B5"/>
    <w:rsid w:val="003340A8"/>
    <w:rsid w:val="00335697"/>
    <w:rsid w:val="003369A6"/>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1CC1"/>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7259"/>
    <w:rsid w:val="004A1A69"/>
    <w:rsid w:val="004A40F3"/>
    <w:rsid w:val="004A73A7"/>
    <w:rsid w:val="004A7E41"/>
    <w:rsid w:val="004B175E"/>
    <w:rsid w:val="004B2287"/>
    <w:rsid w:val="004B5C84"/>
    <w:rsid w:val="004C1C27"/>
    <w:rsid w:val="004C7778"/>
    <w:rsid w:val="004D3151"/>
    <w:rsid w:val="004E1CA4"/>
    <w:rsid w:val="004E712D"/>
    <w:rsid w:val="004F5DCC"/>
    <w:rsid w:val="005006DB"/>
    <w:rsid w:val="00503B79"/>
    <w:rsid w:val="00513C95"/>
    <w:rsid w:val="005156AC"/>
    <w:rsid w:val="00521E1F"/>
    <w:rsid w:val="005262A8"/>
    <w:rsid w:val="00533F3F"/>
    <w:rsid w:val="00561155"/>
    <w:rsid w:val="005807EC"/>
    <w:rsid w:val="005853CE"/>
    <w:rsid w:val="0059066D"/>
    <w:rsid w:val="00591AA9"/>
    <w:rsid w:val="00593968"/>
    <w:rsid w:val="005A0B33"/>
    <w:rsid w:val="005B345F"/>
    <w:rsid w:val="005B3CB4"/>
    <w:rsid w:val="005B77C7"/>
    <w:rsid w:val="005C0748"/>
    <w:rsid w:val="005C41B6"/>
    <w:rsid w:val="005C6275"/>
    <w:rsid w:val="005D2655"/>
    <w:rsid w:val="005D7737"/>
    <w:rsid w:val="005E0B16"/>
    <w:rsid w:val="005E61FD"/>
    <w:rsid w:val="005F1219"/>
    <w:rsid w:val="005F39EB"/>
    <w:rsid w:val="005F6D6E"/>
    <w:rsid w:val="00602349"/>
    <w:rsid w:val="0061075F"/>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72F28"/>
    <w:rsid w:val="00782642"/>
    <w:rsid w:val="007856B1"/>
    <w:rsid w:val="007861D9"/>
    <w:rsid w:val="00792C4F"/>
    <w:rsid w:val="00792EFD"/>
    <w:rsid w:val="00793B30"/>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B2EDD"/>
    <w:rsid w:val="008C23FF"/>
    <w:rsid w:val="008C54E4"/>
    <w:rsid w:val="008C6744"/>
    <w:rsid w:val="008F3BD8"/>
    <w:rsid w:val="0090037C"/>
    <w:rsid w:val="00912689"/>
    <w:rsid w:val="00912FCC"/>
    <w:rsid w:val="00931304"/>
    <w:rsid w:val="009350A3"/>
    <w:rsid w:val="009367E3"/>
    <w:rsid w:val="00937A6A"/>
    <w:rsid w:val="00946A34"/>
    <w:rsid w:val="009502A0"/>
    <w:rsid w:val="00951247"/>
    <w:rsid w:val="0095513F"/>
    <w:rsid w:val="0096005B"/>
    <w:rsid w:val="00964702"/>
    <w:rsid w:val="00973203"/>
    <w:rsid w:val="00977481"/>
    <w:rsid w:val="00983271"/>
    <w:rsid w:val="009939E3"/>
    <w:rsid w:val="009A4E8F"/>
    <w:rsid w:val="009A60CB"/>
    <w:rsid w:val="009C1A02"/>
    <w:rsid w:val="009D761E"/>
    <w:rsid w:val="009D78DF"/>
    <w:rsid w:val="009E113C"/>
    <w:rsid w:val="009E6C92"/>
    <w:rsid w:val="009F2EB2"/>
    <w:rsid w:val="009F4470"/>
    <w:rsid w:val="00A000C4"/>
    <w:rsid w:val="00A05205"/>
    <w:rsid w:val="00A05241"/>
    <w:rsid w:val="00A21E8F"/>
    <w:rsid w:val="00A30A28"/>
    <w:rsid w:val="00A33729"/>
    <w:rsid w:val="00A45504"/>
    <w:rsid w:val="00A738FA"/>
    <w:rsid w:val="00A848A5"/>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525B8"/>
    <w:rsid w:val="00B53E28"/>
    <w:rsid w:val="00B54C7E"/>
    <w:rsid w:val="00B66F19"/>
    <w:rsid w:val="00B67441"/>
    <w:rsid w:val="00B72EE9"/>
    <w:rsid w:val="00B82EC1"/>
    <w:rsid w:val="00B85020"/>
    <w:rsid w:val="00B85C8F"/>
    <w:rsid w:val="00B8699E"/>
    <w:rsid w:val="00B9643D"/>
    <w:rsid w:val="00BB0870"/>
    <w:rsid w:val="00BB1363"/>
    <w:rsid w:val="00BB2478"/>
    <w:rsid w:val="00BB598F"/>
    <w:rsid w:val="00BB5BF1"/>
    <w:rsid w:val="00BC4F69"/>
    <w:rsid w:val="00BD6B2A"/>
    <w:rsid w:val="00BE2F47"/>
    <w:rsid w:val="00BE53BB"/>
    <w:rsid w:val="00BE591B"/>
    <w:rsid w:val="00BF0117"/>
    <w:rsid w:val="00C01D97"/>
    <w:rsid w:val="00C01F36"/>
    <w:rsid w:val="00C0241D"/>
    <w:rsid w:val="00C039A6"/>
    <w:rsid w:val="00C048DA"/>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A1729"/>
    <w:rsid w:val="00CA7FFB"/>
    <w:rsid w:val="00CB1FF1"/>
    <w:rsid w:val="00CB5F48"/>
    <w:rsid w:val="00CC30CC"/>
    <w:rsid w:val="00CD2701"/>
    <w:rsid w:val="00CD73CD"/>
    <w:rsid w:val="00CE00C9"/>
    <w:rsid w:val="00CE10B3"/>
    <w:rsid w:val="00CE1A91"/>
    <w:rsid w:val="00CE4C58"/>
    <w:rsid w:val="00CE626C"/>
    <w:rsid w:val="00CE7B83"/>
    <w:rsid w:val="00D03194"/>
    <w:rsid w:val="00D05C6A"/>
    <w:rsid w:val="00D11FB6"/>
    <w:rsid w:val="00D15CE1"/>
    <w:rsid w:val="00D166E7"/>
    <w:rsid w:val="00D20659"/>
    <w:rsid w:val="00D24004"/>
    <w:rsid w:val="00D40051"/>
    <w:rsid w:val="00D4570A"/>
    <w:rsid w:val="00D52F83"/>
    <w:rsid w:val="00D67028"/>
    <w:rsid w:val="00D72CFE"/>
    <w:rsid w:val="00D734D3"/>
    <w:rsid w:val="00D7605E"/>
    <w:rsid w:val="00D83B02"/>
    <w:rsid w:val="00D85391"/>
    <w:rsid w:val="00D901EE"/>
    <w:rsid w:val="00D902D6"/>
    <w:rsid w:val="00D91BDE"/>
    <w:rsid w:val="00D91FF9"/>
    <w:rsid w:val="00D92AC7"/>
    <w:rsid w:val="00D945C1"/>
    <w:rsid w:val="00DB435A"/>
    <w:rsid w:val="00DB6F67"/>
    <w:rsid w:val="00DC6924"/>
    <w:rsid w:val="00DD2714"/>
    <w:rsid w:val="00DE21C5"/>
    <w:rsid w:val="00DE596B"/>
    <w:rsid w:val="00DF5E89"/>
    <w:rsid w:val="00E03B99"/>
    <w:rsid w:val="00E1030D"/>
    <w:rsid w:val="00E1163C"/>
    <w:rsid w:val="00E11D1D"/>
    <w:rsid w:val="00E11FE7"/>
    <w:rsid w:val="00E13BBF"/>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 w:val="41427F8F"/>
  </w:rsids>
  <m:mathPr>
    <m:mathFont m:val="Cambria Math"/>
    <m:brkBin m:val="before"/>
    <m:brkBinSub m:val="--"/>
    <m:smallFrac m:val="1"/>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0" w:semiHidden="0" w:name="Table Grid"/>
    <w:lsdException w:uiPriority="0"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next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4"/>
    <w:unhideWhenUsed/>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0"/>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uiPriority w:val="0"/>
  </w:style>
  <w:style w:type="character" w:customStyle="1" w:styleId="258">
    <w:name w:val="Fonte parág. padrão2"/>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uiPriority w:val="0"/>
    <w:rPr>
      <w:rFonts w:ascii="Courier New" w:hAnsi="Courier New" w:cs="Courier New"/>
    </w:rPr>
  </w:style>
  <w:style w:type="character" w:customStyle="1" w:styleId="270">
    <w:name w:val="WW8Num18z2"/>
    <w:uiPriority w:val="0"/>
    <w:rPr>
      <w:rFonts w:ascii="Wingdings" w:hAnsi="Wingdings" w:cs="Wingdings"/>
    </w:rPr>
  </w:style>
  <w:style w:type="character" w:customStyle="1" w:styleId="271">
    <w:name w:val="WW8Num18z3"/>
    <w:uiPriority w:val="0"/>
  </w:style>
  <w:style w:type="character" w:customStyle="1" w:styleId="272">
    <w:name w:val="WW8Num18z4"/>
    <w:qFormat/>
    <w:uiPriority w:val="0"/>
  </w:style>
  <w:style w:type="character" w:customStyle="1" w:styleId="273">
    <w:name w:val="WW8Num18z5"/>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uiPriority w:val="0"/>
  </w:style>
  <w:style w:type="character" w:customStyle="1" w:styleId="277">
    <w:name w:val="WW8Num20z1"/>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uiPriority w:val="0"/>
    <w:pPr>
      <w:suppressLineNumbers/>
    </w:pPr>
    <w:rPr>
      <w:rFonts w:ascii="Times New Roman" w:hAnsi="Times New Roman" w:cs="Times New Roman"/>
      <w:sz w:val="24"/>
      <w:lang w:eastAsia="zh-CN"/>
    </w:rPr>
  </w:style>
  <w:style w:type="paragraph" w:customStyle="1" w:styleId="461">
    <w:name w:val="Table Heading"/>
    <w:basedOn w:val="460"/>
    <w:uiPriority w:val="0"/>
    <w:pPr>
      <w:jc w:val="center"/>
    </w:pPr>
    <w:rPr>
      <w:b/>
      <w:bCs/>
    </w:rPr>
  </w:style>
  <w:style w:type="paragraph" w:customStyle="1" w:styleId="462">
    <w:name w:val="Conteúdo da tabela"/>
    <w:basedOn w:val="1"/>
    <w:uiPriority w:val="0"/>
    <w:pPr>
      <w:suppressLineNumbers/>
    </w:pPr>
    <w:rPr>
      <w:rFonts w:ascii="Times New Roman" w:hAnsi="Times New Roman" w:cs="Times New Roman"/>
      <w:szCs w:val="20"/>
      <w:lang w:eastAsia="zh-CN"/>
    </w:rPr>
  </w:style>
  <w:style w:type="paragraph" w:customStyle="1" w:styleId="463">
    <w:name w:val="Título de tabela"/>
    <w:basedOn w:val="462"/>
    <w:uiPriority w:val="0"/>
    <w:pPr>
      <w:jc w:val="center"/>
    </w:pPr>
    <w:rPr>
      <w:b/>
      <w:bCs/>
    </w:rPr>
  </w:style>
  <w:style w:type="paragraph" w:customStyle="1" w:styleId="464">
    <w:name w:val="Conteúdo do quadro"/>
    <w:basedOn w:val="1"/>
    <w:uiPriority w:val="0"/>
    <w:rPr>
      <w:rFonts w:ascii="Times New Roman" w:hAnsi="Times New Roman" w:cs="Times New Roman"/>
      <w:szCs w:val="20"/>
      <w:lang w:eastAsia="zh-CN"/>
    </w:rPr>
  </w:style>
  <w:style w:type="paragraph" w:customStyle="1" w:styleId="465">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uiPriority w:val="0"/>
    <w:rPr>
      <w:rFonts w:ascii="Liberation Sans" w:hAnsi="Liberation Sans" w:eastAsia="Microsoft YaHei" w:cs="Mangal"/>
      <w:sz w:val="36"/>
      <w:szCs w:val="36"/>
      <w:lang w:eastAsia="zh-CN"/>
    </w:rPr>
  </w:style>
  <w:style w:type="paragraph" w:customStyle="1" w:styleId="470">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locked/>
    <w:uiPriority w:val="0"/>
    <w:rPr>
      <w:rFonts w:ascii="Arial" w:hAnsi="Arial" w:cs="Tahoma"/>
      <w:szCs w:val="24"/>
    </w:rPr>
  </w:style>
  <w:style w:type="character" w:customStyle="1" w:styleId="473">
    <w:name w:val="Corpo de texto 2 Char"/>
    <w:basedOn w:val="11"/>
    <w:link w:val="28"/>
    <w:uiPriority w:val="0"/>
  </w:style>
  <w:style w:type="character" w:customStyle="1" w:styleId="474">
    <w:name w:val="Recuo de corpo de texto 3 Char"/>
    <w:basedOn w:val="11"/>
    <w:link w:val="33"/>
    <w:uiPriority w:val="0"/>
    <w:rPr>
      <w:rFonts w:ascii="Arial" w:hAnsi="Arial" w:cs="Tahoma"/>
      <w:sz w:val="16"/>
      <w:szCs w:val="16"/>
    </w:rPr>
  </w:style>
  <w:style w:type="paragraph" w:customStyle="1" w:styleId="475">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Menção Pendente3"/>
    <w:basedOn w:val="11"/>
    <w:semiHidden/>
    <w:unhideWhenUsed/>
    <w:uiPriority w:val="99"/>
    <w:rPr>
      <w:color w:val="605E5C"/>
      <w:shd w:val="clear" w:color="auto" w:fill="E1DFDD"/>
    </w:rPr>
  </w:style>
  <w:style w:type="paragraph" w:customStyle="1" w:styleId="477">
    <w:name w:val="Nivel 01"/>
    <w:basedOn w:val="2"/>
    <w:next w:val="1"/>
    <w:link w:val="478"/>
    <w:qFormat/>
    <w:uiPriority w:val="0"/>
    <w:pPr>
      <w:tabs>
        <w:tab w:val="left" w:pos="567"/>
      </w:tabs>
      <w:suppressAutoHyphens w:val="0"/>
      <w:ind w:left="502" w:hanging="360"/>
      <w:jc w:val="both"/>
    </w:pPr>
    <w:rPr>
      <w:rFonts w:ascii="Ecofont_Spranq_eco_Sans" w:hAnsi="Ecofont_Spranq_eco_Sans" w:eastAsiaTheme="majorEastAsia"/>
      <w:b/>
      <w:bCs/>
      <w:color w:val="000000"/>
      <w:sz w:val="20"/>
      <w:szCs w:val="20"/>
    </w:rPr>
  </w:style>
  <w:style w:type="character" w:customStyle="1" w:styleId="478">
    <w:name w:val="Nivel 01 Char"/>
    <w:basedOn w:val="11"/>
    <w:link w:val="477"/>
    <w:uiPriority w:val="0"/>
    <w:rPr>
      <w:rFonts w:ascii="Ecofont_Spranq_eco_Sans" w:hAnsi="Ecofont_Spranq_eco_Sans" w:eastAsiaTheme="majorEastAsia"/>
      <w:b/>
      <w:bCs/>
      <w:color w:val="000000"/>
    </w:rPr>
  </w:style>
  <w:style w:type="paragraph" w:customStyle="1" w:styleId="479">
    <w:name w:val="LO-normal1"/>
    <w:qFormat/>
    <w:uiPriority w:val="0"/>
    <w:rPr>
      <w:rFonts w:ascii="Arial" w:hAnsi="Arial" w:eastAsia="Arial" w:cs="Arial"/>
      <w:lang w:val="pt-BR" w:eastAsia="zh-CN" w:bidi="hi-IN"/>
    </w:rPr>
  </w:style>
  <w:style w:type="character" w:customStyle="1" w:styleId="480">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7F1BBC-E1E0-45D3-A1C4-5BEAF514426A}">
  <ds:schemaRefs/>
</ds:datastoreItem>
</file>

<file path=docProps/app.xml><?xml version="1.0" encoding="utf-8"?>
<Properties xmlns="http://schemas.openxmlformats.org/officeDocument/2006/extended-properties" xmlns:vt="http://schemas.openxmlformats.org/officeDocument/2006/docPropsVTypes">
  <Template>Normal</Template>
  <Pages>22</Pages>
  <Words>9552</Words>
  <Characters>51581</Characters>
  <Lines>429</Lines>
  <Paragraphs>122</Paragraphs>
  <TotalTime>30</TotalTime>
  <ScaleCrop>false</ScaleCrop>
  <LinksUpToDate>false</LinksUpToDate>
  <CharactersWithSpaces>61011</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2021-01-26T15:53:00Z</dcterms:created>
  <dc:creator>Adriano</dc:creator>
  <cp:lastModifiedBy>UFF</cp:lastModifiedBy>
  <cp:lastPrinted>2020-07-24T15:40:00Z</cp:lastPrinted>
  <dcterms:modified xsi:type="dcterms:W3CDTF">2021-02-24T16:43:42Z</dcterms:modified>
  <dc:title>NOTAS EXPLICATIVAS</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1046-11.2.0.9984</vt:lpwstr>
  </property>
</Properties>
</file>