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sz w:val="22"/>
          <w:szCs w:val="22"/>
        </w:rPr>
      </w:pPr>
    </w:p>
    <w:tbl>
      <w:tblPr>
        <w:tblStyle w:val="80"/>
        <w:tblW w:w="9889"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943"/>
        <w:gridCol w:w="69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963" w:hRule="atLeast"/>
        </w:trPr>
        <w:tc>
          <w:tcPr>
            <w:tcW w:w="9889" w:type="dxa"/>
            <w:gridSpan w:val="2"/>
            <w:vAlign w:val="center"/>
          </w:tcPr>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spacing w:before="120" w:after="120"/>
              <w:ind w:left="624" w:hanging="567"/>
              <w:jc w:val="center"/>
              <w:rPr>
                <w:rFonts w:ascii="Verdana" w:hAnsi="Verdana" w:eastAsia="Verdana" w:cs="Verdana"/>
                <w:b/>
                <w:color w:val="FF0000"/>
                <w:sz w:val="32"/>
                <w:szCs w:val="32"/>
              </w:rPr>
            </w:pP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spacing w:before="120" w:after="120"/>
              <w:ind w:left="624" w:hanging="567"/>
              <w:jc w:val="center"/>
              <w:rPr>
                <w:rFonts w:ascii="Verdana" w:hAnsi="Verdana" w:eastAsia="Verdana" w:cs="Verdana"/>
                <w:b/>
                <w:color w:val="auto"/>
                <w:sz w:val="32"/>
                <w:szCs w:val="32"/>
              </w:rPr>
            </w:pPr>
            <w:r>
              <w:rPr>
                <w:rFonts w:ascii="Verdana" w:hAnsi="Verdana" w:eastAsia="Verdana" w:cs="Verdana"/>
                <w:b/>
                <w:color w:val="auto"/>
                <w:sz w:val="32"/>
                <w:szCs w:val="32"/>
              </w:rPr>
              <w:t>EDITAL DE LICITAÇÃO</w:t>
            </w:r>
            <w:r>
              <w:rPr>
                <w:rFonts w:ascii="Verdana" w:hAnsi="Verdana" w:eastAsia="Verdana" w:cs="Verdana"/>
                <w:b/>
                <w:color w:val="auto"/>
                <w:sz w:val="32"/>
                <w:szCs w:val="32"/>
              </w:rPr>
              <w:t xml:space="preserve"> </w:t>
            </w:r>
          </w:p>
          <w:p>
            <w:pPr>
              <w:pStyle w:val="2"/>
              <w:keepLines w:val="0"/>
              <w:numPr>
                <w:ilvl w:val="0"/>
                <w:numId w:val="3"/>
              </w:numPr>
              <w:spacing w:before="100" w:after="100"/>
              <w:jc w:val="center"/>
              <w:rPr>
                <w:rFonts w:ascii="Cambria" w:hAnsi="Cambria" w:eastAsia="Cambria" w:cs="Cambria"/>
                <w:color w:val="365F91"/>
                <w:sz w:val="32"/>
                <w:szCs w:val="32"/>
              </w:rPr>
            </w:pPr>
            <w:bookmarkStart w:id="0" w:name="_heading=h.3mr65tq7blqg" w:colFirst="0" w:colLast="0"/>
            <w:bookmarkEnd w:id="0"/>
            <w:r>
              <w:rPr>
                <w:rFonts w:ascii="Verdana" w:hAnsi="Verdana" w:eastAsia="Verdana" w:cs="Verdana"/>
                <w:color w:val="365F91"/>
                <w:sz w:val="20"/>
                <w:szCs w:val="20"/>
              </w:rPr>
              <w:t xml:space="preserve">PREGÃO ELETRÔNICO Nº </w:t>
            </w:r>
            <w:r>
              <w:rPr>
                <w:rFonts w:ascii="Verdana" w:hAnsi="Verdana" w:eastAsia="Verdana" w:cs="Verdana"/>
                <w:color w:val="365F91"/>
                <w:sz w:val="20"/>
                <w:szCs w:val="20"/>
                <w:lang w:val="pt-BR"/>
              </w:rPr>
              <w:t>63/2022</w:t>
            </w:r>
            <w:r>
              <w:rPr>
                <w:rFonts w:ascii="Verdana" w:hAnsi="Verdana" w:eastAsia="Verdana" w:cs="Verdana"/>
                <w:color w:val="365F91"/>
                <w:sz w:val="20"/>
                <w:szCs w:val="20"/>
              </w:rPr>
              <w:t>/AD</w:t>
            </w:r>
            <w:r>
              <w:drawing>
                <wp:anchor distT="0" distB="0" distL="0" distR="0" simplePos="0" relativeHeight="251659264" behindDoc="0" locked="0" layoutInCell="1" allowOverlap="1">
                  <wp:simplePos x="0" y="0"/>
                  <wp:positionH relativeFrom="column">
                    <wp:posOffset>4873625</wp:posOffset>
                  </wp:positionH>
                  <wp:positionV relativeFrom="paragraph">
                    <wp:posOffset>219075</wp:posOffset>
                  </wp:positionV>
                  <wp:extent cx="1200150" cy="409575"/>
                  <wp:effectExtent l="0" t="0" r="0" b="0"/>
                  <wp:wrapSquare wrapText="bothSides"/>
                  <wp:docPr id="10" name="image3.png" descr="BRASAO PROAD"/>
                  <wp:cNvGraphicFramePr/>
                  <a:graphic xmlns:a="http://schemas.openxmlformats.org/drawingml/2006/main">
                    <a:graphicData uri="http://schemas.openxmlformats.org/drawingml/2006/picture">
                      <pic:pic xmlns:pic="http://schemas.openxmlformats.org/drawingml/2006/picture">
                        <pic:nvPicPr>
                          <pic:cNvPr id="10" name="image3.png" descr="BRASAO PROAD"/>
                          <pic:cNvPicPr preferRelativeResize="0"/>
                        </pic:nvPicPr>
                        <pic:blipFill>
                          <a:blip r:embed="rId6"/>
                          <a:srcRect/>
                          <a:stretch>
                            <a:fillRect/>
                          </a:stretch>
                        </pic:blipFill>
                        <pic:spPr>
                          <a:xfrm>
                            <a:off x="0" y="0"/>
                            <a:ext cx="1200150" cy="409575"/>
                          </a:xfrm>
                          <a:prstGeom prst="rect">
                            <a:avLst/>
                          </a:prstGeom>
                        </pic:spPr>
                      </pic:pic>
                    </a:graphicData>
                  </a:graphic>
                </wp:anchor>
              </w:drawing>
            </w:r>
            <w:r>
              <w:drawing>
                <wp:anchor distT="0" distB="0" distL="0" distR="0" simplePos="0" relativeHeight="251660288" behindDoc="0" locked="0" layoutInCell="1" allowOverlap="1">
                  <wp:simplePos x="0" y="0"/>
                  <wp:positionH relativeFrom="column">
                    <wp:posOffset>304800</wp:posOffset>
                  </wp:positionH>
                  <wp:positionV relativeFrom="paragraph">
                    <wp:posOffset>219075</wp:posOffset>
                  </wp:positionV>
                  <wp:extent cx="898525" cy="483870"/>
                  <wp:effectExtent l="0" t="0" r="0" b="0"/>
                  <wp:wrapSquare wrapText="bothSides"/>
                  <wp:docPr id="8" name="image4.png" descr="BRASAO UFF2"/>
                  <wp:cNvGraphicFramePr/>
                  <a:graphic xmlns:a="http://schemas.openxmlformats.org/drawingml/2006/main">
                    <a:graphicData uri="http://schemas.openxmlformats.org/drawingml/2006/picture">
                      <pic:pic xmlns:pic="http://schemas.openxmlformats.org/drawingml/2006/picture">
                        <pic:nvPicPr>
                          <pic:cNvPr id="8" name="image4.png" descr="BRASAO UFF2"/>
                          <pic:cNvPicPr preferRelativeResize="0"/>
                        </pic:nvPicPr>
                        <pic:blipFill>
                          <a:blip r:embed="rId7"/>
                          <a:srcRect/>
                          <a:stretch>
                            <a:fillRect/>
                          </a:stretch>
                        </pic:blipFill>
                        <pic:spPr>
                          <a:xfrm>
                            <a:off x="0" y="0"/>
                            <a:ext cx="898525" cy="483870"/>
                          </a:xfrm>
                          <a:prstGeom prst="rect">
                            <a:avLst/>
                          </a:prstGeom>
                        </pic:spPr>
                      </pic:pic>
                    </a:graphicData>
                  </a:graphic>
                </wp:anchor>
              </w:drawing>
            </w:r>
          </w:p>
          <w:p>
            <w:pPr>
              <w:spacing w:before="100" w:after="100"/>
              <w:jc w:val="center"/>
              <w:rPr>
                <w:rFonts w:ascii="Verdana" w:hAnsi="Verdana" w:eastAsia="Verdana" w:cs="Verdana"/>
                <w:b/>
                <w:highlight w:val="cyan"/>
              </w:rPr>
            </w:pPr>
            <w:r>
              <w:rPr>
                <w:rFonts w:ascii="Verdana" w:hAnsi="Verdana" w:eastAsia="Verdana" w:cs="Verdana"/>
                <w:b/>
              </w:rPr>
              <w:t xml:space="preserve">SERVIÇOS CONTINUADOS COM DEDICAÇÃO </w:t>
            </w:r>
          </w:p>
          <w:p>
            <w:pPr>
              <w:spacing w:before="100" w:after="100"/>
              <w:jc w:val="center"/>
              <w:rPr>
                <w:rFonts w:ascii="Verdana" w:hAnsi="Verdana" w:eastAsia="Verdana" w:cs="Verdana"/>
                <w:b/>
                <w:sz w:val="16"/>
                <w:szCs w:val="16"/>
              </w:rPr>
            </w:pPr>
            <w:r>
              <w:rPr>
                <w:rFonts w:ascii="Verdana" w:hAnsi="Verdana" w:eastAsia="Verdana" w:cs="Verdana"/>
                <w:b/>
              </w:rPr>
              <w:t xml:space="preserve">PROCESSO Nº </w:t>
            </w:r>
            <w:r>
              <w:rPr>
                <w:rFonts w:ascii="Verdana" w:hAnsi="Verdana" w:eastAsia="Verdana" w:cs="Verdana"/>
                <w:b/>
                <w:lang w:val="pt-BR"/>
              </w:rPr>
              <w:t xml:space="preserve"> 23069.161952/2022-23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76" w:hRule="atLeast"/>
        </w:trPr>
        <w:tc>
          <w:tcPr>
            <w:tcW w:w="2943" w:type="dxa"/>
            <w:vAlign w:val="center"/>
          </w:tcPr>
          <w:p>
            <w:pPr>
              <w:spacing w:before="120" w:after="120"/>
              <w:ind w:left="624" w:hanging="567"/>
              <w:jc w:val="center"/>
            </w:pPr>
            <w:r>
              <w:rPr>
                <w:b/>
              </w:rPr>
              <w:t>OBJETO</w:t>
            </w:r>
          </w:p>
        </w:tc>
        <w:tc>
          <w:tcPr>
            <w:tcW w:w="6946" w:type="dxa"/>
            <w:vAlign w:val="bottom"/>
          </w:tcPr>
          <w:p>
            <w:p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 xml:space="preserve">O objeto da presente licitação é a escolha da proposta mais vantajosa para a </w:t>
            </w:r>
            <w:r>
              <w:rPr>
                <w:b/>
                <w:bCs/>
                <w:color w:val="000000"/>
                <w:lang w:val="pt-BR"/>
              </w:rPr>
              <w:t>Contratação de pessoa jurídica para a prestação de serviço com cessão de mão de obra, de apoio logístico e administrativo na Universidade Federal Fluminense,</w:t>
            </w:r>
            <w:r>
              <w:rPr>
                <w:color w:val="000000"/>
              </w:rPr>
              <w:t xml:space="preserve"> conforme condições, quantidades e exigências estabelecidas neste Edital e seus anexos.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3" w:hRule="atLeast"/>
        </w:trPr>
        <w:tc>
          <w:tcPr>
            <w:tcW w:w="2943" w:type="dxa"/>
            <w:vAlign w:val="center"/>
          </w:tcPr>
          <w:p>
            <w:pPr>
              <w:spacing w:before="120" w:after="120"/>
              <w:ind w:left="624" w:hanging="567"/>
              <w:jc w:val="center"/>
              <w:rPr>
                <w:b/>
              </w:rPr>
            </w:pPr>
            <w:r>
              <w:rPr>
                <w:b/>
              </w:rPr>
              <w:t>RECEBIMENTO DAS PROPOSTAS</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19"/>
              <w:jc w:val="both"/>
              <w:rPr>
                <w:color w:val="000000"/>
                <w:szCs w:val="20"/>
              </w:rPr>
            </w:pPr>
            <w:r>
              <w:rPr>
                <w:color w:val="000000"/>
                <w:szCs w:val="20"/>
              </w:rPr>
              <w:t xml:space="preserve">A partir da data de divulgação do Edital no site </w:t>
            </w:r>
            <w:r>
              <w:fldChar w:fldCharType="begin"/>
            </w:r>
            <w:r>
              <w:instrText xml:space="preserve"> HYPERLINK "https://www.gov.br/compras/pt-br" \h </w:instrText>
            </w:r>
            <w:r>
              <w:fldChar w:fldCharType="separate"/>
            </w:r>
            <w:r>
              <w:rPr>
                <w:i/>
                <w:szCs w:val="20"/>
                <w:u w:val="single"/>
              </w:rPr>
              <w:t>www.gov.br/compras</w:t>
            </w:r>
            <w:r>
              <w:rPr>
                <w:i/>
                <w:szCs w:val="20"/>
                <w:u w:val="single"/>
              </w:rPr>
              <w:fldChar w:fldCharType="end"/>
            </w:r>
            <w:r>
              <w:rPr>
                <w:color w:val="000000"/>
                <w:szCs w:val="20"/>
              </w:rPr>
              <w:t xml:space="preserve"> até a data e horário de realização da sessão pública.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04" w:hRule="atLeast"/>
        </w:trPr>
        <w:tc>
          <w:tcPr>
            <w:tcW w:w="2943" w:type="dxa"/>
            <w:vAlign w:val="center"/>
          </w:tcPr>
          <w:p>
            <w:pPr>
              <w:spacing w:before="120" w:after="120"/>
              <w:ind w:left="624" w:hanging="567"/>
              <w:jc w:val="center"/>
              <w:rPr>
                <w:b/>
              </w:rPr>
            </w:pPr>
            <w:r>
              <w:rPr>
                <w:b/>
              </w:rPr>
              <w:t>DATA ABERTURA DAS PROPOSTAS</w:t>
            </w:r>
          </w:p>
        </w:tc>
        <w:tc>
          <w:tcPr>
            <w:tcW w:w="6946" w:type="dxa"/>
            <w:vAlign w:val="center"/>
          </w:tcPr>
          <w:p>
            <w:pPr>
              <w:spacing w:before="120" w:after="120"/>
              <w:ind w:hanging="25"/>
              <w:jc w:val="both"/>
              <w:rPr>
                <w:rFonts w:hint="default"/>
                <w:b/>
                <w:bCs/>
                <w:highlight w:val="yellow"/>
                <w:lang w:val="pt-BR"/>
              </w:rPr>
            </w:pPr>
            <w:r>
              <w:t xml:space="preserve">Sessão Pública a ser realizada no endereço eletrônico informado no edital, às </w:t>
            </w:r>
            <w:r>
              <w:rPr>
                <w:rFonts w:hint="default"/>
                <w:b/>
                <w:bCs/>
                <w:lang w:val="pt-BR"/>
              </w:rPr>
              <w:t>10</w:t>
            </w:r>
            <w:r>
              <w:rPr>
                <w:rFonts w:hint="default"/>
                <w:b/>
                <w:bCs/>
                <w:lang w:val="pt-BR"/>
              </w:rPr>
              <w:t>h</w:t>
            </w:r>
            <w:r>
              <w:t xml:space="preserve"> do dia </w:t>
            </w:r>
            <w:r>
              <w:rPr>
                <w:rFonts w:hint="default"/>
                <w:b/>
                <w:bCs/>
                <w:lang w:val="pt-BR"/>
              </w:rPr>
              <w:t>13/JUN/2022</w:t>
            </w:r>
            <w:r>
              <w:rPr>
                <w:rFonts w:hint="default"/>
                <w:lang w:val="pt-B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42" w:hRule="atLeast"/>
        </w:trPr>
        <w:tc>
          <w:tcPr>
            <w:tcW w:w="2943" w:type="dxa"/>
            <w:vAlign w:val="center"/>
          </w:tcPr>
          <w:p>
            <w:pPr>
              <w:spacing w:before="120" w:after="120"/>
              <w:ind w:left="624" w:hanging="567"/>
              <w:jc w:val="center"/>
              <w:rPr>
                <w:b/>
              </w:rPr>
            </w:pPr>
            <w:r>
              <w:rPr>
                <w:b/>
              </w:rPr>
              <w:t>ENDEREÇO</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Universidade Federal Fluminense</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Pró-Reitoria de Administração</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Coordenação de Licitação</w:t>
            </w:r>
          </w:p>
          <w:p>
            <w:r>
              <w:t>UASG: 150182</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Rua Miguel de Frias n.º 09, Bairro Icaraí, Niterói - RJ</w:t>
            </w:r>
          </w:p>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color w:val="000000"/>
                <w:sz w:val="21"/>
                <w:szCs w:val="21"/>
              </w:rPr>
            </w:pPr>
            <w:r>
              <w:rPr>
                <w:color w:val="000000"/>
                <w:sz w:val="21"/>
                <w:szCs w:val="21"/>
              </w:rPr>
              <w:t>CEP: 24.220-900</w:t>
            </w:r>
          </w:p>
          <w:p>
            <w:pPr>
              <w:spacing w:before="120" w:after="120"/>
              <w:ind w:hanging="25"/>
              <w:jc w:val="both"/>
              <w:rPr>
                <w:b/>
                <w:color w:val="0000FF"/>
              </w:rPr>
            </w:pPr>
            <w:r>
              <w:t>E-mail:</w:t>
            </w:r>
            <w:r>
              <w:rPr>
                <w:b/>
                <w:color w:val="0000FF"/>
              </w:rPr>
              <w:t xml:space="preserve"> </w:t>
            </w:r>
            <w:r>
              <w:fldChar w:fldCharType="begin"/>
            </w:r>
            <w:r>
              <w:instrText xml:space="preserve"> HYPERLINK "mailto:cpl@id.uff.br" \h </w:instrText>
            </w:r>
            <w:r>
              <w:fldChar w:fldCharType="separate"/>
            </w:r>
            <w:r>
              <w:rPr>
                <w:b/>
                <w:color w:val="0000FF"/>
                <w:u w:val="single"/>
              </w:rPr>
              <w:t>cpl@id.uff.br</w:t>
            </w:r>
            <w:r>
              <w:rPr>
                <w:b/>
                <w:color w:val="0000FF"/>
                <w:u w:val="single"/>
              </w:rPr>
              <w:fldChar w:fldCharType="end"/>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TIPO DE LICITAÇÃO</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rFonts w:hint="default"/>
                <w:color w:val="000000"/>
                <w:sz w:val="21"/>
                <w:szCs w:val="21"/>
                <w:highlight w:val="yellow"/>
                <w:lang w:val="pt-BR"/>
              </w:rPr>
            </w:pPr>
            <w:r>
              <w:rPr>
                <w:color w:val="000000"/>
                <w:sz w:val="21"/>
                <w:szCs w:val="21"/>
              </w:rPr>
              <w:t xml:space="preserve">Menor preço </w:t>
            </w:r>
            <w:r>
              <w:rPr>
                <w:rFonts w:hint="default"/>
                <w:color w:val="000000"/>
                <w:sz w:val="21"/>
                <w:szCs w:val="21"/>
                <w:lang w:val="pt-BR"/>
              </w:rPr>
              <w:t>por grupo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ACESSO ELETRÔNICO AO EDITAL</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i/>
                <w:color w:val="0000FF"/>
                <w:sz w:val="21"/>
                <w:szCs w:val="21"/>
              </w:rPr>
            </w:pPr>
            <w:r>
              <w:fldChar w:fldCharType="begin"/>
            </w:r>
            <w:r>
              <w:instrText xml:space="preserve"> HYPERLINK "https://www.gov.br/compras/pt-br" \h </w:instrText>
            </w:r>
            <w:r>
              <w:fldChar w:fldCharType="separate"/>
            </w:r>
            <w:r>
              <w:rPr>
                <w:rFonts w:ascii="Cambria" w:hAnsi="Cambria" w:eastAsia="Cambria" w:cs="Cambria"/>
                <w:b/>
                <w:i/>
                <w:color w:val="0000FF"/>
                <w:sz w:val="21"/>
                <w:szCs w:val="21"/>
                <w:u w:val="single"/>
              </w:rPr>
              <w:t>www.gov.br/compras</w:t>
            </w:r>
            <w:r>
              <w:rPr>
                <w:rFonts w:ascii="Cambria" w:hAnsi="Cambria" w:eastAsia="Cambria" w:cs="Cambria"/>
                <w:b/>
                <w:i/>
                <w:color w:val="0000FF"/>
                <w:sz w:val="21"/>
                <w:szCs w:val="21"/>
                <w:u w:val="single"/>
              </w:rPr>
              <w:fldChar w:fldCharType="end"/>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PREGOEIRO</w:t>
            </w:r>
          </w:p>
        </w:tc>
        <w:tc>
          <w:tcPr>
            <w:tcW w:w="6946" w:type="dxa"/>
            <w:vAlign w:val="center"/>
          </w:tcPr>
          <w:p>
            <w:pPr>
              <w:keepNext/>
              <w:keepLines/>
              <w:pBdr>
                <w:top w:val="none" w:color="auto" w:sz="0" w:space="0"/>
                <w:left w:val="none" w:color="auto" w:sz="0" w:space="0"/>
                <w:bottom w:val="none" w:color="auto" w:sz="0" w:space="0"/>
                <w:right w:val="none" w:color="auto" w:sz="0" w:space="0"/>
                <w:between w:val="none" w:color="auto" w:sz="0" w:space="0"/>
              </w:pBdr>
              <w:spacing w:before="120" w:after="120"/>
              <w:ind w:hanging="25"/>
              <w:jc w:val="both"/>
              <w:rPr>
                <w:rFonts w:hint="default"/>
                <w:color w:val="000000"/>
                <w:sz w:val="21"/>
                <w:szCs w:val="21"/>
                <w:lang w:val="pt-BR"/>
              </w:rPr>
            </w:pPr>
            <w:r>
              <w:rPr>
                <w:rFonts w:hint="default"/>
                <w:color w:val="000000"/>
                <w:sz w:val="21"/>
                <w:szCs w:val="21"/>
                <w:lang w:val="pt-BR"/>
              </w:rPr>
              <w:t>Juliana P. Borsoi Richa</w:t>
            </w:r>
          </w:p>
        </w:tc>
      </w:tr>
    </w:tbl>
    <w:p>
      <w:pPr>
        <w:spacing w:after="120" w:line="276" w:lineRule="auto"/>
        <w:ind w:right="-17"/>
        <w:jc w:val="both"/>
        <w:rPr>
          <w:b/>
          <w:color w:val="000000"/>
        </w:rPr>
      </w:pPr>
    </w:p>
    <w:p>
      <w:pPr>
        <w:spacing w:after="120" w:line="276" w:lineRule="auto"/>
        <w:ind w:right="-17"/>
        <w:jc w:val="both"/>
        <w:rPr>
          <w:rFonts w:ascii="Verdana" w:hAnsi="Verdana" w:eastAsia="Verdana" w:cs="Verdana"/>
          <w:color w:val="000000"/>
          <w:sz w:val="18"/>
          <w:szCs w:val="18"/>
        </w:rPr>
      </w:pPr>
    </w:p>
    <w:p>
      <w:pPr>
        <w:spacing w:after="120" w:line="276" w:lineRule="auto"/>
        <w:ind w:right="-17"/>
        <w:jc w:val="both"/>
        <w:rPr>
          <w:rFonts w:ascii="Verdana" w:hAnsi="Verdana" w:eastAsia="Verdana" w:cs="Verdana"/>
          <w:color w:val="000000"/>
          <w:sz w:val="18"/>
          <w:szCs w:val="18"/>
        </w:rPr>
      </w:pPr>
    </w:p>
    <w:p>
      <w:pPr>
        <w:spacing w:after="120" w:line="276" w:lineRule="auto"/>
        <w:ind w:right="-17"/>
        <w:jc w:val="both"/>
        <w:rPr>
          <w:rFonts w:ascii="Verdana" w:hAnsi="Verdana" w:eastAsia="Verdana" w:cs="Verdana"/>
          <w:color w:val="000000"/>
          <w:sz w:val="18"/>
          <w:szCs w:val="18"/>
        </w:rPr>
      </w:pPr>
    </w:p>
    <w:p>
      <w:pPr>
        <w:spacing w:after="120" w:line="276" w:lineRule="auto"/>
        <w:ind w:right="-17"/>
        <w:jc w:val="both"/>
        <w:rPr>
          <w:rFonts w:ascii="Verdana" w:hAnsi="Verdana" w:eastAsia="Verdana" w:cs="Verdana"/>
          <w:color w:val="000000"/>
          <w:sz w:val="18"/>
          <w:szCs w:val="18"/>
        </w:rPr>
      </w:pPr>
      <w:r>
        <w:drawing>
          <wp:anchor distT="0" distB="0" distL="114300" distR="114300" simplePos="0" relativeHeight="251661312" behindDoc="0" locked="0" layoutInCell="1" allowOverlap="1">
            <wp:simplePos x="0" y="0"/>
            <wp:positionH relativeFrom="column">
              <wp:posOffset>2609850</wp:posOffset>
            </wp:positionH>
            <wp:positionV relativeFrom="paragraph">
              <wp:posOffset>153670</wp:posOffset>
            </wp:positionV>
            <wp:extent cx="640080" cy="628650"/>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7" name="image1.png"/>
                    <pic:cNvPicPr preferRelativeResize="0"/>
                  </pic:nvPicPr>
                  <pic:blipFill>
                    <a:blip r:embed="rId8"/>
                    <a:srcRect/>
                    <a:stretch>
                      <a:fillRect/>
                    </a:stretch>
                  </pic:blipFill>
                  <pic:spPr>
                    <a:xfrm>
                      <a:off x="0" y="0"/>
                      <a:ext cx="640080" cy="628650"/>
                    </a:xfrm>
                    <a:prstGeom prst="rect">
                      <a:avLst/>
                    </a:prstGeom>
                  </pic:spPr>
                </pic:pic>
              </a:graphicData>
            </a:graphic>
          </wp:anchor>
        </w:drawing>
      </w:r>
    </w:p>
    <w:p>
      <w:pPr>
        <w:spacing w:after="120" w:line="276" w:lineRule="auto"/>
        <w:ind w:right="-17"/>
        <w:jc w:val="both"/>
        <w:rPr>
          <w:rFonts w:ascii="Verdana" w:hAnsi="Verdana" w:eastAsia="Verdana" w:cs="Verdana"/>
          <w:color w:val="000000"/>
          <w:sz w:val="18"/>
          <w:szCs w:val="18"/>
        </w:rPr>
      </w:pPr>
      <w:r>
        <w:rPr>
          <w:rFonts w:ascii="Verdana" w:hAnsi="Verdana" w:eastAsia="Verdana" w:cs="Verdana"/>
          <w:color w:val="000000"/>
          <w:sz w:val="18"/>
          <w:szCs w:val="18"/>
        </w:rPr>
        <w:tab/>
      </w:r>
    </w:p>
    <w:p>
      <w:pPr>
        <w:rPr>
          <w:rFonts w:ascii="Verdana" w:hAnsi="Verdana" w:eastAsia="Verdana" w:cs="Verdana"/>
          <w:sz w:val="18"/>
          <w:szCs w:val="18"/>
        </w:rPr>
      </w:pPr>
    </w:p>
    <w:p>
      <w:pPr>
        <w:rPr>
          <w:rFonts w:ascii="Verdana" w:hAnsi="Verdana" w:eastAsia="Verdana" w:cs="Verdana"/>
          <w:sz w:val="18"/>
          <w:szCs w:val="18"/>
        </w:rPr>
      </w:pPr>
    </w:p>
    <w:p>
      <w:pPr>
        <w:tabs>
          <w:tab w:val="left" w:pos="6284"/>
        </w:tabs>
        <w:jc w:val="center"/>
        <w:rPr>
          <w:rFonts w:ascii="Verdana" w:hAnsi="Verdana" w:eastAsia="Verdana" w:cs="Verdana"/>
          <w:b/>
          <w:sz w:val="18"/>
          <w:szCs w:val="18"/>
        </w:rPr>
      </w:pPr>
    </w:p>
    <w:p>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pPr>
        <w:pStyle w:val="2"/>
        <w:spacing w:before="0"/>
        <w:jc w:val="center"/>
        <w:rPr>
          <w:rFonts w:ascii="Calibri" w:hAnsi="Calibri" w:eastAsia="Calibri" w:cs="Calibri"/>
          <w:b w:val="0"/>
          <w:color w:val="000000"/>
          <w:sz w:val="22"/>
          <w:szCs w:val="22"/>
        </w:rPr>
      </w:pPr>
      <w:r>
        <w:rPr>
          <w:rFonts w:ascii="Calibri" w:hAnsi="Calibri" w:eastAsia="Calibri" w:cs="Calibri"/>
          <w:color w:val="000000"/>
          <w:sz w:val="22"/>
          <w:szCs w:val="22"/>
        </w:rPr>
        <w:t>UNIVERSIDADE FEDERAL FLUMINENSE</w:t>
      </w:r>
    </w:p>
    <w:p>
      <w:pPr>
        <w:jc w:val="center"/>
        <w:rPr>
          <w:rFonts w:ascii="Calibri" w:hAnsi="Calibri" w:eastAsia="Calibri" w:cs="Calibri"/>
          <w:b/>
          <w:sz w:val="22"/>
          <w:szCs w:val="22"/>
        </w:rPr>
      </w:pPr>
      <w:r>
        <w:rPr>
          <w:rFonts w:ascii="Calibri" w:hAnsi="Calibri" w:eastAsia="Calibri" w:cs="Calibri"/>
          <w:b/>
          <w:sz w:val="22"/>
          <w:szCs w:val="22"/>
        </w:rPr>
        <w:t>PRÓ-REITORIA DE ADMINISTRAÇÃO</w:t>
      </w:r>
    </w:p>
    <w:p>
      <w:pPr>
        <w:jc w:val="center"/>
        <w:rPr>
          <w:rFonts w:ascii="Calibri" w:hAnsi="Calibri" w:eastAsia="Calibri" w:cs="Calibri"/>
          <w:b/>
          <w:sz w:val="22"/>
          <w:szCs w:val="22"/>
        </w:rPr>
      </w:pPr>
      <w:r>
        <w:rPr>
          <w:rFonts w:ascii="Calibri" w:hAnsi="Calibri" w:eastAsia="Calibri" w:cs="Calibri"/>
          <w:b/>
          <w:sz w:val="22"/>
          <w:szCs w:val="22"/>
        </w:rPr>
        <w:t>COORDENAÇÃO DE LICITAÇÃO</w:t>
      </w:r>
    </w:p>
    <w:p>
      <w:pPr>
        <w:jc w:val="center"/>
        <w:rPr>
          <w:rFonts w:ascii="Calibri" w:hAnsi="Calibri" w:eastAsia="Calibri" w:cs="Calibri"/>
          <w:b/>
          <w:sz w:val="22"/>
          <w:szCs w:val="22"/>
        </w:rPr>
      </w:pPr>
    </w:p>
    <w:p>
      <w:pPr>
        <w:jc w:val="center"/>
      </w:pPr>
    </w:p>
    <w:p>
      <w:pPr>
        <w:pBdr>
          <w:top w:val="none" w:color="auto" w:sz="0" w:space="0"/>
          <w:left w:val="none" w:color="auto" w:sz="0" w:space="0"/>
          <w:bottom w:val="none" w:color="auto" w:sz="0" w:space="0"/>
          <w:right w:val="none" w:color="auto" w:sz="0" w:space="0"/>
          <w:between w:val="none" w:color="auto" w:sz="0" w:space="0"/>
        </w:pBdr>
        <w:tabs>
          <w:tab w:val="left" w:pos="708"/>
          <w:tab w:val="center" w:pos="4252"/>
          <w:tab w:val="right" w:pos="8504"/>
        </w:tabs>
        <w:spacing w:before="100" w:after="100"/>
        <w:jc w:val="center"/>
        <w:rPr>
          <w:color w:val="auto"/>
        </w:rPr>
      </w:pPr>
      <w:r>
        <w:rPr>
          <w:rFonts w:hint="default" w:ascii="Verdana" w:hAnsi="Verdana" w:eastAsia="Verdana" w:cs="Verdana"/>
          <w:b/>
          <w:color w:val="auto"/>
          <w:lang w:val="pt-BR"/>
        </w:rPr>
        <w:t xml:space="preserve"> </w:t>
      </w:r>
      <w:r>
        <w:rPr>
          <w:rFonts w:ascii="Verdana" w:hAnsi="Verdana" w:eastAsia="Verdana" w:cs="Verdana"/>
          <w:b/>
          <w:color w:val="auto"/>
        </w:rPr>
        <w:t>EDITAL DE LICITAÇÃO</w:t>
      </w:r>
    </w:p>
    <w:p>
      <w:pPr>
        <w:spacing w:before="100" w:after="100"/>
        <w:jc w:val="center"/>
        <w:rPr>
          <w:rFonts w:ascii="Verdana" w:hAnsi="Verdana" w:eastAsia="Verdana" w:cs="Verdana"/>
          <w:b/>
          <w:highlight w:val="yellow"/>
        </w:rPr>
      </w:pPr>
      <w:r>
        <w:rPr>
          <w:rFonts w:ascii="Verdana" w:hAnsi="Verdana" w:eastAsia="Verdana" w:cs="Verdana"/>
          <w:b/>
        </w:rPr>
        <w:t xml:space="preserve">PREGÃO ELETRÔNICO Nº </w:t>
      </w:r>
      <w:r>
        <w:rPr>
          <w:rFonts w:hint="default" w:ascii="Verdana" w:hAnsi="Verdana" w:eastAsia="Verdana" w:cs="Verdana"/>
          <w:b/>
          <w:lang w:val="pt-BR"/>
        </w:rPr>
        <w:t>63/2022</w:t>
      </w:r>
      <w:r>
        <w:rPr>
          <w:rFonts w:ascii="Verdana" w:hAnsi="Verdana" w:eastAsia="Verdana" w:cs="Verdana"/>
          <w:b/>
        </w:rPr>
        <w:t>/AD</w:t>
      </w:r>
    </w:p>
    <w:p>
      <w:pPr>
        <w:spacing w:before="100" w:after="100"/>
        <w:jc w:val="center"/>
        <w:rPr>
          <w:rFonts w:ascii="Verdana" w:hAnsi="Verdana" w:eastAsia="Verdana" w:cs="Verdana"/>
          <w:b/>
        </w:rPr>
      </w:pPr>
      <w:r>
        <w:rPr>
          <w:rFonts w:ascii="Verdana" w:hAnsi="Verdana" w:eastAsia="Verdana" w:cs="Verdana"/>
          <w:b/>
        </w:rPr>
        <w:t>SERVIÇOS CONTINUADOS COM DEDICAÇÃO EXCLUSIVA DE MÃO DE OBRA</w:t>
      </w:r>
    </w:p>
    <w:p>
      <w:pPr>
        <w:spacing w:before="100" w:after="100"/>
        <w:jc w:val="center"/>
        <w:rPr>
          <w:rFonts w:hint="default" w:ascii="Verdana" w:hAnsi="Verdana" w:eastAsia="Verdana" w:cs="Verdana"/>
          <w:b/>
          <w:lang w:val="pt-BR"/>
        </w:rPr>
      </w:pPr>
      <w:r>
        <w:rPr>
          <w:rFonts w:ascii="Verdana" w:hAnsi="Verdana" w:eastAsia="Verdana" w:cs="Verdana"/>
          <w:b/>
        </w:rPr>
        <w:t xml:space="preserve">PROCESSO Nº </w:t>
      </w:r>
      <w:r>
        <w:rPr>
          <w:rFonts w:ascii="Verdana" w:hAnsi="Verdana" w:eastAsia="Verdana" w:cs="Verdana"/>
          <w:b/>
          <w:lang w:val="pt-BR"/>
        </w:rPr>
        <w:t xml:space="preserve"> 23069.161952/2022-23 </w:t>
      </w:r>
    </w:p>
    <w:p>
      <w:pPr>
        <w:spacing w:after="120" w:line="276" w:lineRule="auto"/>
        <w:ind w:right="-17"/>
        <w:jc w:val="both"/>
        <w:rPr>
          <w:b/>
          <w:color w:val="000000"/>
        </w:rPr>
      </w:pPr>
    </w:p>
    <w:p>
      <w:pPr>
        <w:spacing w:after="120" w:line="276" w:lineRule="auto"/>
        <w:ind w:right="-30" w:firstLine="540"/>
        <w:jc w:val="both"/>
        <w:rPr>
          <w:color w:val="000000"/>
        </w:rPr>
      </w:pPr>
      <w:r>
        <w:rPr>
          <w:color w:val="000000"/>
        </w:rPr>
        <w:t xml:space="preserve">Torna-se público que </w:t>
      </w:r>
      <w:r>
        <w:t xml:space="preserve">a Universidade Federal Fluminense por meio da Coordenação de Licitações da Pró-Reitoria de Administração, sediada à Rua Miguel de Frias, nº 9, 1º andar, Icaraí, Niterói - RJ, realizará licitação na modalidade PREGÃO, na forma ELETRÔNICA, com critério de julgamento </w:t>
      </w:r>
      <w:r>
        <w:rPr>
          <w:b/>
        </w:rPr>
        <w:t xml:space="preserve">menor preço </w:t>
      </w:r>
      <w:r>
        <w:rPr>
          <w:b/>
          <w:bCs/>
        </w:rPr>
        <w:t xml:space="preserve">por </w:t>
      </w:r>
      <w:r>
        <w:rPr>
          <w:rFonts w:hint="default"/>
          <w:b/>
          <w:bCs/>
          <w:lang w:val="pt-BR"/>
        </w:rPr>
        <w:t>grupo,</w:t>
      </w:r>
      <w:r>
        <w:t xml:space="preserve"> sob a forma de execução indireta, no regime de empreitada por preço unitário, </w:t>
      </w:r>
      <w:r>
        <w:rPr>
          <w:color w:val="000000"/>
        </w:rPr>
        <w:t xml:space="preserve">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pPr>
        <w:spacing w:line="276" w:lineRule="auto"/>
        <w:jc w:val="both"/>
        <w:rPr>
          <w:color w:val="000000"/>
        </w:rPr>
      </w:pPr>
    </w:p>
    <w:p>
      <w:pPr>
        <w:spacing w:line="276" w:lineRule="auto"/>
        <w:jc w:val="both"/>
        <w:rPr>
          <w:color w:val="000000"/>
        </w:rPr>
      </w:pPr>
    </w:p>
    <w:p>
      <w:pPr>
        <w:spacing w:line="276" w:lineRule="auto"/>
        <w:jc w:val="center"/>
        <w:rPr>
          <w:rFonts w:hint="default"/>
          <w:b/>
          <w:bCs/>
          <w:lang w:val="pt-BR"/>
        </w:rPr>
      </w:pPr>
      <w:r>
        <w:rPr>
          <w:color w:val="000000"/>
        </w:rPr>
        <w:t xml:space="preserve">Data da sessão: </w:t>
      </w:r>
      <w:r>
        <w:rPr>
          <w:rFonts w:hint="default"/>
          <w:b/>
          <w:bCs/>
          <w:lang w:val="pt-BR"/>
        </w:rPr>
        <w:t>13/JUN/2022</w:t>
      </w:r>
    </w:p>
    <w:p>
      <w:pPr>
        <w:spacing w:line="276" w:lineRule="auto"/>
        <w:jc w:val="center"/>
        <w:rPr>
          <w:rFonts w:hint="default"/>
          <w:lang w:val="pt-BR"/>
        </w:rPr>
      </w:pPr>
      <w:r>
        <w:rPr>
          <w:color w:val="000000"/>
        </w:rPr>
        <w:t xml:space="preserve">Horário: </w:t>
      </w:r>
      <w:r>
        <w:rPr>
          <w:rFonts w:hint="default"/>
          <w:b/>
          <w:bCs/>
          <w:color w:val="000000"/>
          <w:lang w:val="pt-BR"/>
        </w:rPr>
        <w:t>10</w:t>
      </w:r>
      <w:r>
        <w:rPr>
          <w:rFonts w:hint="default"/>
          <w:b/>
          <w:bCs/>
          <w:color w:val="000000"/>
          <w:lang w:val="pt-BR"/>
        </w:rPr>
        <w:t>h</w:t>
      </w:r>
    </w:p>
    <w:p>
      <w:pPr>
        <w:spacing w:after="120" w:line="276" w:lineRule="auto"/>
        <w:ind w:right="-15"/>
        <w:jc w:val="center"/>
        <w:rPr>
          <w:b/>
          <w:color w:val="0000FF"/>
          <w:u w:val="single"/>
        </w:rPr>
      </w:pPr>
      <w:r>
        <w:rPr>
          <w:color w:val="000000"/>
        </w:rPr>
        <w:t xml:space="preserve">Local: Portal de Compras do Governo Federal – </w:t>
      </w:r>
      <w:r>
        <w:fldChar w:fldCharType="begin"/>
      </w:r>
      <w:r>
        <w:instrText xml:space="preserve"> HYPERLINK "http://www.gov.br/compras" \h </w:instrText>
      </w:r>
      <w:r>
        <w:fldChar w:fldCharType="separate"/>
      </w:r>
      <w:r>
        <w:rPr>
          <w:b/>
          <w:color w:val="0000FF"/>
          <w:u w:val="single"/>
        </w:rPr>
        <w:t>www.gov.br/compras</w:t>
      </w:r>
      <w:r>
        <w:rPr>
          <w:b/>
          <w:color w:val="0000FF"/>
          <w:u w:val="single"/>
        </w:rPr>
        <w:fldChar w:fldCharType="end"/>
      </w:r>
    </w:p>
    <w:p>
      <w:pPr>
        <w:spacing w:after="120" w:line="276" w:lineRule="auto"/>
        <w:ind w:right="-15"/>
        <w:jc w:val="center"/>
        <w:rPr>
          <w:b/>
          <w:color w:val="0000FF"/>
        </w:rPr>
      </w:pPr>
    </w:p>
    <w:p>
      <w:pPr>
        <w:keepNext/>
        <w:keepLines/>
        <w:numPr>
          <w:ilvl w:val="0"/>
          <w:numId w:val="4"/>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pPr>
      <w:r>
        <w:rPr>
          <w:b/>
          <w:color w:val="000000"/>
        </w:rPr>
        <w:t>DO OBJETO</w:t>
      </w:r>
    </w:p>
    <w:p>
      <w:pPr>
        <w:numPr>
          <w:ilvl w:val="1"/>
          <w:numId w:val="5"/>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 xml:space="preserve">O objeto da presente licitação é a escolha da proposta mais vantajosa para a </w:t>
      </w:r>
      <w:r>
        <w:rPr>
          <w:b/>
          <w:bCs/>
          <w:color w:val="000000"/>
          <w:lang w:val="pt-BR"/>
        </w:rPr>
        <w:t>Contratação de pessoa jurídica para a prestação de serviço com cessão de mão de obra, de apoio logístico e administrativo na Universidade Federal Fluminense,</w:t>
      </w:r>
      <w:r>
        <w:rPr>
          <w:color w:val="000000"/>
        </w:rPr>
        <w:t xml:space="preserve"> conforme condições, quantidades e exigências estabelecidas neste Edital e seus anexos. </w:t>
      </w:r>
    </w:p>
    <w:p>
      <w:pPr>
        <w:numPr>
          <w:ilvl w:val="1"/>
          <w:numId w:val="5"/>
        </w:numPr>
        <w:tabs>
          <w:tab w:val="left" w:pos="709"/>
        </w:tabs>
        <w:spacing w:before="120" w:after="120" w:line="276" w:lineRule="auto"/>
        <w:ind w:left="1141" w:leftChars="0" w:hanging="432" w:firstLineChars="0"/>
        <w:jc w:val="both"/>
        <w:rPr>
          <w:rFonts w:hint="default" w:eastAsia="SimSun" w:cs="Arial"/>
          <w:i w:val="0"/>
          <w:iCs w:val="0"/>
          <w:color w:val="auto"/>
          <w:sz w:val="20"/>
          <w:szCs w:val="20"/>
          <w:u w:val="none"/>
          <w:vertAlign w:val="baseline"/>
          <w:lang w:val="pt-BR"/>
        </w:rPr>
      </w:pPr>
      <w:r>
        <w:rPr>
          <w:color w:val="000000"/>
        </w:rPr>
        <w:t>A licitação será</w:t>
      </w:r>
      <w:r>
        <w:rPr>
          <w:i w:val="0"/>
          <w:iCs w:val="0"/>
          <w:color w:val="auto"/>
        </w:rPr>
        <w:t xml:space="preserve"> </w:t>
      </w:r>
      <w:r>
        <w:rPr>
          <w:rFonts w:ascii="Arial" w:hAnsi="Arial" w:eastAsia="SimSun" w:cs="Arial"/>
          <w:i w:val="0"/>
          <w:iCs w:val="0"/>
          <w:color w:val="auto"/>
          <w:sz w:val="20"/>
          <w:szCs w:val="20"/>
          <w:u w:val="none"/>
          <w:vertAlign w:val="baseline"/>
        </w:rPr>
        <w:t xml:space="preserve">será realizada em grupo único, formados por </w:t>
      </w:r>
      <w:r>
        <w:rPr>
          <w:rFonts w:hint="default" w:eastAsia="SimSun" w:cs="Arial"/>
          <w:i w:val="0"/>
          <w:iCs w:val="0"/>
          <w:color w:val="auto"/>
          <w:sz w:val="20"/>
          <w:szCs w:val="20"/>
          <w:u w:val="none"/>
          <w:vertAlign w:val="baseline"/>
          <w:lang w:val="pt-BR"/>
        </w:rPr>
        <w:t>11 (onze) i</w:t>
      </w:r>
      <w:r>
        <w:rPr>
          <w:rFonts w:ascii="Arial" w:hAnsi="Arial" w:eastAsia="SimSun" w:cs="Arial"/>
          <w:i w:val="0"/>
          <w:iCs w:val="0"/>
          <w:color w:val="auto"/>
          <w:sz w:val="20"/>
          <w:szCs w:val="20"/>
          <w:u w:val="none"/>
          <w:vertAlign w:val="baseline"/>
        </w:rPr>
        <w:t>tens, conforme tabela constante no Termo de Referência, devendo o licitante oferecer proposta para todos os itens que o compõem</w:t>
      </w:r>
      <w:r>
        <w:rPr>
          <w:rFonts w:hint="default" w:eastAsia="SimSun" w:cs="Arial"/>
          <w:i w:val="0"/>
          <w:iCs w:val="0"/>
          <w:color w:val="auto"/>
          <w:sz w:val="20"/>
          <w:szCs w:val="20"/>
          <w:u w:val="none"/>
          <w:vertAlign w:val="baseline"/>
          <w:lang w:val="pt-BR"/>
        </w:rPr>
        <w:t>.</w:t>
      </w:r>
    </w:p>
    <w:p>
      <w:pPr>
        <w:numPr>
          <w:ilvl w:val="1"/>
          <w:numId w:val="5"/>
        </w:numPr>
        <w:tabs>
          <w:tab w:val="left" w:pos="709"/>
        </w:tabs>
        <w:spacing w:before="120" w:after="120" w:line="276" w:lineRule="auto"/>
        <w:ind w:left="1141" w:leftChars="0" w:hanging="432" w:firstLineChars="0"/>
        <w:jc w:val="both"/>
        <w:rPr>
          <w:iCs/>
        </w:rPr>
      </w:pPr>
      <w:r>
        <w:rPr>
          <w:iCs/>
        </w:rPr>
        <w:t xml:space="preserve">1.3. </w:t>
      </w:r>
      <w:r>
        <w:rPr>
          <w:color w:val="000000"/>
        </w:rPr>
        <w:t xml:space="preserve">O critério de julgamento adotado será o menor preço </w:t>
      </w:r>
      <w:r>
        <w:rPr>
          <w:rFonts w:hint="default"/>
          <w:color w:val="000000"/>
          <w:lang w:val="pt-BR"/>
        </w:rPr>
        <w:t>global do grupo</w:t>
      </w:r>
      <w:r>
        <w:rPr>
          <w:iCs/>
        </w:rPr>
        <w:t>, observadas as exigências contidas neste Edital e seus Anexos quanto às especificações do objeto.</w:t>
      </w:r>
    </w:p>
    <w:p>
      <w:pPr>
        <w:pBdr>
          <w:top w:val="none" w:color="auto" w:sz="0" w:space="0"/>
          <w:left w:val="none" w:color="auto" w:sz="0" w:space="0"/>
          <w:bottom w:val="none" w:color="auto" w:sz="0" w:space="0"/>
          <w:right w:val="none" w:color="auto" w:sz="0" w:space="0"/>
          <w:between w:val="none" w:color="auto" w:sz="0" w:space="0"/>
        </w:pBdr>
        <w:spacing w:line="276" w:lineRule="auto"/>
        <w:ind w:left="567" w:firstLine="283"/>
        <w:jc w:val="both"/>
        <w:rPr>
          <w:iCs/>
          <w:u w:val="single"/>
        </w:rPr>
      </w:pPr>
    </w:p>
    <w:p>
      <w:pPr>
        <w:keepNext/>
        <w:keepLines/>
        <w:numPr>
          <w:ilvl w:val="0"/>
          <w:numId w:val="4"/>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iCs/>
        </w:rPr>
      </w:pPr>
      <w:r>
        <w:rPr>
          <w:b/>
          <w:iCs/>
        </w:rPr>
        <w:t>DOS RECURSOS ORÇAMENTÁRIOS</w:t>
      </w:r>
    </w:p>
    <w:p>
      <w:pPr>
        <w:numPr>
          <w:ilvl w:val="1"/>
          <w:numId w:val="6"/>
        </w:numPr>
        <w:spacing w:before="120" w:after="120" w:line="276" w:lineRule="auto"/>
        <w:jc w:val="both"/>
      </w:pPr>
      <w:r>
        <w:t xml:space="preserve">As despesas para atender a esta licitação </w:t>
      </w:r>
      <w:r>
        <w:rPr>
          <w:rFonts w:hint="default"/>
          <w:lang w:val="pt-BR"/>
        </w:rPr>
        <w:t xml:space="preserve">serão indicadas quando da homologação do procedimento licitatório, conforme despacho PLOR/PLAN SEI nº </w:t>
      </w:r>
      <w:r>
        <w:rPr>
          <w:rFonts w:hint="default"/>
          <w:b/>
          <w:bCs/>
          <w:lang w:val="pt-BR"/>
        </w:rPr>
        <w:t>0805392</w:t>
      </w:r>
      <w:r>
        <w:rPr>
          <w:rFonts w:hint="default" w:ascii="Calibri" w:hAnsi="Calibri" w:eastAsia="SimSun" w:cs="Calibri"/>
          <w:b/>
          <w:bCs/>
          <w:i w:val="0"/>
          <w:iCs w:val="0"/>
          <w:caps w:val="0"/>
          <w:color w:val="000000"/>
          <w:spacing w:val="0"/>
          <w:sz w:val="21"/>
          <w:szCs w:val="21"/>
        </w:rPr>
        <w:t> </w:t>
      </w:r>
      <w:r>
        <w:rPr>
          <w:rFonts w:hint="default" w:ascii="Calibri" w:hAnsi="Calibri" w:eastAsia="SimSun" w:cs="Calibri"/>
          <w:b w:val="0"/>
          <w:bCs w:val="0"/>
          <w:i w:val="0"/>
          <w:iCs w:val="0"/>
          <w:caps w:val="0"/>
          <w:color w:val="000000"/>
          <w:spacing w:val="0"/>
          <w:sz w:val="21"/>
          <w:szCs w:val="21"/>
          <w:lang w:val="pt-BR"/>
        </w:rPr>
        <w:t>(</w:t>
      </w:r>
      <w:r>
        <w:rPr>
          <w:rFonts w:hint="default"/>
          <w:lang w:val="pt-BR"/>
        </w:rPr>
        <w:t>https://sei.uff.br/sei/controlador.php?acao=procedimento_trabalhar&amp;id_procedimento=874376&amp;id_documento=878830).</w:t>
      </w:r>
    </w:p>
    <w:p>
      <w:pPr>
        <w:keepNext/>
        <w:keepLines/>
        <w:numPr>
          <w:ilvl w:val="0"/>
          <w:numId w:val="4"/>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rPr>
      </w:pPr>
      <w:r>
        <w:rPr>
          <w:b/>
        </w:rPr>
        <w:t>DO CREDENCIAMENTO</w:t>
      </w:r>
    </w:p>
    <w:p>
      <w:pPr>
        <w:numPr>
          <w:ilvl w:val="1"/>
          <w:numId w:val="7"/>
        </w:numPr>
        <w:spacing w:before="120" w:after="120" w:line="276" w:lineRule="auto"/>
        <w:jc w:val="both"/>
        <w:rPr>
          <w:color w:val="000000"/>
        </w:rPr>
      </w:pPr>
      <w:r>
        <w:rPr>
          <w:color w:val="000000"/>
        </w:rPr>
        <w:t>O Credenciamento é o nível básico do registro cadastral no SICAF, que permite a participação dos interessados na modalidade licitatória Pregão, em sua forma eletrônica.</w:t>
      </w:r>
    </w:p>
    <w:p>
      <w:pPr>
        <w:numPr>
          <w:ilvl w:val="1"/>
          <w:numId w:val="7"/>
        </w:numPr>
        <w:spacing w:before="120" w:after="120" w:line="276" w:lineRule="auto"/>
        <w:jc w:val="both"/>
        <w:rPr>
          <w:color w:val="000000"/>
        </w:rPr>
      </w:pPr>
      <w:r>
        <w:rPr>
          <w:color w:val="000000"/>
        </w:rPr>
        <w:t xml:space="preserve">O cadastro no SICAF deverá ser feito no Portal de Compras do Governo Federal, no sítio </w:t>
      </w:r>
      <w:r>
        <w:fldChar w:fldCharType="begin"/>
      </w:r>
      <w:r>
        <w:instrText xml:space="preserve"> HYPERLINK "https://www.gov.br/compras/pt-br" \h </w:instrText>
      </w:r>
      <w:r>
        <w:fldChar w:fldCharType="separate"/>
      </w:r>
      <w:r>
        <w:rPr>
          <w:color w:val="000080"/>
          <w:u w:val="single"/>
        </w:rPr>
        <w:t>www.gov.br/compras</w:t>
      </w:r>
      <w:r>
        <w:rPr>
          <w:color w:val="000080"/>
          <w:u w:val="single"/>
        </w:rPr>
        <w:fldChar w:fldCharType="end"/>
      </w:r>
      <w:r>
        <w:rPr>
          <w:color w:val="000000"/>
        </w:rPr>
        <w:t>, por meio de certificado digital conferido pela Infraestrutura de Chaves Públicas Brasileira – ICP - Brasil.</w:t>
      </w:r>
    </w:p>
    <w:p>
      <w:pPr>
        <w:numPr>
          <w:ilvl w:val="1"/>
          <w:numId w:val="7"/>
        </w:numPr>
        <w:spacing w:before="120" w:after="120" w:line="276" w:lineRule="auto"/>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pPr>
        <w:numPr>
          <w:ilvl w:val="1"/>
          <w:numId w:val="7"/>
        </w:numPr>
        <w:spacing w:before="120" w:after="120" w:line="276" w:lineRule="auto"/>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numPr>
          <w:ilvl w:val="1"/>
          <w:numId w:val="7"/>
        </w:numPr>
        <w:spacing w:before="120" w:after="120" w:line="276" w:lineRule="auto"/>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numPr>
          <w:ilvl w:val="2"/>
          <w:numId w:val="7"/>
        </w:numPr>
        <w:spacing w:before="120" w:after="120" w:line="276" w:lineRule="auto"/>
        <w:jc w:val="both"/>
        <w:rPr>
          <w:color w:val="000000"/>
        </w:rPr>
      </w:pPr>
      <w:r>
        <w:rPr>
          <w:color w:val="000000"/>
        </w:rPr>
        <w:t>A não observância do disposto no subitem anterior poderá ensejar desclassificação no momento da habilitação</w:t>
      </w:r>
    </w:p>
    <w:p>
      <w:pPr>
        <w:keepNext/>
        <w:keepLines/>
        <w:numPr>
          <w:ilvl w:val="0"/>
          <w:numId w:val="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 xml:space="preserve"> DA PARTICIPAÇÃO NO PREGÃO.</w:t>
      </w:r>
    </w:p>
    <w:p>
      <w:pPr>
        <w:numPr>
          <w:ilvl w:val="1"/>
          <w:numId w:val="8"/>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numPr>
          <w:ilvl w:val="2"/>
          <w:numId w:val="8"/>
        </w:numPr>
        <w:spacing w:before="120" w:after="120" w:line="276" w:lineRule="auto"/>
        <w:jc w:val="both"/>
        <w:rPr>
          <w:color w:val="000000"/>
        </w:rPr>
      </w:pPr>
      <w:r>
        <w:rPr>
          <w:color w:val="000000"/>
        </w:rPr>
        <w:t>Os licitantes deverão utilizar o certificado digital para acesso ao Sistema</w:t>
      </w:r>
    </w:p>
    <w:p>
      <w:pPr>
        <w:numPr>
          <w:ilvl w:val="1"/>
          <w:numId w:val="8"/>
        </w:numPr>
        <w:spacing w:before="120" w:after="120" w:line="276" w:lineRule="auto"/>
        <w:jc w:val="both"/>
        <w:rPr>
          <w:color w:val="000000"/>
        </w:rPr>
      </w:pPr>
      <w:r>
        <w:rPr>
          <w:color w:val="000000"/>
        </w:rPr>
        <w:t>Não poderão participar desta licitação os interessados:</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proibidos de participar de licitações e celebrar contratos administrativos, na forma da legislação vigente;</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que não atendam às condições deste Edital e seu(s) anexo(s);</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estrangeiros que não tenham representação legal no Brasil com poderes expressos para receber citação e responder administrativa ou judicialmente;</w:t>
      </w:r>
    </w:p>
    <w:p>
      <w:pPr>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que se enquadrem nas vedações previstas no artigo 9º da Lei nº 8.666, de 1993;</w:t>
      </w:r>
    </w:p>
    <w:p>
      <w:pPr>
        <w:keepNext/>
        <w:widowControl w:val="0"/>
        <w:numPr>
          <w:ilvl w:val="2"/>
          <w:numId w:val="9"/>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jc w:val="both"/>
        <w:rPr>
          <w:color w:val="000000"/>
        </w:rPr>
      </w:pPr>
      <w:bookmarkStart w:id="1" w:name="_heading=h.gjdgxs" w:colFirst="0" w:colLast="0"/>
      <w:bookmarkEnd w:id="1"/>
      <w:r>
        <w:rPr>
          <w:color w:val="000000"/>
        </w:rPr>
        <w:t>que estejam sob falência, recuperação judicial ou extrajudicial, ou concurso de credores ou insolvência, em processo de dissolução ou liquidação, observado o disposto no item 9.10.1.1 deste Edital;</w:t>
      </w:r>
    </w:p>
    <w:p>
      <w:pPr>
        <w:numPr>
          <w:ilvl w:val="2"/>
          <w:numId w:val="9"/>
        </w:numPr>
        <w:pBdr>
          <w:top w:val="none" w:color="auto" w:sz="0" w:space="0"/>
          <w:left w:val="none" w:color="auto" w:sz="0" w:space="0"/>
          <w:bottom w:val="none" w:color="auto" w:sz="0" w:space="0"/>
          <w:right w:val="none" w:color="auto" w:sz="0" w:space="0"/>
          <w:between w:val="none" w:color="auto" w:sz="0" w:space="0"/>
        </w:pBdr>
        <w:spacing w:line="276" w:lineRule="auto"/>
        <w:rPr>
          <w:color w:val="000000"/>
        </w:rPr>
      </w:pPr>
      <w:r>
        <w:rPr>
          <w:color w:val="000000"/>
        </w:rPr>
        <w:t>entidades empresariais que estejam reunidas em consórcio;</w:t>
      </w:r>
    </w:p>
    <w:p>
      <w:pPr>
        <w:spacing w:line="276" w:lineRule="auto"/>
      </w:pPr>
    </w:p>
    <w:p>
      <w:pPr>
        <w:numPr>
          <w:ilvl w:val="2"/>
          <w:numId w:val="9"/>
        </w:numPr>
        <w:pBdr>
          <w:top w:val="none" w:color="auto" w:sz="0" w:space="0"/>
          <w:left w:val="none" w:color="auto" w:sz="0" w:space="0"/>
          <w:bottom w:val="none" w:color="auto" w:sz="0" w:space="0"/>
          <w:right w:val="none" w:color="auto" w:sz="0" w:space="0"/>
          <w:between w:val="none" w:color="auto" w:sz="0" w:space="0"/>
        </w:pBdr>
        <w:tabs>
          <w:tab w:val="left" w:pos="1440"/>
        </w:tabs>
        <w:spacing w:before="120" w:after="120" w:line="276" w:lineRule="auto"/>
        <w:jc w:val="both"/>
        <w:rPr>
          <w:color w:val="000000"/>
        </w:rPr>
      </w:pPr>
      <w:r>
        <w:rPr>
          <w:color w:val="000000"/>
        </w:rPr>
        <w:t xml:space="preserve">organizações da Sociedade Civil de Interesse Público - OSCIP, atuando nessa condição (Acórdão nº 746/2014-TCU-Plenário); </w:t>
      </w:r>
    </w:p>
    <w:p>
      <w:pPr>
        <w:numPr>
          <w:ilvl w:val="2"/>
          <w:numId w:val="9"/>
        </w:numPr>
        <w:tabs>
          <w:tab w:val="left" w:pos="1440"/>
        </w:tabs>
        <w:spacing w:before="120" w:after="120" w:line="276" w:lineRule="auto"/>
        <w:jc w:val="both"/>
        <w:rPr>
          <w:iCs/>
        </w:rPr>
      </w:pPr>
      <w:r>
        <w:rPr>
          <w:iCs/>
        </w:rPr>
        <w:t>instituições sem fins lucrativos (parágrafo único do art. 12 da Instrução Normativa SEGES/MP nº 05/2017);</w:t>
      </w:r>
    </w:p>
    <w:p>
      <w:pPr>
        <w:numPr>
          <w:ilvl w:val="3"/>
          <w:numId w:val="9"/>
        </w:numPr>
        <w:tabs>
          <w:tab w:val="left" w:pos="1440"/>
        </w:tabs>
        <w:spacing w:before="120" w:after="120" w:line="276" w:lineRule="auto"/>
        <w:jc w:val="both"/>
        <w:rPr>
          <w:iCs/>
        </w:rPr>
      </w:pPr>
      <w:r>
        <w:rPr>
          <w:iCs/>
        </w:rPr>
        <w:t>É admissível a participação de organizações sociais, qualificadas na forma dos arts. 5º a 7º da Lei 9.637/1998, desde que os serviços objeto desta licitação se insiram entre as atividades previstas no contrato de gestão firmado entre o Poder Público e a organização social (Acórdão nº 1.406/2017- TCU-Plenário), mediante apresentação do Contrato de Gestão e dos respectivos atos constitutivos.</w:t>
      </w:r>
    </w:p>
    <w:p>
      <w:pPr>
        <w:numPr>
          <w:ilvl w:val="2"/>
          <w:numId w:val="9"/>
        </w:numPr>
        <w:tabs>
          <w:tab w:val="left" w:pos="1440"/>
        </w:tabs>
        <w:spacing w:before="120" w:after="120" w:line="276" w:lineRule="auto"/>
        <w:jc w:val="both"/>
        <w:rPr>
          <w:iCs/>
        </w:rPr>
      </w:pPr>
      <w:bookmarkStart w:id="2" w:name="_heading=h.30j0zll" w:colFirst="0" w:colLast="0"/>
      <w:bookmarkEnd w:id="2"/>
      <w:r>
        <w:rPr>
          <w:iCs/>
        </w:rPr>
        <w:t>sociedades cooperativas, considerando a vedação contida no art. 10 da Instrução Normativa SEGES/MP nº 5, de 2017, bem como o disposto no Termo de Conciliação firmado entre o Ministério Público do Trabalho e a AGU.</w:t>
      </w:r>
    </w:p>
    <w:p>
      <w:pPr>
        <w:numPr>
          <w:ilvl w:val="1"/>
          <w:numId w:val="8"/>
        </w:numPr>
        <w:spacing w:before="120" w:after="120" w:line="276" w:lineRule="auto"/>
        <w:jc w:val="both"/>
      </w:pPr>
      <w:r>
        <w:rPr>
          <w:color w:val="000000"/>
        </w:rPr>
        <w:t xml:space="preserve">Nos termos do art. 5º do Decreto nº 9.507, de 2018, é vedada a contratação de </w:t>
      </w:r>
      <w:r>
        <w:t>pessoa</w:t>
      </w:r>
      <w:r>
        <w:rPr>
          <w:color w:val="000000"/>
        </w:rPr>
        <w:t xml:space="preserve"> jurídica na qual haja administrador ou sócio com poder de direção, familiar de:</w:t>
      </w:r>
    </w:p>
    <w:p>
      <w:pPr>
        <w:numPr>
          <w:ilvl w:val="0"/>
          <w:numId w:val="10"/>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ind w:left="993" w:hanging="283"/>
        <w:jc w:val="both"/>
        <w:rPr>
          <w:color w:val="003366"/>
        </w:rPr>
      </w:pPr>
      <w:r>
        <w:rPr>
          <w:color w:val="000000"/>
          <w:highlight w:val="white"/>
        </w:rPr>
        <w:t>detentor de cargo em comissão ou função de confiança que atue na área responsável pela demanda ou contratação; ou</w:t>
      </w:r>
    </w:p>
    <w:p>
      <w:pPr>
        <w:numPr>
          <w:ilvl w:val="0"/>
          <w:numId w:val="10"/>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ind w:left="993" w:hanging="283"/>
        <w:jc w:val="both"/>
        <w:rPr>
          <w:color w:val="003366"/>
        </w:rPr>
      </w:pPr>
      <w:r>
        <w:rPr>
          <w:color w:val="000000"/>
          <w:highlight w:val="white"/>
        </w:rPr>
        <w:t>de autoridade hierarquicamente superior no âmbito do órgão contratante.</w:t>
      </w:r>
    </w:p>
    <w:p>
      <w:pPr>
        <w:numPr>
          <w:ilvl w:val="2"/>
          <w:numId w:val="2"/>
        </w:numPr>
        <w:pBdr>
          <w:top w:val="none" w:color="auto" w:sz="0" w:space="0"/>
          <w:left w:val="none" w:color="auto" w:sz="0" w:space="0"/>
          <w:bottom w:val="none" w:color="auto" w:sz="0" w:space="0"/>
          <w:right w:val="none" w:color="auto" w:sz="0" w:space="0"/>
          <w:between w:val="none" w:color="auto" w:sz="0" w:space="0"/>
        </w:pBdr>
        <w:shd w:val="clear" w:color="auto" w:fill="FFFFFF"/>
        <w:spacing w:before="119" w:after="119" w:line="276" w:lineRule="auto"/>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numPr>
          <w:ilvl w:val="1"/>
          <w:numId w:val="8"/>
        </w:numPr>
        <w:spacing w:before="120" w:after="120" w:line="276" w:lineRule="auto"/>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pPr>
        <w:numPr>
          <w:ilvl w:val="1"/>
          <w:numId w:val="8"/>
        </w:numPr>
        <w:spacing w:before="120" w:after="120" w:line="276" w:lineRule="auto"/>
        <w:jc w:val="both"/>
        <w:rPr>
          <w:color w:val="000000"/>
        </w:rPr>
      </w:pPr>
      <w:r>
        <w:rPr>
          <w:color w:val="000000"/>
        </w:rPr>
        <w:t xml:space="preserve">Como condição para participação no Pregão, o licitante assinalará “sim” ou “não” em campo próprio do sistema eletrônico, relativo às seguintes declarações: </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jc w:val="both"/>
        <w:rPr>
          <w:color w:val="000000"/>
        </w:rPr>
      </w:pPr>
      <w:r>
        <w:rPr>
          <w:color w:val="000000"/>
        </w:rPr>
        <w:t>que cumpre os requisitos estabelecidos no artigo 3° da Lei Complementar nº 123, de 2006, estando apto a usufruir do tratamento favorecido estabelecido em seus arts. 42 a 49.</w:t>
      </w:r>
    </w:p>
    <w:p>
      <w:pPr>
        <w:numPr>
          <w:ilvl w:val="3"/>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2268" w:firstLine="0"/>
        <w:jc w:val="both"/>
        <w:rPr>
          <w:color w:val="000000"/>
        </w:rPr>
      </w:pPr>
      <w:r>
        <w:rPr>
          <w:color w:val="000000"/>
        </w:rPr>
        <w:t>nos itens exclusivos para participação de microempresas e empresas de pequeno porte, a assinalação do campo “não” impedirá o prosseguimento no certame;</w:t>
      </w:r>
    </w:p>
    <w:p>
      <w:pPr>
        <w:numPr>
          <w:ilvl w:val="3"/>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2268" w:firstLine="0"/>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está ciente e concorda com as condições contidas no Edital e seus anexos;</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cumpre os requisitos para a habilitação definidos no Edital e que a proposta apresentada está em conformidade com as exigências editalícias;</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 xml:space="preserve">que inexistem fatos impeditivos para sua habilitação no certame, ciente da obrigatoriedade de declarar ocorrências posteriores; </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que a proposta foi elaborada de forma independente, nos termos da Instrução Normativa SLTI/MP nº 2, de 16 de setembro de 2009.</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FF0000"/>
        </w:rPr>
        <w:t xml:space="preserve"> </w:t>
      </w:r>
      <w:r>
        <w:rPr>
          <w:color w:val="000000"/>
        </w:rPr>
        <w:t>que não possui, em sua cadeia produtiva, empregados executando trabalho degradante ou forçado, observando o disposto nos incisos III e IV do art. 1º e no inciso III do art. 5º da Constituição Federal;</w:t>
      </w:r>
    </w:p>
    <w:p>
      <w:pPr>
        <w:numPr>
          <w:ilvl w:val="2"/>
          <w:numId w:val="8"/>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jc w:val="both"/>
        <w:rPr>
          <w:color w:val="000000"/>
        </w:rPr>
      </w:pPr>
      <w:r>
        <w:rPr>
          <w:color w:val="00000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numPr>
          <w:ilvl w:val="1"/>
          <w:numId w:val="8"/>
        </w:numPr>
        <w:spacing w:before="120" w:after="120" w:line="276" w:lineRule="auto"/>
        <w:jc w:val="both"/>
      </w:pPr>
      <w:r>
        <w:rPr>
          <w:color w:val="000000"/>
        </w:rPr>
        <w:t>A declaração falsa relativa ao cumprimento de qualquer condição sujeitará o licitante às sanções previstas em lei e neste Edital.</w:t>
      </w:r>
    </w:p>
    <w:p>
      <w:pPr>
        <w:spacing w:before="120" w:after="120" w:line="276" w:lineRule="auto"/>
        <w:ind w:left="425"/>
        <w:jc w:val="both"/>
      </w:pPr>
    </w:p>
    <w:p>
      <w:pPr>
        <w:keepNext/>
        <w:keepLines/>
        <w:pBdr>
          <w:top w:val="none" w:color="auto" w:sz="0" w:space="0"/>
          <w:left w:val="none" w:color="auto" w:sz="0" w:space="0"/>
          <w:bottom w:val="none" w:color="auto" w:sz="0" w:space="0"/>
          <w:right w:val="none" w:color="auto" w:sz="0" w:space="0"/>
          <w:between w:val="none" w:color="auto" w:sz="0" w:space="0"/>
        </w:pBdr>
        <w:spacing w:before="120" w:after="120" w:line="276" w:lineRule="auto"/>
        <w:ind w:left="425" w:right="-15" w:hanging="360"/>
        <w:jc w:val="both"/>
        <w:rPr>
          <w:b/>
          <w:color w:val="000000"/>
        </w:rPr>
      </w:pPr>
      <w:r>
        <w:rPr>
          <w:b/>
          <w:color w:val="000000"/>
        </w:rPr>
        <w:t>5.</w:t>
      </w:r>
      <w:r>
        <w:rPr>
          <w:b/>
          <w:color w:val="000000"/>
        </w:rPr>
        <w:tab/>
      </w:r>
      <w:r>
        <w:rPr>
          <w:b/>
          <w:color w:val="000000"/>
        </w:rPr>
        <w:t xml:space="preserve"> DA APRESENTAÇÃO DA PROPOSTA E DOS DOCUMENTOS DE HABILITAÇÃO</w:t>
      </w:r>
    </w:p>
    <w:p>
      <w:pPr>
        <w:spacing w:before="120" w:after="120" w:line="276" w:lineRule="auto"/>
        <w:ind w:left="425"/>
        <w:jc w:val="both"/>
      </w:pPr>
      <w:r>
        <w:t>5.1.</w:t>
      </w:r>
      <w:r>
        <w:tab/>
      </w:r>
      <w: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pPr>
        <w:spacing w:before="120" w:after="120" w:line="276" w:lineRule="auto"/>
        <w:ind w:left="425"/>
        <w:jc w:val="both"/>
      </w:pPr>
      <w:r>
        <w:t>5.2.</w:t>
      </w:r>
      <w:r>
        <w:tab/>
      </w:r>
      <w:r>
        <w:t>O envio da proposta, acompanhada dos documentos de habilitação exigidos neste Edital, ocorrerá por meio de chave de acesso e senha.</w:t>
      </w:r>
    </w:p>
    <w:p>
      <w:pPr>
        <w:spacing w:before="120" w:after="120" w:line="276" w:lineRule="auto"/>
        <w:ind w:left="425"/>
        <w:jc w:val="both"/>
      </w:pPr>
      <w:r>
        <w:t>5.3.</w:t>
      </w:r>
      <w:r>
        <w:tab/>
      </w:r>
      <w:r>
        <w:t>Os licitantes poderão deixar de apresentar os documentos de habilitação que constem do SICAF, assegurado aos demais licitantes o direito de acesso aos dados constantes dos sistemas.</w:t>
      </w:r>
    </w:p>
    <w:p>
      <w:pPr>
        <w:spacing w:before="120" w:after="120" w:line="276" w:lineRule="auto"/>
        <w:ind w:left="425"/>
        <w:jc w:val="both"/>
      </w:pPr>
      <w:r>
        <w:t>5.4.</w:t>
      </w:r>
      <w:r>
        <w:tab/>
      </w:r>
      <w:r>
        <w:t xml:space="preserve">As Microempresas e Empresas de Pequeno Porte deverão encaminhar a documentação de habilitação, ainda que haja alguma restrição de regularidade fiscal e trabalhista, nos termos do art. 43, § 1º da LC nº 123, de 2006. </w:t>
      </w:r>
    </w:p>
    <w:p>
      <w:pPr>
        <w:spacing w:before="120" w:after="120" w:line="276" w:lineRule="auto"/>
        <w:ind w:left="425"/>
        <w:jc w:val="both"/>
      </w:pPr>
      <w:r>
        <w:t>5.5.</w:t>
      </w:r>
      <w:r>
        <w:tab/>
      </w: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spacing w:before="120" w:after="120" w:line="276" w:lineRule="auto"/>
        <w:ind w:left="425"/>
        <w:jc w:val="both"/>
      </w:pPr>
      <w:r>
        <w:t>5.6.</w:t>
      </w:r>
      <w:r>
        <w:tab/>
      </w:r>
      <w:r>
        <w:t>Até a abertura da sessão pública, os licitantes poderão retirar ou substituir a proposta e os documentos de habilitação anteriormente inseridos no sistema;</w:t>
      </w:r>
    </w:p>
    <w:p>
      <w:pPr>
        <w:spacing w:before="120" w:after="120" w:line="276" w:lineRule="auto"/>
        <w:ind w:left="425"/>
        <w:jc w:val="both"/>
      </w:pPr>
      <w:r>
        <w:t>5.7.</w:t>
      </w:r>
      <w:r>
        <w:tab/>
      </w:r>
      <w:r>
        <w:t>Não será estabelecida, nessa etapa do certame, ordem de classificação entre as propostas apresentadas, o que somente ocorrerá após a realização dos procedimentos de negociação e julgamento da proposta.</w:t>
      </w:r>
    </w:p>
    <w:p>
      <w:pPr>
        <w:spacing w:before="120" w:after="120" w:line="276" w:lineRule="auto"/>
        <w:ind w:left="425"/>
        <w:jc w:val="both"/>
      </w:pPr>
      <w:r>
        <w:t>5.8.</w:t>
      </w:r>
      <w:r>
        <w:tab/>
      </w:r>
      <w:r>
        <w:t>Os documentos que compõem a proposta e a habilitação do licitante melhor classificado somente serão disponibilizados para avaliação do pregoeiro e para acesso público após o encerramento do envio de lances.</w:t>
      </w:r>
    </w:p>
    <w:p>
      <w:pPr>
        <w:spacing w:before="120" w:after="120" w:line="276" w:lineRule="auto"/>
        <w:ind w:left="425"/>
        <w:jc w:val="both"/>
      </w:pPr>
    </w:p>
    <w:p>
      <w:pPr>
        <w:keepNext/>
        <w:keepLines/>
        <w:numPr>
          <w:ilvl w:val="0"/>
          <w:numId w:val="11"/>
        </w:numPr>
        <w:pBdr>
          <w:top w:val="none" w:color="auto" w:sz="0" w:space="0"/>
          <w:left w:val="none" w:color="auto" w:sz="0" w:space="0"/>
          <w:bottom w:val="none" w:color="auto" w:sz="0" w:space="0"/>
          <w:right w:val="none" w:color="auto" w:sz="0" w:space="0"/>
          <w:between w:val="none" w:color="auto" w:sz="0" w:space="0"/>
        </w:pBdr>
        <w:spacing w:before="480" w:after="120" w:line="276" w:lineRule="auto"/>
        <w:ind w:left="425" w:right="-15" w:firstLine="66"/>
        <w:jc w:val="both"/>
        <w:rPr>
          <w:color w:val="000000"/>
        </w:rPr>
      </w:pPr>
      <w:r>
        <w:rPr>
          <w:b/>
          <w:color w:val="000000"/>
        </w:rPr>
        <w:t>DO PREENCHIMENTO DA PROPOSTA</w:t>
      </w:r>
      <w:r>
        <w:t xml:space="preserve">  </w:t>
      </w:r>
    </w:p>
    <w:p>
      <w:pPr>
        <w:numPr>
          <w:ilvl w:val="1"/>
          <w:numId w:val="11"/>
        </w:numPr>
        <w:spacing w:before="120" w:after="120" w:line="276" w:lineRule="auto"/>
        <w:ind w:left="425" w:firstLine="0"/>
        <w:jc w:val="both"/>
        <w:rPr>
          <w:color w:val="000000"/>
          <w:u w:val="single"/>
        </w:rPr>
      </w:pPr>
      <w:r>
        <w:rPr>
          <w:u w:val="single"/>
        </w:rPr>
        <w:t>O licitante deverá enviar sua proposta mediante o preenchimento, no sistema eletrônico, dos seguintes campos:</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jc w:val="both"/>
        <w:rPr>
          <w:color w:val="000000"/>
        </w:rPr>
      </w:pPr>
      <w:r>
        <w:rPr>
          <w:i/>
          <w:color w:val="FF0000"/>
        </w:rPr>
        <w:t xml:space="preserve"> </w:t>
      </w:r>
      <w:r>
        <w:rPr>
          <w:rFonts w:cs="Arial"/>
          <w:iCs/>
          <w:szCs w:val="20"/>
        </w:rPr>
        <w:t>Valor unitário mensal e anual do item licitado, conforme planilha de composição de custos</w:t>
      </w:r>
      <w:r>
        <w:rPr>
          <w:i/>
          <w:color w:val="FF0000"/>
        </w:rPr>
        <w:t>;</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 xml:space="preserve">Descrição do objeto, contendo as informações similares à especificação do Termo de Referência, incluindo-se, dentre outras, as seguintes informações: </w:t>
      </w:r>
    </w:p>
    <w:p>
      <w:pPr>
        <w:numPr>
          <w:ilvl w:val="3"/>
          <w:numId w:val="11"/>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hanging="648"/>
        <w:jc w:val="both"/>
        <w:rPr>
          <w:color w:val="000000"/>
        </w:rPr>
      </w:pPr>
      <w:r>
        <w:rPr>
          <w:color w:val="000000"/>
        </w:rPr>
        <w:t>A indicação dos sindicatos, acordos coletivos, convenções coletivas ou sentenças normativas que regem as categorias profissionais que executarão o serviço e as respectivas datas bases e vigências, com base na Classificação Brasileira de Ocupações - CBO;</w:t>
      </w:r>
    </w:p>
    <w:p>
      <w:pPr>
        <w:numPr>
          <w:ilvl w:val="3"/>
          <w:numId w:val="11"/>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ind w:hanging="648"/>
        <w:jc w:val="both"/>
        <w:rPr>
          <w:iCs/>
        </w:rPr>
      </w:pPr>
      <w:bookmarkStart w:id="3" w:name="_heading=h.1fob9te" w:colFirst="0" w:colLast="0"/>
      <w:bookmarkEnd w:id="3"/>
      <w:r>
        <w:rPr>
          <w:iCs/>
        </w:rPr>
        <w:t xml:space="preserve">A quantidade de pessoal que será alocado na execução contratual; </w:t>
      </w:r>
    </w:p>
    <w:p>
      <w:pPr>
        <w:numPr>
          <w:ilvl w:val="1"/>
          <w:numId w:val="11"/>
        </w:numPr>
        <w:spacing w:before="120" w:after="120" w:line="276" w:lineRule="auto"/>
        <w:ind w:left="425" w:firstLine="0"/>
        <w:jc w:val="both"/>
        <w:rPr>
          <w:iCs/>
        </w:rPr>
      </w:pPr>
      <w:r>
        <w:rPr>
          <w:iCs/>
        </w:rPr>
        <w:t xml:space="preserve">Para efeito do subitem anterior, admite-se a adequação técnica da metodologia empregada pela contratada, visando assegurar a execução do objeto, desde que mantidas as condições para a justa remuneração do serviço. </w:t>
      </w:r>
    </w:p>
    <w:p>
      <w:pPr>
        <w:numPr>
          <w:ilvl w:val="1"/>
          <w:numId w:val="11"/>
        </w:numPr>
        <w:spacing w:before="120" w:after="120" w:line="276" w:lineRule="auto"/>
        <w:ind w:left="425" w:firstLine="0"/>
        <w:jc w:val="both"/>
      </w:pPr>
      <w:r>
        <w:t>Todas as especificações do objeto contidas na proposta vinculam a Contratada.</w:t>
      </w:r>
    </w:p>
    <w:p>
      <w:pPr>
        <w:numPr>
          <w:ilvl w:val="1"/>
          <w:numId w:val="11"/>
        </w:numPr>
        <w:spacing w:before="120" w:after="120" w:line="276" w:lineRule="auto"/>
        <w:ind w:left="425" w:firstLine="0"/>
        <w:jc w:val="both"/>
        <w:rPr>
          <w:color w:val="000000"/>
        </w:rPr>
      </w:pPr>
      <w:r>
        <w:rPr>
          <w:color w:val="000000"/>
        </w:rPr>
        <w:t xml:space="preserve">Nos valores propostos estarão inclusos todos os custos operacionais, encargos previdenciários, trabalhistas, tributários, comerciais e quaisquer outros que incidam direta ou </w:t>
      </w:r>
      <w:r>
        <w:t>indiretamente</w:t>
      </w:r>
      <w:r>
        <w:rPr>
          <w:color w:val="000000"/>
        </w:rPr>
        <w:t xml:space="preserve"> na prestação dos serviços, </w:t>
      </w:r>
      <w:r>
        <w:t>apurados mediante o preenchimento do modelo de Planilha de Custos e Formação de Preços, conforme anexo deste Edital;</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jc w:val="both"/>
        <w:rPr>
          <w:color w:val="000000"/>
        </w:rPr>
      </w:pPr>
      <w:r>
        <w:rPr>
          <w:color w:val="000000"/>
        </w:rPr>
        <w:t>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pPr>
        <w:numPr>
          <w:ilvl w:val="2"/>
          <w:numId w:val="11"/>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jc w:val="both"/>
        <w:rPr>
          <w:color w:val="000000"/>
        </w:rPr>
      </w:pPr>
      <w:r>
        <w:rPr>
          <w:color w:val="000000"/>
        </w:rPr>
        <w:t xml:space="preserve">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numPr>
          <w:ilvl w:val="1"/>
          <w:numId w:val="11"/>
        </w:numPr>
        <w:spacing w:before="120" w:after="120" w:line="276" w:lineRule="auto"/>
        <w:ind w:left="496" w:firstLine="0"/>
        <w:jc w:val="both"/>
      </w:pPr>
      <w:r>
        <w:t>A empresa é a única responsável pela cotação correta dos encargos tributários. Em caso de erro ou cotação incompatível com o regime tributário a que se submete, serão adotadas as orientações a seguir:</w:t>
      </w:r>
    </w:p>
    <w:p>
      <w:pPr>
        <w:numPr>
          <w:ilvl w:val="2"/>
          <w:numId w:val="11"/>
        </w:numPr>
        <w:spacing w:before="120" w:after="120" w:line="276" w:lineRule="auto"/>
        <w:jc w:val="both"/>
      </w:pPr>
      <w:r>
        <w:t>cotação de percentual menor que o adequado: o percentual será mantido durante toda a execução contratual;</w:t>
      </w:r>
    </w:p>
    <w:p>
      <w:pPr>
        <w:numPr>
          <w:ilvl w:val="2"/>
          <w:numId w:val="11"/>
        </w:numPr>
        <w:spacing w:before="120" w:after="120" w:line="276" w:lineRule="auto"/>
        <w:jc w:val="both"/>
      </w:pPr>
      <w:r>
        <w:t>cotação de percentual maior que o adequado: o excesso será suprimido, unilateralmente, da planilha e haverá glosa, quando do pagamento, e/ou redução, quando da repactuação, para fins de total ressarcimento do débito.</w:t>
      </w:r>
    </w:p>
    <w:p>
      <w:pPr>
        <w:numPr>
          <w:ilvl w:val="1"/>
          <w:numId w:val="11"/>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numPr>
          <w:ilvl w:val="1"/>
          <w:numId w:val="11"/>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pPr>
        <w:numPr>
          <w:ilvl w:val="1"/>
          <w:numId w:val="11"/>
        </w:numPr>
        <w:spacing w:before="120" w:after="120" w:line="276" w:lineRule="auto"/>
        <w:ind w:left="496" w:firstLine="0"/>
        <w:jc w:val="both"/>
      </w:pPr>
      <w:r>
        <w:t xml:space="preserve">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inciso XII, da Lei Complementar no 123/2006. </w:t>
      </w:r>
    </w:p>
    <w:p>
      <w:pPr>
        <w:numPr>
          <w:ilvl w:val="1"/>
          <w:numId w:val="12"/>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numPr>
          <w:ilvl w:val="1"/>
          <w:numId w:val="12"/>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pPr>
        <w:numPr>
          <w:ilvl w:val="1"/>
          <w:numId w:val="12"/>
        </w:numPr>
        <w:spacing w:before="120" w:after="120" w:line="276" w:lineRule="auto"/>
        <w:ind w:left="496" w:firstLine="0"/>
        <w:jc w:val="both"/>
        <w:rPr>
          <w:color w:val="000000"/>
        </w:rPr>
      </w:pPr>
      <w:r>
        <w:rPr>
          <w:color w:val="000000"/>
        </w:rPr>
        <w:t xml:space="preserve">O prazo de validade da proposta não será inferior a </w:t>
      </w:r>
      <w:r>
        <w:rPr>
          <w:rFonts w:cs="Arial"/>
          <w:szCs w:val="20"/>
        </w:rPr>
        <w:t>60 (sessenta) dias</w:t>
      </w:r>
      <w:r>
        <w:rPr>
          <w:b/>
          <w:color w:val="000000"/>
        </w:rPr>
        <w:t>,</w:t>
      </w:r>
      <w:r>
        <w:rPr>
          <w:color w:val="000000"/>
        </w:rPr>
        <w:t xml:space="preserve"> a contar da data de sua apresentação.</w:t>
      </w:r>
    </w:p>
    <w:p>
      <w:pPr>
        <w:numPr>
          <w:ilvl w:val="1"/>
          <w:numId w:val="12"/>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pPr>
        <w:numPr>
          <w:ilvl w:val="2"/>
          <w:numId w:val="12"/>
        </w:numPr>
        <w:spacing w:before="120" w:after="120" w:line="276" w:lineRule="auto"/>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keepLines/>
        <w:numPr>
          <w:ilvl w:val="0"/>
          <w:numId w:val="12"/>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 xml:space="preserve"> DA ABERTURA DA SESSÃO, CLASSIFICAÇÃO DAS PROPOSTAS E FORMULAÇÃO DE LANCES</w:t>
      </w:r>
    </w:p>
    <w:p>
      <w:pPr>
        <w:numPr>
          <w:ilvl w:val="1"/>
          <w:numId w:val="1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786"/>
        <w:jc w:val="both"/>
        <w:rPr>
          <w:color w:val="000000"/>
        </w:rPr>
      </w:pPr>
      <w:r>
        <w:rPr>
          <w:color w:val="000000"/>
        </w:rPr>
        <w:t>A abertura da presente licitação dar-se-á em sessão pública, por meio de sistema eletrônico, na data, horário e local indicados neste Edital.</w:t>
      </w:r>
    </w:p>
    <w:p>
      <w:pPr>
        <w:numPr>
          <w:ilvl w:val="1"/>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numPr>
          <w:ilvl w:val="2"/>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Também será desclassificada a proposta que identifique o licitante.</w:t>
      </w:r>
    </w:p>
    <w:p>
      <w:pPr>
        <w:numPr>
          <w:ilvl w:val="2"/>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A desclassificação será sempre fundamentada e registrada no sistema, com acompanhamento em tempo real por todos os participantes.</w:t>
      </w:r>
    </w:p>
    <w:p>
      <w:pPr>
        <w:numPr>
          <w:ilvl w:val="2"/>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A não desclassificação da proposta não impede o seu julgamento definitivo em sentido contrário, levado a efeito na fase de aceitação.</w:t>
      </w:r>
    </w:p>
    <w:p>
      <w:pPr>
        <w:numPr>
          <w:ilvl w:val="1"/>
          <w:numId w:val="1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pPr>
        <w:numPr>
          <w:ilvl w:val="1"/>
          <w:numId w:val="13"/>
        </w:numPr>
        <w:spacing w:before="120" w:after="120" w:line="276" w:lineRule="auto"/>
        <w:ind w:left="425" w:firstLine="0"/>
        <w:jc w:val="both"/>
        <w:rPr>
          <w:color w:val="000000"/>
        </w:rPr>
      </w:pPr>
      <w:r>
        <w:rPr>
          <w:color w:val="000000"/>
        </w:rPr>
        <w:t xml:space="preserve"> O sistema disponibilizará campo próprio para troca de mensagens entre o Pregoeiro e os licitantes.</w:t>
      </w:r>
    </w:p>
    <w:p>
      <w:pPr>
        <w:numPr>
          <w:ilvl w:val="1"/>
          <w:numId w:val="13"/>
        </w:numPr>
        <w:spacing w:before="120" w:after="120" w:line="276" w:lineRule="auto"/>
        <w:ind w:left="425" w:firstLine="0"/>
        <w:jc w:val="both"/>
      </w:pPr>
      <w:r>
        <w:rPr>
          <w:color w:val="000000"/>
        </w:rPr>
        <w:t xml:space="preserve"> Iniciada a etapa competitiva, os licitantes deverão encaminhar lances exclusivamente por meio de sistema eletrônico, sendo imediatamente informados do seu recebimento e do valor consignado no </w:t>
      </w:r>
      <w:r>
        <w:t xml:space="preserve">registro. </w:t>
      </w:r>
    </w:p>
    <w:p>
      <w:pPr>
        <w:numPr>
          <w:ilvl w:val="2"/>
          <w:numId w:val="13"/>
        </w:numPr>
        <w:tabs>
          <w:tab w:val="left" w:pos="1440"/>
        </w:tabs>
        <w:spacing w:before="120" w:after="120" w:line="276" w:lineRule="auto"/>
        <w:ind w:left="1134" w:firstLine="0"/>
        <w:jc w:val="both"/>
      </w:pPr>
      <w:r>
        <w:t xml:space="preserve">O lance deverá ser ofertado pelo </w:t>
      </w:r>
      <w:r>
        <w:rPr>
          <w:b/>
          <w:bCs/>
        </w:rPr>
        <w:t>valor anual do item</w:t>
      </w:r>
      <w:r>
        <w:t>.</w:t>
      </w:r>
    </w:p>
    <w:p>
      <w:pPr>
        <w:numPr>
          <w:ilvl w:val="1"/>
          <w:numId w:val="13"/>
        </w:numPr>
        <w:spacing w:before="120" w:after="120" w:line="276" w:lineRule="auto"/>
        <w:jc w:val="both"/>
      </w:pPr>
      <w:r>
        <w:t>Os licitantes poderão oferecer lances sucessivos, observando o horário fixado para abertura da sessão e as regras estabelecidas no Edital.</w:t>
      </w:r>
    </w:p>
    <w:p>
      <w:pPr>
        <w:numPr>
          <w:ilvl w:val="1"/>
          <w:numId w:val="13"/>
        </w:numPr>
        <w:spacing w:before="120" w:after="120" w:line="276" w:lineRule="auto"/>
        <w:jc w:val="both"/>
      </w:pPr>
      <w:r>
        <w:t xml:space="preserve">O licitante somente poderá oferecer lance de valor inferior ou percentual de desconto superior ao último por ele ofertado e registrado pelo sistema. </w:t>
      </w:r>
    </w:p>
    <w:p>
      <w:pPr>
        <w:numPr>
          <w:ilvl w:val="1"/>
          <w:numId w:val="1"/>
        </w:numPr>
        <w:spacing w:before="120" w:after="120" w:line="276" w:lineRule="auto"/>
        <w:jc w:val="both"/>
        <w:rPr>
          <w:iCs/>
        </w:rPr>
      </w:pPr>
      <w:r>
        <w:rPr>
          <w:iCs/>
        </w:rPr>
        <w:t>Será adotado para o envio de lances no pregão eletrônico o modo de disputa “aberto e fechado”, em que os licitantes apresentarão lances públicos e sucessivos, com lance final e fechado.</w:t>
      </w:r>
    </w:p>
    <w:p>
      <w:pPr>
        <w:numPr>
          <w:ilvl w:val="1"/>
          <w:numId w:val="1"/>
        </w:numPr>
        <w:spacing w:before="120" w:after="120" w:line="276" w:lineRule="auto"/>
        <w:jc w:val="both"/>
        <w:rPr>
          <w:iCs/>
        </w:rPr>
      </w:pPr>
      <w:r>
        <w:rPr>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pPr>
        <w:numPr>
          <w:ilvl w:val="1"/>
          <w:numId w:val="1"/>
        </w:numPr>
        <w:spacing w:before="120" w:after="120" w:line="276" w:lineRule="auto"/>
        <w:jc w:val="both"/>
        <w:rPr>
          <w:iCs/>
        </w:rPr>
      </w:pPr>
      <w:r>
        <w:rPr>
          <w:iCs/>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pPr>
        <w:numPr>
          <w:ilvl w:val="2"/>
          <w:numId w:val="1"/>
        </w:numPr>
        <w:spacing w:before="120" w:after="120" w:line="276" w:lineRule="auto"/>
        <w:jc w:val="both"/>
        <w:rPr>
          <w:iCs/>
        </w:rPr>
      </w:pPr>
      <w:r>
        <w:rPr>
          <w:iCs/>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pPr>
        <w:numPr>
          <w:ilvl w:val="1"/>
          <w:numId w:val="1"/>
        </w:numPr>
        <w:spacing w:before="120" w:after="120" w:line="276" w:lineRule="auto"/>
        <w:jc w:val="both"/>
        <w:rPr>
          <w:iCs/>
        </w:rPr>
      </w:pPr>
      <w:r>
        <w:rPr>
          <w:iCs/>
        </w:rPr>
        <w:t>Após o término dos prazos estabelecidos nos itens anteriores, o sistema ordenará os lances segundo a ordem crescente de valores.</w:t>
      </w:r>
    </w:p>
    <w:p>
      <w:pPr>
        <w:numPr>
          <w:ilvl w:val="2"/>
          <w:numId w:val="1"/>
        </w:numPr>
        <w:spacing w:before="120" w:after="120" w:line="276" w:lineRule="auto"/>
        <w:jc w:val="both"/>
        <w:rPr>
          <w:iCs/>
        </w:rPr>
      </w:pPr>
      <w:r>
        <w:rPr>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pPr>
        <w:numPr>
          <w:ilvl w:val="1"/>
          <w:numId w:val="1"/>
        </w:numPr>
        <w:spacing w:before="120" w:after="120" w:line="276" w:lineRule="auto"/>
        <w:jc w:val="both"/>
        <w:rPr>
          <w:iCs/>
        </w:rPr>
      </w:pPr>
      <w:r>
        <w:rPr>
          <w:iCs/>
        </w:rPr>
        <w:t>Poderá o pregoeiro, auxiliado pela equipe de apoio, justificadamente, admitir o reinício da etapa fechada, caso nenhum licitante classificado na etapa de lance fechado atender às exigências de habilitação.</w:t>
      </w:r>
    </w:p>
    <w:p>
      <w:pPr>
        <w:numPr>
          <w:ilvl w:val="1"/>
          <w:numId w:val="1"/>
        </w:numPr>
        <w:spacing w:before="120" w:after="120" w:line="276" w:lineRule="auto"/>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pPr>
        <w:numPr>
          <w:ilvl w:val="1"/>
          <w:numId w:val="1"/>
        </w:numPr>
        <w:spacing w:before="120" w:after="120" w:line="276" w:lineRule="auto"/>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pPr>
        <w:numPr>
          <w:ilvl w:val="1"/>
          <w:numId w:val="1"/>
        </w:numPr>
        <w:spacing w:before="120" w:after="120" w:line="276" w:lineRule="auto"/>
        <w:ind w:left="425"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pPr>
        <w:numPr>
          <w:ilvl w:val="1"/>
          <w:numId w:val="1"/>
        </w:numPr>
        <w:spacing w:before="120" w:after="120" w:line="276" w:lineRule="auto"/>
        <w:ind w:left="425"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pPr>
        <w:numPr>
          <w:ilvl w:val="1"/>
          <w:numId w:val="1"/>
        </w:numPr>
        <w:spacing w:before="120" w:after="120" w:line="276" w:lineRule="auto"/>
        <w:ind w:left="425" w:firstLine="0"/>
        <w:jc w:val="both"/>
        <w:rPr>
          <w:color w:val="000000"/>
        </w:rPr>
      </w:pPr>
      <w:r>
        <w:rPr>
          <w:color w:val="000000"/>
        </w:rPr>
        <w:t xml:space="preserve">O critério de julgamento adotado será o </w:t>
      </w:r>
      <w:r>
        <w:rPr>
          <w:b/>
          <w:bCs/>
          <w:i/>
        </w:rPr>
        <w:t>menor preço</w:t>
      </w:r>
      <w:r>
        <w:rPr>
          <w:color w:val="000000"/>
        </w:rPr>
        <w:t>, conforme definido neste Edital e seus anexos.</w:t>
      </w:r>
    </w:p>
    <w:p>
      <w:pPr>
        <w:numPr>
          <w:ilvl w:val="1"/>
          <w:numId w:val="14"/>
        </w:numPr>
        <w:spacing w:before="120" w:after="120" w:line="276" w:lineRule="auto"/>
        <w:jc w:val="both"/>
      </w:pPr>
      <w:r>
        <w:rPr>
          <w:color w:val="000000"/>
        </w:rPr>
        <w:t>Caso o licitante não apresente lances, concorrerá com o valor de sua proposta.</w:t>
      </w:r>
    </w:p>
    <w:p>
      <w:pPr>
        <w:numPr>
          <w:ilvl w:val="1"/>
          <w:numId w:val="14"/>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numPr>
          <w:ilvl w:val="1"/>
          <w:numId w:val="14"/>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pPr>
        <w:numPr>
          <w:ilvl w:val="1"/>
          <w:numId w:val="14"/>
        </w:numPr>
        <w:spacing w:before="120" w:after="120" w:line="276" w:lineRule="auto"/>
        <w:ind w:left="425"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numPr>
          <w:ilvl w:val="1"/>
          <w:numId w:val="14"/>
        </w:numPr>
        <w:spacing w:before="120" w:after="120" w:line="276" w:lineRule="auto"/>
        <w:ind w:left="425"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numPr>
          <w:ilvl w:val="1"/>
          <w:numId w:val="14"/>
        </w:numPr>
        <w:spacing w:before="120" w:after="120" w:line="276" w:lineRule="auto"/>
        <w:ind w:left="425"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Só poderá haver empate entre propostas iguais (não seguidas de lances), ou entre lances finais da fase fechada do modo de disputa aberto e fechado.</w:t>
      </w:r>
    </w:p>
    <w:p>
      <w:pPr>
        <w:numPr>
          <w:ilvl w:val="2"/>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pPr>
        <w:numPr>
          <w:ilvl w:val="3"/>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 xml:space="preserve">prestados por empresas brasileiras; </w:t>
      </w:r>
    </w:p>
    <w:p>
      <w:pPr>
        <w:numPr>
          <w:ilvl w:val="3"/>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prestados por empresas que invistam em pesquisa e no desenvolvimento de tecnologia no País;</w:t>
      </w:r>
    </w:p>
    <w:p>
      <w:pPr>
        <w:numPr>
          <w:ilvl w:val="3"/>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prestados por empresas que comprovem cumprimento de reserva de cargos prevista em lei para pessoa com deficiência ou para reabilitado da Previdência Social e que atendam às regras de acessibilidade previstas na legislação.</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 xml:space="preserve">Persistindo o empate, a proposta vencedora será sorteada pelo sistema eletrônico dentre as propostas ou os lances empatados. </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numPr>
          <w:ilvl w:val="2"/>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A negociação será realizada por meio do sistema, podendo ser acompanhada pelos demais licitantes.</w:t>
      </w:r>
    </w:p>
    <w:p>
      <w:pPr>
        <w:numPr>
          <w:ilvl w:val="2"/>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 xml:space="preserve">O pregoeiro solicitará ao licitante melhor classificado que, no prazo de </w:t>
      </w:r>
      <w:r>
        <w:t>2 (duas)</w:t>
      </w:r>
      <w:r>
        <w:rPr>
          <w:i/>
        </w:rPr>
        <w:t xml:space="preserve"> </w:t>
      </w:r>
      <w:r>
        <w:rPr>
          <w:color w:val="000000"/>
        </w:rPr>
        <w:t xml:space="preserve">horas ou conforme o descrito através do chat, envie a proposta adequada ao último lance ofertado após a negociação realizada, acompanhada, se for o caso, dos documentos complementares, quando necessários à confirmação daqueles exigidos neste Edital e já apresentados. </w:t>
      </w:r>
    </w:p>
    <w:p>
      <w:pPr>
        <w:numPr>
          <w:ilvl w:val="1"/>
          <w:numId w:val="14"/>
        </w:numPr>
        <w:pBdr>
          <w:top w:val="none" w:color="auto" w:sz="0" w:space="0"/>
          <w:left w:val="none" w:color="auto" w:sz="0" w:space="0"/>
          <w:bottom w:val="none" w:color="auto" w:sz="0" w:space="0"/>
          <w:right w:val="none" w:color="auto" w:sz="0" w:space="0"/>
          <w:between w:val="none" w:color="auto" w:sz="0" w:space="0"/>
        </w:pBdr>
        <w:tabs>
          <w:tab w:val="left" w:pos="-12"/>
        </w:tabs>
        <w:spacing w:before="120" w:after="120" w:line="276" w:lineRule="auto"/>
        <w:jc w:val="both"/>
        <w:rPr>
          <w:color w:val="000000"/>
        </w:rPr>
      </w:pPr>
      <w:r>
        <w:rPr>
          <w:color w:val="000000"/>
        </w:rPr>
        <w:t>Após a negociação do preço, o Pregoeiro iniciará a fase de aceitação e julgamento da proposta.</w:t>
      </w:r>
    </w:p>
    <w:p>
      <w:pPr>
        <w:keepNext/>
        <w:keepLines/>
        <w:numPr>
          <w:ilvl w:val="0"/>
          <w:numId w:val="12"/>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ACEITABILIDADE DA PROPOSTA VENCEDORA.</w:t>
      </w:r>
    </w:p>
    <w:p>
      <w:pPr>
        <w:numPr>
          <w:ilvl w:val="1"/>
          <w:numId w:val="15"/>
        </w:numPr>
        <w:spacing w:before="120" w:after="120" w:line="276" w:lineRule="auto"/>
        <w:ind w:right="-15"/>
        <w:jc w:val="both"/>
        <w:rPr>
          <w:i/>
          <w:color w:val="000000"/>
        </w:rPr>
      </w:pPr>
      <w:bookmarkStart w:id="4" w:name="bookmark=id.2et92p0" w:colFirst="0" w:colLast="0"/>
      <w:bookmarkEnd w:id="4"/>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numPr>
          <w:ilvl w:val="1"/>
          <w:numId w:val="15"/>
        </w:numPr>
        <w:spacing w:before="120" w:after="120" w:line="276" w:lineRule="auto"/>
        <w:ind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pPr>
        <w:numPr>
          <w:ilvl w:val="1"/>
          <w:numId w:val="15"/>
        </w:numPr>
        <w:spacing w:before="120" w:after="120" w:line="276" w:lineRule="auto"/>
        <w:ind w:right="-15"/>
        <w:jc w:val="both"/>
        <w:rPr>
          <w:i/>
          <w:color w:val="000000"/>
        </w:rPr>
      </w:pPr>
      <w:r>
        <w:rPr>
          <w:color w:val="000000"/>
          <w:highlight w:val="white"/>
        </w:rPr>
        <w:t xml:space="preserve">A Planilha de Custos e </w:t>
      </w:r>
      <w:r>
        <w:rPr>
          <w:color w:val="000000"/>
        </w:rPr>
        <w:t xml:space="preserve">Formação de Preços deverá ser encaminhada pelo licitante exclusivamente via sistema, no prazo de </w:t>
      </w:r>
      <w:r>
        <w:t>2 (duas)</w:t>
      </w:r>
      <w:r>
        <w:rPr>
          <w:i/>
        </w:rPr>
        <w:t xml:space="preserve"> </w:t>
      </w:r>
      <w:r>
        <w:rPr>
          <w:color w:val="000000"/>
        </w:rPr>
        <w:t xml:space="preserve">horas ou conforme o descrito através do chat, contado da solicitação do pregoeiro, com os respectivos valores readequados ao lance vencedor, </w:t>
      </w:r>
      <w:r>
        <w:rPr>
          <w:color w:val="000000"/>
          <w:highlight w:val="white"/>
        </w:rPr>
        <w:t>e será analisada pelo Pregoeiro no momento da aceitação do lance vencedor.</w:t>
      </w:r>
    </w:p>
    <w:p>
      <w:pPr>
        <w:numPr>
          <w:ilvl w:val="1"/>
          <w:numId w:val="15"/>
        </w:numPr>
        <w:spacing w:before="120" w:after="120" w:line="276" w:lineRule="auto"/>
        <w:ind w:right="-15"/>
        <w:jc w:val="both"/>
        <w:rPr>
          <w:color w:val="000000"/>
        </w:rPr>
      </w:pPr>
      <w:r>
        <w:rPr>
          <w:color w:val="000000"/>
        </w:rPr>
        <w:t xml:space="preserve">Será desclassificada a proposta ou o lance vencedor, nos termos do item 9.1 do Anexo VII-A da IN SEGES/MP n. 5/2017, que: </w:t>
      </w:r>
    </w:p>
    <w:p>
      <w:pPr>
        <w:numPr>
          <w:ilvl w:val="2"/>
          <w:numId w:val="16"/>
        </w:numPr>
        <w:pBdr>
          <w:top w:val="none" w:color="auto" w:sz="0" w:space="0"/>
          <w:left w:val="none" w:color="auto" w:sz="0" w:space="0"/>
          <w:bottom w:val="none" w:color="auto" w:sz="0" w:space="0"/>
          <w:right w:val="none" w:color="auto" w:sz="0" w:space="0"/>
          <w:between w:val="none" w:color="auto" w:sz="0" w:space="0"/>
        </w:pBdr>
        <w:spacing w:before="120" w:line="276" w:lineRule="auto"/>
        <w:ind w:right="-15"/>
        <w:jc w:val="both"/>
        <w:rPr>
          <w:color w:val="000000"/>
        </w:rPr>
      </w:pPr>
      <w:r>
        <w:rPr>
          <w:color w:val="000000"/>
        </w:rPr>
        <w:t>não estiver em conformidade com os requisitos estabelecidos neste edital;</w:t>
      </w:r>
    </w:p>
    <w:p>
      <w:pPr>
        <w:numPr>
          <w:ilvl w:val="2"/>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contenha vício insanável ou ilegalidade;</w:t>
      </w:r>
    </w:p>
    <w:p>
      <w:pPr>
        <w:numPr>
          <w:ilvl w:val="2"/>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não apresente as especificações técnicas exigidas pelo Termo de Referência;</w:t>
      </w:r>
    </w:p>
    <w:p>
      <w:pPr>
        <w:numPr>
          <w:ilvl w:val="2"/>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pPr>
        <w:numPr>
          <w:ilvl w:val="3"/>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color w:val="000000"/>
        </w:rPr>
      </w:pPr>
      <w:r>
        <w:rPr>
          <w:color w:val="000000"/>
        </w:rPr>
        <w:t>Quando o licitante não conseguir comprovar que possui ou possuirá recursos suficientes para executar a contento o objeto, será considerada inexequível a proposta de preços ou menor lance que:</w:t>
      </w:r>
    </w:p>
    <w:p>
      <w:pPr>
        <w:numPr>
          <w:ilvl w:val="4"/>
          <w:numId w:val="16"/>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numPr>
          <w:ilvl w:val="4"/>
          <w:numId w:val="16"/>
        </w:numPr>
        <w:pBdr>
          <w:top w:val="none" w:color="auto" w:sz="0" w:space="0"/>
          <w:left w:val="none" w:color="auto" w:sz="0" w:space="0"/>
          <w:bottom w:val="none" w:color="auto" w:sz="0" w:space="0"/>
          <w:right w:val="none" w:color="auto" w:sz="0" w:space="0"/>
          <w:between w:val="none" w:color="auto" w:sz="0" w:space="0"/>
        </w:pBdr>
        <w:spacing w:line="276" w:lineRule="auto"/>
        <w:ind w:hanging="1079"/>
        <w:jc w:val="both"/>
        <w:rPr>
          <w:color w:val="000000"/>
        </w:rPr>
      </w:pPr>
      <w:r>
        <w:rPr>
          <w:color w:val="000000"/>
        </w:rPr>
        <w:t>apresentar um ou mais valores da planilha de custo que sejam inferiores àqueles fixados em instrumentos de caráter normativo obrigatório, tais como leis, medidas provisórias e convenções coletivas de trabalho vigentes.</w:t>
      </w:r>
    </w:p>
    <w:p>
      <w:pPr>
        <w:numPr>
          <w:ilvl w:val="3"/>
          <w:numId w:val="16"/>
        </w:numPr>
        <w:pBdr>
          <w:top w:val="none" w:color="auto" w:sz="0" w:space="0"/>
          <w:left w:val="none" w:color="auto" w:sz="0" w:space="0"/>
          <w:bottom w:val="none" w:color="auto" w:sz="0" w:space="0"/>
          <w:right w:val="none" w:color="auto" w:sz="0" w:space="0"/>
          <w:between w:val="none" w:color="auto" w:sz="0" w:space="0"/>
        </w:pBdr>
        <w:spacing w:line="276" w:lineRule="auto"/>
        <w:ind w:right="-15"/>
        <w:jc w:val="both"/>
        <w:rPr>
          <w:iCs/>
        </w:rPr>
      </w:pPr>
      <w:r>
        <w:rPr>
          <w:iCs/>
        </w:rPr>
        <w:t xml:space="preserve">A fim de assegurar o tratamento isonômico entre as licitantes, bem como para a contagem da anualidade prevista no art. 3º, §1º da Lei n. 10.192/2001, </w:t>
      </w:r>
      <w:r>
        <w:rPr>
          <w:rFonts w:cs="Arial"/>
          <w:iCs/>
          <w:szCs w:val="20"/>
        </w:rPr>
        <w:t>informa-se que foram utilizadas as convenções coletivas de trabalho, anexo do Edital, no cálculo do valor estimado pela Administração</w:t>
      </w:r>
    </w:p>
    <w:p>
      <w:pPr>
        <w:numPr>
          <w:ilvl w:val="4"/>
          <w:numId w:val="16"/>
        </w:numPr>
        <w:pBdr>
          <w:top w:val="none" w:color="auto" w:sz="0" w:space="0"/>
          <w:left w:val="none" w:color="auto" w:sz="0" w:space="0"/>
          <w:bottom w:val="none" w:color="auto" w:sz="0" w:space="0"/>
          <w:right w:val="none" w:color="auto" w:sz="0" w:space="0"/>
          <w:between w:val="none" w:color="auto" w:sz="0" w:space="0"/>
        </w:pBdr>
        <w:spacing w:after="120" w:line="276" w:lineRule="auto"/>
        <w:jc w:val="both"/>
        <w:rPr>
          <w:iCs/>
        </w:rPr>
      </w:pPr>
      <w:r>
        <w:rPr>
          <w:b/>
        </w:rPr>
        <w:t xml:space="preserve">CCT </w:t>
      </w:r>
      <w:r>
        <w:rPr>
          <w:rFonts w:hint="default"/>
          <w:b/>
          <w:lang w:val="pt-BR"/>
        </w:rPr>
        <w:t xml:space="preserve">2021/2022 </w:t>
      </w:r>
      <w:r>
        <w:rPr>
          <w:b/>
        </w:rPr>
        <w:t xml:space="preserve"> - RJ0</w:t>
      </w:r>
      <w:r>
        <w:rPr>
          <w:rFonts w:hint="default"/>
          <w:b/>
          <w:lang w:val="pt-BR"/>
        </w:rPr>
        <w:t>00597/2022;</w:t>
      </w:r>
    </w:p>
    <w:p>
      <w:pPr>
        <w:numPr>
          <w:ilvl w:val="4"/>
          <w:numId w:val="16"/>
        </w:numPr>
        <w:pBdr>
          <w:top w:val="none" w:color="auto" w:sz="0" w:space="0"/>
          <w:left w:val="none" w:color="auto" w:sz="0" w:space="0"/>
          <w:bottom w:val="none" w:color="auto" w:sz="0" w:space="0"/>
          <w:right w:val="none" w:color="auto" w:sz="0" w:space="0"/>
          <w:between w:val="none" w:color="auto" w:sz="0" w:space="0"/>
        </w:pBdr>
        <w:spacing w:after="120" w:line="276" w:lineRule="auto"/>
        <w:jc w:val="both"/>
        <w:rPr>
          <w:iCs/>
        </w:rPr>
      </w:pPr>
      <w:r>
        <w:rPr>
          <w:iCs/>
        </w:rPr>
        <w:t>O(s) sindicato(s) indicado(s) nos subitens acima não são de utilização obrigatória pelos licitantes (Acórdão TCU nº 369/2012), mas sempre se exigirá o cumprimento das convenções coletivas adotadas por cada licitante/contratante.</w:t>
      </w:r>
    </w:p>
    <w:p>
      <w:pPr>
        <w:numPr>
          <w:ilvl w:val="1"/>
          <w:numId w:val="15"/>
        </w:numPr>
        <w:spacing w:before="120" w:after="120" w:line="276" w:lineRule="auto"/>
        <w:ind w:right="-15"/>
        <w:jc w:val="both"/>
        <w:rPr>
          <w:color w:val="000000"/>
        </w:rPr>
      </w:pPr>
      <w:r>
        <w:rPr>
          <w:color w:val="000000"/>
        </w:rPr>
        <w:t>É vedado à proponente incluir na Planilha de Custos e Formação de Preços:</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before="120" w:line="276" w:lineRule="auto"/>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rubricas que prevejam o custeio de despesas com treinamento, reciclagem e capacitação ou congêneres, pois tais parcelas já são cobertas pelas despesas administrativas (Acórdão TCU nº 2.746/2015 - Plenário);</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line="276" w:lineRule="auto"/>
        <w:jc w:val="both"/>
        <w:rPr>
          <w:color w:val="000000"/>
        </w:rPr>
      </w:pPr>
      <w:r>
        <w:rPr>
          <w:color w:val="000000"/>
        </w:rPr>
        <w:t>rubrica para pagamento do Imposto de Renda Pessoa Jurídica - IRPJ e da Contribuição Social Sobre o Lucro Líquido – CSLL (Súmula TCU nº 254/2010);</w:t>
      </w:r>
    </w:p>
    <w:p>
      <w:pPr>
        <w:numPr>
          <w:ilvl w:val="2"/>
          <w:numId w:val="17"/>
        </w:numPr>
        <w:pBdr>
          <w:top w:val="none" w:color="auto" w:sz="0" w:space="0"/>
          <w:left w:val="none" w:color="auto" w:sz="0" w:space="0"/>
          <w:bottom w:val="none" w:color="auto" w:sz="0" w:space="0"/>
          <w:right w:val="none" w:color="auto" w:sz="0" w:space="0"/>
          <w:between w:val="none" w:color="auto" w:sz="0" w:space="0"/>
        </w:pBdr>
        <w:tabs>
          <w:tab w:val="left" w:pos="1560"/>
        </w:tabs>
        <w:spacing w:after="120" w:line="276" w:lineRule="auto"/>
        <w:jc w:val="both"/>
        <w:rPr>
          <w:color w:val="000000"/>
        </w:rPr>
      </w:pPr>
      <w:r>
        <w:rPr>
          <w:color w:val="000000"/>
        </w:rPr>
        <w:t>rubrica denominada “verba” ou “verba provisional”, pois o item não está vinculado a qualquer contraprestação mensurável (Acórdãos TCU nº 1.949/2007 – Plenário e nº 6.439/2011 – 1ª Câmara).</w:t>
      </w:r>
    </w:p>
    <w:p>
      <w:pPr>
        <w:numPr>
          <w:ilvl w:val="1"/>
          <w:numId w:val="15"/>
        </w:numPr>
        <w:spacing w:before="120" w:after="120" w:line="276" w:lineRule="auto"/>
        <w:ind w:right="-15"/>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pPr>
        <w:numPr>
          <w:ilvl w:val="2"/>
          <w:numId w:val="18"/>
        </w:numPr>
        <w:spacing w:before="120" w:after="120" w:line="276" w:lineRule="auto"/>
        <w:ind w:right="-15"/>
        <w:jc w:val="both"/>
        <w:rPr>
          <w:color w:val="000000"/>
        </w:rPr>
      </w:pPr>
      <w:r>
        <w:rPr>
          <w:color w:val="000000"/>
        </w:rPr>
        <w:t>Na hipótese de contratação com a previsão de itens de custos vedados, tais valores serão glosados e os itens serão excluídos da Planilha, garantidas ampla defesa e contraditório.</w:t>
      </w:r>
    </w:p>
    <w:p>
      <w:pPr>
        <w:numPr>
          <w:ilvl w:val="1"/>
          <w:numId w:val="15"/>
        </w:numPr>
        <w:spacing w:before="120" w:after="120" w:line="276" w:lineRule="auto"/>
        <w:ind w:right="-15"/>
        <w:jc w:val="both"/>
        <w:rPr>
          <w:color w:val="000000"/>
        </w:rPr>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pPr>
        <w:numPr>
          <w:ilvl w:val="1"/>
          <w:numId w:val="15"/>
        </w:numPr>
        <w:spacing w:before="120" w:after="120" w:line="276" w:lineRule="auto"/>
        <w:ind w:right="-15"/>
        <w:jc w:val="both"/>
        <w:rPr>
          <w:color w:val="000000"/>
        </w:rPr>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numPr>
          <w:ilvl w:val="1"/>
          <w:numId w:val="15"/>
        </w:numPr>
        <w:spacing w:before="120" w:after="120" w:line="276" w:lineRule="auto"/>
        <w:ind w:right="-15"/>
        <w:jc w:val="both"/>
        <w:rPr>
          <w:color w:val="000000"/>
        </w:rPr>
      </w:pPr>
      <w:r>
        <w:rPr>
          <w:color w:val="00000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pPr>
        <w:numPr>
          <w:ilvl w:val="2"/>
          <w:numId w:val="19"/>
        </w:numPr>
        <w:spacing w:before="120" w:after="120" w:line="276" w:lineRule="auto"/>
        <w:ind w:right="-15"/>
        <w:jc w:val="both"/>
        <w:rPr>
          <w:iCs/>
        </w:rPr>
      </w:pPr>
      <w:r>
        <w:rPr>
          <w:iCs/>
        </w:rPr>
        <w:t xml:space="preserve">As propostas com preços próximos ou inferiores ao mínimo estabelecido pelo Ministério da Economia, disponibilizado em meio eletrônico, no Portal de Compras do Governo Federal </w:t>
      </w:r>
      <w:r>
        <w:rPr>
          <w:b/>
          <w:iCs/>
        </w:rPr>
        <w:t>(</w:t>
      </w:r>
      <w:r>
        <w:fldChar w:fldCharType="begin"/>
      </w:r>
      <w:r>
        <w:instrText xml:space="preserve"> HYPERLINK "http://www.gov.br/compras" \h </w:instrText>
      </w:r>
      <w:r>
        <w:fldChar w:fldCharType="separate"/>
      </w:r>
      <w:r>
        <w:rPr>
          <w:b/>
          <w:iCs/>
          <w:u w:val="single"/>
        </w:rPr>
        <w:t>www.gov.br/compras</w:t>
      </w:r>
      <w:r>
        <w:rPr>
          <w:b/>
          <w:iCs/>
          <w:u w:val="single"/>
        </w:rPr>
        <w:fldChar w:fldCharType="end"/>
      </w:r>
      <w:r>
        <w:rPr>
          <w:b/>
          <w:iCs/>
        </w:rPr>
        <w:t>)</w:t>
      </w:r>
      <w:r>
        <w:rPr>
          <w:iCs/>
        </w:rPr>
        <w:t xml:space="preserve">, deverão comprovar sua exequibilidade, de forma inequívoca, sob pena de desclassificação, sem prejuízo do disposto nos itens 9.2 a 9.6 do Anexo VII-A, da Instrução Normativa/SEGES/MP n.º 5/2017 (Portaria SEGES/MP n. 213, de 25 de setembro de 2017). </w:t>
      </w:r>
    </w:p>
    <w:p>
      <w:pPr>
        <w:numPr>
          <w:ilvl w:val="1"/>
          <w:numId w:val="15"/>
        </w:numPr>
        <w:spacing w:before="120" w:after="120" w:line="276" w:lineRule="auto"/>
        <w:ind w:right="-1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pPr>
        <w:numPr>
          <w:ilvl w:val="2"/>
          <w:numId w:val="20"/>
        </w:numPr>
        <w:spacing w:before="120" w:after="120" w:line="276" w:lineRule="auto"/>
        <w:ind w:right="-15"/>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numPr>
          <w:ilvl w:val="1"/>
          <w:numId w:val="15"/>
        </w:numPr>
        <w:spacing w:before="120" w:after="120" w:line="276" w:lineRule="auto"/>
        <w:ind w:right="-15"/>
        <w:jc w:val="both"/>
        <w:rPr>
          <w:color w:val="000000"/>
        </w:rPr>
      </w:pPr>
      <w:r>
        <w:rPr>
          <w:color w:val="000000"/>
        </w:rPr>
        <w:t xml:space="preserve">O Pregoeiro poderá convocar o licitante para enviar documento digital complementar, por meio de funcionalidade disponível no sistema, no prazo de </w:t>
      </w:r>
      <w:r>
        <w:t>2 (duas)</w:t>
      </w:r>
      <w:r>
        <w:rPr>
          <w:i/>
        </w:rPr>
        <w:t xml:space="preserve"> </w:t>
      </w:r>
      <w:r>
        <w:rPr>
          <w:color w:val="000000"/>
        </w:rPr>
        <w:t>horas ou conforme o descrito através do chat, sob pena de não aceitação da proposta.</w:t>
      </w:r>
    </w:p>
    <w:p>
      <w:pPr>
        <w:numPr>
          <w:ilvl w:val="2"/>
          <w:numId w:val="21"/>
        </w:numPr>
        <w:spacing w:before="120" w:after="120" w:line="276" w:lineRule="auto"/>
        <w:ind w:right="-15"/>
        <w:jc w:val="both"/>
      </w:pPr>
      <w:r>
        <w:rPr>
          <w:color w:val="000000"/>
        </w:rPr>
        <w:t xml:space="preserve">É facultado ao pregoeiro prorrogar o prazo estabelecido a partir de solicitação fundamentada feita no </w:t>
      </w:r>
      <w:r>
        <w:rPr>
          <w:b/>
          <w:bCs/>
          <w:color w:val="000000"/>
        </w:rPr>
        <w:t xml:space="preserve">chat </w:t>
      </w:r>
      <w:r>
        <w:rPr>
          <w:rFonts w:ascii="Arial" w:hAnsi="Arial" w:eastAsia="SimSun" w:cs="Arial"/>
          <w:b/>
          <w:bCs/>
          <w:i w:val="0"/>
          <w:iCs w:val="0"/>
          <w:color w:val="000000"/>
          <w:sz w:val="20"/>
          <w:szCs w:val="20"/>
          <w:u w:val="none"/>
          <w:shd w:val="clear" w:fill="FFFFFF"/>
          <w:vertAlign w:val="baseline"/>
        </w:rPr>
        <w:t xml:space="preserve"> ou também por meio do e-mail </w:t>
      </w:r>
      <w:r>
        <w:rPr>
          <w:rFonts w:ascii="SimSun" w:hAnsi="SimSun" w:eastAsia="SimSun" w:cs="SimSun"/>
          <w:b w:val="0"/>
          <w:bCs w:val="0"/>
          <w:sz w:val="24"/>
          <w:szCs w:val="24"/>
          <w:u w:val="none"/>
        </w:rPr>
        <w:fldChar w:fldCharType="begin"/>
      </w:r>
      <w:r>
        <w:rPr>
          <w:rFonts w:ascii="SimSun" w:hAnsi="SimSun" w:eastAsia="SimSun" w:cs="SimSun"/>
          <w:b w:val="0"/>
          <w:bCs w:val="0"/>
          <w:sz w:val="24"/>
          <w:szCs w:val="24"/>
          <w:u w:val="none"/>
        </w:rPr>
        <w:instrText xml:space="preserve"> HYPERLINK "mailto:cpl@id.uff.br" </w:instrText>
      </w:r>
      <w:r>
        <w:rPr>
          <w:rFonts w:ascii="SimSun" w:hAnsi="SimSun" w:eastAsia="SimSun" w:cs="SimSun"/>
          <w:b w:val="0"/>
          <w:bCs w:val="0"/>
          <w:sz w:val="24"/>
          <w:szCs w:val="24"/>
          <w:u w:val="none"/>
        </w:rPr>
        <w:fldChar w:fldCharType="separate"/>
      </w:r>
      <w:r>
        <w:rPr>
          <w:rStyle w:val="14"/>
          <w:rFonts w:hint="default" w:ascii="Arial" w:hAnsi="Arial" w:eastAsia="SimSun" w:cs="Arial"/>
          <w:b/>
          <w:bCs/>
          <w:i w:val="0"/>
          <w:iCs w:val="0"/>
          <w:color w:val="1155CC"/>
          <w:sz w:val="20"/>
          <w:szCs w:val="20"/>
          <w:u w:val="single"/>
          <w:shd w:val="clear" w:fill="FFFFFF"/>
          <w:vertAlign w:val="baseline"/>
        </w:rPr>
        <w:t>cpl@id.uff.b</w:t>
      </w:r>
      <w:r>
        <w:rPr>
          <w:rStyle w:val="14"/>
          <w:rFonts w:hint="default" w:ascii="Arial" w:hAnsi="Arial" w:eastAsia="SimSun" w:cs="Arial"/>
          <w:i w:val="0"/>
          <w:iCs w:val="0"/>
          <w:color w:val="1155CC"/>
          <w:sz w:val="20"/>
          <w:szCs w:val="20"/>
          <w:u w:val="single"/>
          <w:shd w:val="clear" w:fill="FFFFFF"/>
          <w:vertAlign w:val="baseline"/>
        </w:rPr>
        <w:t>r</w:t>
      </w:r>
      <w:r>
        <w:rPr>
          <w:rFonts w:ascii="SimSun" w:hAnsi="SimSun" w:eastAsia="SimSun" w:cs="SimSun"/>
          <w:b w:val="0"/>
          <w:bCs w:val="0"/>
          <w:sz w:val="24"/>
          <w:szCs w:val="24"/>
          <w:u w:val="none"/>
        </w:rPr>
        <w:fldChar w:fldCharType="end"/>
      </w:r>
      <w:r>
        <w:rPr>
          <w:rFonts w:hint="default" w:ascii="SimSun" w:hAnsi="SimSun" w:eastAsia="SimSun" w:cs="SimSun"/>
          <w:b w:val="0"/>
          <w:bCs w:val="0"/>
          <w:sz w:val="24"/>
          <w:szCs w:val="24"/>
          <w:u w:val="none"/>
          <w:lang w:val="pt-BR"/>
        </w:rPr>
        <w:t xml:space="preserve"> </w:t>
      </w:r>
      <w:r>
        <w:rPr>
          <w:color w:val="000000"/>
        </w:rPr>
        <w:t>pelo licitante, antes de findo o prazo.</w:t>
      </w:r>
    </w:p>
    <w:p>
      <w:pPr>
        <w:numPr>
          <w:ilvl w:val="2"/>
          <w:numId w:val="21"/>
        </w:numPr>
        <w:spacing w:before="120" w:after="120" w:line="276" w:lineRule="auto"/>
        <w:ind w:right="-15"/>
        <w:jc w:val="both"/>
        <w:rPr>
          <w:color w:val="000000"/>
        </w:rPr>
      </w:pPr>
      <w:r>
        <w:rPr>
          <w:color w:val="000000"/>
        </w:rPr>
        <w:t>Dentre os documentos passíveis de solicitação pelo Pregoeiro, destacam-se as planilhas de custo readequadas com o valor final ofertado.</w:t>
      </w:r>
    </w:p>
    <w:p>
      <w:pPr>
        <w:numPr>
          <w:ilvl w:val="1"/>
          <w:numId w:val="21"/>
        </w:numPr>
        <w:spacing w:before="120" w:after="120" w:line="276" w:lineRule="auto"/>
        <w:ind w:right="-15"/>
        <w:jc w:val="both"/>
        <w:rPr>
          <w:color w:val="000000"/>
        </w:rPr>
      </w:pPr>
      <w:r>
        <w:rPr>
          <w:color w:val="000000"/>
        </w:rPr>
        <w:t>Todos os dados informados pelo licitante em sua planilha deverão refletir com fidelidade os custos especificados e a margem de lucro pretendida.</w:t>
      </w:r>
    </w:p>
    <w:p>
      <w:pPr>
        <w:numPr>
          <w:ilvl w:val="1"/>
          <w:numId w:val="21"/>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pPr>
        <w:numPr>
          <w:ilvl w:val="1"/>
          <w:numId w:val="21"/>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pPr>
        <w:numPr>
          <w:ilvl w:val="2"/>
          <w:numId w:val="21"/>
        </w:numPr>
        <w:spacing w:before="120" w:after="120" w:line="276" w:lineRule="auto"/>
        <w:ind w:right="-15"/>
        <w:jc w:val="both"/>
        <w:rPr>
          <w:color w:val="000000"/>
        </w:rPr>
      </w:pPr>
      <w:r>
        <w:rPr>
          <w:color w:val="000000"/>
        </w:rPr>
        <w:t>O ajuste de que trata este dispositivo se limita a sanar erros ou falhas que não alterem a substância das propostas;</w:t>
      </w:r>
    </w:p>
    <w:p>
      <w:pPr>
        <w:numPr>
          <w:ilvl w:val="2"/>
          <w:numId w:val="21"/>
        </w:numPr>
        <w:spacing w:before="120" w:after="120" w:line="276" w:lineRule="auto"/>
        <w:ind w:right="-15"/>
        <w:jc w:val="both"/>
        <w:rPr>
          <w:color w:val="000000"/>
        </w:rPr>
      </w:pPr>
      <w:r>
        <w:rPr>
          <w:color w:val="000000"/>
        </w:rPr>
        <w:t>Considera-se erro no preenchimento da planilha passível de correção a indicação de recolhimento de impostos e contribuições na forma do Simples Nacional, quando não cabível esse regime.</w:t>
      </w:r>
    </w:p>
    <w:p>
      <w:pPr>
        <w:numPr>
          <w:ilvl w:val="1"/>
          <w:numId w:val="21"/>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pPr>
        <w:numPr>
          <w:ilvl w:val="1"/>
          <w:numId w:val="21"/>
        </w:numPr>
        <w:spacing w:before="120" w:after="120" w:line="276" w:lineRule="auto"/>
        <w:ind w:right="-15"/>
        <w:jc w:val="both"/>
        <w:rPr>
          <w:color w:val="000000"/>
        </w:rPr>
      </w:pPr>
      <w:r>
        <w:rPr>
          <w:color w:val="000000"/>
        </w:rPr>
        <w:t>Se a proposta ou lance vencedor for desclassificado, o Pregoeiro examinará a proposta ou lance subsequente, e, assim sucessivamente, na ordem de classificação.</w:t>
      </w:r>
    </w:p>
    <w:p>
      <w:pPr>
        <w:numPr>
          <w:ilvl w:val="1"/>
          <w:numId w:val="21"/>
        </w:numPr>
        <w:spacing w:before="120" w:after="120" w:line="276" w:lineRule="auto"/>
        <w:ind w:right="-15"/>
        <w:jc w:val="both"/>
        <w:rPr>
          <w:color w:val="000000"/>
        </w:rPr>
      </w:pPr>
      <w:r>
        <w:rPr>
          <w:color w:val="000000"/>
        </w:rPr>
        <w:t>Havendo necessidade, o Pregoeiro suspenderá a sessão, informando no “chat” a nova data e horário para a continuidade da mesma.</w:t>
      </w:r>
    </w:p>
    <w:p>
      <w:pPr>
        <w:numPr>
          <w:ilvl w:val="1"/>
          <w:numId w:val="21"/>
        </w:numPr>
        <w:spacing w:before="120" w:after="120" w:line="276" w:lineRule="auto"/>
        <w:ind w:right="-15"/>
        <w:jc w:val="both"/>
        <w:rPr>
          <w:color w:val="000000"/>
        </w:rPr>
      </w:pPr>
      <w:r>
        <w:rPr>
          <w:color w:val="00000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numPr>
          <w:ilvl w:val="1"/>
          <w:numId w:val="21"/>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disposto neste Edital. </w:t>
      </w:r>
    </w:p>
    <w:p>
      <w:pPr>
        <w:numPr>
          <w:ilvl w:val="1"/>
          <w:numId w:val="21"/>
        </w:numPr>
        <w:spacing w:before="120" w:after="120" w:line="276" w:lineRule="auto"/>
        <w:ind w:right="-15"/>
        <w:jc w:val="both"/>
        <w:rPr>
          <w:rFonts w:cs="Arial"/>
          <w:color w:val="000000" w:themeColor="text1"/>
          <w:szCs w:val="20"/>
          <w14:textFill>
            <w14:solidFill>
              <w14:schemeClr w14:val="tx1"/>
            </w14:solidFill>
          </w14:textFill>
        </w:rPr>
      </w:pPr>
      <w:r>
        <w:rPr>
          <w:rFonts w:cs="Arial"/>
          <w:color w:val="000000" w:themeColor="text1"/>
          <w:szCs w:val="20"/>
          <w14:textFill>
            <w14:solidFill>
              <w14:schemeClr w14:val="tx1"/>
            </w14:solidFill>
          </w14:textFill>
        </w:rPr>
        <w:t>AMOSTRA: o pregoeiro poderá solicitar Amostra dos Materiais a serem utilizados na execução do Contrato, de forma a garantir a qualidade dos mesmos. Caso julgue necessário, a solicitação será feita por Chat com o prazo e endereço para recebimento.</w:t>
      </w:r>
    </w:p>
    <w:p>
      <w:pPr>
        <w:spacing w:before="120" w:after="120" w:line="276" w:lineRule="auto"/>
        <w:ind w:left="1036" w:right="-15"/>
        <w:jc w:val="both"/>
        <w:rPr>
          <w:color w:val="000000"/>
        </w:rPr>
      </w:pPr>
    </w:p>
    <w:p>
      <w:pPr>
        <w:keepNext/>
        <w:keepLines/>
        <w:numPr>
          <w:ilvl w:val="0"/>
          <w:numId w:val="22"/>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 xml:space="preserve">DA HABILITAÇÃO </w:t>
      </w:r>
    </w:p>
    <w:p>
      <w:pPr>
        <w:numPr>
          <w:ilvl w:val="1"/>
          <w:numId w:val="23"/>
        </w:numPr>
        <w:pBdr>
          <w:top w:val="none" w:color="auto" w:sz="0" w:space="0"/>
          <w:left w:val="none" w:color="auto" w:sz="0" w:space="0"/>
          <w:bottom w:val="none" w:color="auto" w:sz="0" w:space="0"/>
          <w:right w:val="none" w:color="auto" w:sz="0" w:space="0"/>
          <w:between w:val="none" w:color="auto" w:sz="0" w:space="0"/>
        </w:pBdr>
        <w:spacing w:before="12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720" w:firstLine="720"/>
        <w:jc w:val="both"/>
        <w:rPr>
          <w:color w:val="000000"/>
        </w:rPr>
      </w:pPr>
      <w:r>
        <w:t xml:space="preserve">    a</w:t>
      </w:r>
      <w:r>
        <w:rPr>
          <w:color w:val="000000"/>
        </w:rPr>
        <w:t>) SICAF;</w:t>
      </w:r>
    </w:p>
    <w:p>
      <w:pPr>
        <w:spacing w:before="120" w:after="120" w:line="276" w:lineRule="auto"/>
        <w:ind w:left="1134" w:hanging="1134"/>
        <w:jc w:val="both"/>
        <w:rPr>
          <w:b/>
          <w:color w:val="0000FF"/>
        </w:rPr>
      </w:pPr>
      <w:r>
        <w:t xml:space="preserve">                    b) Cadastro Nacional de Empresas Inidôneas e Suspensas - CEIS, mantido pela   Controladoria-Geral da União </w:t>
      </w:r>
      <w:r>
        <w:rPr>
          <w:b/>
          <w:color w:val="0000FF"/>
        </w:rPr>
        <w:t>(</w:t>
      </w:r>
      <w:r>
        <w:fldChar w:fldCharType="begin"/>
      </w:r>
      <w:r>
        <w:instrText xml:space="preserve"> HYPERLINK "http://www.portaldatransparencia.gov.br/ceis" \h </w:instrText>
      </w:r>
      <w:r>
        <w:fldChar w:fldCharType="separate"/>
      </w:r>
      <w:r>
        <w:rPr>
          <w:b/>
          <w:color w:val="0000FF"/>
          <w:u w:val="single"/>
        </w:rPr>
        <w:t>www.portaldatransparencia.gov.br/ceis</w:t>
      </w:r>
      <w:r>
        <w:rPr>
          <w:b/>
          <w:color w:val="0000FF"/>
          <w:u w:val="single"/>
        </w:rPr>
        <w:fldChar w:fldCharType="end"/>
      </w:r>
      <w:r>
        <w:rPr>
          <w:b/>
          <w:color w:val="0000FF"/>
        </w:rPr>
        <w:t>);</w:t>
      </w:r>
    </w:p>
    <w:p>
      <w:pPr>
        <w:spacing w:before="120" w:after="120" w:line="276" w:lineRule="auto"/>
        <w:ind w:left="1134" w:hanging="1134"/>
        <w:jc w:val="both"/>
        <w:rPr>
          <w:b/>
          <w:color w:val="0000FF"/>
        </w:rPr>
      </w:pPr>
      <w:r>
        <w:t xml:space="preserve">                    c) Cadastro Nacional de Condenações Cíveis por Atos de Improbidade Administrativa,                     mantido pelo Conselho Nacional de justiça </w:t>
      </w:r>
      <w:r>
        <w:rPr>
          <w:b/>
          <w:color w:val="0000FF"/>
        </w:rPr>
        <w:t>(</w:t>
      </w:r>
      <w:r>
        <w:fldChar w:fldCharType="begin"/>
      </w:r>
      <w:r>
        <w:instrText xml:space="preserve"> HYPERLINK "http://www.cnj.jus.br/improbidade_adm/consultar_requerido.php" \h </w:instrText>
      </w:r>
      <w:r>
        <w:fldChar w:fldCharType="separate"/>
      </w:r>
      <w:r>
        <w:rPr>
          <w:b/>
          <w:color w:val="0000FF"/>
          <w:u w:val="single"/>
        </w:rPr>
        <w:t>www.cnj.jus.br/improbidade_adm/consultar_requerido.php</w:t>
      </w:r>
      <w:r>
        <w:rPr>
          <w:b/>
          <w:color w:val="0000FF"/>
          <w:u w:val="single"/>
        </w:rPr>
        <w:fldChar w:fldCharType="end"/>
      </w:r>
      <w:r>
        <w:rPr>
          <w:b/>
          <w:color w:val="0000FF"/>
        </w:rPr>
        <w:t>);</w:t>
      </w:r>
    </w:p>
    <w:p>
      <w:pPr>
        <w:ind w:left="1134" w:hanging="1134"/>
      </w:pPr>
      <w:r>
        <w:t xml:space="preserve">                    d) Lista de Inidôneos e o Cadastro Integrado de Condenações por Ilícitos Administrativos            - CADICON, mantidos pelo Tribunal de Contas da União - TCU;</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134" w:firstLine="0"/>
        <w:jc w:val="both"/>
        <w:rPr>
          <w:color w:val="000000"/>
        </w:rPr>
      </w:pPr>
      <w:r>
        <w:rPr>
          <w:color w:val="000000"/>
        </w:rPr>
        <w:t xml:space="preserve">Para a consulta de licitantes pessoa jurídica poderá haver a substituição ds consultas das alíneas “b”, “c” e “d” acima pela Consulta Consolidada de Pessoa Jurídica do TCU </w:t>
      </w:r>
      <w:r>
        <w:rPr>
          <w:b/>
          <w:color w:val="0000FF"/>
        </w:rPr>
        <w:t>(</w:t>
      </w:r>
      <w:r>
        <w:fldChar w:fldCharType="begin"/>
      </w:r>
      <w:r>
        <w:instrText xml:space="preserve"> HYPERLINK "https://certidoesapf.apps.tcu.gov.br/" \h </w:instrText>
      </w:r>
      <w:r>
        <w:fldChar w:fldCharType="separate"/>
      </w:r>
      <w:r>
        <w:rPr>
          <w:b/>
          <w:color w:val="0000FF"/>
          <w:u w:val="single"/>
        </w:rPr>
        <w:t>https://certidoesapf.apps.tcu.gov.br/</w:t>
      </w:r>
      <w:r>
        <w:rPr>
          <w:b/>
          <w:color w:val="0000FF"/>
          <w:u w:val="single"/>
        </w:rPr>
        <w:fldChar w:fldCharType="end"/>
      </w:r>
      <w:r>
        <w:rPr>
          <w:b/>
          <w:color w:val="0000FF"/>
        </w:rPr>
        <w:t>)</w:t>
      </w:r>
      <w:r>
        <w:rPr>
          <w:color w:val="000000"/>
        </w:rPr>
        <w:t>.</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134" w:firstLine="0"/>
        <w:jc w:val="both"/>
        <w:rPr>
          <w:color w:val="000000"/>
        </w:rPr>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numPr>
          <w:ilvl w:val="3"/>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pPr>
        <w:numPr>
          <w:ilvl w:val="4"/>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A tentativa de burla será verificada por meio dos vínculos societários, linhas de fornecimento similares, dentre outros.</w:t>
      </w:r>
    </w:p>
    <w:p>
      <w:pPr>
        <w:numPr>
          <w:ilvl w:val="4"/>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O licitante será convocado para manifestação previamente à sua desclassificação.</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134" w:firstLine="0"/>
        <w:jc w:val="both"/>
        <w:rPr>
          <w:color w:val="000000"/>
        </w:rPr>
      </w:pPr>
      <w:r>
        <w:rPr>
          <w:color w:val="000000"/>
        </w:rPr>
        <w:t>Constatada a existência de sanção, o Pregoeiro reputará o licitante inabilitado, por falta de condição de participação.</w:t>
      </w:r>
    </w:p>
    <w:p>
      <w:pPr>
        <w:numPr>
          <w:ilvl w:val="2"/>
          <w:numId w:val="23"/>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2279"/>
        <w:jc w:val="both"/>
        <w:rPr>
          <w:color w:val="000000"/>
        </w:rPr>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pPr>
        <w:numPr>
          <w:ilvl w:val="1"/>
          <w:numId w:val="2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ind w:left="924" w:hanging="357"/>
        <w:jc w:val="both"/>
        <w:rPr>
          <w:color w:val="000000"/>
        </w:rPr>
      </w:pPr>
      <w:r>
        <w:rPr>
          <w:color w:val="00000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pPr>
        <w:numPr>
          <w:ilvl w:val="2"/>
          <w:numId w:val="23"/>
        </w:numPr>
        <w:spacing w:before="120" w:after="120" w:line="276" w:lineRule="auto"/>
        <w:ind w:left="1854"/>
        <w:jc w:val="both"/>
        <w:rPr>
          <w:color w:val="000000"/>
        </w:rPr>
      </w:pPr>
      <w: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pPr>
        <w:numPr>
          <w:ilvl w:val="2"/>
          <w:numId w:val="23"/>
        </w:numPr>
        <w:spacing w:before="120" w:after="120" w:line="276" w:lineRule="auto"/>
        <w:ind w:left="1854"/>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pPr>
        <w:numPr>
          <w:ilvl w:val="2"/>
          <w:numId w:val="23"/>
        </w:numPr>
        <w:spacing w:before="120" w:after="120" w:line="276" w:lineRule="auto"/>
        <w:ind w:left="1854"/>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numPr>
          <w:ilvl w:val="1"/>
          <w:numId w:val="23"/>
        </w:numPr>
        <w:pBdr>
          <w:top w:val="none" w:color="auto" w:sz="0" w:space="0"/>
          <w:left w:val="none" w:color="auto" w:sz="0" w:space="0"/>
          <w:bottom w:val="none" w:color="auto" w:sz="0" w:space="0"/>
          <w:right w:val="none" w:color="auto" w:sz="0" w:space="0"/>
          <w:between w:val="none" w:color="auto" w:sz="0" w:space="0"/>
        </w:pBdr>
        <w:shd w:val="clear" w:color="auto" w:fill="FFFFFF"/>
        <w:spacing w:before="120" w:after="120" w:line="276" w:lineRule="auto"/>
        <w:jc w:val="both"/>
        <w:rPr>
          <w:color w:val="000000"/>
        </w:rPr>
      </w:pPr>
      <w:r>
        <w:rPr>
          <w:color w:val="000000"/>
        </w:rPr>
        <w:t xml:space="preserve">Havendo a necessidade de envio de documentos de habilitação complementares, necessários à confirmação daqueles exigidos neste Edital e já apresentados, o licitante será convocado a encaminhá-los, em formato digital, via sistema, no prazo de </w:t>
      </w:r>
      <w:r>
        <w:t>2 (duas)</w:t>
      </w:r>
      <w:r>
        <w:rPr>
          <w:i/>
        </w:rPr>
        <w:t xml:space="preserve"> </w:t>
      </w:r>
      <w:r>
        <w:rPr>
          <w:color w:val="000000"/>
        </w:rPr>
        <w:t>horas ou conforme o descrito através do chat, sob pena de inabilitação.</w:t>
      </w:r>
    </w:p>
    <w:p>
      <w:pPr>
        <w:numPr>
          <w:ilvl w:val="1"/>
          <w:numId w:val="2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pPr>
        <w:numPr>
          <w:ilvl w:val="1"/>
          <w:numId w:val="23"/>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pPr>
        <w:numPr>
          <w:ilvl w:val="1"/>
          <w:numId w:val="23"/>
        </w:numPr>
        <w:spacing w:before="120" w:after="120" w:line="276" w:lineRule="auto"/>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numPr>
          <w:ilvl w:val="2"/>
          <w:numId w:val="23"/>
        </w:numPr>
        <w:spacing w:before="120" w:after="120" w:line="276" w:lineRule="auto"/>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pPr>
        <w:numPr>
          <w:ilvl w:val="1"/>
          <w:numId w:val="23"/>
        </w:numPr>
        <w:spacing w:before="120" w:after="120" w:line="276" w:lineRule="auto"/>
        <w:jc w:val="both"/>
        <w:rPr>
          <w:color w:val="000000"/>
        </w:rPr>
      </w:pPr>
      <w:r>
        <w:rPr>
          <w:color w:val="000000"/>
        </w:rPr>
        <w:t>Ressalvado o disposto no item 5.3, os licitantes deverão encaminhar, nos termos deste Edital, a documentação relacionada nos itens a seguir, para fins de habilitação:</w:t>
      </w:r>
    </w:p>
    <w:p>
      <w:pPr>
        <w:numPr>
          <w:ilvl w:val="1"/>
          <w:numId w:val="24"/>
        </w:numPr>
        <w:spacing w:before="120" w:after="120" w:line="276" w:lineRule="auto"/>
        <w:ind w:left="785"/>
        <w:jc w:val="both"/>
        <w:rPr>
          <w:b/>
          <w:color w:val="000000"/>
        </w:rPr>
      </w:pPr>
      <w:r>
        <w:rPr>
          <w:b/>
          <w:color w:val="000000"/>
        </w:rPr>
        <w:t xml:space="preserve">Habilitação jurídica: </w:t>
      </w:r>
    </w:p>
    <w:p>
      <w:pPr>
        <w:numPr>
          <w:ilvl w:val="2"/>
          <w:numId w:val="24"/>
        </w:numPr>
        <w:tabs>
          <w:tab w:val="left" w:pos="1440"/>
        </w:tabs>
        <w:spacing w:before="120" w:after="120" w:line="276" w:lineRule="auto"/>
        <w:ind w:left="1134" w:firstLine="0"/>
        <w:jc w:val="both"/>
        <w:rPr>
          <w:iCs/>
        </w:rPr>
      </w:pPr>
      <w:r>
        <w:rPr>
          <w:iCs/>
        </w:rPr>
        <w:t>no caso de empresário individual, inscrição no Registro Público de Empresas Mercantis, a cargo da Junta Comercial da respectiva sede;</w:t>
      </w:r>
    </w:p>
    <w:p>
      <w:pPr>
        <w:numPr>
          <w:ilvl w:val="2"/>
          <w:numId w:val="24"/>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numPr>
          <w:ilvl w:val="2"/>
          <w:numId w:val="24"/>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pPr>
        <w:numPr>
          <w:ilvl w:val="2"/>
          <w:numId w:val="24"/>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pPr>
        <w:numPr>
          <w:ilvl w:val="2"/>
          <w:numId w:val="24"/>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pPr>
        <w:numPr>
          <w:ilvl w:val="2"/>
          <w:numId w:val="24"/>
        </w:numPr>
        <w:pBdr>
          <w:top w:val="none" w:color="auto" w:sz="0" w:space="0"/>
          <w:left w:val="none" w:color="auto" w:sz="0" w:space="0"/>
          <w:bottom w:val="none" w:color="auto" w:sz="0" w:space="0"/>
          <w:right w:val="none" w:color="auto" w:sz="0" w:space="0"/>
          <w:between w:val="none" w:color="auto" w:sz="0" w:space="0"/>
        </w:pBdr>
        <w:spacing w:before="120" w:line="276" w:lineRule="auto"/>
        <w:ind w:left="1134" w:firstLine="0"/>
        <w:jc w:val="both"/>
        <w:rPr>
          <w:color w:val="000000"/>
        </w:rPr>
      </w:pPr>
      <w:r>
        <w:rPr>
          <w:color w:val="000000"/>
        </w:rPr>
        <w:t>Os documentos acima deverão estar acompanhados de todas as alterações ou da consolidação respectiva.</w:t>
      </w:r>
    </w:p>
    <w:p>
      <w:pPr>
        <w:pBdr>
          <w:top w:val="none" w:color="auto" w:sz="0" w:space="0"/>
          <w:left w:val="none" w:color="auto" w:sz="0" w:space="0"/>
          <w:bottom w:val="none" w:color="auto" w:sz="0" w:space="0"/>
          <w:right w:val="none" w:color="auto" w:sz="0" w:space="0"/>
          <w:between w:val="none" w:color="auto" w:sz="0" w:space="0"/>
        </w:pBdr>
        <w:spacing w:after="120" w:line="276" w:lineRule="auto"/>
        <w:ind w:left="1134" w:hanging="720"/>
        <w:jc w:val="both"/>
        <w:rPr>
          <w:color w:val="000000"/>
        </w:rPr>
      </w:pPr>
    </w:p>
    <w:p>
      <w:pPr>
        <w:numPr>
          <w:ilvl w:val="1"/>
          <w:numId w:val="24"/>
        </w:numPr>
        <w:spacing w:before="120" w:after="120" w:line="276" w:lineRule="auto"/>
        <w:ind w:left="425" w:firstLine="0"/>
        <w:jc w:val="both"/>
        <w:rPr>
          <w:b/>
          <w:color w:val="000000"/>
        </w:rPr>
      </w:pPr>
      <w:r>
        <w:rPr>
          <w:b/>
          <w:color w:val="000000"/>
        </w:rPr>
        <w:t xml:space="preserve">  Regularidade fiscal e trabalhista:</w:t>
      </w:r>
    </w:p>
    <w:p>
      <w:pPr>
        <w:numPr>
          <w:ilvl w:val="2"/>
          <w:numId w:val="24"/>
        </w:numPr>
        <w:tabs>
          <w:tab w:val="left" w:pos="1440"/>
        </w:tabs>
        <w:spacing w:before="120" w:after="120" w:line="276" w:lineRule="auto"/>
        <w:ind w:left="1134" w:firstLine="0"/>
        <w:jc w:val="both"/>
      </w:pPr>
      <w:r>
        <w:t>prova de inscrição no Cadastro Nacional de Pessoas Jurídicas;</w:t>
      </w:r>
    </w:p>
    <w:p>
      <w:pPr>
        <w:numPr>
          <w:ilvl w:val="2"/>
          <w:numId w:val="24"/>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numPr>
          <w:ilvl w:val="2"/>
          <w:numId w:val="24"/>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pPr>
        <w:numPr>
          <w:ilvl w:val="2"/>
          <w:numId w:val="24"/>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numPr>
          <w:ilvl w:val="2"/>
          <w:numId w:val="24"/>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pPr>
        <w:numPr>
          <w:ilvl w:val="2"/>
          <w:numId w:val="24"/>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pPr>
        <w:numPr>
          <w:ilvl w:val="2"/>
          <w:numId w:val="24"/>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pPr>
        <w:numPr>
          <w:ilvl w:val="2"/>
          <w:numId w:val="24"/>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pPr>
        <w:spacing w:before="120" w:after="120" w:line="276" w:lineRule="auto"/>
        <w:ind w:left="425"/>
        <w:jc w:val="both"/>
        <w:rPr>
          <w:b/>
          <w:color w:val="000000"/>
          <w:highlight w:val="yellow"/>
        </w:rPr>
      </w:pPr>
    </w:p>
    <w:p>
      <w:pPr>
        <w:numPr>
          <w:ilvl w:val="1"/>
          <w:numId w:val="24"/>
        </w:numPr>
        <w:spacing w:before="120" w:after="120" w:line="276" w:lineRule="auto"/>
        <w:ind w:left="425" w:firstLine="0"/>
        <w:jc w:val="both"/>
        <w:rPr>
          <w:b/>
          <w:color w:val="000000"/>
        </w:rPr>
      </w:pPr>
      <w:r>
        <w:rPr>
          <w:b/>
          <w:color w:val="000000"/>
        </w:rPr>
        <w:t xml:space="preserve"> Qualificação Econômico-Financeira: </w:t>
      </w:r>
    </w:p>
    <w:p>
      <w:pPr>
        <w:pBdr>
          <w:top w:val="none" w:color="auto" w:sz="0" w:space="0"/>
          <w:left w:val="none" w:color="auto" w:sz="0" w:space="0"/>
          <w:bottom w:val="none" w:color="auto" w:sz="0" w:space="0"/>
          <w:right w:val="none" w:color="auto" w:sz="0" w:space="0"/>
          <w:between w:val="none" w:color="auto" w:sz="0" w:space="0"/>
        </w:pBdr>
        <w:tabs>
          <w:tab w:val="left" w:pos="1440"/>
        </w:tabs>
        <w:spacing w:before="120" w:line="276" w:lineRule="auto"/>
        <w:ind w:left="1854" w:hanging="720"/>
        <w:jc w:val="both"/>
        <w:rPr>
          <w:color w:val="000000"/>
          <w:highlight w:val="yellow"/>
        </w:rPr>
      </w:pPr>
    </w:p>
    <w:p>
      <w:pPr>
        <w:numPr>
          <w:ilvl w:val="2"/>
          <w:numId w:val="24"/>
        </w:num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142" w:firstLine="993"/>
        <w:jc w:val="both"/>
        <w:rPr>
          <w:color w:val="000000"/>
        </w:rPr>
      </w:pPr>
      <w:bookmarkStart w:id="5" w:name="_heading=h.tyjcwt" w:colFirst="0" w:colLast="0"/>
      <w:bookmarkEnd w:id="5"/>
      <w:r>
        <w:rPr>
          <w:color w:val="000000"/>
        </w:rPr>
        <w:t>certidão negativa de falência, recuperação judicial ou recuperação extrajudicial expedida pelo distribuidor da sede do licitante;</w:t>
      </w:r>
    </w:p>
    <w:p>
      <w:pPr>
        <w:pBdr>
          <w:top w:val="none" w:color="auto" w:sz="0" w:space="0"/>
          <w:left w:val="none" w:color="auto" w:sz="0" w:space="0"/>
          <w:bottom w:val="none" w:color="auto" w:sz="0" w:space="0"/>
          <w:right w:val="none" w:color="auto" w:sz="0" w:space="0"/>
          <w:between w:val="none" w:color="auto" w:sz="0" w:space="0"/>
        </w:pBdr>
        <w:tabs>
          <w:tab w:val="left" w:pos="1440"/>
        </w:tabs>
        <w:spacing w:line="276" w:lineRule="auto"/>
        <w:ind w:left="1854" w:hanging="720"/>
        <w:jc w:val="both"/>
        <w:rPr>
          <w:color w:val="000000"/>
        </w:rPr>
      </w:pPr>
      <w:bookmarkStart w:id="6" w:name="_heading=h.3dy6vkm" w:colFirst="0" w:colLast="0"/>
      <w:bookmarkEnd w:id="6"/>
    </w:p>
    <w:p>
      <w:pPr>
        <w:numPr>
          <w:ilvl w:val="3"/>
          <w:numId w:val="24"/>
        </w:numPr>
        <w:pBdr>
          <w:top w:val="none" w:color="auto" w:sz="0" w:space="0"/>
          <w:left w:val="none" w:color="auto" w:sz="0" w:space="0"/>
          <w:bottom w:val="none" w:color="auto" w:sz="0" w:space="0"/>
          <w:right w:val="none" w:color="auto" w:sz="0" w:space="0"/>
          <w:between w:val="none" w:color="auto" w:sz="0" w:space="0"/>
        </w:pBdr>
        <w:tabs>
          <w:tab w:val="left" w:pos="1440"/>
        </w:tabs>
        <w:spacing w:after="120" w:line="276" w:lineRule="auto"/>
        <w:ind w:left="1854"/>
        <w:jc w:val="both"/>
        <w:rPr>
          <w:color w:val="000000"/>
        </w:rPr>
      </w:pPr>
      <w:r>
        <w:rPr>
          <w:color w:val="000000"/>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pPr>
        <w:numPr>
          <w:ilvl w:val="2"/>
          <w:numId w:val="24"/>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numPr>
          <w:ilvl w:val="3"/>
          <w:numId w:val="24"/>
        </w:numPr>
        <w:spacing w:before="120" w:after="120" w:line="276" w:lineRule="auto"/>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pPr>
        <w:numPr>
          <w:ilvl w:val="3"/>
          <w:numId w:val="24"/>
        </w:numPr>
        <w:spacing w:before="120" w:after="120" w:line="276" w:lineRule="auto"/>
        <w:ind w:left="1701" w:firstLine="0"/>
        <w:jc w:val="both"/>
        <w:rPr>
          <w:color w:val="000000"/>
        </w:rPr>
      </w:pPr>
      <w:r>
        <w:rPr>
          <w:color w:val="000000"/>
        </w:rPr>
        <w:t>é admissível o balanço intermediário, se decorrer de lei ou contrato/estatuto social.</w:t>
      </w:r>
    </w:p>
    <w:p>
      <w:pPr>
        <w:numPr>
          <w:ilvl w:val="2"/>
          <w:numId w:val="24"/>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obtidos pela aplicação das seguintes fórmulas: </w:t>
      </w:r>
    </w:p>
    <w:tbl>
      <w:tblPr>
        <w:tblStyle w:val="81"/>
        <w:tblW w:w="6487"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LG =</w:t>
            </w:r>
          </w:p>
        </w:tc>
        <w:tc>
          <w:tcPr>
            <w:tcW w:w="4252" w:type="dxa"/>
            <w:tcBorders>
              <w:bottom w:val="single" w:color="000000" w:sz="4" w:space="0"/>
            </w:tcBorders>
            <w:vAlign w:val="bottom"/>
          </w:tcPr>
          <w:p>
            <w:pPr>
              <w:tabs>
                <w:tab w:val="left" w:pos="1440"/>
              </w:tabs>
              <w:spacing w:line="276" w:lineRule="auto"/>
              <w:jc w:val="both"/>
              <w:rPr>
                <w:color w:val="000000"/>
              </w:rPr>
            </w:pPr>
            <w:r>
              <w:rPr>
                <w:color w:val="000000"/>
              </w:rPr>
              <w:t>Ativo Circulante + Realizável a Longo Prazo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rPr>
            </w:pPr>
          </w:p>
        </w:tc>
        <w:tc>
          <w:tcPr>
            <w:tcW w:w="4252" w:type="dxa"/>
            <w:tcBorders>
              <w:top w:val="single" w:color="000000" w:sz="4" w:space="0"/>
            </w:tcBorders>
          </w:tcPr>
          <w:p>
            <w:pPr>
              <w:tabs>
                <w:tab w:val="left" w:pos="1440"/>
              </w:tabs>
              <w:spacing w:line="276" w:lineRule="auto"/>
              <w:jc w:val="both"/>
              <w:rPr>
                <w:color w:val="000000"/>
              </w:rPr>
            </w:pPr>
            <w:r>
              <w:rPr>
                <w:color w:val="000000"/>
              </w:rPr>
              <w:t>Passivo Circulante + Passivo Não Circulante</w:t>
            </w:r>
          </w:p>
        </w:tc>
      </w:tr>
    </w:tbl>
    <w:p>
      <w:pPr>
        <w:tabs>
          <w:tab w:val="left" w:pos="1440"/>
        </w:tabs>
        <w:spacing w:line="276" w:lineRule="auto"/>
        <w:ind w:left="1134"/>
        <w:jc w:val="both"/>
        <w:rPr>
          <w:color w:val="000000"/>
        </w:rPr>
      </w:pPr>
    </w:p>
    <w:tbl>
      <w:tblPr>
        <w:tblStyle w:val="82"/>
        <w:tblW w:w="6629"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4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SG =</w:t>
            </w:r>
          </w:p>
        </w:tc>
        <w:tc>
          <w:tcPr>
            <w:tcW w:w="4394" w:type="dxa"/>
            <w:tcBorders>
              <w:bottom w:val="single" w:color="000000" w:sz="4" w:space="0"/>
            </w:tcBorders>
            <w:vAlign w:val="bottom"/>
          </w:tcPr>
          <w:p>
            <w:pPr>
              <w:tabs>
                <w:tab w:val="left" w:pos="1440"/>
              </w:tabs>
              <w:spacing w:line="276" w:lineRule="auto"/>
              <w:jc w:val="both"/>
              <w:rPr>
                <w:color w:val="000000"/>
              </w:rPr>
            </w:pPr>
            <w:r>
              <w:rPr>
                <w:color w:val="000000"/>
              </w:rPr>
              <w:t>Ativo Total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rPr>
            </w:pPr>
          </w:p>
        </w:tc>
        <w:tc>
          <w:tcPr>
            <w:tcW w:w="4394" w:type="dxa"/>
            <w:tcBorders>
              <w:top w:val="single" w:color="000000" w:sz="4" w:space="0"/>
            </w:tcBorders>
          </w:tcPr>
          <w:p>
            <w:pPr>
              <w:tabs>
                <w:tab w:val="left" w:pos="1440"/>
              </w:tabs>
              <w:spacing w:line="276" w:lineRule="auto"/>
              <w:jc w:val="both"/>
              <w:rPr>
                <w:color w:val="000000"/>
              </w:rPr>
            </w:pPr>
            <w:r>
              <w:rPr>
                <w:color w:val="000000"/>
              </w:rPr>
              <w:t>Passivo Circulante + Passivo Não Circulante</w:t>
            </w:r>
          </w:p>
        </w:tc>
      </w:tr>
    </w:tbl>
    <w:p>
      <w:pPr>
        <w:tabs>
          <w:tab w:val="left" w:pos="1440"/>
        </w:tabs>
        <w:spacing w:line="276" w:lineRule="auto"/>
        <w:ind w:left="1134"/>
        <w:jc w:val="both"/>
        <w:rPr>
          <w:color w:val="000000"/>
        </w:rPr>
      </w:pPr>
    </w:p>
    <w:tbl>
      <w:tblPr>
        <w:tblStyle w:val="83"/>
        <w:tblW w:w="4786" w:type="dxa"/>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5"/>
        <w:gridCol w:w="25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LC =</w:t>
            </w:r>
          </w:p>
        </w:tc>
        <w:tc>
          <w:tcPr>
            <w:tcW w:w="2551" w:type="dxa"/>
            <w:tcBorders>
              <w:bottom w:val="single" w:color="000000" w:sz="4" w:space="0"/>
            </w:tcBorders>
            <w:vAlign w:val="bottom"/>
          </w:tcPr>
          <w:p>
            <w:pPr>
              <w:tabs>
                <w:tab w:val="left" w:pos="1440"/>
              </w:tabs>
              <w:spacing w:line="276" w:lineRule="auto"/>
              <w:jc w:val="both"/>
              <w:rPr>
                <w:color w:val="000000"/>
              </w:rPr>
            </w:pPr>
            <w:r>
              <w:rPr>
                <w:color w:val="000000"/>
              </w:rPr>
              <w:t>Ativo Circulante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vAlign w:val="center"/>
          </w:tcPr>
          <w:p>
            <w:pPr>
              <w:widowControl w:val="0"/>
              <w:pBdr>
                <w:top w:val="none" w:color="auto" w:sz="0" w:space="0"/>
                <w:left w:val="none" w:color="auto" w:sz="0" w:space="0"/>
                <w:bottom w:val="none" w:color="auto" w:sz="0" w:space="0"/>
                <w:right w:val="none" w:color="auto" w:sz="0" w:space="0"/>
                <w:between w:val="none" w:color="auto" w:sz="0" w:space="0"/>
              </w:pBdr>
              <w:spacing w:line="276" w:lineRule="auto"/>
              <w:rPr>
                <w:color w:val="000000"/>
              </w:rPr>
            </w:pPr>
          </w:p>
        </w:tc>
        <w:tc>
          <w:tcPr>
            <w:tcW w:w="2551" w:type="dxa"/>
            <w:tcBorders>
              <w:top w:val="single" w:color="000000" w:sz="4" w:space="0"/>
            </w:tcBorders>
          </w:tcPr>
          <w:p>
            <w:pPr>
              <w:tabs>
                <w:tab w:val="left" w:pos="1440"/>
              </w:tabs>
              <w:spacing w:line="276" w:lineRule="auto"/>
              <w:jc w:val="both"/>
              <w:rPr>
                <w:color w:val="000000"/>
              </w:rPr>
            </w:pPr>
            <w:r>
              <w:rPr>
                <w:color w:val="000000"/>
              </w:rPr>
              <w:t>Passivo Circulante</w:t>
            </w:r>
          </w:p>
        </w:tc>
      </w:tr>
    </w:tbl>
    <w:p>
      <w:pPr>
        <w:numPr>
          <w:ilvl w:val="2"/>
          <w:numId w:val="24"/>
        </w:numPr>
        <w:tabs>
          <w:tab w:val="left" w:pos="1440"/>
        </w:tabs>
        <w:spacing w:before="120" w:after="120" w:line="276" w:lineRule="auto"/>
        <w:ind w:left="1134" w:firstLine="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t xml:space="preserve">10% (dez por cento) </w:t>
      </w:r>
      <w:r>
        <w:rPr>
          <w:color w:val="000000"/>
        </w:rPr>
        <w:t>do valor total estimado da contratação ou do item pertinente.</w:t>
      </w:r>
    </w:p>
    <w:p>
      <w:pPr>
        <w:numPr>
          <w:ilvl w:val="2"/>
          <w:numId w:val="24"/>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pPr>
        <w:numPr>
          <w:ilvl w:val="3"/>
          <w:numId w:val="24"/>
        </w:numPr>
        <w:pBdr>
          <w:top w:val="none" w:color="auto" w:sz="0" w:space="0"/>
          <w:left w:val="none" w:color="auto" w:sz="0" w:space="0"/>
          <w:bottom w:val="none" w:color="auto" w:sz="0" w:space="0"/>
          <w:right w:val="none" w:color="auto" w:sz="0" w:space="0"/>
          <w:between w:val="none" w:color="auto" w:sz="0" w:space="0"/>
        </w:pBdr>
        <w:spacing w:before="120" w:after="120" w:line="276" w:lineRule="auto"/>
        <w:ind w:left="1701" w:firstLine="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pPr>
        <w:numPr>
          <w:ilvl w:val="3"/>
          <w:numId w:val="24"/>
        </w:numPr>
        <w:spacing w:before="120" w:line="276" w:lineRule="auto"/>
        <w:ind w:left="1701" w:firstLine="0"/>
        <w:jc w:val="both"/>
      </w:pPr>
      <w: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pPr>
        <w:numPr>
          <w:ilvl w:val="3"/>
          <w:numId w:val="24"/>
        </w:numPr>
        <w:spacing w:line="276" w:lineRule="auto"/>
        <w:ind w:left="1701" w:firstLine="0"/>
        <w:jc w:val="both"/>
      </w:pPr>
      <w:r>
        <w:t xml:space="preserve">Comprovação, por meio de declaração, da relação de compromissos assumidos, conforme modelo constante do Anexo V-A 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pPr>
        <w:numPr>
          <w:ilvl w:val="3"/>
          <w:numId w:val="24"/>
        </w:numPr>
        <w:spacing w:line="276" w:lineRule="auto"/>
        <w:ind w:left="1701" w:firstLine="0"/>
        <w:jc w:val="both"/>
      </w:pPr>
      <w:r>
        <w:t xml:space="preserve">a declaração de que trata a subcondição acima deverá estar acompanhada da Demonstração do Resultado do Exercício (DRE) relativa ao último exercício social, </w:t>
      </w:r>
    </w:p>
    <w:p>
      <w:pPr>
        <w:numPr>
          <w:ilvl w:val="3"/>
          <w:numId w:val="24"/>
        </w:numPr>
        <w:spacing w:line="276" w:lineRule="auto"/>
        <w:ind w:left="1701" w:firstLine="0"/>
        <w:jc w:val="both"/>
      </w:pPr>
      <w:r>
        <w:t xml:space="preserve">quando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pPr>
        <w:numPr>
          <w:ilvl w:val="3"/>
          <w:numId w:val="24"/>
        </w:numPr>
        <w:spacing w:line="276" w:lineRule="auto"/>
        <w:ind w:left="1701" w:firstLine="0"/>
        <w:jc w:val="both"/>
        <w:rPr>
          <w:color w:val="auto"/>
        </w:rPr>
      </w:pPr>
      <w:r>
        <w:rPr>
          <w:rFonts w:cs="Arial"/>
          <w:color w:val="auto"/>
          <w:szCs w:val="20"/>
          <w:shd w:val="clear" w:color="auto" w:fill="FFFFFF"/>
        </w:rPr>
        <w:t>As empresas sujeitas ao regime de tributação de incidência não cumulativa de PIS e Cofins apresentem a média das alíquotas efetivamente recolhidas nos 12 meses anteriores à apresentação da proposta, apurada com base nos dados da Escrituração Fiscal Digital da Contribuição para o PIS/PASEP e para a Cofins (EFD-Contribuições), cujos respectivos registros deverão ser remetidos juntamente com a proposta e as planilhas em virtude do direito de compensação dos créditos previstos no art. 3º das Leis nº 10.637/2002 e 10.833/2003, de forma a garantir que os preços contratados pela Administração Pública reflitam os benefícios tributários concedidos pela legislação tributária</w:t>
      </w:r>
      <w:r>
        <w:rPr>
          <w:rFonts w:hint="default" w:cs="Arial"/>
          <w:color w:val="auto"/>
          <w:szCs w:val="20"/>
          <w:shd w:val="clear" w:color="auto" w:fill="FFFFFF"/>
          <w:lang w:val="pt-BR"/>
        </w:rPr>
        <w:t>.</w:t>
      </w:r>
    </w:p>
    <w:p>
      <w:pPr>
        <w:spacing w:line="276" w:lineRule="auto"/>
        <w:jc w:val="both"/>
      </w:pPr>
    </w:p>
    <w:p>
      <w:pPr>
        <w:numPr>
          <w:ilvl w:val="1"/>
          <w:numId w:val="24"/>
        </w:numPr>
        <w:spacing w:before="120" w:after="120" w:line="276" w:lineRule="auto"/>
        <w:ind w:left="425" w:firstLine="0"/>
        <w:jc w:val="both"/>
        <w:rPr>
          <w:b/>
          <w:color w:val="000000"/>
        </w:rPr>
      </w:pPr>
      <w:r>
        <w:rPr>
          <w:b/>
          <w:color w:val="000000"/>
        </w:rPr>
        <w:t xml:space="preserve"> Qualificação Técnica: </w:t>
      </w:r>
    </w:p>
    <w:p>
      <w:pPr>
        <w:numPr>
          <w:ilvl w:val="2"/>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bookmarkStart w:id="7" w:name="_heading=h.1t3h5sf" w:colFirst="0" w:colLast="0"/>
      <w:bookmarkEnd w:id="7"/>
      <w:r>
        <w:rPr>
          <w:color w:val="00000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pPr>
        <w:numPr>
          <w:ilvl w:val="3"/>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color w:val="000000"/>
        </w:rPr>
      </w:pPr>
      <w:r>
        <w:rPr>
          <w:color w:val="000000"/>
        </w:rPr>
        <w:t>Para fins da comprovação de que trata este subitem, os atestados deverão dizer respeito a serviços executados com as seguintes características mínimas:</w:t>
      </w:r>
    </w:p>
    <w:p>
      <w:pPr>
        <w:numPr>
          <w:ilvl w:val="4"/>
          <w:numId w:val="24"/>
        </w:numPr>
        <w:pBdr>
          <w:top w:val="none" w:color="auto" w:sz="0" w:space="0"/>
          <w:left w:val="none" w:color="auto" w:sz="0" w:space="0"/>
          <w:bottom w:val="none" w:color="auto" w:sz="0" w:space="0"/>
          <w:right w:val="none" w:color="auto" w:sz="0" w:space="0"/>
          <w:between w:val="none" w:color="auto" w:sz="0" w:space="0"/>
        </w:pBdr>
        <w:spacing w:line="276" w:lineRule="auto"/>
        <w:jc w:val="both"/>
        <w:rPr>
          <w:b/>
          <w:bCs/>
          <w:color w:val="000000"/>
          <w:highlight w:val="none"/>
        </w:rPr>
      </w:pPr>
      <w:bookmarkStart w:id="8" w:name="_heading=h.4d34og8" w:colFirst="0" w:colLast="0"/>
      <w:bookmarkEnd w:id="8"/>
      <w:r>
        <w:rPr>
          <w:b/>
          <w:bCs/>
          <w:color w:val="000000"/>
        </w:rPr>
        <w:t>O licitante deverá apresentar</w:t>
      </w:r>
      <w:r>
        <w:rPr>
          <w:rFonts w:hint="default"/>
          <w:b/>
          <w:bCs/>
          <w:color w:val="000000"/>
          <w:lang w:val="pt-BR"/>
        </w:rPr>
        <w:t xml:space="preserve">, </w:t>
      </w:r>
      <w:r>
        <w:rPr>
          <w:b/>
          <w:bCs/>
          <w:color w:val="000000"/>
        </w:rPr>
        <w:t xml:space="preserve">no mínimo, 01 (um) atestado e/ou declaração de capacidade técnica, expedido por pessoa jurídica de direito público ou privado, em nome da licitante, que comprove a aptidão para desempenho de atividade pertinente e compatível em características e quantidades com o objeto desta licitação, de forma satisfatória, </w:t>
      </w:r>
      <w:r>
        <w:rPr>
          <w:b/>
          <w:bCs/>
          <w:color w:val="000000"/>
          <w:highlight w:val="none"/>
        </w:rPr>
        <w:t>demonstrando que a licitante gerencia ou gerenciou serviços de mão de obra</w:t>
      </w:r>
      <w:r>
        <w:rPr>
          <w:rFonts w:hint="default"/>
          <w:b/>
          <w:bCs/>
          <w:color w:val="000000"/>
          <w:highlight w:val="none"/>
          <w:lang w:val="pt-BR"/>
        </w:rPr>
        <w:t xml:space="preserve"> de qualquer categoria ou já executou contrato(s)</w:t>
      </w:r>
      <w:r>
        <w:rPr>
          <w:b/>
          <w:bCs/>
          <w:color w:val="000000"/>
          <w:highlight w:val="none"/>
        </w:rPr>
        <w:t>,</w:t>
      </w:r>
      <w:r>
        <w:rPr>
          <w:rFonts w:hint="default"/>
          <w:b/>
          <w:bCs/>
          <w:color w:val="000000"/>
          <w:highlight w:val="none"/>
          <w:lang w:val="pt-BR"/>
        </w:rPr>
        <w:t xml:space="preserve"> </w:t>
      </w:r>
      <w:r>
        <w:rPr>
          <w:rFonts w:hint="default"/>
          <w:b/>
          <w:bCs/>
          <w:color w:val="000000"/>
        </w:rPr>
        <w:t>com um mínimo de 50%</w:t>
      </w:r>
      <w:r>
        <w:rPr>
          <w:b/>
          <w:bCs/>
          <w:color w:val="000000"/>
        </w:rPr>
        <w:t xml:space="preserve"> </w:t>
      </w:r>
      <w:r>
        <w:rPr>
          <w:rFonts w:hint="default"/>
          <w:b/>
          <w:bCs/>
          <w:color w:val="000000"/>
          <w:lang w:val="pt-BR"/>
        </w:rPr>
        <w:t xml:space="preserve"> </w:t>
      </w:r>
      <w:r>
        <w:rPr>
          <w:rFonts w:hint="default"/>
          <w:b/>
          <w:bCs/>
          <w:color w:val="000000"/>
        </w:rPr>
        <w:t>(cinquenta por cento) do número de postos de trabalho a serem contratados</w:t>
      </w:r>
      <w:r>
        <w:rPr>
          <w:rFonts w:hint="default"/>
          <w:b/>
          <w:bCs/>
          <w:color w:val="000000"/>
          <w:lang w:val="pt-BR"/>
        </w:rPr>
        <w:t>, ou seja, 56 postos</w:t>
      </w:r>
      <w:r>
        <w:rPr>
          <w:rFonts w:hint="default"/>
          <w:b/>
          <w:bCs/>
          <w:color w:val="000000"/>
          <w:highlight w:val="none"/>
          <w:lang w:val="pt-BR"/>
        </w:rPr>
        <w:t>.</w:t>
      </w:r>
    </w:p>
    <w:p>
      <w:pPr>
        <w:numPr>
          <w:ilvl w:val="3"/>
          <w:numId w:val="24"/>
        </w:numPr>
        <w:pBdr>
          <w:top w:val="none" w:color="auto" w:sz="0" w:space="0"/>
          <w:left w:val="none" w:color="auto" w:sz="0" w:space="0"/>
          <w:bottom w:val="none" w:color="auto" w:sz="0" w:space="0"/>
          <w:right w:val="none" w:color="auto" w:sz="0" w:space="0"/>
          <w:between w:val="none" w:color="auto" w:sz="0" w:space="0"/>
        </w:pBdr>
        <w:spacing w:after="120" w:line="276" w:lineRule="auto"/>
        <w:ind w:left="1701" w:firstLine="0"/>
        <w:jc w:val="both"/>
        <w:rPr>
          <w:color w:val="000000"/>
        </w:rPr>
      </w:pPr>
      <w:r>
        <w:rPr>
          <w:color w:val="000000"/>
        </w:rPr>
        <w:t xml:space="preserve">Os atestados deverão referir-se a serviços prestados no âmbito de sua atividade econômica principal ou secundária especificadas no contrato social vigente; </w:t>
      </w:r>
    </w:p>
    <w:p>
      <w:pPr>
        <w:numPr>
          <w:ilvl w:val="3"/>
          <w:numId w:val="24"/>
        </w:numPr>
        <w:spacing w:before="120" w:after="120" w:line="276" w:lineRule="auto"/>
        <w:ind w:left="1701" w:firstLine="0"/>
        <w:jc w:val="both"/>
        <w:rPr>
          <w:color w:val="000000"/>
        </w:rPr>
      </w:pPr>
      <w:r>
        <w:rPr>
          <w:color w:val="000000"/>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pPr>
        <w:numPr>
          <w:ilvl w:val="3"/>
          <w:numId w:val="24"/>
        </w:numPr>
        <w:spacing w:before="120" w:after="120" w:line="276" w:lineRule="auto"/>
        <w:ind w:left="1701" w:firstLine="0"/>
        <w:jc w:val="both"/>
        <w:rPr>
          <w:color w:val="000000"/>
        </w:rPr>
      </w:pPr>
      <w:bookmarkStart w:id="9" w:name="_heading=h.2s8eyo1" w:colFirst="0" w:colLast="0"/>
      <w:bookmarkEnd w:id="9"/>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pPr>
        <w:numPr>
          <w:ilvl w:val="3"/>
          <w:numId w:val="24"/>
        </w:numPr>
        <w:spacing w:before="120" w:after="120" w:line="276" w:lineRule="auto"/>
        <w:ind w:left="1701" w:firstLine="0"/>
        <w:jc w:val="both"/>
        <w:rPr>
          <w:color w:val="000000"/>
        </w:rPr>
      </w:pPr>
      <w:r>
        <w:rPr>
          <w:color w:val="000000"/>
        </w:rPr>
        <w:t xml:space="preserve">Será aceito o somatório de atestados que comprovem que o licitante gerencia ou gerenciou serviços de terceirização compatíveis com o objeto licitado por período não inferior </w:t>
      </w:r>
      <w:r>
        <w:rPr>
          <w:b/>
          <w:bCs/>
          <w:color w:val="000000"/>
        </w:rPr>
        <w:t>a 2 (dois) anos,</w:t>
      </w:r>
      <w:r>
        <w:rPr>
          <w:color w:val="000000"/>
        </w:rPr>
        <w:t xml:space="preserve"> referentes a períodos sucessivos não contínuos, não havendo obrigatoriedade de os dois anos serem ininterruptos.</w:t>
      </w:r>
    </w:p>
    <w:p>
      <w:pPr>
        <w:numPr>
          <w:ilvl w:val="3"/>
          <w:numId w:val="24"/>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pPr>
        <w:numPr>
          <w:ilvl w:val="3"/>
          <w:numId w:val="24"/>
        </w:numPr>
        <w:tabs>
          <w:tab w:val="left" w:pos="1440"/>
        </w:tabs>
        <w:spacing w:before="120" w:after="120" w:line="276" w:lineRule="auto"/>
        <w:jc w:val="both"/>
      </w:pPr>
      <w:r>
        <w:t xml:space="preserve">Na contratação de serviços continuados com mais de 40 (quarenta) postos, o licitante deverá comprovar que tenha executado contrato com um mínimo de 50% (cinquenta por cento) do número de postos de trabalho a serem contratados. </w:t>
      </w:r>
    </w:p>
    <w:p>
      <w:pPr>
        <w:numPr>
          <w:ilvl w:val="3"/>
          <w:numId w:val="24"/>
        </w:numPr>
        <w:tabs>
          <w:tab w:val="left" w:pos="1440"/>
        </w:tabs>
        <w:spacing w:before="120" w:after="120" w:line="276" w:lineRule="auto"/>
        <w:jc w:val="both"/>
      </w:pPr>
      <w:r>
        <w:t>Quando o número de postos de trabalho a ser contratado for igual ou inferior a 40 (quarenta), o licitante deverá comprovar que tenha executado contrato(s) em número de postos equivalentes ao da contratação, conforme exigido na alínea c2 do item 10.6 do Anexo VII-A da IN SEGES/MP n. 5/2017.</w:t>
      </w:r>
    </w:p>
    <w:p>
      <w:pPr>
        <w:numPr>
          <w:ilvl w:val="3"/>
          <w:numId w:val="24"/>
        </w:numPr>
        <w:tabs>
          <w:tab w:val="left" w:pos="1440"/>
        </w:tabs>
        <w:spacing w:before="120" w:after="120" w:line="276" w:lineRule="auto"/>
        <w:jc w:val="both"/>
      </w:pPr>
      <w:r>
        <w:t>Para a comprovação do número mínimo de postos exigido, será aceito o somatório de atestados que comprovem que o licitante gerencia ou gerenciou serviços de terceirização compatíveis com o objeto licitado, nos termos do item 10.7 do Anexo VII-A da IN SEGES/MP n. 5/2017.</w:t>
      </w:r>
    </w:p>
    <w:p>
      <w:pPr>
        <w:numPr>
          <w:ilvl w:val="2"/>
          <w:numId w:val="24"/>
        </w:numPr>
        <w:tabs>
          <w:tab w:val="left" w:pos="1440"/>
        </w:tabs>
        <w:spacing w:before="120" w:after="120" w:line="276" w:lineRule="auto"/>
        <w:ind w:left="1134" w:firstLine="0"/>
        <w:jc w:val="both"/>
        <w:rPr>
          <w:rFonts w:cs="Arial"/>
          <w:iCs/>
          <w:szCs w:val="20"/>
        </w:rPr>
      </w:pPr>
      <w:r>
        <w:rPr>
          <w:b w:val="0"/>
          <w:bCs/>
        </w:rPr>
        <w:t>Declaração da LICITANTE, assinada pelo Representante legal da empresa, de que, caso seja declarada vencedora da licitação, instalará, na região metropolitana do Rio de Janeiro, sede, filial ou representação, dotada de infraestrutura administrativa e técnica, adequadas, com recursos humanos qualificados, necessários e suficientes para a prestação dos serviços contratados, a ser comprovada no prazo máximo de 60 (sessenta) dias contados a partir da assinatura do contrato</w:t>
      </w:r>
      <w:r>
        <w:rPr>
          <w:rFonts w:cs="Arial"/>
          <w:iCs/>
          <w:szCs w:val="20"/>
        </w:rPr>
        <w:t>.</w:t>
      </w:r>
    </w:p>
    <w:p>
      <w:pPr>
        <w:numPr>
          <w:ilvl w:val="2"/>
          <w:numId w:val="24"/>
        </w:numPr>
        <w:tabs>
          <w:tab w:val="left" w:pos="1440"/>
        </w:tabs>
        <w:spacing w:before="120" w:after="120" w:line="276" w:lineRule="auto"/>
        <w:ind w:left="1134" w:firstLine="0"/>
        <w:jc w:val="both"/>
        <w:rPr>
          <w:rFonts w:cs="Arial"/>
          <w:bCs/>
          <w:i/>
          <w:szCs w:val="20"/>
        </w:rPr>
      </w:pPr>
      <w:bookmarkStart w:id="10" w:name="_heading=h.17dp8vu" w:colFirst="0" w:colLast="0"/>
      <w:bookmarkEnd w:id="10"/>
      <w:r>
        <w:rPr>
          <w:rFonts w:cs="Arial"/>
          <w:bCs/>
          <w:i/>
          <w:szCs w:val="20"/>
        </w:rPr>
        <w:t xml:space="preserve">As </w:t>
      </w:r>
      <w:r>
        <w:rPr>
          <w:rFonts w:cs="Arial"/>
          <w:szCs w:val="20"/>
        </w:rPr>
        <w:t>empresas</w:t>
      </w:r>
      <w:r>
        <w:rPr>
          <w:rFonts w:cs="Arial"/>
          <w:bCs/>
          <w:i/>
          <w:szCs w:val="20"/>
        </w:rPr>
        <w:t xml:space="preserve">, cadastradas ou não no SICAF, deverão apresentar atestado de vistoria assinado pelo servidor responsável, </w:t>
      </w:r>
      <w:r>
        <w:rPr>
          <w:rFonts w:cs="Arial"/>
          <w:b/>
          <w:bCs/>
          <w:i/>
          <w:szCs w:val="20"/>
        </w:rPr>
        <w:t xml:space="preserve">caso seja condição </w:t>
      </w:r>
      <w:r>
        <w:rPr>
          <w:rFonts w:cs="Arial"/>
          <w:b/>
          <w:bCs/>
          <w:i/>
          <w:szCs w:val="20"/>
          <w:u w:val="single"/>
        </w:rPr>
        <w:t>obrigatória</w:t>
      </w:r>
      <w:r>
        <w:rPr>
          <w:rFonts w:cs="Arial"/>
          <w:b/>
          <w:bCs/>
          <w:i/>
          <w:szCs w:val="20"/>
        </w:rPr>
        <w:t xml:space="preserve"> expressa</w:t>
      </w:r>
      <w:r>
        <w:rPr>
          <w:rFonts w:cs="Arial"/>
          <w:bCs/>
          <w:i/>
          <w:szCs w:val="20"/>
        </w:rPr>
        <w:t xml:space="preserve"> no Termo de Referência.</w:t>
      </w:r>
    </w:p>
    <w:p>
      <w:pPr>
        <w:numPr>
          <w:ilvl w:val="3"/>
          <w:numId w:val="24"/>
        </w:numPr>
        <w:pBdr>
          <w:top w:val="none" w:color="auto" w:sz="0" w:space="0"/>
          <w:left w:val="none" w:color="auto" w:sz="0" w:space="0"/>
          <w:bottom w:val="none" w:color="auto" w:sz="0" w:space="0"/>
          <w:right w:val="none" w:color="auto" w:sz="0" w:space="0"/>
          <w:between w:val="none" w:color="auto" w:sz="0" w:space="0"/>
        </w:pBdr>
        <w:spacing w:after="120" w:line="276" w:lineRule="auto"/>
        <w:jc w:val="both"/>
        <w:rPr>
          <w:iCs/>
        </w:rPr>
      </w:pPr>
      <w:r>
        <w:rPr>
          <w:iCs/>
        </w:rPr>
        <w:t>O atestado de vistoria poderá ser substituído por declaração emitida pelo licitante em que conste, alternativamente, que conhece as condições locais para execução do objeto</w:t>
      </w:r>
      <w:r>
        <w:rPr>
          <w:iCs/>
          <w:strike/>
        </w:rPr>
        <w:t>,</w:t>
      </w:r>
      <w:r>
        <w:rPr>
          <w:iCs/>
        </w:rP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 </w:t>
      </w:r>
      <w:r>
        <w:rPr>
          <w:b/>
          <w:bCs/>
          <w:iCs/>
        </w:rPr>
        <w:t>constará na proposta</w:t>
      </w:r>
      <w:r>
        <w:rPr>
          <w:iCs/>
        </w:rPr>
        <w:t>, conforme modelo do Anexo V-A do Edital.</w:t>
      </w:r>
    </w:p>
    <w:p/>
    <w:p>
      <w:pPr>
        <w:numPr>
          <w:ilvl w:val="1"/>
          <w:numId w:val="24"/>
        </w:numPr>
        <w:spacing w:before="120" w:after="120" w:line="276" w:lineRule="auto"/>
        <w:jc w:val="both"/>
        <w:rPr>
          <w:b/>
        </w:rPr>
      </w:pPr>
      <w:r>
        <w:t>O licitante enquadrado como microempreendedor individual que pretenda auferir os benefícios do tratamento diferenciado previstos na Lei Complementar n. 123, de 2006, estará dispensado (a) da prova de inscrição nos cadastros de contribuintes estadual e municipal</w:t>
      </w:r>
      <w:r>
        <w:rPr>
          <w:rFonts w:hint="default"/>
          <w:lang w:val="pt-BR"/>
        </w:rPr>
        <w:t xml:space="preserve">, </w:t>
      </w:r>
      <w:r>
        <w:rPr>
          <w:rFonts w:ascii="Arial" w:hAnsi="Arial" w:eastAsia="SimSun" w:cs="Arial"/>
          <w:b/>
          <w:bCs/>
          <w:i w:val="0"/>
          <w:iCs w:val="0"/>
          <w:color w:val="000000"/>
          <w:sz w:val="20"/>
          <w:szCs w:val="20"/>
          <w:u w:val="none"/>
          <w:vertAlign w:val="baseline"/>
        </w:rPr>
        <w:t>entretanto, por força do Acórdão TCU 1</w:t>
      </w:r>
      <w:r>
        <w:rPr>
          <w:rFonts w:eastAsia="SimSun" w:cs="Arial"/>
          <w:b/>
          <w:bCs/>
          <w:i w:val="0"/>
          <w:iCs w:val="0"/>
          <w:color w:val="000000"/>
          <w:sz w:val="20"/>
          <w:szCs w:val="20"/>
          <w:u w:val="none"/>
          <w:vertAlign w:val="baseline"/>
          <w:lang w:val="pt-BR"/>
        </w:rPr>
        <w:t>63/2022</w:t>
      </w:r>
      <w:r>
        <w:rPr>
          <w:rFonts w:ascii="Arial" w:hAnsi="Arial" w:eastAsia="SimSun" w:cs="Arial"/>
          <w:b/>
          <w:bCs/>
          <w:i w:val="0"/>
          <w:iCs w:val="0"/>
          <w:color w:val="000000"/>
          <w:sz w:val="20"/>
          <w:szCs w:val="20"/>
          <w:u w:val="none"/>
          <w:vertAlign w:val="baseline"/>
        </w:rPr>
        <w:t>-Plenário, não estará dispensado da apresentação do balanço patrimonial e das demonstrações contábeis do último exercício</w:t>
      </w:r>
      <w:r>
        <w:t>.</w:t>
      </w:r>
    </w:p>
    <w:p>
      <w:pPr>
        <w:numPr>
          <w:ilvl w:val="1"/>
          <w:numId w:val="24"/>
        </w:numPr>
        <w:spacing w:before="120" w:after="120" w:line="276" w:lineRule="auto"/>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pPr>
        <w:numPr>
          <w:ilvl w:val="2"/>
          <w:numId w:val="24"/>
        </w:numPr>
        <w:spacing w:before="120" w:after="120" w:line="276" w:lineRule="auto"/>
        <w:jc w:val="both"/>
        <w:rPr>
          <w:color w:val="000000"/>
        </w:rPr>
      </w:pPr>
      <w:r>
        <w:rPr>
          <w:color w:val="000000"/>
        </w:rPr>
        <w:t>A declaração do vencedor acontecerá no momento imediatamente posterior à fase de habilitação.</w:t>
      </w:r>
    </w:p>
    <w:p>
      <w:pPr>
        <w:numPr>
          <w:ilvl w:val="1"/>
          <w:numId w:val="24"/>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numPr>
          <w:ilvl w:val="1"/>
          <w:numId w:val="24"/>
        </w:numPr>
        <w:spacing w:before="120" w:after="120" w:line="276" w:lineRule="auto"/>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pPr>
        <w:numPr>
          <w:ilvl w:val="1"/>
          <w:numId w:val="24"/>
        </w:numPr>
        <w:spacing w:before="120" w:after="120" w:line="276" w:lineRule="auto"/>
        <w:jc w:val="both"/>
        <w:rPr>
          <w:color w:val="000000"/>
        </w:rPr>
      </w:pPr>
      <w:r>
        <w:rPr>
          <w:color w:val="000000"/>
        </w:rPr>
        <w:t>Havendo necessidade de analisar minuciosamente os documentos exigidos, o Pregoeiro suspenderá a sessão, informando no “chat” a nova data e horário para a continuidade da mesma.</w:t>
      </w:r>
    </w:p>
    <w:p>
      <w:pPr>
        <w:numPr>
          <w:ilvl w:val="1"/>
          <w:numId w:val="24"/>
        </w:numPr>
        <w:spacing w:before="120" w:after="120" w:line="276" w:lineRule="auto"/>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pPr>
        <w:numPr>
          <w:ilvl w:val="1"/>
          <w:numId w:val="24"/>
        </w:numPr>
        <w:spacing w:before="120" w:after="120" w:line="276" w:lineRule="auto"/>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numPr>
          <w:ilvl w:val="1"/>
          <w:numId w:val="24"/>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pPr>
        <w:numPr>
          <w:ilvl w:val="1"/>
          <w:numId w:val="24"/>
        </w:numPr>
        <w:spacing w:before="120" w:after="120" w:line="276" w:lineRule="auto"/>
        <w:jc w:val="both"/>
        <w:rPr>
          <w:color w:val="000000"/>
        </w:rPr>
      </w:pPr>
      <w:r>
        <w:rPr>
          <w:color w:val="000000"/>
        </w:rPr>
        <w:t>Constatado o atendimento às exigências de habilitação fixadas no Edital, o licitante será declarado vencedor.</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 ENCAMINHAMENTO DA PROPOSTA VENCEDORA</w:t>
      </w:r>
    </w:p>
    <w:p>
      <w:pPr>
        <w:numPr>
          <w:ilvl w:val="1"/>
          <w:numId w:val="25"/>
        </w:numPr>
        <w:spacing w:before="120" w:after="120" w:line="276" w:lineRule="auto"/>
        <w:ind w:left="425" w:firstLine="0"/>
        <w:jc w:val="both"/>
        <w:rPr>
          <w:iCs/>
        </w:rPr>
      </w:pPr>
      <w:r>
        <w:rPr>
          <w:iCs/>
        </w:rPr>
        <w:t xml:space="preserve">A proposta final do licitante declarado vencedor deverá ser encaminhada no prazo de </w:t>
      </w:r>
      <w:r>
        <w:rPr>
          <w:rFonts w:cs="Arial"/>
          <w:iCs/>
          <w:szCs w:val="20"/>
        </w:rPr>
        <w:t xml:space="preserve"> 2 (duas) horas, ou conforme orientação do Pregoeiro no sistema eletrônico via ‘chat’,</w:t>
      </w:r>
      <w:r>
        <w:rPr>
          <w:iCs/>
        </w:rPr>
        <w:t xml:space="preserve"> a contar da solicitação do Pregoeiro no sistema eletrônico e deverá:</w:t>
      </w:r>
    </w:p>
    <w:p>
      <w:pPr>
        <w:numPr>
          <w:ilvl w:val="2"/>
          <w:numId w:val="25"/>
        </w:numPr>
        <w:pBdr>
          <w:top w:val="none" w:color="auto" w:sz="0" w:space="0"/>
          <w:left w:val="none" w:color="auto" w:sz="0" w:space="0"/>
          <w:bottom w:val="none" w:color="auto" w:sz="0" w:space="0"/>
          <w:right w:val="none" w:color="auto" w:sz="0" w:space="0"/>
          <w:between w:val="none" w:color="auto" w:sz="0" w:space="0"/>
        </w:pBdr>
        <w:spacing w:before="120" w:line="276" w:lineRule="auto"/>
        <w:ind w:left="1134" w:firstLine="0"/>
        <w:jc w:val="both"/>
        <w:rPr>
          <w:iCs/>
        </w:rPr>
      </w:pPr>
      <w:r>
        <w:rPr>
          <w:iCs/>
        </w:rPr>
        <w:t>ser redigida em língua portuguesa, datilografada ou digitada, em uma via, sem emendas, rasuras, entrelinhas ou ressalvas, devendo a última folha ser assinada e as demais rubricadas pelo licitante ou seu representante legal.</w:t>
      </w:r>
    </w:p>
    <w:p>
      <w:pPr>
        <w:numPr>
          <w:ilvl w:val="2"/>
          <w:numId w:val="25"/>
        </w:numPr>
        <w:pBdr>
          <w:top w:val="none" w:color="auto" w:sz="0" w:space="0"/>
          <w:left w:val="none" w:color="auto" w:sz="0" w:space="0"/>
          <w:bottom w:val="none" w:color="auto" w:sz="0" w:space="0"/>
          <w:right w:val="none" w:color="auto" w:sz="0" w:space="0"/>
          <w:between w:val="none" w:color="auto" w:sz="0" w:space="0"/>
        </w:pBdr>
        <w:spacing w:line="276" w:lineRule="auto"/>
        <w:ind w:left="1134" w:firstLine="0"/>
        <w:jc w:val="both"/>
        <w:rPr>
          <w:iCs/>
        </w:rPr>
      </w:pPr>
      <w:r>
        <w:rPr>
          <w:iCs/>
        </w:rPr>
        <w:t>apresentar a planilha de custos e formação de preços, devidamente ajustada ao lance vencedor, em conformidade com o modelo anexo a este instrumento convocatório.</w:t>
      </w:r>
    </w:p>
    <w:p>
      <w:pPr>
        <w:numPr>
          <w:ilvl w:val="2"/>
          <w:numId w:val="25"/>
        </w:numPr>
        <w:pBdr>
          <w:top w:val="none" w:color="auto" w:sz="0" w:space="0"/>
          <w:left w:val="none" w:color="auto" w:sz="0" w:space="0"/>
          <w:bottom w:val="none" w:color="auto" w:sz="0" w:space="0"/>
          <w:right w:val="none" w:color="auto" w:sz="0" w:space="0"/>
          <w:between w:val="none" w:color="auto" w:sz="0" w:space="0"/>
        </w:pBdr>
        <w:spacing w:after="120" w:line="276" w:lineRule="auto"/>
        <w:ind w:left="1134" w:firstLine="0"/>
        <w:jc w:val="both"/>
        <w:rPr>
          <w:iCs/>
        </w:rPr>
      </w:pPr>
      <w:r>
        <w:rPr>
          <w:iCs/>
        </w:rPr>
        <w:t>conter a indicação do banco, número da conta e agência do licitante vencedor, para fins de pagamento.</w:t>
      </w:r>
    </w:p>
    <w:p>
      <w:pPr>
        <w:numPr>
          <w:ilvl w:val="1"/>
          <w:numId w:val="25"/>
        </w:numPr>
        <w:spacing w:before="120" w:after="120" w:line="276" w:lineRule="auto"/>
        <w:ind w:left="425" w:firstLine="0"/>
        <w:jc w:val="both"/>
        <w:rPr>
          <w:iCs/>
        </w:rPr>
      </w:pPr>
      <w:r>
        <w:rPr>
          <w:iCs/>
        </w:rPr>
        <w:t>A proposta final deverá ser documentada nos autos e será levada em consideração no decorrer da execução do contrato e aplicação de eventual sanção à Contratada, se for o caso.</w:t>
      </w:r>
    </w:p>
    <w:p>
      <w:pPr>
        <w:numPr>
          <w:ilvl w:val="2"/>
          <w:numId w:val="25"/>
        </w:numPr>
        <w:spacing w:before="120" w:after="120" w:line="276" w:lineRule="auto"/>
        <w:ind w:left="1134" w:firstLine="0"/>
        <w:jc w:val="both"/>
        <w:rPr>
          <w:iCs/>
        </w:rPr>
      </w:pPr>
      <w:r>
        <w:rPr>
          <w:iCs/>
        </w:rPr>
        <w:t>Todas as especificações do objeto contidas na proposta vinculam a Contratada.</w:t>
      </w:r>
    </w:p>
    <w:p>
      <w:pPr>
        <w:numPr>
          <w:ilvl w:val="1"/>
          <w:numId w:val="25"/>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pPr>
        <w:numPr>
          <w:ilvl w:val="2"/>
          <w:numId w:val="25"/>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pPr>
        <w:numPr>
          <w:ilvl w:val="1"/>
          <w:numId w:val="25"/>
        </w:numPr>
        <w:spacing w:before="120" w:after="120" w:line="276" w:lineRule="auto"/>
        <w:ind w:left="425" w:firstLine="0"/>
        <w:jc w:val="both"/>
      </w:pPr>
      <w:r>
        <w:t xml:space="preserve"> </w:t>
      </w:r>
      <w:r>
        <w:tab/>
      </w:r>
      <w:r>
        <w:t>A oferta deverá ser firme e precisa, limitada, rigorosamente, ao objeto deste Edital, sem conter alternativas de preço ou de qualquer outra condição que induza o julgamento a mais de um resultado, sob pena de desclassificação.</w:t>
      </w:r>
    </w:p>
    <w:p>
      <w:pPr>
        <w:numPr>
          <w:ilvl w:val="1"/>
          <w:numId w:val="25"/>
        </w:numPr>
        <w:spacing w:before="120" w:after="120" w:line="276" w:lineRule="auto"/>
        <w:ind w:left="425" w:firstLine="0"/>
        <w:jc w:val="both"/>
      </w:pPr>
      <w:r>
        <w:t xml:space="preserve"> </w:t>
      </w:r>
      <w:r>
        <w:tab/>
      </w:r>
      <w:r>
        <w:t>A proposta deverá obedecer aos termos deste Edital e seus Anexos, não sendo considerada aquela que não corresponda às especificações ali contidas ou que estabeleça vínculo à proposta de outro licitante.</w:t>
      </w:r>
    </w:p>
    <w:p>
      <w:pPr>
        <w:numPr>
          <w:ilvl w:val="1"/>
          <w:numId w:val="25"/>
        </w:numPr>
        <w:spacing w:before="120" w:after="120" w:line="276" w:lineRule="auto"/>
        <w:ind w:left="425" w:firstLine="0"/>
        <w:jc w:val="both"/>
      </w:pPr>
      <w:r>
        <w:rPr>
          <w:color w:val="000000"/>
        </w:rPr>
        <w:t>As propostas que contenham a descrição do objeto, o valor e os documentos complementares estarão disponíveis na internet, após a homologação.</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DOS RECURSOS</w:t>
      </w:r>
    </w:p>
    <w:p>
      <w:pPr>
        <w:numPr>
          <w:ilvl w:val="1"/>
          <w:numId w:val="25"/>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qual(is) decisão(ões) pretende recorrer e por quais motivos, em campo próprio do sistema.</w:t>
      </w:r>
    </w:p>
    <w:p>
      <w:pPr>
        <w:numPr>
          <w:ilvl w:val="1"/>
          <w:numId w:val="25"/>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pPr>
        <w:numPr>
          <w:ilvl w:val="2"/>
          <w:numId w:val="25"/>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pPr>
        <w:numPr>
          <w:ilvl w:val="2"/>
          <w:numId w:val="25"/>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pPr>
        <w:numPr>
          <w:ilvl w:val="2"/>
          <w:numId w:val="25"/>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numPr>
          <w:ilvl w:val="1"/>
          <w:numId w:val="25"/>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pPr>
        <w:numPr>
          <w:ilvl w:val="1"/>
          <w:numId w:val="25"/>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REABERTURA DA SESSÃO PÚBLICA</w:t>
      </w:r>
    </w:p>
    <w:p>
      <w:pPr>
        <w:numPr>
          <w:ilvl w:val="1"/>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jc w:val="both"/>
        <w:rPr>
          <w:color w:val="000000"/>
        </w:rPr>
      </w:pPr>
      <w:r>
        <w:rPr>
          <w:color w:val="000000"/>
        </w:rPr>
        <w:t>A sessão pública poderá ser reaberta:</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pPr>
        <w:numPr>
          <w:ilvl w:val="1"/>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A convocação se dará por meio do sistema eletrônico (“chat”) ou e-mail, de acordo com a fase do procedimento licitatório.</w:t>
      </w:r>
    </w:p>
    <w:p>
      <w:pPr>
        <w:numPr>
          <w:ilvl w:val="2"/>
          <w:numId w:val="25"/>
        </w:numPr>
        <w:pBdr>
          <w:top w:val="none" w:color="auto" w:sz="0" w:space="0"/>
          <w:left w:val="none" w:color="auto" w:sz="0" w:space="0"/>
          <w:bottom w:val="none" w:color="auto" w:sz="0" w:space="0"/>
          <w:right w:val="none" w:color="auto" w:sz="0" w:space="0"/>
          <w:between w:val="none" w:color="auto" w:sz="0" w:space="0"/>
        </w:pBdr>
        <w:tabs>
          <w:tab w:val="left" w:pos="567"/>
        </w:tabs>
        <w:spacing w:before="120" w:after="120" w:line="276" w:lineRule="auto"/>
        <w:ind w:left="1134" w:firstLine="0"/>
        <w:jc w:val="both"/>
        <w:rPr>
          <w:color w:val="000000"/>
        </w:rPr>
      </w:pPr>
      <w:r>
        <w:rPr>
          <w:color w:val="000000"/>
        </w:rPr>
        <w:t>A convocação feita por e-mail dar-se-á de acordo com os dados contidos no SICAF, sendo responsabilidade do licitante manter seus dados cadastrais atualizados.</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ADJUDICAÇÃO E HOMOLOGAÇÃO</w:t>
      </w:r>
    </w:p>
    <w:p>
      <w:pPr>
        <w:numPr>
          <w:ilvl w:val="1"/>
          <w:numId w:val="25"/>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pPr>
        <w:numPr>
          <w:ilvl w:val="1"/>
          <w:numId w:val="25"/>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pPr>
        <w:keepNext/>
        <w:keepLines/>
        <w:numPr>
          <w:ilvl w:val="0"/>
          <w:numId w:val="25"/>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GARANTIA DE EXECUÇÃO</w:t>
      </w:r>
    </w:p>
    <w:p>
      <w:pPr>
        <w:numPr>
          <w:ilvl w:val="1"/>
          <w:numId w:val="25"/>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 TERMO DE CONTRATO</w:t>
      </w:r>
    </w:p>
    <w:p>
      <w:pPr>
        <w:numPr>
          <w:ilvl w:val="1"/>
          <w:numId w:val="26"/>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pPr>
        <w:numPr>
          <w:ilvl w:val="1"/>
          <w:numId w:val="26"/>
        </w:numPr>
        <w:spacing w:before="120" w:after="120" w:line="276" w:lineRule="auto"/>
        <w:ind w:left="425" w:firstLine="0"/>
        <w:jc w:val="both"/>
        <w:rPr>
          <w:color w:val="000000"/>
        </w:rPr>
      </w:pPr>
      <w:r>
        <w:rPr>
          <w:color w:val="000000"/>
        </w:rPr>
        <w:t xml:space="preserve">O adjudicatário terá o prazo de </w:t>
      </w:r>
      <w:r>
        <w:rPr>
          <w:rFonts w:cs="Arial"/>
          <w:color w:val="000000"/>
          <w:szCs w:val="20"/>
        </w:rPr>
        <w:t>5 (cinco)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numPr>
          <w:ilvl w:val="2"/>
          <w:numId w:val="26"/>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5 (cinco) dias, a contar da data de seu recebimento. </w:t>
      </w:r>
    </w:p>
    <w:p>
      <w:pPr>
        <w:numPr>
          <w:ilvl w:val="2"/>
          <w:numId w:val="26"/>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pPr>
        <w:numPr>
          <w:ilvl w:val="1"/>
          <w:numId w:val="26"/>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pPr>
        <w:numPr>
          <w:ilvl w:val="2"/>
          <w:numId w:val="26"/>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pPr>
        <w:numPr>
          <w:ilvl w:val="2"/>
          <w:numId w:val="26"/>
        </w:numPr>
        <w:spacing w:before="120" w:after="120" w:line="276" w:lineRule="auto"/>
        <w:jc w:val="both"/>
        <w:rPr>
          <w:color w:val="000000"/>
        </w:rPr>
      </w:pPr>
      <w:r>
        <w:rPr>
          <w:color w:val="000000"/>
        </w:rPr>
        <w:t>a contratada se vincula à sua proposta e às previsões contidas no edital e seus anexos;</w:t>
      </w:r>
    </w:p>
    <w:p>
      <w:pPr>
        <w:numPr>
          <w:ilvl w:val="2"/>
          <w:numId w:val="26"/>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pPr>
        <w:numPr>
          <w:ilvl w:val="1"/>
          <w:numId w:val="26"/>
        </w:numPr>
        <w:spacing w:before="120" w:after="120" w:line="276" w:lineRule="auto"/>
        <w:ind w:left="425" w:firstLine="0"/>
        <w:jc w:val="both"/>
        <w:rPr>
          <w:color w:val="000000"/>
        </w:rPr>
      </w:pPr>
      <w:r>
        <w:rPr>
          <w:color w:val="000000"/>
        </w:rPr>
        <w:t xml:space="preserve">O prazo de vigência da contratação é de </w:t>
      </w:r>
      <w:r>
        <w:rPr>
          <w:rFonts w:cs="Arial"/>
          <w:color w:val="000000"/>
          <w:szCs w:val="20"/>
        </w:rPr>
        <w:t>12 (doze) meses,</w:t>
      </w:r>
      <w:r>
        <w:rPr>
          <w:color w:val="000000"/>
        </w:rPr>
        <w:t xml:space="preserve"> prorrogável conforme </w:t>
      </w:r>
      <w:r>
        <w:t>previsão no instrumento contratual.</w:t>
      </w:r>
    </w:p>
    <w:p>
      <w:pPr>
        <w:numPr>
          <w:ilvl w:val="1"/>
          <w:numId w:val="26"/>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numPr>
          <w:ilvl w:val="2"/>
          <w:numId w:val="26"/>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pPr>
        <w:numPr>
          <w:ilvl w:val="2"/>
          <w:numId w:val="26"/>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pPr>
        <w:numPr>
          <w:ilvl w:val="1"/>
          <w:numId w:val="26"/>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pPr>
        <w:numPr>
          <w:ilvl w:val="1"/>
          <w:numId w:val="26"/>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highlight w:val="white"/>
        </w:rPr>
        <w:t>DO REAJUSTAMENTO EM SENTIDO GERAL</w:t>
      </w:r>
    </w:p>
    <w:p>
      <w:pPr>
        <w:keepNext/>
        <w:keepLines/>
        <w:numPr>
          <w:ilvl w:val="1"/>
          <w:numId w:val="26"/>
        </w:numPr>
        <w:pBdr>
          <w:top w:val="none" w:color="auto" w:sz="0" w:space="0"/>
          <w:left w:val="none" w:color="auto" w:sz="0" w:space="0"/>
          <w:bottom w:val="none" w:color="auto" w:sz="0" w:space="0"/>
          <w:right w:val="none" w:color="auto" w:sz="0" w:space="0"/>
          <w:between w:val="none" w:color="auto" w:sz="0" w:space="0"/>
        </w:pBd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360" w:after="120" w:line="276" w:lineRule="auto"/>
        <w:ind w:right="-15"/>
        <w:jc w:val="both"/>
        <w:rPr>
          <w:b/>
          <w:color w:val="000000"/>
        </w:rPr>
      </w:pPr>
      <w:r>
        <w:rPr>
          <w:b/>
          <w:color w:val="000000"/>
        </w:rPr>
        <w:t>DA ACEITAÇÃO DO OBJETO E DA FISCALIZAÇÃO</w:t>
      </w:r>
    </w:p>
    <w:p>
      <w:pPr>
        <w:numPr>
          <w:ilvl w:val="1"/>
          <w:numId w:val="26"/>
        </w:numPr>
        <w:spacing w:before="120" w:after="120" w:line="276" w:lineRule="auto"/>
        <w:ind w:left="425" w:firstLine="0"/>
        <w:jc w:val="both"/>
      </w:pPr>
      <w:r>
        <w:t>Os critérios de aceitação do objeto e de fiscalização estão previstos no Termo de Referência.</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DAS OBRIGAÇÕES DA CONTRATANTE E DA CONTRATADA</w:t>
      </w:r>
    </w:p>
    <w:p>
      <w:pPr>
        <w:numPr>
          <w:ilvl w:val="1"/>
          <w:numId w:val="26"/>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DO PAGAMENTO</w:t>
      </w:r>
    </w:p>
    <w:p>
      <w:pPr>
        <w:numPr>
          <w:ilvl w:val="1"/>
          <w:numId w:val="26"/>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color w:val="000000"/>
        </w:rPr>
      </w:pPr>
      <w:r>
        <w:rPr>
          <w:color w:val="000000"/>
        </w:rPr>
        <w:t>As regras acerca do pagamento são as estabelecidas no Termo de Referência, anexo a este Edital.</w:t>
      </w:r>
    </w:p>
    <w:p>
      <w:pPr>
        <w:keepNext/>
        <w:keepLines/>
        <w:numPr>
          <w:ilvl w:val="0"/>
          <w:numId w:val="26"/>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i/>
        </w:rPr>
      </w:pPr>
      <w:r>
        <w:rPr>
          <w:b/>
          <w:i/>
        </w:rPr>
        <w:t>DA CONTA-DEPÓSITO VINCULADA</w:t>
      </w:r>
      <w:r>
        <w:rPr>
          <w:b/>
          <w:i/>
          <w:highlight w:val="white"/>
        </w:rPr>
        <w:t>― BLOQUEADA PARA MOVIMENTAÇÃO</w:t>
      </w:r>
    </w:p>
    <w:p>
      <w:pPr>
        <w:numPr>
          <w:ilvl w:val="1"/>
          <w:numId w:val="26"/>
        </w:numPr>
        <w:spacing w:before="120" w:after="120" w:line="276" w:lineRule="auto"/>
        <w:ind w:left="425" w:firstLine="0"/>
        <w:jc w:val="both"/>
        <w:rPr>
          <w:iCs/>
        </w:rPr>
      </w:pPr>
      <w:r>
        <w:rPr>
          <w:iCs/>
          <w:highlight w:val="white"/>
        </w:rPr>
        <w:t xml:space="preserve">Para atendimento ao disposto no art. 18 da IN SEGES/MP N. 5/2017, as regras acerca da Conta-Depósito Vinculada – bloqueada para movimentação a que se refere o Anexo XII da IN SEGES/MP n. 5/2017 são as estabelecidas </w:t>
      </w:r>
      <w:r>
        <w:rPr>
          <w:iCs/>
        </w:rPr>
        <w:t>no Termo de Referência, anexo a este Edital.</w:t>
      </w:r>
    </w:p>
    <w:p>
      <w:pPr>
        <w:keepNext/>
        <w:keepLines/>
        <w:numPr>
          <w:ilvl w:val="0"/>
          <w:numId w:val="2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DAS SANÇÕES ADMINISTRATIVAS.</w:t>
      </w:r>
    </w:p>
    <w:p>
      <w:pPr>
        <w:numPr>
          <w:ilvl w:val="1"/>
          <w:numId w:val="27"/>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pPr>
        <w:numPr>
          <w:ilvl w:val="2"/>
          <w:numId w:val="27"/>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pPr>
        <w:numPr>
          <w:ilvl w:val="2"/>
          <w:numId w:val="27"/>
        </w:numPr>
        <w:spacing w:before="120" w:after="120" w:line="276" w:lineRule="auto"/>
        <w:jc w:val="both"/>
        <w:rPr>
          <w:color w:val="000000"/>
        </w:rPr>
      </w:pPr>
      <w:r>
        <w:rPr>
          <w:color w:val="000000"/>
        </w:rPr>
        <w:t>não assinar a ata de registro de preços, quando cabível;</w:t>
      </w:r>
    </w:p>
    <w:p>
      <w:pPr>
        <w:numPr>
          <w:ilvl w:val="2"/>
          <w:numId w:val="27"/>
        </w:numPr>
        <w:spacing w:before="120" w:after="120" w:line="276" w:lineRule="auto"/>
        <w:jc w:val="both"/>
        <w:rPr>
          <w:color w:val="000000"/>
        </w:rPr>
      </w:pPr>
      <w:r>
        <w:rPr>
          <w:color w:val="000000"/>
        </w:rPr>
        <w:t>apresentar documentação falsa;</w:t>
      </w:r>
    </w:p>
    <w:p>
      <w:pPr>
        <w:numPr>
          <w:ilvl w:val="2"/>
          <w:numId w:val="27"/>
        </w:numPr>
        <w:spacing w:before="120" w:after="120" w:line="276" w:lineRule="auto"/>
        <w:jc w:val="both"/>
        <w:rPr>
          <w:color w:val="000000"/>
        </w:rPr>
      </w:pPr>
      <w:r>
        <w:rPr>
          <w:color w:val="000000"/>
        </w:rPr>
        <w:t>deixar de entregar os documentos exigidos no certame;</w:t>
      </w:r>
    </w:p>
    <w:p>
      <w:pPr>
        <w:numPr>
          <w:ilvl w:val="2"/>
          <w:numId w:val="27"/>
        </w:numPr>
        <w:spacing w:before="120" w:after="120" w:line="276" w:lineRule="auto"/>
        <w:jc w:val="both"/>
        <w:rPr>
          <w:color w:val="000000"/>
        </w:rPr>
      </w:pPr>
      <w:r>
        <w:rPr>
          <w:color w:val="000000"/>
        </w:rPr>
        <w:t>ensejar o retardamento da execução do objeto;</w:t>
      </w:r>
    </w:p>
    <w:p>
      <w:pPr>
        <w:numPr>
          <w:ilvl w:val="2"/>
          <w:numId w:val="27"/>
        </w:numPr>
        <w:spacing w:before="120" w:after="120" w:line="276" w:lineRule="auto"/>
        <w:jc w:val="both"/>
        <w:rPr>
          <w:color w:val="000000"/>
        </w:rPr>
      </w:pPr>
      <w:r>
        <w:rPr>
          <w:color w:val="000000"/>
        </w:rPr>
        <w:t>não mantiver a proposta;</w:t>
      </w:r>
    </w:p>
    <w:p>
      <w:pPr>
        <w:numPr>
          <w:ilvl w:val="2"/>
          <w:numId w:val="27"/>
        </w:numPr>
        <w:spacing w:before="120" w:after="120" w:line="276" w:lineRule="auto"/>
        <w:jc w:val="both"/>
        <w:rPr>
          <w:color w:val="000000"/>
        </w:rPr>
      </w:pPr>
      <w:r>
        <w:rPr>
          <w:color w:val="000000"/>
        </w:rPr>
        <w:t>cometer fraude fiscal;</w:t>
      </w:r>
    </w:p>
    <w:p>
      <w:pPr>
        <w:numPr>
          <w:ilvl w:val="2"/>
          <w:numId w:val="27"/>
        </w:numPr>
        <w:spacing w:before="120" w:after="120" w:line="276" w:lineRule="auto"/>
        <w:jc w:val="both"/>
        <w:rPr>
          <w:color w:val="000000"/>
        </w:rPr>
      </w:pPr>
      <w:r>
        <w:rPr>
          <w:color w:val="000000"/>
        </w:rPr>
        <w:t>comportar-se de modo inidôneo;</w:t>
      </w:r>
    </w:p>
    <w:p>
      <w:pPr>
        <w:numPr>
          <w:ilvl w:val="1"/>
          <w:numId w:val="27"/>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pPr>
        <w:numPr>
          <w:ilvl w:val="1"/>
          <w:numId w:val="27"/>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numPr>
          <w:ilvl w:val="1"/>
          <w:numId w:val="27"/>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pPr>
        <w:numPr>
          <w:ilvl w:val="2"/>
          <w:numId w:val="27"/>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pPr>
        <w:numPr>
          <w:ilvl w:val="2"/>
          <w:numId w:val="27"/>
        </w:numPr>
        <w:spacing w:before="120" w:after="120" w:line="276" w:lineRule="auto"/>
        <w:jc w:val="both"/>
        <w:rPr>
          <w:color w:val="000000"/>
        </w:rPr>
      </w:pPr>
      <w:r>
        <w:rPr>
          <w:color w:val="000000"/>
        </w:rPr>
        <w:t xml:space="preserve">Multa de </w:t>
      </w:r>
      <w:r>
        <w:rPr>
          <w:rFonts w:cs="Arial"/>
          <w:szCs w:val="20"/>
        </w:rPr>
        <w:t>2% (dois por cento</w:t>
      </w:r>
      <w:r>
        <w:rPr>
          <w:color w:val="000000"/>
        </w:rPr>
        <w:t>) sobre o valor estimado do(s) item(s) prejudicado(s) pela conduta do licitante;</w:t>
      </w:r>
    </w:p>
    <w:p>
      <w:pPr>
        <w:numPr>
          <w:ilvl w:val="2"/>
          <w:numId w:val="27"/>
        </w:numPr>
        <w:pBdr>
          <w:top w:val="none" w:color="auto" w:sz="0" w:space="0"/>
          <w:left w:val="none" w:color="auto" w:sz="0" w:space="0"/>
          <w:bottom w:val="none" w:color="auto" w:sz="0" w:space="0"/>
          <w:right w:val="none" w:color="auto" w:sz="0" w:space="0"/>
          <w:between w:val="none" w:color="auto" w:sz="0" w:space="0"/>
        </w:pBdr>
        <w:spacing w:before="120" w:after="120" w:line="276" w:lineRule="auto"/>
        <w:ind w:right="-3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pPr>
        <w:numPr>
          <w:ilvl w:val="2"/>
          <w:numId w:val="27"/>
        </w:numPr>
        <w:spacing w:before="120" w:after="120" w:line="276" w:lineRule="auto"/>
        <w:jc w:val="both"/>
        <w:rPr>
          <w:color w:val="000000"/>
        </w:rPr>
      </w:pPr>
      <w:r>
        <w:rPr>
          <w:color w:val="000000"/>
        </w:rPr>
        <w:t>Impedimento de licitar e de contratar com a União e descredenciamento no SICAF, pelo prazo de até cinco anos;</w:t>
      </w:r>
    </w:p>
    <w:p>
      <w:pPr>
        <w:numPr>
          <w:ilvl w:val="2"/>
          <w:numId w:val="27"/>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numPr>
          <w:ilvl w:val="1"/>
          <w:numId w:val="27"/>
        </w:numPr>
        <w:spacing w:before="120" w:after="120" w:line="276" w:lineRule="auto"/>
        <w:ind w:left="425" w:firstLine="0"/>
        <w:jc w:val="both"/>
        <w:rPr>
          <w:color w:val="000000"/>
        </w:rPr>
      </w:pPr>
      <w:r>
        <w:rPr>
          <w:color w:val="000000"/>
        </w:rPr>
        <w:t>A penalidade de multa pode ser aplicada cumulativamente com as demais sanções.</w:t>
      </w:r>
    </w:p>
    <w:p>
      <w:pPr>
        <w:numPr>
          <w:ilvl w:val="1"/>
          <w:numId w:val="27"/>
        </w:numPr>
        <w:spacing w:before="120" w:after="120" w:line="276" w:lineRule="auto"/>
        <w:ind w:left="425" w:firstLine="0"/>
        <w:jc w:val="both"/>
        <w:rPr>
          <w:color w:val="000000"/>
        </w:rPr>
      </w:pPr>
      <w:r>
        <w:rPr>
          <w:color w:val="00000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numPr>
          <w:ilvl w:val="1"/>
          <w:numId w:val="27"/>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numPr>
          <w:ilvl w:val="1"/>
          <w:numId w:val="27"/>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numPr>
          <w:ilvl w:val="1"/>
          <w:numId w:val="27"/>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pPr>
        <w:numPr>
          <w:ilvl w:val="1"/>
          <w:numId w:val="27"/>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numPr>
          <w:ilvl w:val="1"/>
          <w:numId w:val="27"/>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pPr>
        <w:numPr>
          <w:ilvl w:val="1"/>
          <w:numId w:val="27"/>
        </w:numPr>
        <w:spacing w:before="120" w:after="120" w:line="276" w:lineRule="auto"/>
        <w:ind w:left="425" w:firstLine="0"/>
        <w:jc w:val="both"/>
        <w:rPr>
          <w:color w:val="000000"/>
        </w:rPr>
      </w:pPr>
      <w:r>
        <w:rPr>
          <w:color w:val="000000"/>
        </w:rPr>
        <w:t>As penalidades serão obrigatoriamente registradas no SICAF.</w:t>
      </w:r>
    </w:p>
    <w:p>
      <w:pPr>
        <w:numPr>
          <w:ilvl w:val="1"/>
          <w:numId w:val="27"/>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pPr>
        <w:keepNext/>
        <w:keepLines/>
        <w:numPr>
          <w:ilvl w:val="0"/>
          <w:numId w:val="2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 IMPUGNAÇÃO AO EDITAL E DO PEDIDO DE ESCLARECIMENTO</w:t>
      </w:r>
    </w:p>
    <w:p>
      <w:pPr>
        <w:numPr>
          <w:ilvl w:val="1"/>
          <w:numId w:val="27"/>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pPr>
        <w:numPr>
          <w:ilvl w:val="1"/>
          <w:numId w:val="27"/>
        </w:numPr>
        <w:tabs>
          <w:tab w:val="left" w:pos="284"/>
        </w:tabs>
        <w:spacing w:before="120" w:after="120" w:line="276" w:lineRule="auto"/>
        <w:ind w:left="425" w:firstLine="0"/>
        <w:jc w:val="both"/>
        <w:rPr>
          <w:rFonts w:cs="Arial"/>
          <w:color w:val="000000"/>
          <w:szCs w:val="20"/>
        </w:rPr>
      </w:pPr>
      <w:r>
        <w:rPr>
          <w:rFonts w:cs="Arial"/>
          <w:color w:val="000000"/>
          <w:szCs w:val="20"/>
        </w:rPr>
        <w:t>A impugnação poderá ser realizada por forma eletrônica, pelo e-mail cpl@id.uff.br.</w:t>
      </w:r>
    </w:p>
    <w:p>
      <w:pPr>
        <w:numPr>
          <w:ilvl w:val="1"/>
          <w:numId w:val="27"/>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pPr>
        <w:numPr>
          <w:ilvl w:val="1"/>
          <w:numId w:val="27"/>
        </w:numPr>
        <w:spacing w:before="120" w:after="120" w:line="276" w:lineRule="auto"/>
        <w:ind w:left="425" w:firstLine="0"/>
        <w:jc w:val="both"/>
        <w:rPr>
          <w:color w:val="000000"/>
        </w:rPr>
      </w:pPr>
      <w:r>
        <w:rPr>
          <w:color w:val="000000"/>
        </w:rPr>
        <w:t>Acolhida a impugnação, será definida e publicada nova data para a realização do certame.</w:t>
      </w:r>
    </w:p>
    <w:p>
      <w:pPr>
        <w:numPr>
          <w:ilvl w:val="1"/>
          <w:numId w:val="27"/>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numPr>
          <w:ilvl w:val="1"/>
          <w:numId w:val="27"/>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pPr>
        <w:numPr>
          <w:ilvl w:val="1"/>
          <w:numId w:val="27"/>
        </w:numPr>
        <w:spacing w:before="120" w:after="120" w:line="276" w:lineRule="auto"/>
        <w:ind w:left="425" w:firstLine="0"/>
        <w:jc w:val="both"/>
        <w:rPr>
          <w:color w:val="000000"/>
        </w:rPr>
      </w:pPr>
      <w:r>
        <w:rPr>
          <w:color w:val="000000"/>
        </w:rPr>
        <w:t>As impugnações e pedidos de esclarecimentos não suspendem os prazos previstos no certame.</w:t>
      </w:r>
    </w:p>
    <w:p>
      <w:pPr>
        <w:numPr>
          <w:ilvl w:val="2"/>
          <w:numId w:val="27"/>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pPr>
        <w:numPr>
          <w:ilvl w:val="1"/>
          <w:numId w:val="27"/>
        </w:numPr>
        <w:spacing w:before="120" w:after="120" w:line="276" w:lineRule="auto"/>
        <w:jc w:val="both"/>
        <w:rPr>
          <w:color w:val="000000"/>
        </w:rPr>
      </w:pPr>
      <w:r>
        <w:rPr>
          <w:color w:val="000000"/>
        </w:rPr>
        <w:t>As respostas aos pedidos de esclarecimentos serão divulgadas pelo sistema e vincularão os participantes e a Administração.</w:t>
      </w:r>
    </w:p>
    <w:p>
      <w:pPr>
        <w:keepNext/>
        <w:keepLines/>
        <w:numPr>
          <w:ilvl w:val="0"/>
          <w:numId w:val="27"/>
        </w:numPr>
        <w:pBdr>
          <w:top w:val="none" w:color="auto" w:sz="0" w:space="0"/>
          <w:left w:val="none" w:color="auto" w:sz="0" w:space="0"/>
          <w:bottom w:val="none" w:color="auto" w:sz="0" w:space="0"/>
          <w:right w:val="none" w:color="auto" w:sz="0" w:space="0"/>
          <w:between w:val="none" w:color="auto" w:sz="0" w:space="0"/>
        </w:pBdr>
        <w:spacing w:before="480" w:after="120" w:line="276" w:lineRule="auto"/>
        <w:ind w:right="-15"/>
        <w:jc w:val="both"/>
        <w:rPr>
          <w:b/>
          <w:color w:val="000000"/>
        </w:rPr>
      </w:pPr>
      <w:r>
        <w:rPr>
          <w:b/>
          <w:color w:val="000000"/>
        </w:rPr>
        <w:t>DAS DISPOSIÇÕES GERAIS</w:t>
      </w:r>
    </w:p>
    <w:p>
      <w:pPr>
        <w:numPr>
          <w:ilvl w:val="1"/>
          <w:numId w:val="27"/>
        </w:numPr>
        <w:spacing w:before="120" w:after="120" w:line="276" w:lineRule="auto"/>
        <w:ind w:left="425" w:firstLine="0"/>
        <w:jc w:val="both"/>
        <w:rPr>
          <w:color w:val="000000"/>
        </w:rPr>
      </w:pPr>
      <w:r>
        <w:rPr>
          <w:color w:val="000000"/>
        </w:rPr>
        <w:t>Da sessão pública do Pregão divulgar-se-á Ata no sistema eletrônico.</w:t>
      </w:r>
    </w:p>
    <w:p>
      <w:pPr>
        <w:numPr>
          <w:ilvl w:val="1"/>
          <w:numId w:val="27"/>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numPr>
          <w:ilvl w:val="1"/>
          <w:numId w:val="27"/>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pPr>
        <w:numPr>
          <w:ilvl w:val="1"/>
          <w:numId w:val="27"/>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numPr>
          <w:ilvl w:val="1"/>
          <w:numId w:val="27"/>
        </w:numPr>
        <w:spacing w:before="120" w:after="120" w:line="276" w:lineRule="auto"/>
        <w:ind w:left="425" w:firstLine="0"/>
        <w:jc w:val="both"/>
        <w:rPr>
          <w:color w:val="000000"/>
        </w:rPr>
      </w:pPr>
      <w:r>
        <w:rPr>
          <w:color w:val="000000"/>
        </w:rPr>
        <w:t>A homologação do resultado desta licitação não implicará direito à contratação.</w:t>
      </w:r>
    </w:p>
    <w:p>
      <w:pPr>
        <w:numPr>
          <w:ilvl w:val="1"/>
          <w:numId w:val="27"/>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numPr>
          <w:ilvl w:val="1"/>
          <w:numId w:val="27"/>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pPr>
        <w:numPr>
          <w:ilvl w:val="1"/>
          <w:numId w:val="27"/>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pPr>
        <w:numPr>
          <w:ilvl w:val="1"/>
          <w:numId w:val="27"/>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pPr>
        <w:numPr>
          <w:ilvl w:val="1"/>
          <w:numId w:val="27"/>
        </w:numPr>
        <w:tabs>
          <w:tab w:val="left" w:pos="284"/>
        </w:tabs>
        <w:spacing w:before="120" w:after="120" w:line="276" w:lineRule="auto"/>
        <w:ind w:left="425" w:firstLine="0"/>
        <w:jc w:val="both"/>
        <w:rPr>
          <w:rFonts w:cs="Arial"/>
          <w:b/>
          <w:sz w:val="22"/>
          <w:szCs w:val="22"/>
          <w:u w:val="single"/>
        </w:rPr>
      </w:pPr>
      <w:r>
        <w:rPr>
          <w:rFonts w:cs="Arial"/>
          <w:b/>
          <w:sz w:val="22"/>
          <w:szCs w:val="22"/>
          <w:u w:val="single"/>
          <w:shd w:val="clear" w:color="auto" w:fill="FFFFFF"/>
        </w:rPr>
        <w:t>As planilhas de composição de custo constantes do presente edital são de caráter estimativo para a contratação, em consonância com o previsto no $2º, do Art.7º, da Lei 8.666/1993, devendo servir apenas de auxílio para formação de preço dos licitantes, sendo de responsabilidade dos mesmos o correto preenchimento das planilhas para dimensionamento das suas propostas. As planilhas elaboradas pela Administração não engessam ou vinculam a elaboração das planilhas dos licitantes, especialmente os custos que dependem de mercado/ estratégias da empresa, de indicadores ou acordos, sendo todos passíveis de diligências por parte da Administração para fins de verificação de exequibilidade da proposta.</w:t>
      </w:r>
    </w:p>
    <w:p>
      <w:pPr>
        <w:numPr>
          <w:ilvl w:val="1"/>
          <w:numId w:val="27"/>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pPr>
        <w:numPr>
          <w:ilvl w:val="1"/>
          <w:numId w:val="27"/>
        </w:numPr>
        <w:spacing w:before="120" w:after="120" w:line="276" w:lineRule="auto"/>
        <w:jc w:val="both"/>
      </w:pPr>
      <w:r>
        <w:rPr>
          <w:rFonts w:ascii="Calibri" w:hAnsi="Calibri" w:eastAsia="Calibri" w:cs="Calibri"/>
          <w:sz w:val="22"/>
          <w:szCs w:val="22"/>
        </w:rPr>
        <w:t>O Edital está disponibilizado, na íntegra, no endereço eletrônico</w:t>
      </w:r>
      <w:r>
        <w:fldChar w:fldCharType="begin"/>
      </w:r>
      <w:r>
        <w:instrText xml:space="preserve"> HYPERLINK "http://www.gov.br/compras"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"http://www.gov.br/compras" \h </w:instrText>
      </w:r>
      <w:r>
        <w:fldChar w:fldCharType="separate"/>
      </w:r>
      <w:r>
        <w:rPr>
          <w:rFonts w:ascii="Calibri" w:hAnsi="Calibri" w:eastAsia="Calibri" w:cs="Calibri"/>
          <w:b/>
          <w:color w:val="0000FF"/>
          <w:sz w:val="22"/>
          <w:szCs w:val="22"/>
          <w:u w:val="single"/>
        </w:rPr>
        <w:t>www.gov.br/compras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e</w:t>
      </w:r>
      <w:r>
        <w:fldChar w:fldCharType="begin"/>
      </w:r>
      <w:r>
        <w:instrText xml:space="preserve"> HYPERLINK "http://www.uff.br/licitacoes"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hAnsi="Calibri" w:eastAsia="Calibri" w:cs="Calibri"/>
          <w:b/>
          <w:sz w:val="22"/>
          <w:szCs w:val="22"/>
        </w:rPr>
        <w:t>&lt;</w:t>
      </w:r>
      <w:r>
        <w:fldChar w:fldCharType="begin"/>
      </w:r>
      <w:r>
        <w:instrText xml:space="preserve"> HYPERLINK "http://www.uff.br/licitacoes" \h </w:instrText>
      </w:r>
      <w:r>
        <w:fldChar w:fldCharType="separate"/>
      </w:r>
      <w:r>
        <w:rPr>
          <w:rFonts w:ascii="Calibri" w:hAnsi="Calibri" w:eastAsia="Calibri" w:cs="Calibri"/>
          <w:b/>
          <w:sz w:val="22"/>
          <w:szCs w:val="22"/>
        </w:rPr>
        <w:t xml:space="preserve"> </w:t>
      </w:r>
      <w:r>
        <w:rPr>
          <w:rFonts w:ascii="Calibri" w:hAnsi="Calibri" w:eastAsia="Calibri" w:cs="Calibri"/>
          <w:b/>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b/>
          <w:sz w:val="22"/>
          <w:szCs w:val="22"/>
        </w:rPr>
        <w:t xml:space="preserve"> &gt;</w:t>
      </w:r>
      <w:r>
        <w:rPr>
          <w:rFonts w:ascii="Calibri" w:hAnsi="Calibri" w:eastAsia="Calibri" w:cs="Calibri"/>
          <w:sz w:val="22"/>
          <w:szCs w:val="22"/>
        </w:rPr>
        <w:t>.</w:t>
      </w:r>
    </w:p>
    <w:p>
      <w:pPr>
        <w:numPr>
          <w:ilvl w:val="1"/>
          <w:numId w:val="27"/>
        </w:numPr>
        <w:spacing w:before="120" w:after="120" w:line="276" w:lineRule="auto"/>
        <w:ind w:left="425" w:firstLine="0"/>
        <w:jc w:val="both"/>
        <w:rPr>
          <w:rFonts w:cs="Arial"/>
          <w:szCs w:val="20"/>
        </w:rPr>
      </w:pPr>
      <w:r>
        <w:rPr>
          <w:color w:val="000000"/>
        </w:rPr>
        <w:t>Integram este Edital, para todos os fins e efeitos, os seguintes anexos:</w:t>
      </w:r>
    </w:p>
    <w:p>
      <w:pPr>
        <w:numPr>
          <w:ilvl w:val="2"/>
          <w:numId w:val="27"/>
        </w:numPr>
        <w:spacing w:before="120" w:after="120" w:line="276" w:lineRule="auto"/>
        <w:jc w:val="both"/>
        <w:rPr>
          <w:rFonts w:hint="default" w:cs="Arial"/>
          <w:b w:val="0"/>
          <w:bCs/>
          <w:szCs w:val="20"/>
          <w:lang w:val="pt-BR"/>
        </w:rPr>
      </w:pPr>
      <w:r>
        <w:rPr>
          <w:rFonts w:cs="Arial"/>
          <w:b/>
          <w:szCs w:val="20"/>
        </w:rPr>
        <w:t>Anexo I</w:t>
      </w:r>
      <w:r>
        <w:rPr>
          <w:rFonts w:cs="Arial"/>
          <w:szCs w:val="20"/>
        </w:rPr>
        <w:t xml:space="preserve"> - Termo de Referência;</w:t>
      </w:r>
    </w:p>
    <w:p>
      <w:pPr>
        <w:numPr>
          <w:ilvl w:val="2"/>
          <w:numId w:val="27"/>
        </w:numPr>
        <w:spacing w:before="120" w:after="120" w:line="276" w:lineRule="auto"/>
        <w:jc w:val="both"/>
        <w:rPr>
          <w:rFonts w:cs="Arial"/>
          <w:szCs w:val="20"/>
        </w:rPr>
      </w:pPr>
      <w:r>
        <w:rPr>
          <w:rFonts w:cs="Arial"/>
          <w:b/>
          <w:szCs w:val="20"/>
        </w:rPr>
        <w:t>Anexo II</w:t>
      </w:r>
      <w:r>
        <w:rPr>
          <w:rFonts w:hint="default" w:cs="Arial"/>
          <w:b/>
          <w:szCs w:val="20"/>
          <w:lang w:val="pt-BR"/>
        </w:rPr>
        <w:t xml:space="preserve">, III e IV - </w:t>
      </w:r>
      <w:r>
        <w:rPr>
          <w:rFonts w:hint="default" w:cs="Arial"/>
          <w:b w:val="0"/>
          <w:bCs/>
          <w:szCs w:val="20"/>
          <w:lang w:val="pt-BR"/>
        </w:rPr>
        <w:t>Planilhas de Formação de Custos;</w:t>
      </w:r>
    </w:p>
    <w:p>
      <w:pPr>
        <w:numPr>
          <w:ilvl w:val="2"/>
          <w:numId w:val="27"/>
        </w:numPr>
        <w:spacing w:before="120" w:after="120" w:line="276" w:lineRule="auto"/>
        <w:jc w:val="both"/>
        <w:rPr>
          <w:rFonts w:cs="Arial"/>
          <w:szCs w:val="20"/>
        </w:rPr>
      </w:pPr>
      <w:r>
        <w:rPr>
          <w:rFonts w:cs="Arial"/>
          <w:b/>
          <w:szCs w:val="20"/>
        </w:rPr>
        <w:t>Anexo V-A</w:t>
      </w:r>
      <w:r>
        <w:rPr>
          <w:rFonts w:cs="Arial"/>
          <w:szCs w:val="20"/>
        </w:rPr>
        <w:t xml:space="preserve"> – Modelo de Proposta Comercial;</w:t>
      </w:r>
    </w:p>
    <w:p>
      <w:pPr>
        <w:numPr>
          <w:ilvl w:val="2"/>
          <w:numId w:val="27"/>
        </w:numPr>
        <w:spacing w:before="120" w:after="120" w:line="276" w:lineRule="auto"/>
        <w:jc w:val="both"/>
        <w:rPr>
          <w:rFonts w:cs="Arial"/>
          <w:szCs w:val="20"/>
        </w:rPr>
      </w:pPr>
      <w:r>
        <w:rPr>
          <w:rFonts w:cs="Arial"/>
          <w:b/>
          <w:szCs w:val="20"/>
        </w:rPr>
        <w:t xml:space="preserve">Anexo V-B </w:t>
      </w:r>
      <w:r>
        <w:rPr>
          <w:rFonts w:cs="Arial"/>
          <w:szCs w:val="20"/>
        </w:rPr>
        <w:t>– Modelo de Declaração de Vistoria</w:t>
      </w:r>
      <w:r>
        <w:rPr>
          <w:rFonts w:hint="default" w:cs="Arial"/>
          <w:szCs w:val="20"/>
          <w:lang w:val="pt-BR"/>
        </w:rPr>
        <w:t>;</w:t>
      </w:r>
    </w:p>
    <w:p>
      <w:pPr>
        <w:numPr>
          <w:ilvl w:val="2"/>
          <w:numId w:val="27"/>
        </w:numPr>
        <w:spacing w:before="120" w:after="120" w:line="276" w:lineRule="auto"/>
        <w:jc w:val="both"/>
        <w:rPr>
          <w:rFonts w:cs="Arial"/>
          <w:szCs w:val="20"/>
        </w:rPr>
      </w:pPr>
      <w:r>
        <w:rPr>
          <w:rFonts w:cs="Arial"/>
          <w:b/>
          <w:szCs w:val="20"/>
        </w:rPr>
        <w:t>Anexo VI</w:t>
      </w:r>
      <w:r>
        <w:rPr>
          <w:rFonts w:cs="Arial"/>
          <w:szCs w:val="20"/>
        </w:rPr>
        <w:t xml:space="preserve"> – Termo de Conciliação Judicial</w:t>
      </w:r>
      <w:r>
        <w:rPr>
          <w:rFonts w:hint="default" w:cs="Arial"/>
          <w:szCs w:val="20"/>
          <w:lang w:val="pt-BR"/>
        </w:rPr>
        <w:t>;</w:t>
      </w:r>
    </w:p>
    <w:p>
      <w:pPr>
        <w:numPr>
          <w:ilvl w:val="2"/>
          <w:numId w:val="27"/>
        </w:numPr>
        <w:spacing w:before="120" w:after="120" w:line="276" w:lineRule="auto"/>
        <w:jc w:val="both"/>
        <w:rPr>
          <w:rFonts w:hint="default" w:cs="Arial"/>
          <w:szCs w:val="20"/>
          <w:lang w:val="pt-BR"/>
        </w:rPr>
      </w:pPr>
      <w:r>
        <w:rPr>
          <w:rFonts w:cs="Arial"/>
          <w:b/>
          <w:szCs w:val="20"/>
        </w:rPr>
        <w:t>Anexo VII</w:t>
      </w:r>
      <w:r>
        <w:rPr>
          <w:rFonts w:cs="Arial"/>
          <w:szCs w:val="20"/>
        </w:rPr>
        <w:t xml:space="preserve"> - Minuta do Termo de Contrato;</w:t>
      </w:r>
    </w:p>
    <w:p>
      <w:pPr>
        <w:numPr>
          <w:ilvl w:val="2"/>
          <w:numId w:val="27"/>
        </w:numPr>
        <w:spacing w:before="120" w:after="120" w:line="276" w:lineRule="auto"/>
        <w:jc w:val="both"/>
        <w:rPr>
          <w:rFonts w:hint="default" w:cs="Arial"/>
          <w:szCs w:val="20"/>
          <w:lang w:val="pt-BR"/>
        </w:rPr>
      </w:pPr>
      <w:r>
        <w:rPr>
          <w:rFonts w:cs="Arial"/>
          <w:b/>
          <w:szCs w:val="20"/>
        </w:rPr>
        <w:t xml:space="preserve">Anexo VIII </w:t>
      </w:r>
      <w:r>
        <w:rPr>
          <w:rFonts w:cs="Arial"/>
          <w:szCs w:val="20"/>
        </w:rPr>
        <w:t>- Instrumento de Medição de Resultados (IMR)</w:t>
      </w:r>
      <w:r>
        <w:rPr>
          <w:rFonts w:hint="default" w:cs="Arial"/>
          <w:szCs w:val="20"/>
          <w:lang w:val="pt-BR"/>
        </w:rPr>
        <w:t>;</w:t>
      </w:r>
    </w:p>
    <w:p>
      <w:pPr>
        <w:numPr>
          <w:ilvl w:val="2"/>
          <w:numId w:val="27"/>
        </w:numPr>
        <w:spacing w:before="120" w:after="120" w:line="276" w:lineRule="auto"/>
        <w:jc w:val="both"/>
        <w:rPr>
          <w:rFonts w:hint="default" w:cs="Arial"/>
          <w:szCs w:val="20"/>
          <w:lang w:val="pt-BR"/>
        </w:rPr>
      </w:pPr>
      <w:r>
        <w:rPr>
          <w:rFonts w:cs="Arial"/>
          <w:b/>
          <w:szCs w:val="20"/>
        </w:rPr>
        <w:t xml:space="preserve">Anexo IX - </w:t>
      </w:r>
      <w:r>
        <w:rPr>
          <w:rFonts w:hint="default" w:cs="Arial"/>
          <w:szCs w:val="20"/>
          <w:lang w:val="pt-BR"/>
        </w:rPr>
        <w:t>CCT RJ 000597/2022;</w:t>
      </w:r>
    </w:p>
    <w:p>
      <w:pPr>
        <w:numPr>
          <w:ilvl w:val="2"/>
          <w:numId w:val="27"/>
        </w:numPr>
        <w:spacing w:before="120" w:after="120" w:line="276" w:lineRule="auto"/>
        <w:jc w:val="both"/>
        <w:rPr>
          <w:rFonts w:hint="default" w:cs="Arial"/>
          <w:szCs w:val="20"/>
          <w:lang w:val="pt-BR"/>
        </w:rPr>
      </w:pPr>
      <w:r>
        <w:rPr>
          <w:rFonts w:hint="default" w:cs="Arial"/>
          <w:b/>
          <w:bCs/>
          <w:szCs w:val="20"/>
          <w:lang w:val="pt-BR"/>
        </w:rPr>
        <w:t>Anexo X</w:t>
      </w:r>
      <w:r>
        <w:rPr>
          <w:rFonts w:hint="default" w:cs="Arial"/>
          <w:szCs w:val="20"/>
          <w:lang w:val="pt-BR"/>
        </w:rPr>
        <w:t xml:space="preserve"> - </w:t>
      </w:r>
      <w:r>
        <w:rPr>
          <w:rFonts w:cs="Arial"/>
          <w:szCs w:val="20"/>
        </w:rPr>
        <w:t>Memória de Cálculo da Planilha de Custos e Formação de Preço</w:t>
      </w:r>
      <w:r>
        <w:rPr>
          <w:rFonts w:hint="default" w:cs="Arial"/>
          <w:szCs w:val="20"/>
          <w:lang w:val="pt-BR"/>
        </w:rPr>
        <w:t>;</w:t>
      </w:r>
    </w:p>
    <w:p>
      <w:pPr>
        <w:numPr>
          <w:ilvl w:val="2"/>
          <w:numId w:val="27"/>
        </w:numPr>
        <w:spacing w:before="120" w:after="120" w:line="276" w:lineRule="auto"/>
        <w:jc w:val="both"/>
        <w:rPr>
          <w:rFonts w:hint="default" w:cs="Arial"/>
          <w:szCs w:val="20"/>
          <w:lang w:val="pt-BR"/>
        </w:rPr>
      </w:pPr>
      <w:r>
        <w:rPr>
          <w:rFonts w:hint="default" w:cs="Arial"/>
          <w:b/>
          <w:bCs/>
          <w:szCs w:val="20"/>
          <w:lang w:val="pt-BR"/>
        </w:rPr>
        <w:t>Anexo XI</w:t>
      </w:r>
      <w:r>
        <w:rPr>
          <w:rFonts w:hint="default" w:cs="Arial"/>
          <w:szCs w:val="20"/>
          <w:lang w:val="pt-BR"/>
        </w:rPr>
        <w:t xml:space="preserve"> - Modelo Termo de Cooperação Técnica.</w:t>
      </w:r>
    </w:p>
    <w:p>
      <w:pPr>
        <w:spacing w:before="120" w:after="120" w:line="276" w:lineRule="auto"/>
        <w:jc w:val="center"/>
        <w:rPr>
          <w:color w:val="000000"/>
        </w:rPr>
      </w:pPr>
    </w:p>
    <w:p>
      <w:pPr>
        <w:spacing w:before="120" w:after="120" w:line="276" w:lineRule="auto"/>
        <w:jc w:val="center"/>
        <w:rPr>
          <w:color w:val="000000"/>
        </w:rPr>
      </w:pPr>
      <w:r>
        <w:rPr>
          <w:color w:val="000000"/>
        </w:rPr>
        <w:t>Niterói,</w:t>
      </w:r>
      <w:r>
        <w:rPr>
          <w:rFonts w:hint="default"/>
          <w:color w:val="000000"/>
          <w:lang w:val="pt-BR"/>
        </w:rPr>
        <w:t xml:space="preserve"> 25 de maio de 2022</w:t>
      </w:r>
      <w:r>
        <w:rPr>
          <w:color w:val="000000"/>
        </w:rPr>
        <w:t>.</w:t>
      </w:r>
    </w:p>
    <w:p>
      <w:pPr>
        <w:spacing w:before="120" w:after="120" w:line="276" w:lineRule="auto"/>
        <w:jc w:val="center"/>
      </w:pPr>
    </w:p>
    <w:p>
      <w:pPr>
        <w:spacing w:before="120" w:after="120" w:line="276" w:lineRule="auto"/>
        <w:jc w:val="center"/>
      </w:pPr>
    </w:p>
    <w:p>
      <w:pPr>
        <w:spacing w:before="120" w:after="120" w:line="276" w:lineRule="auto"/>
        <w:jc w:val="center"/>
        <w:rPr>
          <w:rFonts w:hint="default"/>
          <w:color w:val="000000"/>
          <w:lang w:val="pt-BR"/>
        </w:rPr>
      </w:pPr>
      <w:bookmarkStart w:id="12" w:name="_GoBack"/>
      <w:bookmarkEnd w:id="12"/>
      <w:r>
        <w:rPr>
          <w:rFonts w:hint="default"/>
          <w:color w:val="000000"/>
          <w:lang w:val="pt-BR"/>
        </w:rPr>
        <w:t>CLI/PROAD/UFF</w:t>
      </w:r>
    </w:p>
    <w:sectPr>
      <w:headerReference r:id="rId3" w:type="default"/>
      <w:footerReference r:id="rId4" w:type="default"/>
      <w:pgSz w:w="11906" w:h="16838"/>
      <w:pgMar w:top="1418" w:right="1134" w:bottom="1418" w:left="1701" w:header="709"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Georgia">
    <w:panose1 w:val="02040502050405020303"/>
    <w:charset w:val="00"/>
    <w:family w:val="roman"/>
    <w:pitch w:val="default"/>
    <w:sig w:usb0="00000287" w:usb1="00000000" w:usb2="00000000" w:usb3="00000000" w:csb0="2000009F" w:csb1="00000000"/>
  </w:font>
  <w:font w:name="Ecofont_Spranq_eco_Sans">
    <w:altName w:val="Calibri"/>
    <w:panose1 w:val="00000000000000000000"/>
    <w:charset w:val="00"/>
    <w:family w:val="swiss"/>
    <w:pitch w:val="default"/>
    <w:sig w:usb0="00000000" w:usb1="00000000" w:usb2="00000000" w:usb3="00000000" w:csb0="00000001" w:csb1="00000000"/>
  </w:font>
  <w:font w:name="WenQuanYi Micro Hei">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Lohit Hindi">
    <w:altName w:val="Segoe Print"/>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rPr>
        <w:rFonts w:ascii="Times New Roman" w:hAnsi="Times New Roman" w:eastAsia="Times New Roman" w:cs="Times New Roman"/>
        <w:color w:val="00000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hint="default"/>
        <w:color w:val="000000"/>
        <w:lang w:val="pt-BR"/>
      </w:rPr>
    </w:pPr>
    <w:bookmarkStart w:id="11" w:name="_heading=h.3znysh7" w:colFirst="0" w:colLast="0"/>
    <w:bookmarkEnd w:id="11"/>
    <w:r>
      <w:rPr>
        <w:rFonts w:ascii="Verdana" w:hAnsi="Verdana" w:eastAsia="Verdana" w:cs="Verdana"/>
        <w:color w:val="000000"/>
        <w:sz w:val="16"/>
        <w:szCs w:val="16"/>
      </w:rPr>
      <w:t xml:space="preserve">Processo n.º </w:t>
    </w:r>
    <w:r>
      <w:rPr>
        <w:rFonts w:ascii="Verdana" w:hAnsi="Verdana" w:eastAsia="Verdana" w:cs="Verdana"/>
        <w:color w:val="000000"/>
        <w:sz w:val="16"/>
        <w:szCs w:val="16"/>
        <w:lang w:val="pt-BR"/>
      </w:rPr>
      <w:t xml:space="preserve"> 23069.161952/2022-23 </w:t>
    </w: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rPr>
        <w:rFonts w:ascii="Verdana" w:hAnsi="Verdana" w:eastAsia="Verdana" w:cs="Verdana"/>
        <w:sz w:val="16"/>
        <w:szCs w:val="16"/>
      </w:rPr>
    </w:pPr>
  </w:p>
  <w:p>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jc w:val="right"/>
      <w:rPr>
        <w:rFonts w:ascii="Verdana" w:hAnsi="Verdana" w:eastAsia="Verdana" w:cs="Verdana"/>
        <w:color w:val="000000"/>
        <w:sz w:val="16"/>
        <w:szCs w:val="16"/>
      </w:rPr>
    </w:pPr>
  </w:p>
  <w:p>
    <w:pPr>
      <w:pBdr>
        <w:top w:val="none" w:color="auto" w:sz="0" w:space="0"/>
        <w:left w:val="none" w:color="auto" w:sz="0" w:space="0"/>
        <w:bottom w:val="none" w:color="auto" w:sz="0" w:space="0"/>
        <w:right w:val="none" w:color="auto" w:sz="0" w:space="0"/>
        <w:between w:val="none" w:color="auto" w:sz="0" w:space="0"/>
      </w:pBdr>
      <w:tabs>
        <w:tab w:val="left" w:pos="4735"/>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A61541"/>
    <w:multiLevelType w:val="multilevel"/>
    <w:tmpl w:val="00A61541"/>
    <w:lvl w:ilvl="0" w:tentative="0">
      <w:start w:val="1"/>
      <w:numFmt w:val="decimal"/>
      <w:lvlText w:val=""/>
      <w:lvlJc w:val="left"/>
      <w:pPr>
        <w:ind w:left="0" w:firstLine="0"/>
      </w:pPr>
    </w:lvl>
    <w:lvl w:ilvl="1" w:tentative="0">
      <w:start w:val="1"/>
      <w:numFmt w:val="decimal"/>
      <w:lvlText w:val=""/>
      <w:lvlJc w:val="left"/>
      <w:pPr>
        <w:ind w:left="0" w:firstLine="0"/>
      </w:pPr>
    </w:lvl>
    <w:lvl w:ilvl="2" w:tentative="0">
      <w:start w:val="1"/>
      <w:numFmt w:val="decimal"/>
      <w:lvlText w:val=""/>
      <w:lvlJc w:val="left"/>
      <w:pPr>
        <w:ind w:left="0" w:firstLine="0"/>
      </w:pPr>
    </w:lvl>
    <w:lvl w:ilvl="3" w:tentative="0">
      <w:start w:val="1"/>
      <w:numFmt w:val="decimal"/>
      <w:lvlText w:val=""/>
      <w:lvlJc w:val="left"/>
      <w:pPr>
        <w:ind w:left="0" w:firstLine="0"/>
      </w:pPr>
    </w:lvl>
    <w:lvl w:ilvl="4" w:tentative="0">
      <w:start w:val="1"/>
      <w:numFmt w:val="decimal"/>
      <w:lvlText w:val=""/>
      <w:lvlJc w:val="left"/>
      <w:pPr>
        <w:ind w:left="0" w:firstLine="0"/>
      </w:pPr>
    </w:lvl>
    <w:lvl w:ilvl="5" w:tentative="0">
      <w:start w:val="1"/>
      <w:numFmt w:val="decimal"/>
      <w:lvlText w:val=""/>
      <w:lvlJc w:val="left"/>
      <w:pPr>
        <w:ind w:left="0" w:firstLine="0"/>
      </w:pPr>
    </w:lvl>
    <w:lvl w:ilvl="6" w:tentative="0">
      <w:start w:val="1"/>
      <w:numFmt w:val="decimal"/>
      <w:lvlText w:val=""/>
      <w:lvlJc w:val="left"/>
      <w:pPr>
        <w:ind w:left="0" w:firstLine="0"/>
      </w:pPr>
    </w:lvl>
    <w:lvl w:ilvl="7" w:tentative="0">
      <w:start w:val="1"/>
      <w:numFmt w:val="decimal"/>
      <w:lvlText w:val=""/>
      <w:lvlJc w:val="left"/>
      <w:pPr>
        <w:ind w:left="0" w:firstLine="0"/>
      </w:pPr>
    </w:lvl>
    <w:lvl w:ilvl="8" w:tentative="0">
      <w:start w:val="1"/>
      <w:numFmt w:val="decimal"/>
      <w:lvlText w:val=""/>
      <w:lvlJc w:val="left"/>
      <w:pPr>
        <w:ind w:left="0" w:firstLine="0"/>
      </w:pPr>
    </w:lvl>
  </w:abstractNum>
  <w:abstractNum w:abstractNumId="1">
    <w:nsid w:val="0286043D"/>
    <w:multiLevelType w:val="multilevel"/>
    <w:tmpl w:val="0286043D"/>
    <w:lvl w:ilvl="0" w:tentative="0">
      <w:start w:val="8"/>
      <w:numFmt w:val="decimal"/>
      <w:lvlText w:val="%1"/>
      <w:lvlJc w:val="left"/>
      <w:pPr>
        <w:ind w:left="540" w:hanging="540"/>
      </w:pPr>
    </w:lvl>
    <w:lvl w:ilvl="1" w:tentative="0">
      <w:start w:val="6"/>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
    <w:nsid w:val="0523419A"/>
    <w:multiLevelType w:val="multilevel"/>
    <w:tmpl w:val="0523419A"/>
    <w:lvl w:ilvl="0" w:tentative="0">
      <w:start w:val="8"/>
      <w:numFmt w:val="decimal"/>
      <w:lvlText w:val="%1"/>
      <w:lvlJc w:val="left"/>
      <w:pPr>
        <w:ind w:left="540" w:hanging="540"/>
      </w:pPr>
    </w:lvl>
    <w:lvl w:ilvl="1" w:tentative="0">
      <w:start w:val="9"/>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3">
    <w:nsid w:val="0AB56447"/>
    <w:multiLevelType w:val="multilevel"/>
    <w:tmpl w:val="0AB56447"/>
    <w:lvl w:ilvl="0" w:tentative="0">
      <w:start w:val="21"/>
      <w:numFmt w:val="decimal"/>
      <w:lvlText w:val="%1"/>
      <w:lvlJc w:val="left"/>
      <w:pPr>
        <w:ind w:left="375" w:hanging="375"/>
      </w:pPr>
    </w:lvl>
    <w:lvl w:ilvl="1" w:tentative="0">
      <w:start w:val="1"/>
      <w:numFmt w:val="decimal"/>
      <w:lvlText w:val="%1.%2"/>
      <w:lvlJc w:val="left"/>
      <w:pPr>
        <w:ind w:left="800" w:hanging="375"/>
      </w:pPr>
    </w:lvl>
    <w:lvl w:ilvl="2" w:tentative="0">
      <w:start w:val="1"/>
      <w:numFmt w:val="decimal"/>
      <w:lvlText w:val="%1.%2.%3"/>
      <w:lvlJc w:val="left"/>
      <w:pPr>
        <w:ind w:left="1570" w:hanging="720"/>
      </w:pPr>
    </w:lvl>
    <w:lvl w:ilvl="3" w:tentative="0">
      <w:start w:val="1"/>
      <w:numFmt w:val="decimal"/>
      <w:lvlText w:val="%1.%2.%3.%4"/>
      <w:lvlJc w:val="left"/>
      <w:pPr>
        <w:ind w:left="1995" w:hanging="720"/>
      </w:pPr>
    </w:lvl>
    <w:lvl w:ilvl="4" w:tentative="0">
      <w:start w:val="1"/>
      <w:numFmt w:val="decimal"/>
      <w:lvlText w:val="%1.%2.%3.%4.%5"/>
      <w:lvlJc w:val="left"/>
      <w:pPr>
        <w:ind w:left="2780" w:hanging="1080"/>
      </w:pPr>
    </w:lvl>
    <w:lvl w:ilvl="5" w:tentative="0">
      <w:start w:val="1"/>
      <w:numFmt w:val="decimal"/>
      <w:lvlText w:val="%1.%2.%3.%4.%5.%6"/>
      <w:lvlJc w:val="left"/>
      <w:pPr>
        <w:ind w:left="3205" w:hanging="1080"/>
      </w:pPr>
    </w:lvl>
    <w:lvl w:ilvl="6" w:tentative="0">
      <w:start w:val="1"/>
      <w:numFmt w:val="decimal"/>
      <w:lvlText w:val="%1.%2.%3.%4.%5.%6.%7"/>
      <w:lvlJc w:val="left"/>
      <w:pPr>
        <w:ind w:left="3990" w:hanging="1440"/>
      </w:pPr>
    </w:lvl>
    <w:lvl w:ilvl="7" w:tentative="0">
      <w:start w:val="1"/>
      <w:numFmt w:val="decimal"/>
      <w:lvlText w:val="%1.%2.%3.%4.%5.%6.%7.%8"/>
      <w:lvlJc w:val="left"/>
      <w:pPr>
        <w:ind w:left="4415" w:hanging="1440"/>
      </w:pPr>
    </w:lvl>
    <w:lvl w:ilvl="8" w:tentative="0">
      <w:start w:val="1"/>
      <w:numFmt w:val="decimal"/>
      <w:lvlText w:val="%1.%2.%3.%4.%5.%6.%7.%8.%9"/>
      <w:lvlJc w:val="left"/>
      <w:pPr>
        <w:ind w:left="5200" w:hanging="1800"/>
      </w:pPr>
    </w:lvl>
  </w:abstractNum>
  <w:abstractNum w:abstractNumId="4">
    <w:nsid w:val="0D390840"/>
    <w:multiLevelType w:val="multilevel"/>
    <w:tmpl w:val="0D390840"/>
    <w:lvl w:ilvl="0" w:tentative="0">
      <w:start w:val="1"/>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5">
    <w:nsid w:val="0E017A58"/>
    <w:multiLevelType w:val="multilevel"/>
    <w:tmpl w:val="0E017A58"/>
    <w:lvl w:ilvl="0" w:tentative="0">
      <w:start w:val="7"/>
      <w:numFmt w:val="decimal"/>
      <w:lvlText w:val="%1"/>
      <w:lvlJc w:val="left"/>
      <w:pPr>
        <w:ind w:left="360" w:hanging="360"/>
      </w:pPr>
    </w:lvl>
    <w:lvl w:ilvl="1" w:tentative="0">
      <w:start w:val="1"/>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6">
    <w:nsid w:val="11B742B1"/>
    <w:multiLevelType w:val="multilevel"/>
    <w:tmpl w:val="11B742B1"/>
    <w:lvl w:ilvl="0" w:tentative="0">
      <w:start w:val="1"/>
      <w:numFmt w:val="decimal"/>
      <w:lvlText w:val="%1."/>
      <w:lvlJc w:val="left"/>
      <w:pPr>
        <w:ind w:left="360" w:hanging="360"/>
      </w:pPr>
      <w:rPr>
        <w:rFonts w:ascii="Arial" w:hAnsi="Arial" w:eastAsia="Arial" w:cs="Arial"/>
        <w:b/>
      </w:rPr>
    </w:lvl>
    <w:lvl w:ilvl="1" w:tentative="0">
      <w:start w:val="13"/>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1B6060CF"/>
    <w:multiLevelType w:val="multilevel"/>
    <w:tmpl w:val="1B6060CF"/>
    <w:lvl w:ilvl="0" w:tentative="0">
      <w:start w:val="8"/>
      <w:numFmt w:val="decimal"/>
      <w:lvlText w:val="%1"/>
      <w:lvlJc w:val="left"/>
      <w:pPr>
        <w:ind w:left="435" w:hanging="435"/>
      </w:pPr>
    </w:lvl>
    <w:lvl w:ilvl="1" w:tentative="0">
      <w:start w:val="5"/>
      <w:numFmt w:val="decimal"/>
      <w:lvlText w:val="%1.%2"/>
      <w:lvlJc w:val="left"/>
      <w:pPr>
        <w:ind w:left="860" w:hanging="435"/>
      </w:pPr>
    </w:lvl>
    <w:lvl w:ilvl="2" w:tentative="0">
      <w:start w:val="1"/>
      <w:numFmt w:val="decimal"/>
      <w:lvlText w:val="%1.%2.%3"/>
      <w:lvlJc w:val="left"/>
      <w:pPr>
        <w:ind w:left="1570" w:hanging="720"/>
      </w:pPr>
    </w:lvl>
    <w:lvl w:ilvl="3" w:tentative="0">
      <w:start w:val="1"/>
      <w:numFmt w:val="decimal"/>
      <w:lvlText w:val="%1.%2.%3.%4"/>
      <w:lvlJc w:val="left"/>
      <w:pPr>
        <w:ind w:left="1995" w:hanging="720"/>
      </w:pPr>
    </w:lvl>
    <w:lvl w:ilvl="4" w:tentative="0">
      <w:start w:val="1"/>
      <w:numFmt w:val="decimal"/>
      <w:lvlText w:val="%1.%2.%3.%4.%5"/>
      <w:lvlJc w:val="left"/>
      <w:pPr>
        <w:ind w:left="2780" w:hanging="1080"/>
      </w:pPr>
    </w:lvl>
    <w:lvl w:ilvl="5" w:tentative="0">
      <w:start w:val="1"/>
      <w:numFmt w:val="decimal"/>
      <w:lvlText w:val="%1.%2.%3.%4.%5.%6"/>
      <w:lvlJc w:val="left"/>
      <w:pPr>
        <w:ind w:left="3205" w:hanging="1080"/>
      </w:pPr>
    </w:lvl>
    <w:lvl w:ilvl="6" w:tentative="0">
      <w:start w:val="1"/>
      <w:numFmt w:val="decimal"/>
      <w:lvlText w:val="%1.%2.%3.%4.%5.%6.%7"/>
      <w:lvlJc w:val="left"/>
      <w:pPr>
        <w:ind w:left="3990" w:hanging="1440"/>
      </w:pPr>
    </w:lvl>
    <w:lvl w:ilvl="7" w:tentative="0">
      <w:start w:val="1"/>
      <w:numFmt w:val="decimal"/>
      <w:lvlText w:val="%1.%2.%3.%4.%5.%6.%7.%8"/>
      <w:lvlJc w:val="left"/>
      <w:pPr>
        <w:ind w:left="4415" w:hanging="1440"/>
      </w:pPr>
    </w:lvl>
    <w:lvl w:ilvl="8" w:tentative="0">
      <w:start w:val="1"/>
      <w:numFmt w:val="decimal"/>
      <w:lvlText w:val="%1.%2.%3.%4.%5.%6.%7.%8.%9"/>
      <w:lvlJc w:val="left"/>
      <w:pPr>
        <w:ind w:left="5200" w:hanging="1800"/>
      </w:pPr>
    </w:lvl>
  </w:abstractNum>
  <w:abstractNum w:abstractNumId="8">
    <w:nsid w:val="24D07EBA"/>
    <w:multiLevelType w:val="multilevel"/>
    <w:tmpl w:val="24D07EBA"/>
    <w:lvl w:ilvl="0" w:tentative="0">
      <w:start w:val="4"/>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9">
    <w:nsid w:val="2EEE1BE3"/>
    <w:multiLevelType w:val="multilevel"/>
    <w:tmpl w:val="2EEE1BE3"/>
    <w:lvl w:ilvl="0" w:tentative="0">
      <w:start w:val="9"/>
      <w:numFmt w:val="decimal"/>
      <w:lvlText w:val="%1"/>
      <w:lvlJc w:val="left"/>
      <w:pPr>
        <w:ind w:left="360" w:hanging="360"/>
      </w:pPr>
    </w:lvl>
    <w:lvl w:ilvl="1" w:tentative="0">
      <w:start w:val="1"/>
      <w:numFmt w:val="decimal"/>
      <w:lvlText w:val="%1.%2"/>
      <w:lvlJc w:val="left"/>
      <w:pPr>
        <w:ind w:left="927" w:hanging="360"/>
      </w:pPr>
    </w:lvl>
    <w:lvl w:ilvl="2" w:tentative="0">
      <w:start w:val="1"/>
      <w:numFmt w:val="decimal"/>
      <w:lvlText w:val="%1.%2.%3"/>
      <w:lvlJc w:val="left"/>
      <w:pPr>
        <w:ind w:left="2280" w:hanging="720"/>
      </w:pPr>
      <w:rPr>
        <w:b w:val="0"/>
        <w:color w:val="000000"/>
      </w:rPr>
    </w:lvl>
    <w:lvl w:ilvl="3" w:tentative="0">
      <w:start w:val="1"/>
      <w:numFmt w:val="decimal"/>
      <w:lvlText w:val="%1.%2.%3.%4"/>
      <w:lvlJc w:val="left"/>
      <w:pPr>
        <w:ind w:left="2422"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0">
    <w:nsid w:val="31153A8C"/>
    <w:multiLevelType w:val="multilevel"/>
    <w:tmpl w:val="31153A8C"/>
    <w:lvl w:ilvl="0" w:tentative="0">
      <w:start w:val="9"/>
      <w:numFmt w:val="decimal"/>
      <w:lvlText w:val="%1"/>
      <w:lvlJc w:val="left"/>
      <w:pPr>
        <w:ind w:left="375" w:hanging="375"/>
      </w:pPr>
    </w:lvl>
    <w:lvl w:ilvl="1" w:tentative="0">
      <w:start w:val="11"/>
      <w:numFmt w:val="decimal"/>
      <w:lvlText w:val="%1.%2"/>
      <w:lvlJc w:val="left"/>
      <w:pPr>
        <w:ind w:left="942" w:hanging="375"/>
      </w:p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1">
    <w:nsid w:val="34573D8B"/>
    <w:multiLevelType w:val="multilevel"/>
    <w:tmpl w:val="34573D8B"/>
    <w:lvl w:ilvl="0" w:tentative="0">
      <w:start w:val="6"/>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2">
    <w:nsid w:val="38DA3220"/>
    <w:multiLevelType w:val="multilevel"/>
    <w:tmpl w:val="38DA3220"/>
    <w:lvl w:ilvl="0" w:tentative="0">
      <w:start w:val="10"/>
      <w:numFmt w:val="decimal"/>
      <w:lvlText w:val="%1"/>
      <w:lvlJc w:val="left"/>
      <w:pPr>
        <w:ind w:left="360" w:hanging="360"/>
      </w:pPr>
    </w:lvl>
    <w:lvl w:ilvl="1" w:tentative="0">
      <w:start w:val="1"/>
      <w:numFmt w:val="decimal"/>
      <w:lvlText w:val="%1.%2"/>
      <w:lvlJc w:val="left"/>
      <w:pPr>
        <w:ind w:left="785" w:hanging="360"/>
      </w:pPr>
      <w:rPr>
        <w:b w:val="0"/>
        <w:color w:val="00000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3">
    <w:nsid w:val="39390FA0"/>
    <w:multiLevelType w:val="multilevel"/>
    <w:tmpl w:val="39390FA0"/>
    <w:lvl w:ilvl="0" w:tentative="0">
      <w:start w:val="6"/>
      <w:numFmt w:val="decimal"/>
      <w:lvlText w:val="%1."/>
      <w:lvlJc w:val="left"/>
      <w:pPr>
        <w:ind w:left="360" w:hanging="360"/>
      </w:pPr>
      <w:rPr>
        <w:rFonts w:ascii="Arial" w:hAnsi="Arial" w:eastAsia="Arial" w:cs="Arial"/>
        <w:b/>
      </w:rPr>
    </w:lvl>
    <w:lvl w:ilvl="1" w:tentative="0">
      <w:start w:val="9"/>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3F3E6BAA"/>
    <w:multiLevelType w:val="multilevel"/>
    <w:tmpl w:val="3F3E6BAA"/>
    <w:lvl w:ilvl="0" w:tentative="0">
      <w:start w:val="8"/>
      <w:numFmt w:val="decimal"/>
      <w:lvlText w:val="%1"/>
      <w:lvlJc w:val="left"/>
      <w:pPr>
        <w:ind w:left="540" w:hanging="540"/>
      </w:pPr>
    </w:lvl>
    <w:lvl w:ilvl="1" w:tentative="0">
      <w:start w:val="11"/>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15">
    <w:nsid w:val="47A26325"/>
    <w:multiLevelType w:val="multilevel"/>
    <w:tmpl w:val="47A26325"/>
    <w:lvl w:ilvl="0" w:tentative="0">
      <w:start w:val="4"/>
      <w:numFmt w:val="decimal"/>
      <w:lvlText w:val="%1"/>
      <w:lvlJc w:val="left"/>
      <w:pPr>
        <w:ind w:left="405" w:hanging="405"/>
      </w:pPr>
    </w:lvl>
    <w:lvl w:ilvl="1" w:tentative="0">
      <w:start w:val="2"/>
      <w:numFmt w:val="decimal"/>
      <w:lvlText w:val="%1.%2"/>
      <w:lvlJc w:val="left"/>
      <w:pPr>
        <w:ind w:left="1114" w:hanging="405"/>
      </w:pPr>
    </w:lvl>
    <w:lvl w:ilvl="2" w:tentative="0">
      <w:start w:val="1"/>
      <w:numFmt w:val="decimal"/>
      <w:lvlText w:val="%1.%2.%3"/>
      <w:lvlJc w:val="left"/>
      <w:pPr>
        <w:ind w:left="2216" w:hanging="720"/>
      </w:pPr>
      <w:rPr>
        <w:rFonts w:ascii="Arial" w:hAnsi="Arial" w:eastAsia="Arial" w:cs="Arial"/>
      </w:rPr>
    </w:lvl>
    <w:lvl w:ilvl="3" w:tentative="0">
      <w:start w:val="1"/>
      <w:numFmt w:val="decimal"/>
      <w:lvlText w:val="%1.%2.%3.%4"/>
      <w:lvlJc w:val="left"/>
      <w:pPr>
        <w:ind w:left="2964" w:hanging="720"/>
      </w:pPr>
    </w:lvl>
    <w:lvl w:ilvl="4" w:tentative="0">
      <w:start w:val="1"/>
      <w:numFmt w:val="decimal"/>
      <w:lvlText w:val="%1.%2.%3.%4.%5"/>
      <w:lvlJc w:val="left"/>
      <w:pPr>
        <w:ind w:left="3712" w:hanging="720"/>
      </w:pPr>
    </w:lvl>
    <w:lvl w:ilvl="5" w:tentative="0">
      <w:start w:val="1"/>
      <w:numFmt w:val="decimal"/>
      <w:lvlText w:val="%1.%2.%3.%4.%5.%6"/>
      <w:lvlJc w:val="left"/>
      <w:pPr>
        <w:ind w:left="4820" w:hanging="1080"/>
      </w:pPr>
    </w:lvl>
    <w:lvl w:ilvl="6" w:tentative="0">
      <w:start w:val="1"/>
      <w:numFmt w:val="decimal"/>
      <w:lvlText w:val="%1.%2.%3.%4.%5.%6.%7"/>
      <w:lvlJc w:val="left"/>
      <w:pPr>
        <w:ind w:left="5568" w:hanging="1080"/>
      </w:pPr>
    </w:lvl>
    <w:lvl w:ilvl="7" w:tentative="0">
      <w:start w:val="1"/>
      <w:numFmt w:val="decimal"/>
      <w:lvlText w:val="%1.%2.%3.%4.%5.%6.%7.%8"/>
      <w:lvlJc w:val="left"/>
      <w:pPr>
        <w:ind w:left="6676" w:hanging="1440"/>
      </w:pPr>
    </w:lvl>
    <w:lvl w:ilvl="8" w:tentative="0">
      <w:start w:val="1"/>
      <w:numFmt w:val="decimal"/>
      <w:lvlText w:val="%1.%2.%3.%4.%5.%6.%7.%8.%9"/>
      <w:lvlJc w:val="left"/>
      <w:pPr>
        <w:ind w:left="7424" w:hanging="1440"/>
      </w:pPr>
    </w:lvl>
  </w:abstractNum>
  <w:abstractNum w:abstractNumId="16">
    <w:nsid w:val="48204390"/>
    <w:multiLevelType w:val="multilevel"/>
    <w:tmpl w:val="48204390"/>
    <w:lvl w:ilvl="0" w:tentative="0">
      <w:start w:val="9"/>
      <w:numFmt w:val="decimal"/>
      <w:lvlText w:val="%1"/>
      <w:lvlJc w:val="left"/>
      <w:pPr>
        <w:ind w:left="360" w:hanging="360"/>
      </w:pPr>
    </w:lvl>
    <w:lvl w:ilvl="1" w:tentative="0">
      <w:start w:val="8"/>
      <w:numFmt w:val="decimal"/>
      <w:lvlText w:val="%1.%2"/>
      <w:lvlJc w:val="left"/>
      <w:pPr>
        <w:ind w:left="927" w:hanging="360"/>
      </w:pPr>
      <w:rPr>
        <w:b w:val="0"/>
      </w:rPr>
    </w:lvl>
    <w:lvl w:ilvl="2" w:tentative="0">
      <w:start w:val="1"/>
      <w:numFmt w:val="decimal"/>
      <w:lvlText w:val="%1.%2.%3"/>
      <w:lvlJc w:val="left"/>
      <w:pPr>
        <w:ind w:left="2280" w:hanging="720"/>
      </w:pPr>
      <w:rPr>
        <w:b w:val="0"/>
        <w:i w:val="0"/>
        <w:color w:val="000000"/>
      </w:rPr>
    </w:lvl>
    <w:lvl w:ilvl="3" w:tentative="0">
      <w:start w:val="1"/>
      <w:numFmt w:val="decimal"/>
      <w:lvlText w:val="%1.%2.%3.%4"/>
      <w:lvlJc w:val="left"/>
      <w:pPr>
        <w:ind w:left="2422"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7">
    <w:nsid w:val="4FFA6BD6"/>
    <w:multiLevelType w:val="multilevel"/>
    <w:tmpl w:val="4FFA6BD6"/>
    <w:lvl w:ilvl="0" w:tentative="0">
      <w:start w:val="8"/>
      <w:numFmt w:val="decimal"/>
      <w:lvlText w:val="%1"/>
      <w:lvlJc w:val="left"/>
      <w:pPr>
        <w:ind w:left="435" w:hanging="435"/>
      </w:pPr>
      <w:rPr>
        <w:color w:val="000000"/>
      </w:rPr>
    </w:lvl>
    <w:lvl w:ilvl="1" w:tentative="0">
      <w:start w:val="4"/>
      <w:numFmt w:val="decimal"/>
      <w:lvlText w:val="%1.%2"/>
      <w:lvlJc w:val="left"/>
      <w:pPr>
        <w:ind w:left="931" w:hanging="435"/>
      </w:pPr>
      <w:rPr>
        <w:color w:val="000000"/>
      </w:rPr>
    </w:lvl>
    <w:lvl w:ilvl="2" w:tentative="0">
      <w:start w:val="1"/>
      <w:numFmt w:val="decimal"/>
      <w:lvlText w:val="%1.%2.%3"/>
      <w:lvlJc w:val="left"/>
      <w:pPr>
        <w:ind w:left="1712" w:hanging="720"/>
      </w:pPr>
      <w:rPr>
        <w:color w:val="000000"/>
      </w:rPr>
    </w:lvl>
    <w:lvl w:ilvl="3" w:tentative="0">
      <w:start w:val="1"/>
      <w:numFmt w:val="decimal"/>
      <w:lvlText w:val="%1.%2.%3.%4"/>
      <w:lvlJc w:val="left"/>
      <w:pPr>
        <w:ind w:left="2208" w:hanging="720"/>
      </w:pPr>
      <w:rPr>
        <w:i w:val="0"/>
        <w:color w:val="000000"/>
      </w:rPr>
    </w:lvl>
    <w:lvl w:ilvl="4" w:tentative="0">
      <w:start w:val="1"/>
      <w:numFmt w:val="decimal"/>
      <w:lvlText w:val="%1.%2.%3.%4.%5"/>
      <w:lvlJc w:val="left"/>
      <w:pPr>
        <w:ind w:left="3064" w:hanging="1080"/>
      </w:pPr>
      <w:rPr>
        <w:color w:val="000000"/>
      </w:rPr>
    </w:lvl>
    <w:lvl w:ilvl="5" w:tentative="0">
      <w:start w:val="1"/>
      <w:numFmt w:val="decimal"/>
      <w:lvlText w:val="%1.%2.%3.%4.%5.%6"/>
      <w:lvlJc w:val="left"/>
      <w:pPr>
        <w:ind w:left="3560" w:hanging="1080"/>
      </w:pPr>
      <w:rPr>
        <w:color w:val="000000"/>
      </w:rPr>
    </w:lvl>
    <w:lvl w:ilvl="6" w:tentative="0">
      <w:start w:val="1"/>
      <w:numFmt w:val="decimal"/>
      <w:lvlText w:val="%1.%2.%3.%4.%5.%6.%7"/>
      <w:lvlJc w:val="left"/>
      <w:pPr>
        <w:ind w:left="4416" w:hanging="1440"/>
      </w:pPr>
      <w:rPr>
        <w:color w:val="000000"/>
      </w:rPr>
    </w:lvl>
    <w:lvl w:ilvl="7" w:tentative="0">
      <w:start w:val="1"/>
      <w:numFmt w:val="decimal"/>
      <w:lvlText w:val="%1.%2.%3.%4.%5.%6.%7.%8"/>
      <w:lvlJc w:val="left"/>
      <w:pPr>
        <w:ind w:left="4912" w:hanging="1440"/>
      </w:pPr>
      <w:rPr>
        <w:color w:val="000000"/>
      </w:rPr>
    </w:lvl>
    <w:lvl w:ilvl="8" w:tentative="0">
      <w:start w:val="1"/>
      <w:numFmt w:val="decimal"/>
      <w:lvlText w:val="%1.%2.%3.%4.%5.%6.%7.%8.%9"/>
      <w:lvlJc w:val="left"/>
      <w:pPr>
        <w:ind w:left="5768" w:hanging="1800"/>
      </w:pPr>
      <w:rPr>
        <w:color w:val="000000"/>
      </w:rPr>
    </w:lvl>
  </w:abstractNum>
  <w:abstractNum w:abstractNumId="18">
    <w:nsid w:val="504C48B7"/>
    <w:multiLevelType w:val="multilevel"/>
    <w:tmpl w:val="504C48B7"/>
    <w:lvl w:ilvl="0" w:tentative="0">
      <w:start w:val="2"/>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9">
    <w:nsid w:val="55F67492"/>
    <w:multiLevelType w:val="multilevel"/>
    <w:tmpl w:val="55F67492"/>
    <w:lvl w:ilvl="0" w:tentative="0">
      <w:start w:val="8"/>
      <w:numFmt w:val="decimal"/>
      <w:lvlText w:val="%1"/>
      <w:lvlJc w:val="left"/>
      <w:pPr>
        <w:ind w:left="540" w:hanging="540"/>
      </w:pPr>
    </w:lvl>
    <w:lvl w:ilvl="1" w:tentative="0">
      <w:start w:val="10"/>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0">
    <w:nsid w:val="587005BD"/>
    <w:multiLevelType w:val="multilevel"/>
    <w:tmpl w:val="587005BD"/>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
    <w:nsid w:val="5F2A140C"/>
    <w:multiLevelType w:val="multilevel"/>
    <w:tmpl w:val="5F2A140C"/>
    <w:lvl w:ilvl="0" w:tentative="0">
      <w:start w:val="7"/>
      <w:numFmt w:val="decimal"/>
      <w:lvlText w:val="%1"/>
      <w:lvlJc w:val="left"/>
      <w:pPr>
        <w:ind w:left="360" w:hanging="360"/>
      </w:pPr>
    </w:lvl>
    <w:lvl w:ilvl="1" w:tentative="0">
      <w:start w:val="19"/>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2">
    <w:nsid w:val="5F742B83"/>
    <w:multiLevelType w:val="multilevel"/>
    <w:tmpl w:val="5F742B83"/>
    <w:lvl w:ilvl="0" w:tentative="0">
      <w:start w:val="3"/>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3">
    <w:nsid w:val="683E68EF"/>
    <w:multiLevelType w:val="multilevel"/>
    <w:tmpl w:val="683E68EF"/>
    <w:lvl w:ilvl="0" w:tentative="0">
      <w:start w:val="7"/>
      <w:numFmt w:val="decimal"/>
      <w:pStyle w:val="19"/>
      <w:lvlText w:val="%1"/>
      <w:lvlJc w:val="left"/>
      <w:pPr>
        <w:ind w:left="360" w:hanging="360"/>
      </w:pPr>
    </w:lvl>
    <w:lvl w:ilvl="1" w:tentative="0">
      <w:start w:val="9"/>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4">
    <w:nsid w:val="72F1526A"/>
    <w:multiLevelType w:val="multilevel"/>
    <w:tmpl w:val="72F1526A"/>
    <w:lvl w:ilvl="0" w:tentative="0">
      <w:start w:val="15"/>
      <w:numFmt w:val="decimal"/>
      <w:lvlText w:val="%1"/>
      <w:lvlJc w:val="left"/>
      <w:pPr>
        <w:ind w:left="360" w:hanging="360"/>
      </w:pPr>
    </w:lvl>
    <w:lvl w:ilvl="1" w:tentative="0">
      <w:start w:val="1"/>
      <w:numFmt w:val="decimal"/>
      <w:lvlText w:val="%1.%2"/>
      <w:lvlJc w:val="left"/>
      <w:pPr>
        <w:ind w:left="785" w:hanging="360"/>
      </w:pPr>
      <w:rPr>
        <w:b w:val="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25">
    <w:nsid w:val="7A402EA0"/>
    <w:multiLevelType w:val="multilevel"/>
    <w:tmpl w:val="7A402EA0"/>
    <w:lvl w:ilvl="0" w:tentative="0">
      <w:start w:val="8"/>
      <w:numFmt w:val="decimal"/>
      <w:lvlText w:val="%1"/>
      <w:lvlJc w:val="left"/>
      <w:pPr>
        <w:ind w:left="540" w:hanging="540"/>
      </w:pPr>
    </w:lvl>
    <w:lvl w:ilvl="1" w:tentative="0">
      <w:start w:val="1"/>
      <w:numFmt w:val="decimal"/>
      <w:lvlText w:val="%1.%2"/>
      <w:lvlJc w:val="left"/>
      <w:pPr>
        <w:ind w:left="1036" w:hanging="540"/>
      </w:pPr>
      <w:rPr>
        <w:i w:val="0"/>
      </w:rPr>
    </w:lvl>
    <w:lvl w:ilvl="2" w:tentative="0">
      <w:start w:val="2"/>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6">
    <w:nsid w:val="7AB12D31"/>
    <w:multiLevelType w:val="multilevel"/>
    <w:tmpl w:val="7AB12D31"/>
    <w:lvl w:ilvl="0" w:tentative="0">
      <w:start w:val="4"/>
      <w:numFmt w:val="decimal"/>
      <w:pStyle w:val="46"/>
      <w:lvlText w:val="%1"/>
      <w:lvlJc w:val="left"/>
      <w:pPr>
        <w:ind w:left="435" w:hanging="435"/>
      </w:pPr>
      <w:rPr>
        <w:color w:val="000000"/>
        <w:sz w:val="20"/>
        <w:szCs w:val="20"/>
      </w:rPr>
    </w:lvl>
    <w:lvl w:ilvl="1" w:tentative="0">
      <w:start w:val="3"/>
      <w:numFmt w:val="decimal"/>
      <w:lvlText w:val="%1.%2"/>
      <w:lvlJc w:val="left"/>
      <w:pPr>
        <w:ind w:left="1145" w:hanging="435"/>
      </w:pPr>
      <w:rPr>
        <w:color w:val="000000"/>
        <w:sz w:val="20"/>
        <w:szCs w:val="20"/>
      </w:rPr>
    </w:lvl>
    <w:lvl w:ilvl="2" w:tentative="0">
      <w:start w:val="1"/>
      <w:numFmt w:val="decimal"/>
      <w:lvlText w:val="%1.%2.%3"/>
      <w:lvlJc w:val="left"/>
      <w:pPr>
        <w:ind w:left="2140" w:hanging="720"/>
      </w:pPr>
      <w:rPr>
        <w:color w:val="000000"/>
        <w:sz w:val="20"/>
        <w:szCs w:val="20"/>
      </w:rPr>
    </w:lvl>
    <w:lvl w:ilvl="3" w:tentative="0">
      <w:start w:val="1"/>
      <w:numFmt w:val="decimal"/>
      <w:lvlText w:val="%1.%2.%3.%4"/>
      <w:lvlJc w:val="left"/>
      <w:pPr>
        <w:ind w:left="2850" w:hanging="720"/>
      </w:pPr>
      <w:rPr>
        <w:color w:val="000000"/>
        <w:sz w:val="20"/>
        <w:szCs w:val="20"/>
      </w:rPr>
    </w:lvl>
    <w:lvl w:ilvl="4" w:tentative="0">
      <w:start w:val="1"/>
      <w:numFmt w:val="decimal"/>
      <w:lvlText w:val="%1.%2.%3.%4.%5"/>
      <w:lvlJc w:val="left"/>
      <w:pPr>
        <w:ind w:left="3560" w:hanging="720"/>
      </w:pPr>
      <w:rPr>
        <w:color w:val="000000"/>
        <w:sz w:val="20"/>
        <w:szCs w:val="20"/>
      </w:rPr>
    </w:lvl>
    <w:lvl w:ilvl="5" w:tentative="0">
      <w:start w:val="1"/>
      <w:numFmt w:val="decimal"/>
      <w:lvlText w:val="%1.%2.%3.%4.%5.%6"/>
      <w:lvlJc w:val="left"/>
      <w:pPr>
        <w:ind w:left="4630" w:hanging="1080"/>
      </w:pPr>
      <w:rPr>
        <w:color w:val="000000"/>
        <w:sz w:val="20"/>
        <w:szCs w:val="20"/>
      </w:rPr>
    </w:lvl>
    <w:lvl w:ilvl="6" w:tentative="0">
      <w:start w:val="1"/>
      <w:numFmt w:val="decimal"/>
      <w:lvlText w:val="%1.%2.%3.%4.%5.%6.%7"/>
      <w:lvlJc w:val="left"/>
      <w:pPr>
        <w:ind w:left="5340" w:hanging="1080"/>
      </w:pPr>
      <w:rPr>
        <w:color w:val="000000"/>
        <w:sz w:val="20"/>
        <w:szCs w:val="20"/>
      </w:rPr>
    </w:lvl>
    <w:lvl w:ilvl="7" w:tentative="0">
      <w:start w:val="1"/>
      <w:numFmt w:val="decimal"/>
      <w:lvlText w:val="%1.%2.%3.%4.%5.%6.%7.%8"/>
      <w:lvlJc w:val="left"/>
      <w:pPr>
        <w:ind w:left="6410" w:hanging="1440"/>
      </w:pPr>
      <w:rPr>
        <w:color w:val="000000"/>
        <w:sz w:val="20"/>
        <w:szCs w:val="20"/>
      </w:rPr>
    </w:lvl>
    <w:lvl w:ilvl="8" w:tentative="0">
      <w:start w:val="1"/>
      <w:numFmt w:val="decimal"/>
      <w:lvlText w:val="%1.%2.%3.%4.%5.%6.%7.%8.%9"/>
      <w:lvlJc w:val="left"/>
      <w:pPr>
        <w:ind w:left="7120" w:hanging="1440"/>
      </w:pPr>
      <w:rPr>
        <w:color w:val="000000"/>
        <w:sz w:val="20"/>
        <w:szCs w:val="20"/>
      </w:rPr>
    </w:lvl>
  </w:abstractNum>
  <w:num w:numId="1">
    <w:abstractNumId w:val="23"/>
  </w:num>
  <w:num w:numId="2">
    <w:abstractNumId w:val="26"/>
  </w:num>
  <w:num w:numId="3">
    <w:abstractNumId w:val="0"/>
  </w:num>
  <w:num w:numId="4">
    <w:abstractNumId w:val="6"/>
  </w:num>
  <w:num w:numId="5">
    <w:abstractNumId w:val="4"/>
  </w:num>
  <w:num w:numId="6">
    <w:abstractNumId w:val="18"/>
  </w:num>
  <w:num w:numId="7">
    <w:abstractNumId w:val="22"/>
  </w:num>
  <w:num w:numId="8">
    <w:abstractNumId w:val="8"/>
  </w:num>
  <w:num w:numId="9">
    <w:abstractNumId w:val="15"/>
  </w:num>
  <w:num w:numId="10">
    <w:abstractNumId w:val="20"/>
  </w:num>
  <w:num w:numId="11">
    <w:abstractNumId w:val="11"/>
  </w:num>
  <w:num w:numId="12">
    <w:abstractNumId w:val="13"/>
  </w:num>
  <w:num w:numId="13">
    <w:abstractNumId w:val="5"/>
  </w:num>
  <w:num w:numId="14">
    <w:abstractNumId w:val="21"/>
  </w:num>
  <w:num w:numId="15">
    <w:abstractNumId w:val="25"/>
  </w:num>
  <w:num w:numId="16">
    <w:abstractNumId w:val="17"/>
  </w:num>
  <w:num w:numId="17">
    <w:abstractNumId w:val="7"/>
  </w:num>
  <w:num w:numId="18">
    <w:abstractNumId w:val="1"/>
  </w:num>
  <w:num w:numId="19">
    <w:abstractNumId w:val="2"/>
  </w:num>
  <w:num w:numId="20">
    <w:abstractNumId w:val="19"/>
  </w:num>
  <w:num w:numId="21">
    <w:abstractNumId w:val="14"/>
  </w:num>
  <w:num w:numId="22">
    <w:abstractNumId w:val="10"/>
  </w:num>
  <w:num w:numId="23">
    <w:abstractNumId w:val="9"/>
  </w:num>
  <w:num w:numId="24">
    <w:abstractNumId w:val="16"/>
  </w:num>
  <w:num w:numId="25">
    <w:abstractNumId w:val="12"/>
  </w:num>
  <w:num w:numId="26">
    <w:abstractNumId w:val="24"/>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2F87"/>
    <w:rsid w:val="000654EC"/>
    <w:rsid w:val="00065D28"/>
    <w:rsid w:val="000E64A7"/>
    <w:rsid w:val="00107E3A"/>
    <w:rsid w:val="00121CC0"/>
    <w:rsid w:val="00144EC8"/>
    <w:rsid w:val="00157E2A"/>
    <w:rsid w:val="001B7F5C"/>
    <w:rsid w:val="001F1907"/>
    <w:rsid w:val="001F4651"/>
    <w:rsid w:val="00295B40"/>
    <w:rsid w:val="002F1BE7"/>
    <w:rsid w:val="002F3638"/>
    <w:rsid w:val="002F41F5"/>
    <w:rsid w:val="00323388"/>
    <w:rsid w:val="00330A79"/>
    <w:rsid w:val="00333CF1"/>
    <w:rsid w:val="00345159"/>
    <w:rsid w:val="00351A99"/>
    <w:rsid w:val="003914EC"/>
    <w:rsid w:val="003F085B"/>
    <w:rsid w:val="00411FA6"/>
    <w:rsid w:val="00412CC4"/>
    <w:rsid w:val="004155BF"/>
    <w:rsid w:val="004412B8"/>
    <w:rsid w:val="0045324D"/>
    <w:rsid w:val="00535713"/>
    <w:rsid w:val="0060389D"/>
    <w:rsid w:val="00627A79"/>
    <w:rsid w:val="00644419"/>
    <w:rsid w:val="00653343"/>
    <w:rsid w:val="0065687C"/>
    <w:rsid w:val="0068419D"/>
    <w:rsid w:val="006A5F87"/>
    <w:rsid w:val="006B09C8"/>
    <w:rsid w:val="006B50A6"/>
    <w:rsid w:val="007466DA"/>
    <w:rsid w:val="007503DA"/>
    <w:rsid w:val="007B07FC"/>
    <w:rsid w:val="007D28FA"/>
    <w:rsid w:val="00801F2E"/>
    <w:rsid w:val="0085508E"/>
    <w:rsid w:val="008735B5"/>
    <w:rsid w:val="008902C9"/>
    <w:rsid w:val="008B2E01"/>
    <w:rsid w:val="008B59E8"/>
    <w:rsid w:val="008E0B50"/>
    <w:rsid w:val="008E1241"/>
    <w:rsid w:val="008E7D00"/>
    <w:rsid w:val="00903AB7"/>
    <w:rsid w:val="00903D42"/>
    <w:rsid w:val="0090702E"/>
    <w:rsid w:val="00911132"/>
    <w:rsid w:val="00970234"/>
    <w:rsid w:val="009A7C4E"/>
    <w:rsid w:val="009F127C"/>
    <w:rsid w:val="00A02594"/>
    <w:rsid w:val="00A0327F"/>
    <w:rsid w:val="00A55176"/>
    <w:rsid w:val="00A744F0"/>
    <w:rsid w:val="00A815E8"/>
    <w:rsid w:val="00AB598B"/>
    <w:rsid w:val="00B3624A"/>
    <w:rsid w:val="00B551A5"/>
    <w:rsid w:val="00B82FE9"/>
    <w:rsid w:val="00B94AE4"/>
    <w:rsid w:val="00B9759E"/>
    <w:rsid w:val="00BB66FB"/>
    <w:rsid w:val="00C20F21"/>
    <w:rsid w:val="00C24371"/>
    <w:rsid w:val="00C31100"/>
    <w:rsid w:val="00C67903"/>
    <w:rsid w:val="00C7213D"/>
    <w:rsid w:val="00C85C14"/>
    <w:rsid w:val="00CB3E5E"/>
    <w:rsid w:val="00D942FE"/>
    <w:rsid w:val="00DA5FD5"/>
    <w:rsid w:val="00DC5D21"/>
    <w:rsid w:val="00E30BF0"/>
    <w:rsid w:val="00E52159"/>
    <w:rsid w:val="00E60313"/>
    <w:rsid w:val="00E70BD4"/>
    <w:rsid w:val="00F03BEB"/>
    <w:rsid w:val="00F6688F"/>
    <w:rsid w:val="014E0E49"/>
    <w:rsid w:val="03F05F2B"/>
    <w:rsid w:val="06DA7E21"/>
    <w:rsid w:val="0EDA4D70"/>
    <w:rsid w:val="138B0DAB"/>
    <w:rsid w:val="19690377"/>
    <w:rsid w:val="1C3E48F7"/>
    <w:rsid w:val="22926CC3"/>
    <w:rsid w:val="22A67A1A"/>
    <w:rsid w:val="2ABA24CE"/>
    <w:rsid w:val="2FD8197B"/>
    <w:rsid w:val="36E459A5"/>
    <w:rsid w:val="39606F4B"/>
    <w:rsid w:val="3C174D7E"/>
    <w:rsid w:val="415066C2"/>
    <w:rsid w:val="41A85BEC"/>
    <w:rsid w:val="452B028C"/>
    <w:rsid w:val="45C23D0B"/>
    <w:rsid w:val="542847F3"/>
    <w:rsid w:val="548612CF"/>
    <w:rsid w:val="56350E89"/>
    <w:rsid w:val="56C62BBE"/>
    <w:rsid w:val="61886BF3"/>
    <w:rsid w:val="629145F0"/>
    <w:rsid w:val="66716E29"/>
    <w:rsid w:val="6D4F035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34" w:semiHidden="0" w:name="List Paragraph"/>
    <w:lsdException w:qFormat="1" w:unhideWhenUsed="0" w:uiPriority="0" w:semiHidden="0" w:name="Quote"/>
  </w:latentStyles>
  <w:style w:type="paragraph" w:default="1" w:styleId="1">
    <w:name w:val="Normal"/>
    <w:qFormat/>
    <w:uiPriority w:val="0"/>
    <w:rPr>
      <w:rFonts w:ascii="Arial" w:hAnsi="Arial" w:eastAsia="Arial" w:cs="Tahoma"/>
      <w:szCs w:val="24"/>
      <w:lang w:val="pt-BR" w:eastAsia="pt-BR" w:bidi="ar-SA"/>
    </w:rPr>
  </w:style>
  <w:style w:type="paragraph" w:styleId="2">
    <w:name w:val="heading 1"/>
    <w:basedOn w:val="1"/>
    <w:next w:val="1"/>
    <w:link w:val="47"/>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0"/>
    <w:semiHidden/>
    <w:unhideWhenUsed/>
    <w:qFormat/>
    <w:uiPriority w:val="9"/>
    <w:pPr>
      <w:keepNext/>
      <w:tabs>
        <w:tab w:val="left" w:pos="1701"/>
      </w:tabs>
      <w:ind w:right="-1"/>
      <w:jc w:val="center"/>
      <w:outlineLvl w:val="1"/>
    </w:pPr>
    <w:rPr>
      <w:rFonts w:ascii="Times New Roman" w:hAnsi="Times New Roman" w:cs="Times New Roman"/>
      <w:b/>
      <w:color w:val="000000"/>
      <w:szCs w:val="20"/>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rPr>
  </w:style>
  <w:style w:type="paragraph" w:styleId="6">
    <w:name w:val="heading 5"/>
    <w:basedOn w:val="1"/>
    <w:next w:val="1"/>
    <w:semiHidden/>
    <w:unhideWhenUsed/>
    <w:qFormat/>
    <w:uiPriority w:val="9"/>
    <w:pPr>
      <w:keepNext/>
      <w:keepLines/>
      <w:spacing w:before="220" w:after="40"/>
      <w:outlineLvl w:val="4"/>
    </w:pPr>
    <w:rPr>
      <w:b/>
      <w:sz w:val="22"/>
      <w:szCs w:val="22"/>
    </w:rPr>
  </w:style>
  <w:style w:type="paragraph" w:styleId="7">
    <w:name w:val="heading 6"/>
    <w:basedOn w:val="1"/>
    <w:next w:val="1"/>
    <w:semiHidden/>
    <w:unhideWhenUsed/>
    <w:qFormat/>
    <w:uiPriority w:val="9"/>
    <w:pPr>
      <w:keepNext/>
      <w:keepLines/>
      <w:spacing w:before="200" w:after="40"/>
      <w:outlineLvl w:val="5"/>
    </w:pPr>
    <w:rPr>
      <w:b/>
      <w:szCs w:val="20"/>
    </w:rPr>
  </w:style>
  <w:style w:type="paragraph" w:styleId="8">
    <w:name w:val="heading 9"/>
    <w:basedOn w:val="1"/>
    <w:next w:val="1"/>
    <w:link w:val="73"/>
    <w:semiHidden/>
    <w:unhideWhenUsed/>
    <w:qFormat/>
    <w:uiPriority w:val="0"/>
    <w:pPr>
      <w:keepNext/>
      <w:keepLines/>
      <w:spacing w:before="40"/>
      <w:outlineLvl w:val="8"/>
    </w:pPr>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default="1" w:styleId="9">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character" w:styleId="11">
    <w:name w:val="Strong"/>
    <w:basedOn w:val="9"/>
    <w:qFormat/>
    <w:uiPriority w:val="22"/>
    <w:rPr>
      <w:b/>
      <w:bCs/>
    </w:rPr>
  </w:style>
  <w:style w:type="character" w:styleId="12">
    <w:name w:val="annotation reference"/>
    <w:basedOn w:val="9"/>
    <w:unhideWhenUsed/>
    <w:qFormat/>
    <w:uiPriority w:val="99"/>
    <w:rPr>
      <w:sz w:val="16"/>
      <w:szCs w:val="16"/>
    </w:rPr>
  </w:style>
  <w:style w:type="character" w:styleId="13">
    <w:name w:val="Emphasis"/>
    <w:basedOn w:val="9"/>
    <w:qFormat/>
    <w:uiPriority w:val="20"/>
    <w:rPr>
      <w:i/>
      <w:iCs/>
    </w:rPr>
  </w:style>
  <w:style w:type="character" w:styleId="14">
    <w:name w:val="Hyperlink"/>
    <w:qFormat/>
    <w:uiPriority w:val="0"/>
    <w:rPr>
      <w:color w:val="000080"/>
      <w:u w:val="single"/>
    </w:rPr>
  </w:style>
  <w:style w:type="paragraph" w:styleId="15">
    <w:name w:val="Body Text"/>
    <w:basedOn w:val="1"/>
    <w:link w:val="65"/>
    <w:unhideWhenUsed/>
    <w:qFormat/>
    <w:uiPriority w:val="99"/>
    <w:pPr>
      <w:spacing w:before="100" w:beforeAutospacing="1" w:after="100" w:afterAutospacing="1"/>
    </w:pPr>
    <w:rPr>
      <w:rFonts w:ascii="Times New Roman" w:hAnsi="Times New Roman" w:cs="Times New Roman"/>
      <w:sz w:val="24"/>
    </w:rPr>
  </w:style>
  <w:style w:type="paragraph" w:styleId="16">
    <w:name w:val="annotation text"/>
    <w:basedOn w:val="1"/>
    <w:link w:val="43"/>
    <w:unhideWhenUsed/>
    <w:qFormat/>
    <w:uiPriority w:val="99"/>
    <w:rPr>
      <w:szCs w:val="20"/>
    </w:rPr>
  </w:style>
  <w:style w:type="paragraph" w:styleId="17">
    <w:name w:val="Body Text Indent 2"/>
    <w:basedOn w:val="1"/>
    <w:link w:val="74"/>
    <w:unhideWhenUsed/>
    <w:qFormat/>
    <w:uiPriority w:val="99"/>
    <w:pPr>
      <w:spacing w:after="120" w:line="480" w:lineRule="auto"/>
      <w:ind w:left="283"/>
    </w:pPr>
    <w:rPr>
      <w:rFonts w:asciiTheme="minorHAnsi" w:hAnsiTheme="minorHAnsi" w:eastAsiaTheme="minorHAnsi" w:cstheme="minorBidi"/>
      <w:sz w:val="22"/>
      <w:szCs w:val="22"/>
      <w:lang w:eastAsia="en-US"/>
    </w:rPr>
  </w:style>
  <w:style w:type="paragraph" w:styleId="18">
    <w:name w:val="Title"/>
    <w:basedOn w:val="1"/>
    <w:next w:val="1"/>
    <w:qFormat/>
    <w:uiPriority w:val="10"/>
    <w:pPr>
      <w:keepNext/>
      <w:keepLines/>
      <w:spacing w:before="480" w:after="120"/>
    </w:pPr>
    <w:rPr>
      <w:b/>
      <w:sz w:val="72"/>
      <w:szCs w:val="72"/>
    </w:rPr>
  </w:style>
  <w:style w:type="paragraph" w:styleId="19">
    <w:name w:val="List Bullet 5"/>
    <w:basedOn w:val="1"/>
    <w:qFormat/>
    <w:uiPriority w:val="0"/>
    <w:pPr>
      <w:numPr>
        <w:ilvl w:val="0"/>
        <w:numId w:val="1"/>
      </w:numPr>
      <w:contextualSpacing/>
    </w:pPr>
  </w:style>
  <w:style w:type="paragraph" w:styleId="20">
    <w:name w:val="Normal (Web)"/>
    <w:basedOn w:val="1"/>
    <w:qFormat/>
    <w:uiPriority w:val="99"/>
    <w:pPr>
      <w:spacing w:before="100" w:beforeAutospacing="1" w:after="100" w:afterAutospacing="1"/>
    </w:pPr>
    <w:rPr>
      <w:rFonts w:ascii="Times New Roman" w:hAnsi="Times New Roman" w:cs="Times New Roman"/>
    </w:rPr>
  </w:style>
  <w:style w:type="paragraph" w:styleId="21">
    <w:name w:val="header"/>
    <w:basedOn w:val="1"/>
    <w:link w:val="38"/>
    <w:qFormat/>
    <w:uiPriority w:val="99"/>
    <w:pPr>
      <w:tabs>
        <w:tab w:val="center" w:pos="4252"/>
        <w:tab w:val="right" w:pos="8504"/>
      </w:tabs>
    </w:pPr>
  </w:style>
  <w:style w:type="paragraph" w:styleId="22">
    <w:name w:val="annotation subject"/>
    <w:basedOn w:val="16"/>
    <w:next w:val="16"/>
    <w:link w:val="44"/>
    <w:semiHidden/>
    <w:unhideWhenUsed/>
    <w:qFormat/>
    <w:uiPriority w:val="0"/>
    <w:rPr>
      <w:b/>
      <w:bCs/>
    </w:rPr>
  </w:style>
  <w:style w:type="paragraph" w:styleId="23">
    <w:name w:val="footer"/>
    <w:basedOn w:val="1"/>
    <w:link w:val="39"/>
    <w:qFormat/>
    <w:uiPriority w:val="99"/>
    <w:pPr>
      <w:tabs>
        <w:tab w:val="center" w:pos="4252"/>
        <w:tab w:val="right" w:pos="8504"/>
      </w:tabs>
    </w:pPr>
  </w:style>
  <w:style w:type="paragraph" w:styleId="24">
    <w:name w:val="Balloon Text"/>
    <w:basedOn w:val="1"/>
    <w:link w:val="29"/>
    <w:qFormat/>
    <w:uiPriority w:val="99"/>
    <w:rPr>
      <w:rFonts w:ascii="Tahoma" w:hAnsi="Tahoma"/>
      <w:sz w:val="16"/>
      <w:szCs w:val="16"/>
    </w:rPr>
  </w:style>
  <w:style w:type="paragraph" w:styleId="25">
    <w:name w:val="Subtitle"/>
    <w:basedOn w:val="1"/>
    <w:next w:val="1"/>
    <w:qFormat/>
    <w:uiPriority w:val="11"/>
    <w:pPr>
      <w:keepNext/>
      <w:keepLines/>
      <w:spacing w:before="360" w:after="80"/>
    </w:pPr>
    <w:rPr>
      <w:rFonts w:ascii="Georgia" w:hAnsi="Georgia" w:eastAsia="Georgia" w:cs="Georgia"/>
      <w:i/>
      <w:color w:val="666666"/>
      <w:sz w:val="48"/>
      <w:szCs w:val="48"/>
    </w:rPr>
  </w:style>
  <w:style w:type="table" w:styleId="26">
    <w:name w:val="Table Grid"/>
    <w:basedOn w:val="10"/>
    <w:qFormat/>
    <w:uiPriority w:val="0"/>
    <w:rPr>
      <w:rFonts w:eastAsiaTheme="minorEastAsia"/>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
    <w:name w:val="Table Normal"/>
    <w:qFormat/>
    <w:uiPriority w:val="0"/>
    <w:tblPr>
      <w:tblCellMar>
        <w:top w:w="0" w:type="dxa"/>
        <w:left w:w="0" w:type="dxa"/>
        <w:bottom w:w="0" w:type="dxa"/>
        <w:right w:w="0" w:type="dxa"/>
      </w:tblCellMar>
    </w:tblPr>
  </w:style>
  <w:style w:type="paragraph" w:styleId="28">
    <w:name w:val="List Paragraph"/>
    <w:basedOn w:val="1"/>
    <w:qFormat/>
    <w:uiPriority w:val="34"/>
    <w:pPr>
      <w:ind w:left="720"/>
      <w:contextualSpacing/>
    </w:pPr>
  </w:style>
  <w:style w:type="character" w:customStyle="1" w:styleId="29">
    <w:name w:val="Texto de balão Char"/>
    <w:link w:val="24"/>
    <w:qFormat/>
    <w:uiPriority w:val="99"/>
    <w:rPr>
      <w:rFonts w:ascii="Tahoma" w:hAnsi="Tahoma" w:cs="Tahoma"/>
      <w:sz w:val="16"/>
      <w:szCs w:val="16"/>
    </w:rPr>
  </w:style>
  <w:style w:type="character" w:customStyle="1" w:styleId="30">
    <w:name w:val="Título 2 Char"/>
    <w:link w:val="3"/>
    <w:qFormat/>
    <w:uiPriority w:val="0"/>
    <w:rPr>
      <w:b/>
      <w:color w:val="000000"/>
      <w:sz w:val="24"/>
    </w:rPr>
  </w:style>
  <w:style w:type="paragraph" w:customStyle="1" w:styleId="31">
    <w:name w:val="Nível 2"/>
    <w:basedOn w:val="1"/>
    <w:next w:val="1"/>
    <w:qFormat/>
    <w:uiPriority w:val="0"/>
    <w:pPr>
      <w:spacing w:after="120"/>
      <w:jc w:val="both"/>
    </w:pPr>
    <w:rPr>
      <w:rFonts w:cs="Times New Roman"/>
      <w:b/>
      <w:szCs w:val="20"/>
    </w:rPr>
  </w:style>
  <w:style w:type="character" w:customStyle="1" w:styleId="32">
    <w:name w:val="normal__char1"/>
    <w:qFormat/>
    <w:uiPriority w:val="0"/>
    <w:rPr>
      <w:rFonts w:hint="default" w:ascii="Arial" w:hAnsi="Arial" w:cs="Arial"/>
      <w:sz w:val="24"/>
      <w:szCs w:val="24"/>
      <w:u w:val="none"/>
    </w:rPr>
  </w:style>
  <w:style w:type="character" w:customStyle="1" w:styleId="33">
    <w:name w:val="apple-style-span"/>
    <w:basedOn w:val="9"/>
    <w:qFormat/>
    <w:uiPriority w:val="0"/>
  </w:style>
  <w:style w:type="paragraph" w:styleId="34">
    <w:name w:val="Quote"/>
    <w:basedOn w:val="1"/>
    <w:next w:val="1"/>
    <w:link w:val="3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lang w:eastAsia="en-US"/>
    </w:rPr>
  </w:style>
  <w:style w:type="character" w:customStyle="1" w:styleId="35">
    <w:name w:val="Citação Char"/>
    <w:link w:val="34"/>
    <w:qFormat/>
    <w:uiPriority w:val="0"/>
    <w:rPr>
      <w:rFonts w:ascii="Arial" w:hAnsi="Arial" w:eastAsia="Calibri" w:cs="Tahoma"/>
      <w:i/>
      <w:iCs/>
      <w:color w:val="000000"/>
      <w:szCs w:val="24"/>
      <w:shd w:val="clear" w:color="auto" w:fill="FFFFCC"/>
      <w:lang w:eastAsia="en-US"/>
    </w:rPr>
  </w:style>
  <w:style w:type="paragraph" w:customStyle="1" w:styleId="36">
    <w:name w:val="citação 2"/>
    <w:basedOn w:val="34"/>
    <w:link w:val="37"/>
    <w:qFormat/>
    <w:uiPriority w:val="0"/>
    <w:rPr>
      <w:szCs w:val="20"/>
    </w:rPr>
  </w:style>
  <w:style w:type="character" w:customStyle="1" w:styleId="37">
    <w:name w:val="citação 2 Char"/>
    <w:basedOn w:val="35"/>
    <w:link w:val="36"/>
    <w:qFormat/>
    <w:uiPriority w:val="0"/>
    <w:rPr>
      <w:rFonts w:ascii="Arial" w:hAnsi="Arial" w:eastAsia="Calibri" w:cs="Tahoma"/>
      <w:color w:val="000000"/>
      <w:szCs w:val="24"/>
      <w:shd w:val="clear" w:color="auto" w:fill="FFFFCC"/>
      <w:lang w:eastAsia="en-US"/>
    </w:rPr>
  </w:style>
  <w:style w:type="character" w:customStyle="1" w:styleId="38">
    <w:name w:val="Cabeçalho Char"/>
    <w:link w:val="21"/>
    <w:qFormat/>
    <w:uiPriority w:val="99"/>
    <w:rPr>
      <w:rFonts w:ascii="Ecofont_Spranq_eco_Sans" w:hAnsi="Ecofont_Spranq_eco_Sans" w:cs="Tahoma"/>
      <w:sz w:val="24"/>
      <w:szCs w:val="24"/>
    </w:rPr>
  </w:style>
  <w:style w:type="character" w:customStyle="1" w:styleId="39">
    <w:name w:val="Rodapé Char"/>
    <w:link w:val="23"/>
    <w:qFormat/>
    <w:uiPriority w:val="99"/>
    <w:rPr>
      <w:rFonts w:ascii="Ecofont_Spranq_eco_Sans" w:hAnsi="Ecofont_Spranq_eco_Sans" w:cs="Tahoma"/>
      <w:sz w:val="24"/>
      <w:szCs w:val="24"/>
    </w:rPr>
  </w:style>
  <w:style w:type="paragraph" w:customStyle="1" w:styleId="40">
    <w:name w:val="em_0020ementa"/>
    <w:basedOn w:val="1"/>
    <w:qFormat/>
    <w:uiPriority w:val="0"/>
    <w:pPr>
      <w:ind w:left="4160"/>
      <w:jc w:val="both"/>
    </w:pPr>
    <w:rPr>
      <w:rFonts w:ascii="Times New Roman" w:hAnsi="Times New Roman" w:cs="Times New Roman"/>
      <w:sz w:val="28"/>
      <w:szCs w:val="28"/>
    </w:rPr>
  </w:style>
  <w:style w:type="character" w:customStyle="1" w:styleId="41">
    <w:name w:val="cp_0020corpodespacho__char1"/>
    <w:qFormat/>
    <w:uiPriority w:val="0"/>
    <w:rPr>
      <w:rFonts w:hint="default" w:ascii="Times New Roman" w:hAnsi="Times New Roman" w:cs="Times New Roman"/>
      <w:sz w:val="26"/>
      <w:szCs w:val="26"/>
      <w:u w:val="none"/>
    </w:rPr>
  </w:style>
  <w:style w:type="character" w:customStyle="1" w:styleId="42">
    <w:name w:val="em_0020ementa__char1"/>
    <w:qFormat/>
    <w:uiPriority w:val="0"/>
    <w:rPr>
      <w:rFonts w:hint="default" w:ascii="Times New Roman" w:hAnsi="Times New Roman" w:cs="Times New Roman"/>
      <w:sz w:val="28"/>
      <w:szCs w:val="28"/>
      <w:u w:val="none"/>
    </w:rPr>
  </w:style>
  <w:style w:type="character" w:customStyle="1" w:styleId="43">
    <w:name w:val="Texto de comentário Char"/>
    <w:basedOn w:val="9"/>
    <w:link w:val="16"/>
    <w:qFormat/>
    <w:uiPriority w:val="99"/>
    <w:rPr>
      <w:rFonts w:ascii="Ecofont_Spranq_eco_Sans" w:hAnsi="Ecofont_Spranq_eco_Sans" w:cs="Tahoma"/>
    </w:rPr>
  </w:style>
  <w:style w:type="character" w:customStyle="1" w:styleId="44">
    <w:name w:val="Assunto do comentário Char"/>
    <w:basedOn w:val="43"/>
    <w:link w:val="22"/>
    <w:semiHidden/>
    <w:qFormat/>
    <w:uiPriority w:val="0"/>
    <w:rPr>
      <w:rFonts w:ascii="Ecofont_Spranq_eco_Sans" w:hAnsi="Ecofont_Spranq_eco_Sans" w:cs="Tahoma"/>
      <w:b/>
      <w:bCs/>
    </w:rPr>
  </w:style>
  <w:style w:type="paragraph" w:customStyle="1" w:styleId="45">
    <w:name w:val="Revision"/>
    <w:hidden/>
    <w:semiHidden/>
    <w:qFormat/>
    <w:uiPriority w:val="99"/>
    <w:rPr>
      <w:rFonts w:ascii="Ecofont_Spranq_eco_Sans" w:hAnsi="Ecofont_Spranq_eco_Sans" w:eastAsia="Arial" w:cs="Tahoma"/>
      <w:sz w:val="24"/>
      <w:szCs w:val="24"/>
      <w:lang w:val="pt-BR" w:eastAsia="pt-BR" w:bidi="ar-SA"/>
    </w:rPr>
  </w:style>
  <w:style w:type="paragraph" w:customStyle="1" w:styleId="46">
    <w:name w:val="Nivel 01"/>
    <w:basedOn w:val="2"/>
    <w:next w:val="1"/>
    <w:link w:val="48"/>
    <w:qFormat/>
    <w:uiPriority w:val="0"/>
    <w:pPr>
      <w:numPr>
        <w:ilvl w:val="0"/>
        <w:numId w:val="2"/>
      </w:numPr>
      <w:spacing w:after="120" w:line="276" w:lineRule="auto"/>
      <w:ind w:right="-15"/>
      <w:jc w:val="both"/>
    </w:pPr>
    <w:rPr>
      <w:rFonts w:ascii="Arial" w:hAnsi="Arial" w:cs="Times New Roman"/>
      <w:color w:val="000000"/>
      <w:sz w:val="20"/>
      <w:szCs w:val="20"/>
    </w:rPr>
  </w:style>
  <w:style w:type="character" w:customStyle="1" w:styleId="47">
    <w:name w:val="Título 1 Char"/>
    <w:basedOn w:val="9"/>
    <w:link w:val="2"/>
    <w:qFormat/>
    <w:uiPriority w:val="0"/>
    <w:rPr>
      <w:rFonts w:asciiTheme="majorHAnsi" w:hAnsiTheme="majorHAnsi" w:eastAsiaTheme="majorEastAsia" w:cstheme="majorBidi"/>
      <w:b/>
      <w:bCs/>
      <w:color w:val="376092" w:themeColor="accent1" w:themeShade="BF"/>
      <w:sz w:val="28"/>
      <w:szCs w:val="28"/>
    </w:rPr>
  </w:style>
  <w:style w:type="character" w:customStyle="1" w:styleId="48">
    <w:name w:val="Nivel 01 Char"/>
    <w:basedOn w:val="47"/>
    <w:link w:val="46"/>
    <w:qFormat/>
    <w:uiPriority w:val="0"/>
    <w:rPr>
      <w:rFonts w:ascii="Arial" w:hAnsi="Arial" w:eastAsiaTheme="majorEastAsia" w:cstheme="majorBidi"/>
      <w:color w:val="000000"/>
      <w:sz w:val="28"/>
      <w:szCs w:val="28"/>
    </w:rPr>
  </w:style>
  <w:style w:type="paragraph" w:customStyle="1" w:styleId="49">
    <w:name w:val="Nivel1"/>
    <w:basedOn w:val="2"/>
    <w:link w:val="70"/>
    <w:qFormat/>
    <w:uiPriority w:val="0"/>
    <w:pPr>
      <w:spacing w:line="276" w:lineRule="auto"/>
      <w:ind w:left="357" w:hanging="357"/>
      <w:jc w:val="both"/>
    </w:pPr>
    <w:rPr>
      <w:rFonts w:ascii="Arial" w:hAnsi="Arial" w:cs="Arial"/>
      <w:bCs w:val="0"/>
      <w:color w:val="000000"/>
      <w:sz w:val="20"/>
      <w:szCs w:val="20"/>
    </w:rPr>
  </w:style>
  <w:style w:type="paragraph" w:customStyle="1" w:styleId="50">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1">
    <w:name w:val="paragraph"/>
    <w:basedOn w:val="1"/>
    <w:qFormat/>
    <w:uiPriority w:val="0"/>
    <w:pPr>
      <w:spacing w:before="100" w:beforeAutospacing="1" w:after="100" w:afterAutospacing="1"/>
    </w:pPr>
    <w:rPr>
      <w:rFonts w:ascii="Times New Roman" w:hAnsi="Times New Roman" w:cs="Times New Roman"/>
      <w:sz w:val="24"/>
    </w:rPr>
  </w:style>
  <w:style w:type="character" w:customStyle="1" w:styleId="52">
    <w:name w:val="normaltextrun"/>
    <w:basedOn w:val="9"/>
    <w:qFormat/>
    <w:uiPriority w:val="0"/>
  </w:style>
  <w:style w:type="character" w:customStyle="1" w:styleId="53">
    <w:name w:val="eop"/>
    <w:basedOn w:val="9"/>
    <w:qFormat/>
    <w:uiPriority w:val="0"/>
  </w:style>
  <w:style w:type="character" w:customStyle="1" w:styleId="54">
    <w:name w:val="spellingerror"/>
    <w:basedOn w:val="9"/>
    <w:qFormat/>
    <w:uiPriority w:val="0"/>
  </w:style>
  <w:style w:type="character" w:customStyle="1" w:styleId="55">
    <w:name w:val="Quote Char"/>
    <w:basedOn w:val="9"/>
    <w:link w:val="56"/>
    <w:qFormat/>
    <w:uiPriority w:val="0"/>
    <w:rPr>
      <w:rFonts w:ascii="Ecofont_Spranq_eco_Sans" w:hAnsi="Ecofont_Spranq_eco_Sans" w:eastAsia="Calibri" w:cs="Tahoma"/>
      <w:i/>
      <w:iCs/>
      <w:color w:val="000000"/>
      <w:shd w:val="clear" w:color="auto" w:fill="FFFFCC"/>
      <w:lang w:eastAsia="en-US"/>
    </w:rPr>
  </w:style>
  <w:style w:type="paragraph" w:customStyle="1" w:styleId="56">
    <w:name w:val="Citação1"/>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i/>
      <w:iCs/>
      <w:color w:val="000000"/>
      <w:szCs w:val="20"/>
      <w:lang w:eastAsia="en-US"/>
    </w:rPr>
  </w:style>
  <w:style w:type="character" w:customStyle="1" w:styleId="57">
    <w:name w:val="Manoel"/>
    <w:qFormat/>
    <w:uiPriority w:val="0"/>
    <w:rPr>
      <w:rFonts w:ascii="Arial" w:hAnsi="Arial" w:cs="Arial"/>
      <w:color w:val="7030A0"/>
      <w:sz w:val="20"/>
    </w:rPr>
  </w:style>
  <w:style w:type="character" w:customStyle="1" w:styleId="58">
    <w:name w:val="ListLabel 12"/>
    <w:qFormat/>
    <w:uiPriority w:val="0"/>
    <w:rPr>
      <w:b/>
    </w:rPr>
  </w:style>
  <w:style w:type="paragraph" w:customStyle="1" w:styleId="59">
    <w:name w:val="texto1"/>
    <w:basedOn w:val="1"/>
    <w:qFormat/>
    <w:uiPriority w:val="0"/>
    <w:pPr>
      <w:spacing w:before="100" w:beforeAutospacing="1" w:after="100" w:afterAutospacing="1"/>
    </w:pPr>
    <w:rPr>
      <w:rFonts w:ascii="Times New Roman" w:hAnsi="Times New Roman" w:cs="Times New Roman"/>
      <w:sz w:val="24"/>
    </w:rPr>
  </w:style>
  <w:style w:type="paragraph" w:customStyle="1" w:styleId="60">
    <w:name w:val="Grade Colorida - Ênfase 11"/>
    <w:basedOn w:val="1"/>
    <w:next w:val="1"/>
    <w:link w:val="61"/>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cs="Times New Roman"/>
      <w:i/>
      <w:iCs/>
      <w:color w:val="000000"/>
      <w:lang w:eastAsia="en-US"/>
    </w:rPr>
  </w:style>
  <w:style w:type="character" w:customStyle="1" w:styleId="61">
    <w:name w:val="Grade Colorida - Ênfase 1 Char"/>
    <w:link w:val="60"/>
    <w:qFormat/>
    <w:uiPriority w:val="29"/>
    <w:rPr>
      <w:rFonts w:ascii="Arial" w:hAnsi="Arial" w:eastAsia="Calibri"/>
      <w:i/>
      <w:iCs/>
      <w:color w:val="000000"/>
      <w:szCs w:val="24"/>
      <w:shd w:val="clear" w:color="auto" w:fill="FFFFCC"/>
      <w:lang w:eastAsia="en-US"/>
    </w:rPr>
  </w:style>
  <w:style w:type="paragraph" w:customStyle="1" w:styleId="62">
    <w:name w:val="x_western"/>
    <w:basedOn w:val="1"/>
    <w:qFormat/>
    <w:uiPriority w:val="0"/>
    <w:pPr>
      <w:spacing w:before="100" w:beforeAutospacing="1" w:after="100" w:afterAutospacing="1"/>
    </w:pPr>
    <w:rPr>
      <w:rFonts w:ascii="Times New Roman" w:hAnsi="Times New Roman" w:cs="Times New Roman"/>
      <w:sz w:val="24"/>
    </w:rPr>
  </w:style>
  <w:style w:type="paragraph" w:customStyle="1" w:styleId="63">
    <w:name w:val="TCU - Ac - item 9 - §§_0"/>
    <w:basedOn w:val="1"/>
    <w:qFormat/>
    <w:uiPriority w:val="0"/>
    <w:pPr>
      <w:ind w:firstLine="1134"/>
      <w:jc w:val="both"/>
    </w:pPr>
    <w:rPr>
      <w:rFonts w:ascii="Times New Roman" w:hAnsi="Times New Roman" w:cs="Times New Roman"/>
      <w:sz w:val="24"/>
      <w:szCs w:val="22"/>
      <w:lang w:eastAsia="en-US"/>
    </w:rPr>
  </w:style>
  <w:style w:type="paragraph" w:customStyle="1" w:styleId="64">
    <w:name w:val="Normal_1"/>
    <w:qFormat/>
    <w:uiPriority w:val="0"/>
    <w:rPr>
      <w:rFonts w:ascii="Arial" w:hAnsi="Arial" w:eastAsia="Arial" w:cs="Arial"/>
      <w:sz w:val="24"/>
      <w:szCs w:val="22"/>
      <w:lang w:val="pt-BR" w:eastAsia="en-US" w:bidi="ar-SA"/>
    </w:rPr>
  </w:style>
  <w:style w:type="character" w:customStyle="1" w:styleId="65">
    <w:name w:val="Corpo de texto Char"/>
    <w:basedOn w:val="9"/>
    <w:link w:val="15"/>
    <w:qFormat/>
    <w:uiPriority w:val="99"/>
    <w:rPr>
      <w:sz w:val="24"/>
      <w:szCs w:val="24"/>
    </w:rPr>
  </w:style>
  <w:style w:type="paragraph" w:customStyle="1" w:styleId="66">
    <w:name w:val="tcu_-__ac_-_item_9_-_1ª_linha"/>
    <w:basedOn w:val="1"/>
    <w:qFormat/>
    <w:uiPriority w:val="0"/>
    <w:pPr>
      <w:spacing w:before="100" w:beforeAutospacing="1" w:after="100" w:afterAutospacing="1"/>
    </w:pPr>
    <w:rPr>
      <w:rFonts w:ascii="Times New Roman" w:hAnsi="Times New Roman" w:cs="Times New Roman"/>
      <w:sz w:val="24"/>
    </w:rPr>
  </w:style>
  <w:style w:type="paragraph" w:customStyle="1" w:styleId="67">
    <w:name w:val="texto_justificado_recuo_primeira_linha"/>
    <w:basedOn w:val="1"/>
    <w:qFormat/>
    <w:uiPriority w:val="0"/>
    <w:pPr>
      <w:spacing w:before="100" w:beforeAutospacing="1" w:after="100" w:afterAutospacing="1"/>
    </w:pPr>
    <w:rPr>
      <w:rFonts w:ascii="Times New Roman" w:hAnsi="Times New Roman" w:cs="Times New Roman"/>
      <w:sz w:val="24"/>
    </w:rPr>
  </w:style>
  <w:style w:type="character" w:customStyle="1" w:styleId="68">
    <w:name w:val="highlight"/>
    <w:basedOn w:val="9"/>
    <w:qFormat/>
    <w:uiPriority w:val="0"/>
  </w:style>
  <w:style w:type="paragraph" w:customStyle="1" w:styleId="69">
    <w:name w:val="texto_justificado"/>
    <w:basedOn w:val="1"/>
    <w:qFormat/>
    <w:uiPriority w:val="0"/>
    <w:pPr>
      <w:spacing w:before="100" w:beforeAutospacing="1" w:after="100" w:afterAutospacing="1"/>
    </w:pPr>
    <w:rPr>
      <w:rFonts w:ascii="Times New Roman" w:hAnsi="Times New Roman" w:cs="Times New Roman"/>
      <w:sz w:val="24"/>
    </w:rPr>
  </w:style>
  <w:style w:type="character" w:customStyle="1" w:styleId="70">
    <w:name w:val="Nivel1 Char"/>
    <w:basedOn w:val="47"/>
    <w:link w:val="49"/>
    <w:qFormat/>
    <w:uiPriority w:val="0"/>
    <w:rPr>
      <w:rFonts w:ascii="Arial" w:hAnsi="Arial" w:cs="Arial" w:eastAsiaTheme="majorEastAsia"/>
      <w:bCs w:val="0"/>
      <w:color w:val="000000"/>
      <w:sz w:val="28"/>
      <w:szCs w:val="28"/>
    </w:rPr>
  </w:style>
  <w:style w:type="paragraph" w:customStyle="1" w:styleId="71">
    <w:name w:val="Parágrafo da Lista1"/>
    <w:basedOn w:val="1"/>
    <w:qFormat/>
    <w:uiPriority w:val="0"/>
    <w:pPr>
      <w:ind w:left="720"/>
    </w:pPr>
    <w:rPr>
      <w:rFonts w:ascii="Ecofont_Spranq_eco_Sans" w:hAnsi="Ecofont_Spranq_eco_Sans" w:cs="Ecofont_Spranq_eco_Sans"/>
      <w:sz w:val="24"/>
    </w:rPr>
  </w:style>
  <w:style w:type="paragraph" w:customStyle="1" w:styleId="72">
    <w:name w:val="textbody"/>
    <w:basedOn w:val="1"/>
    <w:qFormat/>
    <w:uiPriority w:val="0"/>
    <w:pPr>
      <w:spacing w:before="100" w:beforeAutospacing="1" w:after="100" w:afterAutospacing="1"/>
    </w:pPr>
    <w:rPr>
      <w:rFonts w:ascii="Times New Roman" w:hAnsi="Times New Roman" w:cs="Times New Roman"/>
      <w:sz w:val="24"/>
    </w:rPr>
  </w:style>
  <w:style w:type="character" w:customStyle="1" w:styleId="73">
    <w:name w:val="Título 9 Char"/>
    <w:basedOn w:val="9"/>
    <w:link w:val="8"/>
    <w:semiHidden/>
    <w:qFormat/>
    <w:uiPriority w:val="0"/>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customStyle="1" w:styleId="74">
    <w:name w:val="Recuo de corpo de texto 2 Char"/>
    <w:basedOn w:val="9"/>
    <w:link w:val="17"/>
    <w:qFormat/>
    <w:uiPriority w:val="99"/>
    <w:rPr>
      <w:rFonts w:asciiTheme="minorHAnsi" w:hAnsiTheme="minorHAnsi" w:eastAsiaTheme="minorHAnsi" w:cstheme="minorBidi"/>
      <w:sz w:val="22"/>
      <w:szCs w:val="22"/>
      <w:lang w:eastAsia="en-US"/>
    </w:rPr>
  </w:style>
  <w:style w:type="table" w:customStyle="1" w:styleId="75">
    <w:name w:val="_Style 75"/>
    <w:basedOn w:val="27"/>
    <w:qFormat/>
    <w:uiPriority w:val="0"/>
    <w:tblPr>
      <w:tblCellMar>
        <w:left w:w="115" w:type="dxa"/>
        <w:right w:w="115" w:type="dxa"/>
      </w:tblCellMar>
    </w:tblPr>
  </w:style>
  <w:style w:type="table" w:customStyle="1" w:styleId="76">
    <w:name w:val="_Style 76"/>
    <w:basedOn w:val="27"/>
    <w:qFormat/>
    <w:uiPriority w:val="0"/>
    <w:tblPr>
      <w:tblCellMar>
        <w:left w:w="108" w:type="dxa"/>
        <w:right w:w="108" w:type="dxa"/>
      </w:tblCellMar>
    </w:tblPr>
  </w:style>
  <w:style w:type="table" w:customStyle="1" w:styleId="77">
    <w:name w:val="_Style 77"/>
    <w:basedOn w:val="27"/>
    <w:qFormat/>
    <w:uiPriority w:val="0"/>
    <w:tblPr>
      <w:tblCellMar>
        <w:left w:w="108" w:type="dxa"/>
        <w:right w:w="108" w:type="dxa"/>
      </w:tblCellMar>
    </w:tblPr>
  </w:style>
  <w:style w:type="table" w:customStyle="1" w:styleId="78">
    <w:name w:val="_Style 78"/>
    <w:basedOn w:val="27"/>
    <w:qFormat/>
    <w:uiPriority w:val="0"/>
    <w:tblPr>
      <w:tblCellMar>
        <w:left w:w="108" w:type="dxa"/>
        <w:right w:w="108" w:type="dxa"/>
      </w:tblCellMar>
    </w:tblPr>
  </w:style>
  <w:style w:type="paragraph" w:customStyle="1" w:styleId="79">
    <w:name w:val="LO-normal"/>
    <w:qFormat/>
    <w:uiPriority w:val="0"/>
    <w:rPr>
      <w:rFonts w:ascii="Arial" w:hAnsi="Arial" w:eastAsia="Arial" w:cs="Arial"/>
      <w:lang w:val="pt-BR" w:eastAsia="zh-CN" w:bidi="hi-IN"/>
    </w:rPr>
  </w:style>
  <w:style w:type="table" w:customStyle="1" w:styleId="80">
    <w:name w:val="_Style 80"/>
    <w:basedOn w:val="27"/>
    <w:qFormat/>
    <w:uiPriority w:val="0"/>
    <w:tblPr>
      <w:tblCellMar>
        <w:left w:w="108" w:type="dxa"/>
        <w:right w:w="108" w:type="dxa"/>
      </w:tblCellMar>
    </w:tblPr>
  </w:style>
  <w:style w:type="table" w:customStyle="1" w:styleId="81">
    <w:name w:val="_Style 81"/>
    <w:basedOn w:val="27"/>
    <w:qFormat/>
    <w:uiPriority w:val="0"/>
    <w:tblPr>
      <w:tblCellMar>
        <w:left w:w="108" w:type="dxa"/>
        <w:right w:w="108" w:type="dxa"/>
      </w:tblCellMar>
    </w:tblPr>
  </w:style>
  <w:style w:type="table" w:customStyle="1" w:styleId="82">
    <w:name w:val="_Style 82"/>
    <w:basedOn w:val="27"/>
    <w:qFormat/>
    <w:uiPriority w:val="0"/>
    <w:tblPr>
      <w:tblCellMar>
        <w:left w:w="108" w:type="dxa"/>
        <w:right w:w="108" w:type="dxa"/>
      </w:tblCellMar>
    </w:tblPr>
  </w:style>
  <w:style w:type="table" w:customStyle="1" w:styleId="83">
    <w:name w:val="_Style 83"/>
    <w:basedOn w:val="27"/>
    <w:qFormat/>
    <w:uiPriority w:val="0"/>
    <w:tblPr>
      <w:tblCellMar>
        <w:left w:w="108" w:type="dxa"/>
        <w:right w:w="108" w:type="dxa"/>
      </w:tblCellMar>
    </w:tblPr>
  </w:style>
  <w:style w:type="table" w:customStyle="1" w:styleId="84">
    <w:name w:val="_Style 84"/>
    <w:basedOn w:val="27"/>
    <w:qFormat/>
    <w:uiPriority w:val="0"/>
    <w:tblPr>
      <w:tblCellMar>
        <w:top w:w="100" w:type="dxa"/>
        <w:left w:w="100" w:type="dxa"/>
        <w:bottom w:w="100" w:type="dxa"/>
        <w:right w:w="10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iAv/xe59oCWSRhBEBmjt+pQRzw==">AMUW2mWq8iX0ERAo32DN5wlAu+KxxTkU8bmIEiSwT+WW+TD1DDWsZWd5wpL8n8RRuA+LOJHvrCqBtF1TkvJa1Yy4DuErwZ8DkHEy9mgn0zig+lCyMMxCMVSsjbvU4o0o/cK9NoKUJPcUThmzJfZ+SNoiyvMRZckMThJfqu/Q8AgWqq4nKzwzbGApKBEcg0mUfxchJU8yLK5PZqVlEjJXPFL52wTcP/JEn2EWsvtW5n/Bk6sYiDZH3MIAxt6I7IFluVSbIZDPqkdo+4f/0I0OXDPRLECHTdY+GwbK1TZxi/1lNSkI3GR5JKc=</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26</Pages>
  <Words>11441</Words>
  <Characters>61783</Characters>
  <Lines>514</Lines>
  <Paragraphs>146</Paragraphs>
  <TotalTime>204</TotalTime>
  <ScaleCrop>false</ScaleCrop>
  <LinksUpToDate>false</LinksUpToDate>
  <CharactersWithSpaces>73078</CharactersWithSpaces>
  <Application>WPS Office_11.2.0.11130_F1E327BC-269C-435d-A152-05C5408002CA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2021-08-17T17:05:00Z</dcterms:created>
  <dc:creator>Manoel Paz e Silva Filho</dc:creator>
  <cp:lastModifiedBy>Juliana Borsoi</cp:lastModifiedBy>
  <dcterms:modified xsi:type="dcterms:W3CDTF">2022-05-30T13:56:00Z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1046-11.2.0.11130</vt:lpwstr>
  </property>
  <property fmtid="{D5CDD505-2E9C-101B-9397-08002B2CF9AE}" pid="4" name="ICV">
    <vt:lpwstr>FB5072437A774443B40297DF349716B4</vt:lpwstr>
  </property>
</Properties>
</file>