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sz w:val="22"/>
          <w:szCs w:val="22"/>
        </w:rPr>
      </w:pPr>
    </w:p>
    <w:tbl>
      <w:tblPr>
        <w:tblStyle w:val="80"/>
        <w:tblW w:w="9889"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943"/>
        <w:gridCol w:w="69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63" w:hRule="atLeast"/>
        </w:trPr>
        <w:tc>
          <w:tcPr>
            <w:tcW w:w="9889" w:type="dxa"/>
            <w:gridSpan w:val="2"/>
            <w:vAlign w:val="center"/>
          </w:tcPr>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before="120" w:after="120"/>
              <w:ind w:left="624" w:hanging="567"/>
              <w:jc w:val="center"/>
              <w:rPr>
                <w:rFonts w:ascii="Verdana" w:hAnsi="Verdana" w:eastAsia="Verdana" w:cs="Verdana"/>
                <w:b/>
                <w:color w:val="FF0000"/>
                <w:sz w:val="32"/>
                <w:szCs w:val="32"/>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before="120" w:after="120"/>
              <w:ind w:left="624" w:hanging="567"/>
              <w:jc w:val="center"/>
              <w:rPr>
                <w:rFonts w:ascii="Verdana" w:hAnsi="Verdana" w:eastAsia="Verdana" w:cs="Verdana"/>
                <w:b/>
                <w:bCs w:val="0"/>
                <w:color w:val="auto"/>
                <w:sz w:val="32"/>
                <w:szCs w:val="32"/>
              </w:rPr>
            </w:pPr>
            <w:r>
              <w:rPr>
                <w:rFonts w:ascii="Verdana" w:hAnsi="Verdana" w:eastAsia="Verdana" w:cs="Verdana"/>
                <w:b/>
                <w:bCs w:val="0"/>
                <w:color w:val="auto"/>
                <w:sz w:val="32"/>
                <w:szCs w:val="32"/>
              </w:rPr>
              <w:t xml:space="preserve">EDITAL DE LICITAÇÃO </w:t>
            </w:r>
          </w:p>
          <w:p>
            <w:pPr>
              <w:pStyle w:val="2"/>
              <w:keepLines w:val="0"/>
              <w:numPr>
                <w:ilvl w:val="0"/>
                <w:numId w:val="3"/>
              </w:numPr>
              <w:spacing w:before="100" w:after="100"/>
              <w:jc w:val="center"/>
              <w:rPr>
                <w:rFonts w:ascii="Cambria" w:hAnsi="Cambria" w:eastAsia="Cambria" w:cs="Cambria"/>
                <w:color w:val="365F91"/>
                <w:sz w:val="32"/>
                <w:szCs w:val="32"/>
              </w:rPr>
            </w:pPr>
            <w:bookmarkStart w:id="0" w:name="_heading=h.3mr65tq7blqg" w:colFirst="0" w:colLast="0"/>
            <w:bookmarkEnd w:id="0"/>
            <w:r>
              <w:rPr>
                <w:rFonts w:ascii="Verdana" w:hAnsi="Verdana" w:eastAsia="Verdana" w:cs="Verdana"/>
                <w:color w:val="365F91"/>
                <w:sz w:val="20"/>
                <w:szCs w:val="20"/>
              </w:rPr>
              <w:t xml:space="preserve">PREGÃO ELETRÔNICO Nº </w:t>
            </w:r>
            <w:r>
              <w:rPr>
                <w:rFonts w:ascii="Verdana" w:hAnsi="Verdana" w:eastAsia="Verdana" w:cs="Verdana"/>
                <w:color w:val="365F91"/>
                <w:sz w:val="20"/>
                <w:szCs w:val="20"/>
                <w:lang w:val="pt-BR"/>
              </w:rPr>
              <w:t>48/2022</w:t>
            </w:r>
            <w:r>
              <w:rPr>
                <w:rFonts w:ascii="Verdana" w:hAnsi="Verdana" w:eastAsia="Verdana" w:cs="Verdana"/>
                <w:color w:val="365F91"/>
                <w:sz w:val="20"/>
                <w:szCs w:val="20"/>
              </w:rPr>
              <w:t>/AD</w:t>
            </w:r>
            <w:r>
              <w:drawing>
                <wp:anchor distT="0" distB="0" distL="0" distR="0" simplePos="0" relativeHeight="251659264" behindDoc="0" locked="0" layoutInCell="1" allowOverlap="1">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6"/>
                          <a:srcRect/>
                          <a:stretch>
                            <a:fillRect/>
                          </a:stretch>
                        </pic:blipFill>
                        <pic:spPr>
                          <a:xfrm>
                            <a:off x="0" y="0"/>
                            <a:ext cx="1200150" cy="409575"/>
                          </a:xfrm>
                          <a:prstGeom prst="rect">
                            <a:avLst/>
                          </a:prstGeom>
                        </pic:spPr>
                      </pic:pic>
                    </a:graphicData>
                  </a:graphic>
                </wp:anchor>
              </w:drawing>
            </w:r>
            <w:r>
              <w:drawing>
                <wp:anchor distT="0" distB="0" distL="0" distR="0" simplePos="0" relativeHeight="251660288" behindDoc="0" locked="0" layoutInCell="1" allowOverlap="1">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7"/>
                          <a:srcRect/>
                          <a:stretch>
                            <a:fillRect/>
                          </a:stretch>
                        </pic:blipFill>
                        <pic:spPr>
                          <a:xfrm>
                            <a:off x="0" y="0"/>
                            <a:ext cx="898525" cy="483870"/>
                          </a:xfrm>
                          <a:prstGeom prst="rect">
                            <a:avLst/>
                          </a:prstGeom>
                        </pic:spPr>
                      </pic:pic>
                    </a:graphicData>
                  </a:graphic>
                </wp:anchor>
              </w:drawing>
            </w:r>
          </w:p>
          <w:p>
            <w:pPr>
              <w:spacing w:before="100" w:after="100"/>
              <w:jc w:val="center"/>
              <w:rPr>
                <w:rFonts w:ascii="Verdana" w:hAnsi="Verdana" w:eastAsia="Verdana" w:cs="Verdana"/>
                <w:b/>
                <w:highlight w:val="cyan"/>
              </w:rPr>
            </w:pPr>
            <w:r>
              <w:rPr>
                <w:rFonts w:ascii="Verdana" w:hAnsi="Verdana" w:eastAsia="Verdana" w:cs="Verdana"/>
                <w:b/>
              </w:rPr>
              <w:t xml:space="preserve">SERVIÇOS CONTINUADOS COM DEDICAÇÃO </w:t>
            </w:r>
          </w:p>
          <w:p>
            <w:pPr>
              <w:spacing w:before="100" w:after="100"/>
              <w:jc w:val="center"/>
              <w:rPr>
                <w:rFonts w:ascii="Verdana" w:hAnsi="Verdana" w:eastAsia="Verdana" w:cs="Verdana"/>
                <w:b/>
                <w:sz w:val="16"/>
                <w:szCs w:val="16"/>
              </w:rPr>
            </w:pPr>
            <w:r>
              <w:rPr>
                <w:rFonts w:ascii="Verdana" w:hAnsi="Verdana" w:eastAsia="Verdana" w:cs="Verdana"/>
                <w:b/>
              </w:rPr>
              <w:t xml:space="preserve">PROCESSO Nº </w:t>
            </w:r>
            <w:r>
              <w:rPr>
                <w:rFonts w:ascii="Verdana" w:hAnsi="Verdana" w:eastAsia="Verdana" w:cs="Verdana"/>
                <w:b/>
                <w:lang w:val="pt-BR"/>
              </w:rPr>
              <w:t xml:space="preserve"> 23069.159888/2022-11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76" w:hRule="atLeast"/>
        </w:trPr>
        <w:tc>
          <w:tcPr>
            <w:tcW w:w="2943" w:type="dxa"/>
            <w:vAlign w:val="center"/>
          </w:tcPr>
          <w:p>
            <w:pPr>
              <w:spacing w:before="120" w:after="120"/>
              <w:ind w:left="624" w:hanging="567"/>
              <w:jc w:val="center"/>
            </w:pPr>
            <w:r>
              <w:rPr>
                <w:b/>
              </w:rPr>
              <w:t>OBJETO</w:t>
            </w:r>
          </w:p>
        </w:tc>
        <w:tc>
          <w:tcPr>
            <w:tcW w:w="6946" w:type="dxa"/>
            <w:vAlign w:val="bottom"/>
          </w:tcPr>
          <w:p>
            <w:p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 xml:space="preserve">O objeto da presente licitação é a escolha da proposta mais vantajosa para a </w:t>
            </w:r>
            <w:r>
              <w:rPr>
                <w:b/>
                <w:bCs/>
                <w:color w:val="000000"/>
                <w:lang w:val="pt-BR"/>
              </w:rPr>
              <w:t>Contratação de pessoa jurídica para a prestação de serviço com cessão de mão de obra, de apoio operacional nas dependências da Fazenda Escola de Cachoeira de Macacu, Superintendência de Operações e Manutenção (SOMA), Instituto de Saúde de Nova Friburgo e Faculdade de Odontologia da Universidade Federal Fluminense,</w:t>
            </w:r>
            <w:r>
              <w:rPr>
                <w:color w:val="000000"/>
              </w:rPr>
              <w:t xml:space="preserve"> conforme condições, quantidades e exigências estabelecidas neste Edital e seus anexos.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3" w:hRule="atLeast"/>
        </w:trPr>
        <w:tc>
          <w:tcPr>
            <w:tcW w:w="2943" w:type="dxa"/>
            <w:vAlign w:val="center"/>
          </w:tcPr>
          <w:p>
            <w:pPr>
              <w:spacing w:before="120" w:after="120"/>
              <w:ind w:left="624" w:hanging="567"/>
              <w:jc w:val="center"/>
              <w:rPr>
                <w:b/>
              </w:rPr>
            </w:pPr>
            <w:r>
              <w:rPr>
                <w:b/>
              </w:rPr>
              <w:t>RECEBIMENTO DAS PROPOSTAS</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19"/>
              <w:jc w:val="both"/>
              <w:rPr>
                <w:color w:val="000000"/>
                <w:szCs w:val="20"/>
              </w:rPr>
            </w:pPr>
            <w:r>
              <w:rPr>
                <w:color w:val="000000"/>
                <w:szCs w:val="20"/>
              </w:rPr>
              <w:t xml:space="preserve">A partir da data de divulgação do Edital no site </w:t>
            </w:r>
            <w:r>
              <w:fldChar w:fldCharType="begin"/>
            </w:r>
            <w:r>
              <w:instrText xml:space="preserve"> HYPERLINK "https://www.gov.br/compras/pt-br" \h </w:instrText>
            </w:r>
            <w:r>
              <w:fldChar w:fldCharType="separate"/>
            </w:r>
            <w:r>
              <w:rPr>
                <w:i/>
                <w:szCs w:val="20"/>
                <w:u w:val="single"/>
              </w:rPr>
              <w:t>www.gov.br/compras</w:t>
            </w:r>
            <w:r>
              <w:rPr>
                <w:i/>
                <w:szCs w:val="20"/>
                <w:u w:val="single"/>
              </w:rPr>
              <w:fldChar w:fldCharType="end"/>
            </w:r>
            <w:r>
              <w:rPr>
                <w:color w:val="000000"/>
                <w:szCs w:val="20"/>
              </w:rPr>
              <w:t xml:space="preserve"> até a data e horário de realização da sessão pública.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04" w:hRule="atLeast"/>
        </w:trPr>
        <w:tc>
          <w:tcPr>
            <w:tcW w:w="2943" w:type="dxa"/>
            <w:vAlign w:val="center"/>
          </w:tcPr>
          <w:p>
            <w:pPr>
              <w:spacing w:before="120" w:after="120"/>
              <w:ind w:left="624" w:hanging="567"/>
              <w:jc w:val="center"/>
              <w:rPr>
                <w:b/>
              </w:rPr>
            </w:pPr>
            <w:r>
              <w:rPr>
                <w:b/>
              </w:rPr>
              <w:t>DATA ABERTURA DAS PROPOSTAS</w:t>
            </w:r>
          </w:p>
        </w:tc>
        <w:tc>
          <w:tcPr>
            <w:tcW w:w="6946" w:type="dxa"/>
            <w:vAlign w:val="center"/>
          </w:tcPr>
          <w:p>
            <w:pPr>
              <w:spacing w:before="120" w:after="120"/>
              <w:ind w:hanging="25"/>
              <w:jc w:val="both"/>
              <w:rPr>
                <w:rFonts w:hint="default"/>
                <w:b/>
                <w:bCs/>
                <w:highlight w:val="yellow"/>
                <w:lang w:val="pt-BR"/>
              </w:rPr>
            </w:pPr>
            <w:r>
              <w:t xml:space="preserve">Sessão Pública a ser realizada no endereço eletrônico informado no edital, às </w:t>
            </w:r>
            <w:r>
              <w:rPr>
                <w:rFonts w:hint="default"/>
                <w:b/>
                <w:bCs/>
                <w:lang w:val="pt-BR"/>
              </w:rPr>
              <w:t>10</w:t>
            </w:r>
            <w:r>
              <w:rPr>
                <w:rFonts w:hint="default"/>
                <w:b/>
                <w:bCs/>
                <w:lang w:val="pt-BR"/>
              </w:rPr>
              <w:t>h</w:t>
            </w:r>
            <w:r>
              <w:rPr>
                <w:b/>
                <w:bCs/>
              </w:rPr>
              <w:t xml:space="preserve"> </w:t>
            </w:r>
            <w:r>
              <w:t xml:space="preserve">do dia </w:t>
            </w:r>
            <w:r>
              <w:rPr>
                <w:rFonts w:hint="default"/>
                <w:b/>
                <w:bCs/>
                <w:lang w:val="pt-BR"/>
              </w:rPr>
              <w:t>07/JUN/2022</w:t>
            </w:r>
            <w:r>
              <w:rPr>
                <w:rFonts w:hint="default"/>
                <w:lang w:val="pt-B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42" w:hRule="atLeast"/>
        </w:trPr>
        <w:tc>
          <w:tcPr>
            <w:tcW w:w="2943" w:type="dxa"/>
            <w:vAlign w:val="center"/>
          </w:tcPr>
          <w:p>
            <w:pPr>
              <w:spacing w:before="120" w:after="120"/>
              <w:ind w:left="624" w:hanging="567"/>
              <w:jc w:val="center"/>
              <w:rPr>
                <w:b/>
              </w:rPr>
            </w:pPr>
            <w:r>
              <w:rPr>
                <w:b/>
              </w:rPr>
              <w:t>ENDEREÇO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Universidade Federal Fluminense</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Pró-Reitoria de Administração</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Coordenação de Licitação</w:t>
            </w:r>
          </w:p>
          <w:p>
            <w:r>
              <w:t>UASG: 150182</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Rua Miguel de Frias n.º 09, Bairro Icaraí, Niterói - RJ</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CEP: 24.220-900</w:t>
            </w:r>
          </w:p>
          <w:p>
            <w:pPr>
              <w:spacing w:before="120" w:after="120"/>
              <w:ind w:hanging="25"/>
              <w:jc w:val="both"/>
              <w:rPr>
                <w:b/>
                <w:color w:val="0000FF"/>
              </w:rPr>
            </w:pPr>
            <w:r>
              <w:t>E-mail:</w:t>
            </w:r>
            <w:r>
              <w:rPr>
                <w:b/>
                <w:color w:val="0000FF"/>
              </w:rPr>
              <w:t xml:space="preserve"> </w:t>
            </w:r>
            <w:r>
              <w:fldChar w:fldCharType="begin"/>
            </w:r>
            <w:r>
              <w:instrText xml:space="preserve"> HYPERLINK "mailto:cpl@id.uff.br" \h </w:instrText>
            </w:r>
            <w:r>
              <w:fldChar w:fldCharType="separate"/>
            </w:r>
            <w:r>
              <w:rPr>
                <w:b/>
                <w:color w:val="0000FF"/>
                <w:u w:val="single"/>
              </w:rPr>
              <w:t>cpl@id.uff.br</w:t>
            </w:r>
            <w:r>
              <w:rPr>
                <w:b/>
                <w:color w:val="0000FF"/>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TIPO DE LICITAÇÃO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rFonts w:hint="default"/>
                <w:color w:val="000000"/>
                <w:sz w:val="21"/>
                <w:szCs w:val="21"/>
                <w:highlight w:val="yellow"/>
                <w:lang w:val="pt-BR"/>
              </w:rPr>
            </w:pPr>
            <w:r>
              <w:rPr>
                <w:color w:val="000000"/>
                <w:sz w:val="21"/>
                <w:szCs w:val="21"/>
              </w:rPr>
              <w:t xml:space="preserve">Menor preço </w:t>
            </w:r>
            <w:r>
              <w:rPr>
                <w:rFonts w:hint="default"/>
                <w:color w:val="000000"/>
                <w:sz w:val="21"/>
                <w:szCs w:val="21"/>
                <w:lang w:val="pt-BR"/>
              </w:rPr>
              <w:t>por grupo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ACESSO ELETRÔNICO AO EDITAL</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i/>
                <w:color w:val="0000FF"/>
                <w:sz w:val="21"/>
                <w:szCs w:val="21"/>
              </w:rPr>
            </w:pPr>
            <w:r>
              <w:fldChar w:fldCharType="begin"/>
            </w:r>
            <w:r>
              <w:instrText xml:space="preserve"> HYPERLINK "https://www.gov.br/compras/pt-br" \h </w:instrText>
            </w:r>
            <w:r>
              <w:fldChar w:fldCharType="separate"/>
            </w:r>
            <w:r>
              <w:rPr>
                <w:rFonts w:ascii="Cambria" w:hAnsi="Cambria" w:eastAsia="Cambria" w:cs="Cambria"/>
                <w:b/>
                <w:i/>
                <w:color w:val="0000FF"/>
                <w:sz w:val="21"/>
                <w:szCs w:val="21"/>
                <w:u w:val="single"/>
              </w:rPr>
              <w:t>www.gov.br/compras</w:t>
            </w:r>
            <w:r>
              <w:rPr>
                <w:rFonts w:ascii="Cambria" w:hAnsi="Cambria" w:eastAsia="Cambria" w:cs="Cambria"/>
                <w:b/>
                <w:i/>
                <w:color w:val="0000FF"/>
                <w:sz w:val="21"/>
                <w:szCs w:val="21"/>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PREGOEIRO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rFonts w:hint="default"/>
                <w:color w:val="000000"/>
                <w:sz w:val="21"/>
                <w:szCs w:val="21"/>
                <w:lang w:val="pt-BR"/>
              </w:rPr>
            </w:pPr>
            <w:r>
              <w:rPr>
                <w:rFonts w:hint="default"/>
                <w:color w:val="000000"/>
                <w:sz w:val="21"/>
                <w:szCs w:val="21"/>
                <w:lang w:val="pt-BR"/>
              </w:rPr>
              <w:t>Juliana P. Borsoi Richa</w:t>
            </w:r>
          </w:p>
        </w:tc>
      </w:tr>
    </w:tbl>
    <w:p>
      <w:pPr>
        <w:spacing w:after="120" w:line="276" w:lineRule="auto"/>
        <w:ind w:right="-17"/>
        <w:jc w:val="both"/>
        <w:rPr>
          <w:b/>
          <w:color w:val="000000"/>
        </w:rPr>
      </w:pPr>
    </w:p>
    <w:p>
      <w:pPr>
        <w:spacing w:after="120" w:line="276" w:lineRule="auto"/>
        <w:ind w:right="-17"/>
        <w:jc w:val="both"/>
        <w:rPr>
          <w:b/>
          <w:color w:val="000000"/>
        </w:rPr>
      </w:pPr>
    </w:p>
    <w:p>
      <w:pPr>
        <w:spacing w:after="120" w:line="276" w:lineRule="auto"/>
        <w:ind w:right="-17"/>
        <w:jc w:val="both"/>
        <w:rPr>
          <w:rFonts w:ascii="Verdana" w:hAnsi="Verdana" w:eastAsia="Verdana" w:cs="Verdana"/>
          <w:color w:val="000000"/>
          <w:sz w:val="18"/>
          <w:szCs w:val="18"/>
        </w:rPr>
      </w:pPr>
      <w:r>
        <w:drawing>
          <wp:anchor distT="0" distB="0" distL="114300" distR="114300" simplePos="0" relativeHeight="251661312" behindDoc="0" locked="0" layoutInCell="1" allowOverlap="1">
            <wp:simplePos x="0" y="0"/>
            <wp:positionH relativeFrom="column">
              <wp:posOffset>2609850</wp:posOffset>
            </wp:positionH>
            <wp:positionV relativeFrom="paragraph">
              <wp:posOffset>153670</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8"/>
                    <a:srcRect/>
                    <a:stretch>
                      <a:fillRect/>
                    </a:stretch>
                  </pic:blipFill>
                  <pic:spPr>
                    <a:xfrm>
                      <a:off x="0" y="0"/>
                      <a:ext cx="640080" cy="628650"/>
                    </a:xfrm>
                    <a:prstGeom prst="rect">
                      <a:avLst/>
                    </a:prstGeom>
                  </pic:spPr>
                </pic:pic>
              </a:graphicData>
            </a:graphic>
          </wp:anchor>
        </w:drawing>
      </w:r>
    </w:p>
    <w:p>
      <w:pPr>
        <w:spacing w:after="120" w:line="276" w:lineRule="auto"/>
        <w:ind w:right="-17"/>
        <w:jc w:val="both"/>
        <w:rPr>
          <w:rFonts w:ascii="Verdana" w:hAnsi="Verdana" w:eastAsia="Verdana" w:cs="Verdana"/>
          <w:color w:val="000000"/>
          <w:sz w:val="18"/>
          <w:szCs w:val="18"/>
        </w:rPr>
      </w:pPr>
      <w:r>
        <w:rPr>
          <w:rFonts w:ascii="Verdana" w:hAnsi="Verdana" w:eastAsia="Verdana" w:cs="Verdana"/>
          <w:color w:val="000000"/>
          <w:sz w:val="18"/>
          <w:szCs w:val="18"/>
        </w:rPr>
        <w:tab/>
      </w:r>
    </w:p>
    <w:p>
      <w:pPr>
        <w:rPr>
          <w:rFonts w:ascii="Verdana" w:hAnsi="Verdana" w:eastAsia="Verdana" w:cs="Verdana"/>
          <w:sz w:val="18"/>
          <w:szCs w:val="18"/>
        </w:rPr>
      </w:pPr>
    </w:p>
    <w:p>
      <w:pPr>
        <w:rPr>
          <w:rFonts w:ascii="Verdana" w:hAnsi="Verdana" w:eastAsia="Verdana" w:cs="Verdana"/>
          <w:sz w:val="18"/>
          <w:szCs w:val="18"/>
        </w:rPr>
      </w:pPr>
    </w:p>
    <w:p>
      <w:pPr>
        <w:tabs>
          <w:tab w:val="left" w:pos="6284"/>
        </w:tabs>
        <w:jc w:val="center"/>
        <w:rPr>
          <w:rFonts w:ascii="Verdana" w:hAnsi="Verdana" w:eastAsia="Verdana" w:cs="Verdana"/>
          <w:b/>
          <w:sz w:val="18"/>
          <w:szCs w:val="18"/>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val="0"/>
          <w:color w:val="000000"/>
          <w:sz w:val="22"/>
          <w:szCs w:val="22"/>
        </w:rPr>
      </w:pPr>
      <w:r>
        <w:rPr>
          <w:rFonts w:ascii="Calibri" w:hAnsi="Calibri" w:eastAsia="Calibri" w:cs="Calibri"/>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COORDENAÇÃO DE LICITAÇÃO</w:t>
      </w:r>
    </w:p>
    <w:p>
      <w:pPr>
        <w:jc w:val="center"/>
        <w:rPr>
          <w:rFonts w:ascii="Calibri" w:hAnsi="Calibri" w:eastAsia="Calibri" w:cs="Calibri"/>
          <w:b/>
          <w:sz w:val="22"/>
          <w:szCs w:val="22"/>
        </w:rPr>
      </w:pPr>
    </w:p>
    <w:p>
      <w:pPr>
        <w:jc w:val="center"/>
      </w:pPr>
    </w:p>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color w:val="auto"/>
        </w:rPr>
      </w:pPr>
      <w:r>
        <w:rPr>
          <w:rFonts w:hint="default" w:ascii="Verdana" w:hAnsi="Verdana" w:eastAsia="Verdana" w:cs="Verdana"/>
          <w:b/>
          <w:color w:val="auto"/>
          <w:lang w:val="pt-BR"/>
        </w:rPr>
        <w:t xml:space="preserve"> </w:t>
      </w:r>
      <w:r>
        <w:rPr>
          <w:rFonts w:ascii="Verdana" w:hAnsi="Verdana" w:eastAsia="Verdana" w:cs="Verdana"/>
          <w:b/>
          <w:color w:val="auto"/>
        </w:rPr>
        <w:t>EDITAL DE LICITAÇÃO</w:t>
      </w:r>
    </w:p>
    <w:p>
      <w:pPr>
        <w:spacing w:before="100" w:after="100"/>
        <w:jc w:val="center"/>
        <w:rPr>
          <w:rFonts w:ascii="Verdana" w:hAnsi="Verdana" w:eastAsia="Verdana" w:cs="Verdana"/>
          <w:b/>
          <w:highlight w:val="yellow"/>
        </w:rPr>
      </w:pPr>
      <w:r>
        <w:rPr>
          <w:rFonts w:ascii="Verdana" w:hAnsi="Verdana" w:eastAsia="Verdana" w:cs="Verdana"/>
          <w:b/>
        </w:rPr>
        <w:t xml:space="preserve">PREGÃO ELETRÔNICO Nº </w:t>
      </w:r>
      <w:r>
        <w:rPr>
          <w:rFonts w:hint="default" w:ascii="Verdana" w:hAnsi="Verdana" w:eastAsia="Verdana" w:cs="Verdana"/>
          <w:b/>
          <w:lang w:val="pt-BR"/>
        </w:rPr>
        <w:t>48/2022</w:t>
      </w:r>
      <w:r>
        <w:rPr>
          <w:rFonts w:ascii="Verdana" w:hAnsi="Verdana" w:eastAsia="Verdana" w:cs="Verdana"/>
          <w:b/>
        </w:rPr>
        <w:t>/AD</w:t>
      </w:r>
    </w:p>
    <w:p>
      <w:pPr>
        <w:spacing w:before="100" w:after="100"/>
        <w:jc w:val="center"/>
        <w:rPr>
          <w:rFonts w:ascii="Verdana" w:hAnsi="Verdana" w:eastAsia="Verdana" w:cs="Verdana"/>
          <w:b/>
        </w:rPr>
      </w:pPr>
      <w:r>
        <w:rPr>
          <w:rFonts w:ascii="Verdana" w:hAnsi="Verdana" w:eastAsia="Verdana" w:cs="Verdana"/>
          <w:b/>
        </w:rPr>
        <w:t>SERVIÇOS CONTINUADOS COM DEDICAÇÃO EXCLUSIVA DE MÃO DE OBRA</w:t>
      </w:r>
    </w:p>
    <w:p>
      <w:pPr>
        <w:spacing w:before="100" w:after="100"/>
        <w:jc w:val="center"/>
        <w:rPr>
          <w:rFonts w:hint="default" w:ascii="Verdana" w:hAnsi="Verdana" w:eastAsia="Verdana" w:cs="Verdana"/>
          <w:b/>
          <w:lang w:val="pt-BR"/>
        </w:rPr>
      </w:pPr>
      <w:r>
        <w:rPr>
          <w:rFonts w:ascii="Verdana" w:hAnsi="Verdana" w:eastAsia="Verdana" w:cs="Verdana"/>
          <w:b/>
        </w:rPr>
        <w:t xml:space="preserve">PROCESSO Nº </w:t>
      </w:r>
      <w:r>
        <w:rPr>
          <w:rFonts w:ascii="Verdana" w:hAnsi="Verdana" w:eastAsia="Verdana" w:cs="Verdana"/>
          <w:b/>
          <w:lang w:val="pt-BR"/>
        </w:rPr>
        <w:t xml:space="preserve"> 23069.159888/2022-11</w:t>
      </w:r>
    </w:p>
    <w:p>
      <w:pPr>
        <w:spacing w:after="120" w:line="276" w:lineRule="auto"/>
        <w:ind w:right="-17"/>
        <w:jc w:val="both"/>
        <w:rPr>
          <w:b/>
          <w:color w:val="000000"/>
        </w:rPr>
      </w:pPr>
    </w:p>
    <w:p>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Pró-Reitoria de Administração, sediada à Rua Miguel de Frias, nº 9, 1º andar, Icaraí, Niterói - RJ, realizará licitação na modalidade PREGÃO, na forma ELETRÔNICA, com critério de julgamento </w:t>
      </w:r>
      <w:r>
        <w:rPr>
          <w:b/>
        </w:rPr>
        <w:t xml:space="preserve">menor preço </w:t>
      </w:r>
      <w:r>
        <w:rPr>
          <w:b/>
          <w:bCs/>
        </w:rPr>
        <w:t xml:space="preserve">por </w:t>
      </w:r>
      <w:r>
        <w:rPr>
          <w:rFonts w:hint="default"/>
          <w:b/>
          <w:bCs/>
          <w:lang w:val="pt-BR"/>
        </w:rPr>
        <w:t>grupo,</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pPr>
        <w:spacing w:line="276" w:lineRule="auto"/>
        <w:jc w:val="both"/>
        <w:rPr>
          <w:color w:val="000000"/>
        </w:rPr>
      </w:pPr>
    </w:p>
    <w:p>
      <w:pPr>
        <w:spacing w:line="276" w:lineRule="auto"/>
        <w:jc w:val="both"/>
        <w:rPr>
          <w:color w:val="000000"/>
        </w:rPr>
      </w:pPr>
    </w:p>
    <w:p>
      <w:pPr>
        <w:spacing w:line="276" w:lineRule="auto"/>
        <w:jc w:val="center"/>
        <w:rPr>
          <w:rFonts w:hint="default"/>
          <w:b/>
          <w:bCs/>
          <w:lang w:val="pt-BR"/>
        </w:rPr>
      </w:pPr>
      <w:r>
        <w:rPr>
          <w:color w:val="000000"/>
        </w:rPr>
        <w:t xml:space="preserve">Data da sessão: </w:t>
      </w:r>
      <w:r>
        <w:rPr>
          <w:rFonts w:hint="default"/>
          <w:b/>
          <w:bCs/>
          <w:lang w:val="pt-BR"/>
        </w:rPr>
        <w:t>07/JUN/2022</w:t>
      </w:r>
    </w:p>
    <w:p>
      <w:pPr>
        <w:spacing w:line="276" w:lineRule="auto"/>
        <w:jc w:val="center"/>
        <w:rPr>
          <w:rFonts w:hint="default"/>
          <w:lang w:val="pt-BR"/>
        </w:rPr>
      </w:pPr>
      <w:r>
        <w:rPr>
          <w:color w:val="000000"/>
        </w:rPr>
        <w:t xml:space="preserve">Horário: </w:t>
      </w:r>
      <w:r>
        <w:rPr>
          <w:rFonts w:hint="default"/>
          <w:b/>
          <w:bCs/>
          <w:color w:val="000000"/>
          <w:lang w:val="pt-BR"/>
        </w:rPr>
        <w:t>10h</w:t>
      </w:r>
    </w:p>
    <w:p>
      <w:pPr>
        <w:spacing w:after="120" w:line="276" w:lineRule="auto"/>
        <w:ind w:right="-15"/>
        <w:jc w:val="center"/>
        <w:rPr>
          <w:b/>
          <w:color w:val="0000FF"/>
          <w:u w:val="single"/>
        </w:rPr>
      </w:pPr>
      <w:r>
        <w:rPr>
          <w:color w:val="000000"/>
        </w:rPr>
        <w:t xml:space="preserve">Local: Portal de Compras do Governo Federal – </w:t>
      </w:r>
      <w:r>
        <w:fldChar w:fldCharType="begin"/>
      </w:r>
      <w:r>
        <w:instrText xml:space="preserve"> HYPERLINK "http://www.gov.br/compras" \h </w:instrText>
      </w:r>
      <w:r>
        <w:fldChar w:fldCharType="separate"/>
      </w:r>
      <w:r>
        <w:rPr>
          <w:b/>
          <w:color w:val="0000FF"/>
          <w:u w:val="single"/>
        </w:rPr>
        <w:t>www.gov.br/compras</w:t>
      </w:r>
      <w:r>
        <w:rPr>
          <w:b/>
          <w:color w:val="0000FF"/>
          <w:u w:val="single"/>
        </w:rPr>
        <w:fldChar w:fldCharType="end"/>
      </w:r>
    </w:p>
    <w:p>
      <w:pPr>
        <w:spacing w:after="120" w:line="276" w:lineRule="auto"/>
        <w:ind w:right="-15"/>
        <w:jc w:val="center"/>
        <w:rPr>
          <w:b/>
          <w:color w:val="0000FF"/>
        </w:rPr>
      </w:pP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pPr>
      <w:r>
        <w:rPr>
          <w:b/>
          <w:color w:val="000000"/>
        </w:rPr>
        <w:t>DO OBJETO</w:t>
      </w:r>
      <w:bookmarkStart w:id="12" w:name="_GoBack"/>
      <w:bookmarkEnd w:id="12"/>
    </w:p>
    <w:p>
      <w:pPr>
        <w:numPr>
          <w:ilvl w:val="1"/>
          <w:numId w:val="5"/>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 xml:space="preserve">O objeto da presente licitação é a escolha da proposta mais vantajosa para a </w:t>
      </w:r>
      <w:r>
        <w:rPr>
          <w:b/>
          <w:bCs/>
          <w:color w:val="000000"/>
          <w:lang w:val="pt-BR"/>
        </w:rPr>
        <w:t>Contratação de pessoa jurídica para a prestação de serviço com cessão de mão de obra, de apoio operacional nas dependências da Fazenda Escola de Cachoeira de Macacu, Superintendência de Operações e Manutenção (SOMA), Instituto de Saúde de Nova Friburgo e Faculdade de Odontologia da Universidade Federal Fluminense,</w:t>
      </w:r>
      <w:r>
        <w:rPr>
          <w:color w:val="000000"/>
        </w:rPr>
        <w:t xml:space="preserve"> conforme condições, quantidades e exigências estabelecidas neste Edital e seus anexos. </w:t>
      </w:r>
    </w:p>
    <w:p>
      <w:pPr>
        <w:numPr>
          <w:ilvl w:val="1"/>
          <w:numId w:val="5"/>
        </w:numPr>
        <w:tabs>
          <w:tab w:val="left" w:pos="709"/>
        </w:tabs>
        <w:spacing w:before="120" w:after="120" w:line="276" w:lineRule="auto"/>
        <w:ind w:left="1141" w:leftChars="0" w:hanging="432" w:firstLineChars="0"/>
        <w:jc w:val="both"/>
        <w:rPr>
          <w:rFonts w:hint="default" w:eastAsia="SimSun" w:cs="Arial"/>
          <w:i w:val="0"/>
          <w:iCs w:val="0"/>
          <w:color w:val="auto"/>
          <w:sz w:val="20"/>
          <w:szCs w:val="20"/>
          <w:u w:val="none"/>
          <w:vertAlign w:val="baseline"/>
          <w:lang w:val="pt-BR"/>
        </w:rPr>
      </w:pPr>
      <w:r>
        <w:rPr>
          <w:color w:val="000000"/>
        </w:rPr>
        <w:t>A licitação será</w:t>
      </w:r>
      <w:r>
        <w:rPr>
          <w:i w:val="0"/>
          <w:iCs w:val="0"/>
          <w:color w:val="auto"/>
        </w:rPr>
        <w:t xml:space="preserve"> </w:t>
      </w:r>
      <w:r>
        <w:rPr>
          <w:rFonts w:ascii="Arial" w:hAnsi="Arial" w:eastAsia="SimSun" w:cs="Arial"/>
          <w:i w:val="0"/>
          <w:iCs w:val="0"/>
          <w:color w:val="auto"/>
          <w:sz w:val="20"/>
          <w:szCs w:val="20"/>
          <w:u w:val="none"/>
          <w:vertAlign w:val="baseline"/>
        </w:rPr>
        <w:t xml:space="preserve">será realizada em grupo único, formados por </w:t>
      </w:r>
      <w:r>
        <w:rPr>
          <w:rFonts w:hint="default" w:eastAsia="SimSun" w:cs="Arial"/>
          <w:i w:val="0"/>
          <w:iCs w:val="0"/>
          <w:color w:val="auto"/>
          <w:sz w:val="20"/>
          <w:szCs w:val="20"/>
          <w:u w:val="none"/>
          <w:vertAlign w:val="baseline"/>
          <w:lang w:val="pt-BR"/>
        </w:rPr>
        <w:t>11 (onze) i</w:t>
      </w:r>
      <w:r>
        <w:rPr>
          <w:rFonts w:ascii="Arial" w:hAnsi="Arial" w:eastAsia="SimSun" w:cs="Arial"/>
          <w:i w:val="0"/>
          <w:iCs w:val="0"/>
          <w:color w:val="auto"/>
          <w:sz w:val="20"/>
          <w:szCs w:val="20"/>
          <w:u w:val="none"/>
          <w:vertAlign w:val="baseline"/>
        </w:rPr>
        <w:t>tens, conforme tabela constante no Termo de Referência, devendo o licitante oferecer proposta para todos os itens que o compõem</w:t>
      </w:r>
      <w:r>
        <w:rPr>
          <w:rFonts w:hint="default" w:eastAsia="SimSun" w:cs="Arial"/>
          <w:i w:val="0"/>
          <w:iCs w:val="0"/>
          <w:color w:val="auto"/>
          <w:sz w:val="20"/>
          <w:szCs w:val="20"/>
          <w:u w:val="none"/>
          <w:vertAlign w:val="baseline"/>
          <w:lang w:val="pt-BR"/>
        </w:rPr>
        <w:t>.</w:t>
      </w:r>
    </w:p>
    <w:p>
      <w:pPr>
        <w:numPr>
          <w:ilvl w:val="1"/>
          <w:numId w:val="5"/>
        </w:numPr>
        <w:tabs>
          <w:tab w:val="left" w:pos="709"/>
        </w:tabs>
        <w:spacing w:before="120" w:after="120" w:line="276" w:lineRule="auto"/>
        <w:ind w:left="1141" w:leftChars="0" w:hanging="432" w:firstLineChars="0"/>
        <w:jc w:val="both"/>
        <w:rPr>
          <w:iCs/>
        </w:rPr>
      </w:pPr>
      <w:r>
        <w:rPr>
          <w:iCs/>
        </w:rPr>
        <w:t xml:space="preserve">1.3. </w:t>
      </w:r>
      <w:r>
        <w:rPr>
          <w:color w:val="000000"/>
        </w:rPr>
        <w:t xml:space="preserve">O critério de julgamento adotado será o menor preço </w:t>
      </w:r>
      <w:r>
        <w:rPr>
          <w:rFonts w:hint="default"/>
          <w:color w:val="000000"/>
          <w:lang w:val="pt-BR"/>
        </w:rPr>
        <w:t>global do grupo</w:t>
      </w:r>
      <w:r>
        <w:rPr>
          <w:iCs/>
        </w:rPr>
        <w:t>, observadas as exigências contidas neste Edital e seus Anexos quanto às especificações do objeto.</w:t>
      </w:r>
    </w:p>
    <w:p>
      <w:pPr>
        <w:pBdr>
          <w:top w:val="none" w:color="auto" w:sz="0" w:space="0"/>
          <w:left w:val="none" w:color="auto" w:sz="0" w:space="0"/>
          <w:bottom w:val="none" w:color="auto" w:sz="0" w:space="0"/>
          <w:right w:val="none" w:color="auto" w:sz="0" w:space="0"/>
          <w:between w:val="none" w:color="auto" w:sz="0" w:space="0"/>
        </w:pBdr>
        <w:spacing w:line="276" w:lineRule="auto"/>
        <w:ind w:left="567" w:firstLine="283"/>
        <w:jc w:val="both"/>
        <w:rPr>
          <w:iCs/>
          <w:u w:val="single"/>
        </w:rPr>
      </w:pP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iCs/>
        </w:rPr>
      </w:pPr>
      <w:r>
        <w:rPr>
          <w:b/>
          <w:iCs/>
        </w:rPr>
        <w:t>DOS RECURSOS ORÇAMENTÁRIOS</w:t>
      </w:r>
    </w:p>
    <w:p>
      <w:pPr>
        <w:numPr>
          <w:ilvl w:val="1"/>
          <w:numId w:val="6"/>
        </w:numPr>
        <w:spacing w:before="120" w:after="120" w:line="276" w:lineRule="auto"/>
        <w:jc w:val="both"/>
      </w:pPr>
      <w:r>
        <w:t xml:space="preserve">As despesas para atender a esta licitação </w:t>
      </w:r>
      <w:r>
        <w:rPr>
          <w:rFonts w:hint="default"/>
          <w:lang w:val="pt-BR"/>
        </w:rPr>
        <w:t xml:space="preserve">serão indicadas quando da homologação do procedimento licitatório, conforme despacho PLOR/PLAN SEI nº </w:t>
      </w:r>
      <w:r>
        <w:rPr>
          <w:rFonts w:ascii="Calibri" w:hAnsi="Calibri" w:eastAsia="SimSun" w:cs="Calibri"/>
          <w:b/>
          <w:bCs/>
          <w:i w:val="0"/>
          <w:iCs w:val="0"/>
          <w:caps w:val="0"/>
          <w:color w:val="000000"/>
          <w:spacing w:val="0"/>
          <w:sz w:val="21"/>
          <w:szCs w:val="21"/>
        </w:rPr>
        <w:t>0781159</w:t>
      </w:r>
      <w:r>
        <w:rPr>
          <w:rFonts w:hint="default" w:ascii="Calibri" w:hAnsi="Calibri" w:eastAsia="SimSun" w:cs="Calibri"/>
          <w:i w:val="0"/>
          <w:iCs w:val="0"/>
          <w:caps w:val="0"/>
          <w:color w:val="000000"/>
          <w:spacing w:val="0"/>
          <w:sz w:val="21"/>
          <w:szCs w:val="21"/>
        </w:rPr>
        <w:t> </w:t>
      </w:r>
      <w:r>
        <w:rPr>
          <w:rFonts w:hint="default"/>
          <w:lang w:val="pt-BR"/>
        </w:rPr>
        <w:t>(https://sei.uff.br/sei/controlador.php?acao=procedimento_trabalhar&amp;id_procedimento=849594&amp;id_documento=852216).</w:t>
      </w: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rPr>
      </w:pPr>
      <w:r>
        <w:rPr>
          <w:b/>
        </w:rPr>
        <w:t>DO CREDENCIAMENTO</w:t>
      </w:r>
    </w:p>
    <w:p>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pPr>
        <w:numPr>
          <w:ilvl w:val="1"/>
          <w:numId w:val="7"/>
        </w:numPr>
        <w:spacing w:before="120" w:after="120" w:line="276" w:lineRule="auto"/>
        <w:jc w:val="both"/>
        <w:rPr>
          <w:color w:val="000000"/>
        </w:rPr>
      </w:pPr>
      <w:r>
        <w:rPr>
          <w:color w:val="000000"/>
        </w:rPr>
        <w:t xml:space="preserve">O cadastro no SICAF deverá ser feito no Portal de Compras do Governo Federal, no sítio </w:t>
      </w:r>
      <w:r>
        <w:fldChar w:fldCharType="begin"/>
      </w:r>
      <w:r>
        <w:instrText xml:space="preserve"> HYPERLINK "https://www.gov.br/compras/pt-br" \h </w:instrText>
      </w:r>
      <w:r>
        <w:fldChar w:fldCharType="separate"/>
      </w:r>
      <w:r>
        <w:rPr>
          <w:color w:val="000080"/>
          <w:u w:val="single"/>
        </w:rPr>
        <w:t>www.gov.br/compras</w:t>
      </w:r>
      <w:r>
        <w:rPr>
          <w:color w:val="000080"/>
          <w:u w:val="single"/>
        </w:rPr>
        <w:fldChar w:fldCharType="end"/>
      </w:r>
      <w:r>
        <w:rPr>
          <w:color w:val="000000"/>
        </w:rPr>
        <w:t>, por meio de certificado digital conferido pela Infraestrutura de Chaves Públicas Brasileira – ICP - Brasil.</w:t>
      </w:r>
    </w:p>
    <w:p>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numPr>
          <w:ilvl w:val="1"/>
          <w:numId w:val="7"/>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7"/>
        </w:numPr>
        <w:spacing w:before="120" w:after="120" w:line="276" w:lineRule="auto"/>
        <w:jc w:val="both"/>
        <w:rPr>
          <w:color w:val="000000"/>
        </w:rPr>
      </w:pPr>
      <w:r>
        <w:rPr>
          <w:color w:val="000000"/>
        </w:rPr>
        <w:t>A não observância do disposto no subitem anterior poderá ensejar desclassificação no momento da habilitação</w:t>
      </w:r>
    </w:p>
    <w:p>
      <w:pPr>
        <w:keepNext/>
        <w:keepLines/>
        <w:numPr>
          <w:ilvl w:val="0"/>
          <w:numId w:val="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 DA PARTICIPAÇÃO NO PREGÃO.</w:t>
      </w:r>
    </w:p>
    <w:p>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8"/>
        </w:numPr>
        <w:spacing w:before="120" w:after="120" w:line="276" w:lineRule="auto"/>
        <w:jc w:val="both"/>
        <w:rPr>
          <w:color w:val="000000"/>
        </w:rPr>
      </w:pPr>
      <w:r>
        <w:rPr>
          <w:color w:val="000000"/>
        </w:rPr>
        <w:t>Os licitantes deverão utilizar o certificado digital para acesso ao Sistema</w:t>
      </w:r>
    </w:p>
    <w:p>
      <w:pPr>
        <w:numPr>
          <w:ilvl w:val="1"/>
          <w:numId w:val="8"/>
        </w:numPr>
        <w:spacing w:before="120" w:after="120" w:line="276" w:lineRule="auto"/>
        <w:jc w:val="both"/>
        <w:rPr>
          <w:color w:val="000000"/>
        </w:rPr>
      </w:pPr>
      <w:r>
        <w:rPr>
          <w:color w:val="000000"/>
        </w:rPr>
        <w:t>Não poderão participar desta licitação os interessados:</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proibidos de participar de licitações e celebrar contratos administrativos, na forma da legislação vigente;</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que não atendam às condições deste Edital e seu(s) anexo(s);</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estrangeiros que não tenham representação legal no Brasil com poderes expressos para receber citação e responder administrativa ou judicialmente;</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que se enquadrem nas vedações previstas no artigo 9º da Lei nº 8.666, de 1993;</w:t>
      </w:r>
    </w:p>
    <w:p>
      <w:pPr>
        <w:keepNext/>
        <w:widowControl w:val="0"/>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jc w:val="both"/>
        <w:rPr>
          <w:color w:val="000000"/>
        </w:rPr>
      </w:pPr>
      <w:bookmarkStart w:id="1" w:name="_heading=h.gjdgxs" w:colFirst="0" w:colLast="0"/>
      <w:bookmarkEnd w:id="1"/>
      <w:r>
        <w:rPr>
          <w:color w:val="000000"/>
        </w:rPr>
        <w:t>que estejam sob falência, recuperação judicial ou extrajudicial, ou concurso de credores ou insolvência, em processo de dissolução ou liquidação, observado o disposto no item 9.10.1.1 deste Edital;</w:t>
      </w:r>
    </w:p>
    <w:p>
      <w:pPr>
        <w:numPr>
          <w:ilvl w:val="2"/>
          <w:numId w:val="9"/>
        </w:numPr>
        <w:pBdr>
          <w:top w:val="none" w:color="auto" w:sz="0" w:space="0"/>
          <w:left w:val="none" w:color="auto" w:sz="0" w:space="0"/>
          <w:bottom w:val="none" w:color="auto" w:sz="0" w:space="0"/>
          <w:right w:val="none" w:color="auto" w:sz="0" w:space="0"/>
          <w:between w:val="none" w:color="auto" w:sz="0" w:space="0"/>
        </w:pBdr>
        <w:spacing w:line="276" w:lineRule="auto"/>
        <w:rPr>
          <w:color w:val="000000"/>
        </w:rPr>
      </w:pPr>
      <w:r>
        <w:rPr>
          <w:color w:val="000000"/>
        </w:rPr>
        <w:t>entidades empresariais que estejam reunidas em consórcio;</w:t>
      </w:r>
    </w:p>
    <w:p>
      <w:pPr>
        <w:spacing w:line="276" w:lineRule="auto"/>
      </w:pPr>
    </w:p>
    <w:p>
      <w:pPr>
        <w:numPr>
          <w:ilvl w:val="2"/>
          <w:numId w:val="9"/>
        </w:numPr>
        <w:pBdr>
          <w:top w:val="none" w:color="auto" w:sz="0" w:space="0"/>
          <w:left w:val="none" w:color="auto" w:sz="0" w:space="0"/>
          <w:bottom w:val="none" w:color="auto" w:sz="0" w:space="0"/>
          <w:right w:val="none" w:color="auto" w:sz="0" w:space="0"/>
          <w:between w:val="none" w:color="auto" w:sz="0" w:space="0"/>
        </w:pBdr>
        <w:tabs>
          <w:tab w:val="left" w:pos="1440"/>
        </w:tabs>
        <w:spacing w:before="120" w:after="120" w:line="276" w:lineRule="auto"/>
        <w:jc w:val="both"/>
        <w:rPr>
          <w:color w:val="000000"/>
        </w:rPr>
      </w:pPr>
      <w:r>
        <w:rPr>
          <w:color w:val="000000"/>
        </w:rPr>
        <w:t xml:space="preserve">organizações da Sociedade Civil de Interesse Público - OSCIP, atuando nessa condição (Acórdão nº 746/2014-TCU-Plenário); </w:t>
      </w:r>
    </w:p>
    <w:p>
      <w:pPr>
        <w:numPr>
          <w:ilvl w:val="2"/>
          <w:numId w:val="9"/>
        </w:numPr>
        <w:tabs>
          <w:tab w:val="left" w:pos="1440"/>
        </w:tabs>
        <w:spacing w:before="120" w:after="120" w:line="276" w:lineRule="auto"/>
        <w:jc w:val="both"/>
        <w:rPr>
          <w:iCs/>
        </w:rPr>
      </w:pPr>
      <w:r>
        <w:rPr>
          <w:iCs/>
        </w:rPr>
        <w:t>instituições sem fins lucrativos (parágrafo único do art. 12 da Instrução Normativa SEGES/MP nº 05/2017);</w:t>
      </w:r>
    </w:p>
    <w:p>
      <w:pPr>
        <w:numPr>
          <w:ilvl w:val="3"/>
          <w:numId w:val="9"/>
        </w:numPr>
        <w:tabs>
          <w:tab w:val="left" w:pos="1440"/>
        </w:tabs>
        <w:spacing w:before="120" w:after="120" w:line="276" w:lineRule="auto"/>
        <w:jc w:val="both"/>
        <w:rPr>
          <w:iCs/>
        </w:rPr>
      </w:pPr>
      <w:r>
        <w:rPr>
          <w:iCs/>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pPr>
        <w:numPr>
          <w:ilvl w:val="2"/>
          <w:numId w:val="9"/>
        </w:numPr>
        <w:tabs>
          <w:tab w:val="left" w:pos="1440"/>
        </w:tabs>
        <w:spacing w:before="120" w:after="120" w:line="276" w:lineRule="auto"/>
        <w:jc w:val="both"/>
        <w:rPr>
          <w:iCs/>
        </w:rPr>
      </w:pPr>
      <w:bookmarkStart w:id="2" w:name="_heading=h.30j0zll" w:colFirst="0" w:colLast="0"/>
      <w:bookmarkEnd w:id="2"/>
      <w:r>
        <w:rPr>
          <w:iCs/>
        </w:rPr>
        <w:t>sociedades cooperativas, considerando a vedação contida no art. 10 da Instrução Normativa SEGES/MP nº 5, de 2017, bem como o disposto no Termo de Conciliação firmado entre o Ministério Público do Trabalho e a AGU.</w:t>
      </w:r>
    </w:p>
    <w:p>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pPr>
        <w:numPr>
          <w:ilvl w:val="0"/>
          <w:numId w:val="10"/>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pPr>
        <w:numPr>
          <w:ilvl w:val="0"/>
          <w:numId w:val="10"/>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pPr>
        <w:numPr>
          <w:ilvl w:val="2"/>
          <w:numId w:val="2"/>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numPr>
          <w:ilvl w:val="1"/>
          <w:numId w:val="8"/>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pPr>
        <w:numPr>
          <w:ilvl w:val="3"/>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pPr>
        <w:numPr>
          <w:ilvl w:val="3"/>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está ciente e concorda com as condições contidas no Edital e seus anexos;</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numPr>
          <w:ilvl w:val="1"/>
          <w:numId w:val="8"/>
        </w:numPr>
        <w:spacing w:before="120" w:after="120" w:line="276" w:lineRule="auto"/>
        <w:jc w:val="both"/>
      </w:pPr>
      <w:r>
        <w:rPr>
          <w:color w:val="000000"/>
        </w:rPr>
        <w:t>A declaração falsa relativa ao cumprimento de qualquer condição sujeitará o licitante às sanções previstas em lei e neste Edital.</w:t>
      </w:r>
    </w:p>
    <w:p>
      <w:pPr>
        <w:spacing w:before="120" w:after="120" w:line="276" w:lineRule="auto"/>
        <w:ind w:left="425"/>
        <w:jc w:val="both"/>
      </w:pPr>
    </w:p>
    <w:p>
      <w:pPr>
        <w:keepNext/>
        <w:keepLines/>
        <w:pBdr>
          <w:top w:val="none" w:color="auto" w:sz="0" w:space="0"/>
          <w:left w:val="none" w:color="auto" w:sz="0" w:space="0"/>
          <w:bottom w:val="none" w:color="auto" w:sz="0" w:space="0"/>
          <w:right w:val="none" w:color="auto" w:sz="0" w:space="0"/>
          <w:between w:val="none" w:color="auto" w:sz="0" w:space="0"/>
        </w:pBdr>
        <w:spacing w:before="120" w:after="120" w:line="276" w:lineRule="auto"/>
        <w:ind w:left="425" w:right="-15" w:hanging="360"/>
        <w:jc w:val="both"/>
        <w:rPr>
          <w:b/>
          <w:color w:val="000000"/>
        </w:rPr>
      </w:pPr>
      <w:r>
        <w:rPr>
          <w:b/>
          <w:color w:val="000000"/>
        </w:rPr>
        <w:t>5.</w:t>
      </w:r>
      <w:r>
        <w:rPr>
          <w:b/>
          <w:color w:val="000000"/>
        </w:rPr>
        <w:tab/>
      </w:r>
      <w:r>
        <w:rPr>
          <w:b/>
          <w:color w:val="000000"/>
        </w:rPr>
        <w:t xml:space="preserve"> DA APRESENTAÇÃO DA PROPOSTA E DOS DOCUMENTOS DE HABILITAÇÃO</w:t>
      </w:r>
    </w:p>
    <w:p>
      <w:pPr>
        <w:spacing w:before="120" w:after="120" w:line="276" w:lineRule="auto"/>
        <w:ind w:left="425"/>
        <w:jc w:val="both"/>
      </w:pPr>
      <w:r>
        <w:t>5.1.</w:t>
      </w:r>
      <w:r>
        <w:tab/>
      </w:r>
      <w: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spacing w:before="120" w:after="120" w:line="276" w:lineRule="auto"/>
        <w:ind w:left="425"/>
        <w:jc w:val="both"/>
      </w:pPr>
      <w:r>
        <w:t>5.2.</w:t>
      </w:r>
      <w:r>
        <w:tab/>
      </w:r>
      <w:r>
        <w:t>O envio da proposta, acompanhada dos documentos de habilitação exigidos neste Edital, ocorrerá por meio de chave de acesso e senha.</w:t>
      </w:r>
    </w:p>
    <w:p>
      <w:pPr>
        <w:spacing w:before="120" w:after="120" w:line="276" w:lineRule="auto"/>
        <w:ind w:left="425"/>
        <w:jc w:val="both"/>
      </w:pPr>
      <w:r>
        <w:t>5.3.</w:t>
      </w:r>
      <w:r>
        <w:tab/>
      </w:r>
      <w:r>
        <w:t>Os licitantes poderão deixar de apresentar os documentos de habilitação que constem do SICAF, assegurado aos demais licitantes o direito de acesso aos dados constantes dos sistemas.</w:t>
      </w:r>
    </w:p>
    <w:p>
      <w:pPr>
        <w:spacing w:before="120" w:after="120" w:line="276" w:lineRule="auto"/>
        <w:ind w:left="425"/>
        <w:jc w:val="both"/>
      </w:pPr>
      <w:r>
        <w:t>5.4.</w:t>
      </w:r>
      <w:r>
        <w:tab/>
      </w:r>
      <w:r>
        <w:t xml:space="preserve">As Microempresas e Empresas de Pequeno Porte deverão encaminhar a documentação de habilitação, ainda que haja alguma restrição de regularidade fiscal e trabalhista, nos termos do art. 43, § 1º da LC nº 123, de 2006. </w:t>
      </w:r>
    </w:p>
    <w:p>
      <w:pPr>
        <w:spacing w:before="120" w:after="120" w:line="276" w:lineRule="auto"/>
        <w:ind w:left="425"/>
        <w:jc w:val="both"/>
      </w:pPr>
      <w:r>
        <w:t>5.5.</w:t>
      </w:r>
      <w:r>
        <w:tab/>
      </w: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spacing w:before="120" w:after="120" w:line="276" w:lineRule="auto"/>
        <w:ind w:left="425"/>
        <w:jc w:val="both"/>
      </w:pPr>
      <w:r>
        <w:t>5.6.</w:t>
      </w:r>
      <w:r>
        <w:tab/>
      </w:r>
      <w:r>
        <w:t>Até a abertura da sessão pública, os licitantes poderão retirar ou substituir a proposta e os documentos de habilitação anteriormente inseridos no sistema;</w:t>
      </w:r>
    </w:p>
    <w:p>
      <w:pPr>
        <w:spacing w:before="120" w:after="120" w:line="276" w:lineRule="auto"/>
        <w:ind w:left="425"/>
        <w:jc w:val="both"/>
      </w:pPr>
      <w:r>
        <w:t>5.7.</w:t>
      </w:r>
      <w:r>
        <w:tab/>
      </w:r>
      <w:r>
        <w:t>Não será estabelecida, nessa etapa do certame, ordem de classificação entre as propostas apresentadas, o que somente ocorrerá após a realização dos procedimentos de negociação e julgamento da proposta.</w:t>
      </w:r>
    </w:p>
    <w:p>
      <w:pPr>
        <w:spacing w:before="120" w:after="120" w:line="276" w:lineRule="auto"/>
        <w:ind w:left="425"/>
        <w:jc w:val="both"/>
      </w:pPr>
      <w:r>
        <w:t>5.8.</w:t>
      </w:r>
      <w:r>
        <w:tab/>
      </w:r>
      <w:r>
        <w:t>Os documentos que compõem a proposta e a habilitação do licitante melhor classificado somente serão disponibilizados para avaliação do pregoeiro e para acesso público após o encerramento do envio de lances.</w:t>
      </w:r>
    </w:p>
    <w:p>
      <w:pPr>
        <w:spacing w:before="120" w:after="120" w:line="276" w:lineRule="auto"/>
        <w:ind w:left="425"/>
        <w:jc w:val="both"/>
      </w:pPr>
    </w:p>
    <w:p>
      <w:pPr>
        <w:keepNext/>
        <w:keepLines/>
        <w:numPr>
          <w:ilvl w:val="0"/>
          <w:numId w:val="11"/>
        </w:numPr>
        <w:pBdr>
          <w:top w:val="none" w:color="auto" w:sz="0" w:space="0"/>
          <w:left w:val="none" w:color="auto" w:sz="0" w:space="0"/>
          <w:bottom w:val="none" w:color="auto" w:sz="0" w:space="0"/>
          <w:right w:val="none" w:color="auto" w:sz="0" w:space="0"/>
          <w:between w:val="none" w:color="auto" w:sz="0" w:space="0"/>
        </w:pBdr>
        <w:spacing w:before="480" w:after="120" w:line="276" w:lineRule="auto"/>
        <w:ind w:left="425" w:right="-15" w:firstLine="66"/>
        <w:jc w:val="both"/>
        <w:rPr>
          <w:color w:val="000000"/>
        </w:rPr>
      </w:pPr>
      <w:r>
        <w:rPr>
          <w:b/>
          <w:color w:val="000000"/>
        </w:rPr>
        <w:t>DO PREENCHIMENTO DA PROPOSTA</w:t>
      </w:r>
      <w:r>
        <w:t xml:space="preserve">  </w:t>
      </w:r>
    </w:p>
    <w:p>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i/>
          <w:color w:val="FF0000"/>
        </w:rPr>
        <w:t xml:space="preserve"> </w:t>
      </w:r>
      <w:r>
        <w:rPr>
          <w:rFonts w:cs="Arial"/>
          <w:iCs/>
          <w:szCs w:val="20"/>
        </w:rPr>
        <w:t>Valor unitário mensal e anual do item licitado, conforme planilha de composição de custos</w:t>
      </w:r>
      <w:r>
        <w:rPr>
          <w:i/>
          <w:color w:val="FF0000"/>
        </w:rPr>
        <w:t>;</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pPr>
        <w:numPr>
          <w:ilvl w:val="3"/>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pPr>
        <w:numPr>
          <w:ilvl w:val="3"/>
          <w:numId w:val="11"/>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ind w:hanging="648"/>
        <w:jc w:val="both"/>
        <w:rPr>
          <w:iCs/>
        </w:rPr>
      </w:pPr>
      <w:bookmarkStart w:id="3" w:name="_heading=h.1fob9te" w:colFirst="0" w:colLast="0"/>
      <w:bookmarkEnd w:id="3"/>
      <w:r>
        <w:rPr>
          <w:iCs/>
        </w:rPr>
        <w:t xml:space="preserve">A quantidade de pessoal que será alocado na execução contratual; </w:t>
      </w:r>
    </w:p>
    <w:p>
      <w:pPr>
        <w:numPr>
          <w:ilvl w:val="1"/>
          <w:numId w:val="11"/>
        </w:numPr>
        <w:spacing w:before="120" w:after="120" w:line="276" w:lineRule="auto"/>
        <w:ind w:left="425" w:firstLine="0"/>
        <w:jc w:val="both"/>
        <w:rPr>
          <w:iCs/>
        </w:rPr>
      </w:pPr>
      <w:r>
        <w:rPr>
          <w:iCs/>
        </w:rPr>
        <w:t xml:space="preserve">Para efeito do subitem anterior, admite-se a adequação técnica da metodologia empregada pela contratada, visando assegurar a execução do objeto, desde que mantidas as condições para a justa remuneração do serviço. </w:t>
      </w:r>
    </w:p>
    <w:p>
      <w:pPr>
        <w:numPr>
          <w:ilvl w:val="1"/>
          <w:numId w:val="11"/>
        </w:numPr>
        <w:spacing w:before="120" w:after="120" w:line="276" w:lineRule="auto"/>
        <w:ind w:left="425" w:firstLine="0"/>
        <w:jc w:val="both"/>
      </w:pPr>
      <w:r>
        <w:t>Todas as especificações do objeto contidas na proposta vinculam a Contratada.</w:t>
      </w:r>
    </w:p>
    <w:p>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numPr>
          <w:ilvl w:val="1"/>
          <w:numId w:val="11"/>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pPr>
        <w:numPr>
          <w:ilvl w:val="2"/>
          <w:numId w:val="11"/>
        </w:numPr>
        <w:spacing w:before="120" w:after="120" w:line="276" w:lineRule="auto"/>
        <w:jc w:val="both"/>
      </w:pPr>
      <w:r>
        <w:t>cotação de percentual menor que o adequado: o percentual será mantido durante toda a execução contratual;</w:t>
      </w:r>
    </w:p>
    <w:p>
      <w:pPr>
        <w:numPr>
          <w:ilvl w:val="2"/>
          <w:numId w:val="11"/>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pPr>
        <w:numPr>
          <w:ilvl w:val="1"/>
          <w:numId w:val="1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numPr>
          <w:ilvl w:val="1"/>
          <w:numId w:val="1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pPr>
        <w:numPr>
          <w:ilvl w:val="1"/>
          <w:numId w:val="11"/>
        </w:numPr>
        <w:spacing w:before="120" w:after="120" w:line="276" w:lineRule="auto"/>
        <w:ind w:left="496" w:firstLine="0"/>
        <w:jc w:val="both"/>
      </w:pPr>
      <w:r>
        <w:t xml:space="preserve">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no 123/2006. </w:t>
      </w:r>
    </w:p>
    <w:p>
      <w:pPr>
        <w:numPr>
          <w:ilvl w:val="1"/>
          <w:numId w:val="12"/>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numPr>
          <w:ilvl w:val="1"/>
          <w:numId w:val="12"/>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pPr>
        <w:numPr>
          <w:ilvl w:val="1"/>
          <w:numId w:val="12"/>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pPr>
        <w:numPr>
          <w:ilvl w:val="2"/>
          <w:numId w:val="12"/>
        </w:numPr>
        <w:spacing w:before="120" w:after="120" w:line="276" w:lineRule="auto"/>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keepLines/>
        <w:numPr>
          <w:ilvl w:val="0"/>
          <w:numId w:val="1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 DA ABERTURA DA SESSÃO, CLASSIFICAÇÃO DAS PROPOSTAS E FORMULAÇÃO DE LANCES</w:t>
      </w:r>
    </w:p>
    <w:p>
      <w:pPr>
        <w:numPr>
          <w:ilvl w:val="1"/>
          <w:numId w:val="1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pPr>
        <w:numPr>
          <w:ilvl w:val="1"/>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Também será desclassificada a proposta que identifique o licitante.</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pPr>
        <w:numPr>
          <w:ilvl w:val="1"/>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pPr>
        <w:numPr>
          <w:ilvl w:val="2"/>
          <w:numId w:val="13"/>
        </w:numPr>
        <w:tabs>
          <w:tab w:val="left" w:pos="1440"/>
        </w:tabs>
        <w:spacing w:before="120" w:after="120" w:line="276" w:lineRule="auto"/>
        <w:ind w:left="1134" w:firstLine="0"/>
        <w:jc w:val="both"/>
      </w:pPr>
      <w:r>
        <w:t xml:space="preserve">O lance deverá ser ofertado pelo </w:t>
      </w:r>
      <w:r>
        <w:rPr>
          <w:b/>
          <w:bCs/>
        </w:rPr>
        <w:t>valor anual do item</w:t>
      </w:r>
      <w:r>
        <w:t>.</w:t>
      </w:r>
    </w:p>
    <w:p>
      <w:pPr>
        <w:numPr>
          <w:ilvl w:val="1"/>
          <w:numId w:val="13"/>
        </w:numPr>
        <w:spacing w:before="120" w:after="120" w:line="276" w:lineRule="auto"/>
        <w:jc w:val="both"/>
      </w:pPr>
      <w:r>
        <w:t>Os licitantes poderão oferecer lances sucessivos, observando o horário fixado para abertura da sessão e as regras estabelecidas no Edital.</w:t>
      </w:r>
    </w:p>
    <w:p>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pPr>
        <w:numPr>
          <w:ilvl w:val="1"/>
          <w:numId w:val="1"/>
        </w:numPr>
        <w:spacing w:before="120" w:after="120" w:line="276" w:lineRule="auto"/>
        <w:jc w:val="both"/>
        <w:rPr>
          <w:iCs/>
        </w:rPr>
      </w:pPr>
      <w:r>
        <w:rPr>
          <w:iCs/>
        </w:rPr>
        <w:t>Será adotado para o envio de lances no pregão eletrônico o modo de disputa “aberto e fechado”, em que os licitantes apresentarão lances públicos e sucessivos, com lance final e fechado.</w:t>
      </w:r>
    </w:p>
    <w:p>
      <w:pPr>
        <w:numPr>
          <w:ilvl w:val="1"/>
          <w:numId w:val="1"/>
        </w:numPr>
        <w:spacing w:before="120" w:after="120" w:line="276" w:lineRule="auto"/>
        <w:jc w:val="both"/>
        <w:rPr>
          <w:iCs/>
        </w:rPr>
      </w:pPr>
      <w:r>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numPr>
          <w:ilvl w:val="1"/>
          <w:numId w:val="1"/>
        </w:numPr>
        <w:spacing w:before="120" w:after="120" w:line="276" w:lineRule="auto"/>
        <w:jc w:val="both"/>
        <w:rPr>
          <w:iCs/>
        </w:rPr>
      </w:pPr>
      <w:r>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numPr>
          <w:ilvl w:val="2"/>
          <w:numId w:val="1"/>
        </w:numPr>
        <w:spacing w:before="120" w:after="120" w:line="276" w:lineRule="auto"/>
        <w:jc w:val="both"/>
        <w:rPr>
          <w:iCs/>
        </w:rPr>
      </w:pPr>
      <w:r>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numPr>
          <w:ilvl w:val="1"/>
          <w:numId w:val="1"/>
        </w:numPr>
        <w:spacing w:before="120" w:after="120" w:line="276" w:lineRule="auto"/>
        <w:jc w:val="both"/>
        <w:rPr>
          <w:iCs/>
        </w:rPr>
      </w:pPr>
      <w:r>
        <w:rPr>
          <w:iCs/>
        </w:rPr>
        <w:t>Após o término dos prazos estabelecidos nos itens anteriores, o sistema ordenará os lances segundo a ordem crescente de valores.</w:t>
      </w:r>
    </w:p>
    <w:p>
      <w:pPr>
        <w:numPr>
          <w:ilvl w:val="2"/>
          <w:numId w:val="1"/>
        </w:numPr>
        <w:spacing w:before="120" w:after="120" w:line="276" w:lineRule="auto"/>
        <w:jc w:val="both"/>
        <w:rPr>
          <w:iCs/>
        </w:rPr>
      </w:pPr>
      <w:r>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numPr>
          <w:ilvl w:val="1"/>
          <w:numId w:val="1"/>
        </w:numPr>
        <w:spacing w:before="120" w:after="120" w:line="276" w:lineRule="auto"/>
        <w:jc w:val="both"/>
        <w:rPr>
          <w:iCs/>
        </w:rPr>
      </w:pPr>
      <w:r>
        <w:rPr>
          <w:iCs/>
        </w:rPr>
        <w:t>Poderá o pregoeiro, auxiliado pela equipe de apoio, justificadamente, admitir o reinício da etapa fechada, caso nenhum licitante classificado na etapa de lance fechado atender às exigências de habilitação.</w:t>
      </w:r>
    </w:p>
    <w:p>
      <w:pPr>
        <w:numPr>
          <w:ilvl w:val="1"/>
          <w:numId w:val="1"/>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pPr>
        <w:numPr>
          <w:ilvl w:val="1"/>
          <w:numId w:val="1"/>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pPr>
        <w:numPr>
          <w:ilvl w:val="1"/>
          <w:numId w:val="1"/>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pPr>
        <w:numPr>
          <w:ilvl w:val="1"/>
          <w:numId w:val="1"/>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1"/>
        </w:numPr>
        <w:spacing w:before="120" w:after="120" w:line="276" w:lineRule="auto"/>
        <w:ind w:left="425" w:firstLine="0"/>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pPr>
        <w:numPr>
          <w:ilvl w:val="1"/>
          <w:numId w:val="14"/>
        </w:numPr>
        <w:spacing w:before="120" w:after="120" w:line="276" w:lineRule="auto"/>
        <w:jc w:val="both"/>
      </w:pPr>
      <w:r>
        <w:rPr>
          <w:color w:val="000000"/>
        </w:rPr>
        <w:t>Caso o licitante não apresente lances, concorrerá com o valor de sua proposta.</w:t>
      </w:r>
    </w:p>
    <w:p>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numPr>
          <w:ilvl w:val="1"/>
          <w:numId w:val="14"/>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14"/>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14"/>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prestados por empresas brasileiras; </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prestados por empresas que invistam em pesquisa e no desenvolvimento de tecnologia no País;</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A negociação será realizada por meio do sistema, podendo ser acompanhada pelos demais licitantes.</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 xml:space="preserve">horas ou conforme o descrito através do chat, envie a proposta adequada ao último lance ofertado após a negociação realizada, acompanhada, se for o caso, dos documentos complementares, quando necessários à confirmação daqueles exigidos neste Edital e já apresentados. </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Após a negociação do preço, o Pregoeiro iniciará a fase de aceitação e julgamento da proposta.</w:t>
      </w:r>
    </w:p>
    <w:p>
      <w:pPr>
        <w:keepNext/>
        <w:keepLines/>
        <w:numPr>
          <w:ilvl w:val="0"/>
          <w:numId w:val="1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ACEITABILIDADE DA PROPOSTA VENCEDORA.</w:t>
      </w:r>
    </w:p>
    <w:p>
      <w:pPr>
        <w:numPr>
          <w:ilvl w:val="1"/>
          <w:numId w:val="15"/>
        </w:numPr>
        <w:spacing w:before="120" w:after="120" w:line="276" w:lineRule="auto"/>
        <w:ind w:right="-15"/>
        <w:jc w:val="both"/>
        <w:rPr>
          <w:i/>
          <w:color w:val="000000"/>
        </w:rPr>
      </w:pPr>
      <w:bookmarkStart w:id="4" w:name="bookmark=id.2et92p0" w:colFirst="0" w:colLast="0"/>
      <w:bookmarkEnd w:id="4"/>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15"/>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analisada pelo Pregoeiro no momento da aceitação do lance vencedor.</w:t>
      </w:r>
    </w:p>
    <w:p>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pPr>
        <w:numPr>
          <w:ilvl w:val="2"/>
          <w:numId w:val="16"/>
        </w:numPr>
        <w:pBdr>
          <w:top w:val="none" w:color="auto" w:sz="0" w:space="0"/>
          <w:left w:val="none" w:color="auto" w:sz="0" w:space="0"/>
          <w:bottom w:val="none" w:color="auto" w:sz="0" w:space="0"/>
          <w:right w:val="none" w:color="auto" w:sz="0" w:space="0"/>
          <w:between w:val="none" w:color="auto" w:sz="0" w:space="0"/>
        </w:pBdr>
        <w:spacing w:before="120" w:line="276" w:lineRule="auto"/>
        <w:ind w:right="-15"/>
        <w:jc w:val="both"/>
        <w:rPr>
          <w:color w:val="000000"/>
        </w:rPr>
      </w:pPr>
      <w:r>
        <w:rPr>
          <w:color w:val="000000"/>
        </w:rPr>
        <w:t>não estiver em conformidade com os requisitos estabelecidos neste edital;</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contenha vício insanável ou ilegalidade;</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não apresente as especificações técnicas exigidas pelo Termo de Referência;</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numPr>
          <w:ilvl w:val="3"/>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p>
    <w:p>
      <w:pPr>
        <w:numPr>
          <w:ilvl w:val="4"/>
          <w:numId w:val="16"/>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numPr>
          <w:ilvl w:val="4"/>
          <w:numId w:val="16"/>
        </w:numPr>
        <w:pBdr>
          <w:top w:val="none" w:color="auto" w:sz="0" w:space="0"/>
          <w:left w:val="none" w:color="auto" w:sz="0" w:space="0"/>
          <w:bottom w:val="none" w:color="auto" w:sz="0" w:space="0"/>
          <w:right w:val="none" w:color="auto" w:sz="0" w:space="0"/>
          <w:between w:val="none" w:color="auto" w:sz="0" w:space="0"/>
        </w:pBd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pPr>
        <w:numPr>
          <w:ilvl w:val="3"/>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iCs/>
        </w:rPr>
      </w:pPr>
      <w:r>
        <w:rPr>
          <w:iCs/>
        </w:rPr>
        <w:t xml:space="preserve">A fim de assegurar o tratamento isonômico entre as licitantes, bem como para a contagem da anualidade prevista no art. 3º, §1º da Lei n. 10.192/2001, </w:t>
      </w:r>
      <w:r>
        <w:rPr>
          <w:rFonts w:cs="Arial"/>
          <w:iCs/>
          <w:szCs w:val="20"/>
        </w:rPr>
        <w:t>informa-se que foram utilizadas as convenções coletivas de trabalho, anexo do Edital, no cálculo do valor estimado pela Administração</w:t>
      </w:r>
    </w:p>
    <w:p>
      <w:pPr>
        <w:numPr>
          <w:ilvl w:val="4"/>
          <w:numId w:val="16"/>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b/>
        </w:rPr>
        <w:t xml:space="preserve">CCT </w:t>
      </w:r>
      <w:r>
        <w:rPr>
          <w:rFonts w:hint="default"/>
          <w:b/>
          <w:lang w:val="pt-BR"/>
        </w:rPr>
        <w:t xml:space="preserve">2021/2022 </w:t>
      </w:r>
      <w:r>
        <w:rPr>
          <w:b/>
        </w:rPr>
        <w:t xml:space="preserve"> - RJ0</w:t>
      </w:r>
      <w:r>
        <w:rPr>
          <w:rFonts w:hint="default"/>
          <w:b/>
          <w:lang w:val="pt-BR"/>
        </w:rPr>
        <w:t>00597/2022;</w:t>
      </w:r>
    </w:p>
    <w:p>
      <w:pPr>
        <w:numPr>
          <w:ilvl w:val="4"/>
          <w:numId w:val="16"/>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iCs/>
        </w:rPr>
        <w:t>O(s) sindicato(s) indicado(s) nos subitens acima não são de utilização obrigatória pelos licitantes (Acórdão TCU nº 369/2012), mas sempre se exigirá o cumprimento das convenções coletivas adotadas por cada licitante/contratante.</w:t>
      </w:r>
    </w:p>
    <w:p>
      <w:pPr>
        <w:numPr>
          <w:ilvl w:val="1"/>
          <w:numId w:val="15"/>
        </w:numPr>
        <w:spacing w:before="120" w:after="120" w:line="276" w:lineRule="auto"/>
        <w:ind w:right="-15"/>
        <w:jc w:val="both"/>
        <w:rPr>
          <w:color w:val="000000"/>
        </w:rPr>
      </w:pPr>
      <w:r>
        <w:rPr>
          <w:color w:val="000000"/>
        </w:rPr>
        <w:t>É vedado à proponente incluir na Planilha de Custos e Formação de Preços:</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pPr>
        <w:numPr>
          <w:ilvl w:val="1"/>
          <w:numId w:val="15"/>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numPr>
          <w:ilvl w:val="2"/>
          <w:numId w:val="19"/>
        </w:numPr>
        <w:spacing w:before="120" w:after="120" w:line="276" w:lineRule="auto"/>
        <w:ind w:right="-15"/>
        <w:jc w:val="both"/>
        <w:rPr>
          <w:iCs/>
        </w:rPr>
      </w:pPr>
      <w:r>
        <w:rPr>
          <w:iCs/>
        </w:rPr>
        <w:t xml:space="preserve">As propostas com preços próximos ou inferiores ao mínimo estabelecido pelo Ministério da Economia, disponibilizado em meio eletrônico, no Portal de Compras do Governo Federal </w:t>
      </w:r>
      <w:r>
        <w:rPr>
          <w:b/>
          <w:iCs/>
        </w:rPr>
        <w:t>(</w:t>
      </w:r>
      <w:r>
        <w:fldChar w:fldCharType="begin"/>
      </w:r>
      <w:r>
        <w:instrText xml:space="preserve"> HYPERLINK "http://www.gov.br/compras" \h </w:instrText>
      </w:r>
      <w:r>
        <w:fldChar w:fldCharType="separate"/>
      </w:r>
      <w:r>
        <w:rPr>
          <w:b/>
          <w:iCs/>
          <w:u w:val="single"/>
        </w:rPr>
        <w:t>www.gov.br/compras</w:t>
      </w:r>
      <w:r>
        <w:rPr>
          <w:b/>
          <w:iCs/>
          <w:u w:val="single"/>
        </w:rPr>
        <w:fldChar w:fldCharType="end"/>
      </w:r>
      <w:r>
        <w:rPr>
          <w:b/>
          <w:iCs/>
        </w:rPr>
        <w:t>)</w:t>
      </w:r>
      <w:r>
        <w:rPr>
          <w:iCs/>
        </w:rPr>
        <w:t xml:space="preserve">, deverão comprovar sua exequibilidade, de forma inequívoca, sob pena de desclassificação, sem prejuízo do disposto nos itens 9.2 a 9.6 do Anexo VII-A, da Instrução Normativa/SEGES/MP n.º 5/2017 (Portaria SEGES/MP n. 213, de 25 de setembro de 2017). </w:t>
      </w:r>
    </w:p>
    <w:p>
      <w:pPr>
        <w:numPr>
          <w:ilvl w:val="1"/>
          <w:numId w:val="15"/>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15"/>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horas ou conforme o descrito através do chat, sob pena de não aceitação da proposta.</w:t>
      </w:r>
    </w:p>
    <w:p>
      <w:pPr>
        <w:numPr>
          <w:ilvl w:val="2"/>
          <w:numId w:val="21"/>
        </w:numPr>
        <w:spacing w:before="120" w:after="120" w:line="276" w:lineRule="auto"/>
        <w:ind w:right="-15"/>
        <w:jc w:val="both"/>
      </w:pPr>
      <w:r>
        <w:rPr>
          <w:color w:val="000000"/>
        </w:rPr>
        <w:t xml:space="preserve">É facultado ao pregoeiro prorrogar o prazo estabelecido a partir de solicitação fundamentada feita no </w:t>
      </w:r>
      <w:r>
        <w:rPr>
          <w:b/>
          <w:bCs/>
          <w:color w:val="000000"/>
        </w:rPr>
        <w:t xml:space="preserve">chat </w:t>
      </w:r>
      <w:r>
        <w:rPr>
          <w:rFonts w:ascii="Arial" w:hAnsi="Arial" w:eastAsia="SimSun" w:cs="Arial"/>
          <w:b/>
          <w:bCs/>
          <w:i w:val="0"/>
          <w:iCs w:val="0"/>
          <w:color w:val="000000"/>
          <w:sz w:val="20"/>
          <w:szCs w:val="20"/>
          <w:u w:val="none"/>
          <w:shd w:val="clear" w:fill="FFFFFF"/>
          <w:vertAlign w:val="baseline"/>
        </w:rPr>
        <w:t xml:space="preserve"> ou também por meio do e-mail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"mailto:cpl@id.uff.br" </w:instrText>
      </w:r>
      <w:r>
        <w:rPr>
          <w:rFonts w:ascii="SimSun" w:hAnsi="SimSun" w:eastAsia="SimSun" w:cs="SimSun"/>
          <w:b w:val="0"/>
          <w:bCs w:val="0"/>
          <w:sz w:val="24"/>
          <w:szCs w:val="24"/>
          <w:u w:val="none"/>
        </w:rPr>
        <w:fldChar w:fldCharType="separate"/>
      </w:r>
      <w:r>
        <w:rPr>
          <w:rStyle w:val="14"/>
          <w:rFonts w:hint="default" w:ascii="Arial" w:hAnsi="Arial" w:eastAsia="SimSun" w:cs="Arial"/>
          <w:b/>
          <w:bCs/>
          <w:i w:val="0"/>
          <w:iCs w:val="0"/>
          <w:color w:val="1155CC"/>
          <w:sz w:val="20"/>
          <w:szCs w:val="20"/>
          <w:u w:val="single"/>
          <w:shd w:val="clear" w:fill="FFFFFF"/>
          <w:vertAlign w:val="baseline"/>
        </w:rPr>
        <w:t>cpl@id.uff.b</w:t>
      </w:r>
      <w:r>
        <w:rPr>
          <w:rStyle w:val="14"/>
          <w:rFonts w:hint="default" w:ascii="Arial" w:hAnsi="Arial" w:eastAsia="SimSun" w:cs="Arial"/>
          <w:i w:val="0"/>
          <w:iCs w:val="0"/>
          <w:color w:val="1155CC"/>
          <w:sz w:val="20"/>
          <w:szCs w:val="20"/>
          <w:u w:val="single"/>
          <w:shd w:val="clear" w:fill="FFFFFF"/>
          <w:vertAlign w:val="baseline"/>
        </w:rPr>
        <w:t>r</w:t>
      </w:r>
      <w:r>
        <w:rPr>
          <w:rFonts w:ascii="SimSun" w:hAnsi="SimSun" w:eastAsia="SimSun" w:cs="SimSun"/>
          <w:b w:val="0"/>
          <w:bCs w:val="0"/>
          <w:sz w:val="24"/>
          <w:szCs w:val="24"/>
          <w:u w:val="none"/>
        </w:rPr>
        <w:fldChar w:fldCharType="end"/>
      </w:r>
      <w:r>
        <w:rPr>
          <w:rFonts w:hint="default" w:ascii="SimSun" w:hAnsi="SimSun" w:eastAsia="SimSun" w:cs="SimSun"/>
          <w:b w:val="0"/>
          <w:bCs w:val="0"/>
          <w:sz w:val="24"/>
          <w:szCs w:val="24"/>
          <w:u w:val="none"/>
          <w:lang w:val="pt-BR"/>
        </w:rPr>
        <w:t xml:space="preserve"> </w:t>
      </w:r>
      <w:r>
        <w:rPr>
          <w:color w:val="000000"/>
        </w:rPr>
        <w:t>pelo licitante, antes de findo o prazo.</w:t>
      </w:r>
    </w:p>
    <w:p>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pPr>
        <w:numPr>
          <w:ilvl w:val="1"/>
          <w:numId w:val="21"/>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pPr>
        <w:numPr>
          <w:ilvl w:val="1"/>
          <w:numId w:val="21"/>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pPr>
        <w:numPr>
          <w:ilvl w:val="1"/>
          <w:numId w:val="21"/>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pPr>
        <w:numPr>
          <w:ilvl w:val="1"/>
          <w:numId w:val="21"/>
        </w:numPr>
        <w:spacing w:before="120" w:after="120" w:line="276" w:lineRule="auto"/>
        <w:ind w:right="-15"/>
        <w:jc w:val="both"/>
        <w:rPr>
          <w:rFonts w:cs="Arial"/>
          <w:color w:val="000000" w:themeColor="text1"/>
          <w:szCs w:val="20"/>
          <w14:textFill>
            <w14:solidFill>
              <w14:schemeClr w14:val="tx1"/>
            </w14:solidFill>
          </w14:textFill>
        </w:rPr>
      </w:pPr>
      <w:r>
        <w:rPr>
          <w:rFonts w:cs="Arial"/>
          <w:color w:val="000000" w:themeColor="text1"/>
          <w:szCs w:val="20"/>
          <w14:textFill>
            <w14:solidFill>
              <w14:schemeClr w14:val="tx1"/>
            </w14:solidFill>
          </w14:textFill>
        </w:rPr>
        <w:t>AMOSTRA: o pregoeiro poderá solicitar Amostra dos Materiais a serem utilizados na execução do Contrato, de forma a garantir a qualidade dos mesmos. Caso julgue necessário, a solicitação será feita por Chat com o prazo e endereço para recebimento.</w:t>
      </w:r>
    </w:p>
    <w:p>
      <w:pPr>
        <w:spacing w:before="120" w:after="120" w:line="276" w:lineRule="auto"/>
        <w:ind w:left="1036" w:right="-15"/>
        <w:jc w:val="both"/>
        <w:rPr>
          <w:color w:val="000000"/>
        </w:rPr>
      </w:pPr>
    </w:p>
    <w:p>
      <w:pPr>
        <w:keepNext/>
        <w:keepLines/>
        <w:numPr>
          <w:ilvl w:val="0"/>
          <w:numId w:val="2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DA HABILITAÇÃO </w:t>
      </w:r>
    </w:p>
    <w:p>
      <w:pPr>
        <w:numPr>
          <w:ilvl w:val="1"/>
          <w:numId w:val="23"/>
        </w:numPr>
        <w:pBdr>
          <w:top w:val="none" w:color="auto" w:sz="0" w:space="0"/>
          <w:left w:val="none" w:color="auto" w:sz="0" w:space="0"/>
          <w:bottom w:val="none" w:color="auto" w:sz="0" w:space="0"/>
          <w:right w:val="none" w:color="auto" w:sz="0" w:space="0"/>
          <w:between w:val="none" w:color="auto" w:sz="0" w:space="0"/>
        </w:pBd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720" w:firstLine="720"/>
        <w:jc w:val="both"/>
        <w:rPr>
          <w:color w:val="000000"/>
        </w:rPr>
      </w:pPr>
      <w:r>
        <w:t xml:space="preserve">    a</w:t>
      </w:r>
      <w:r>
        <w:rPr>
          <w:color w:val="000000"/>
        </w:rPr>
        <w:t>) SICAF;</w:t>
      </w:r>
    </w:p>
    <w:p>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r>
        <w:fldChar w:fldCharType="begin"/>
      </w:r>
      <w:r>
        <w:instrText xml:space="preserve"> HYPERLINK "http://www.portaldatransparencia.gov.br/ceis" \h </w:instrText>
      </w:r>
      <w:r>
        <w:fldChar w:fldCharType="separate"/>
      </w:r>
      <w:r>
        <w:rPr>
          <w:b/>
          <w:color w:val="0000FF"/>
          <w:u w:val="single"/>
        </w:rPr>
        <w:t>www.portaldatransparencia.gov.br/ceis</w:t>
      </w:r>
      <w:r>
        <w:rPr>
          <w:b/>
          <w:color w:val="0000FF"/>
          <w:u w:val="single"/>
        </w:rPr>
        <w:fldChar w:fldCharType="end"/>
      </w:r>
      <w:r>
        <w:rPr>
          <w:b/>
          <w:color w:val="0000FF"/>
        </w:rPr>
        <w:t>);</w:t>
      </w:r>
    </w:p>
    <w:p>
      <w:pPr>
        <w:spacing w:before="120" w:after="120" w:line="276" w:lineRule="auto"/>
        <w:ind w:left="1134" w:hanging="1134"/>
        <w:jc w:val="both"/>
        <w:rPr>
          <w:b/>
          <w:color w:val="0000FF"/>
        </w:rPr>
      </w:pPr>
      <w:r>
        <w:t xml:space="preserve">                    c) Cadastro Nacional de Condenações Cíveis por Atos de Improbidade Administrativa,                     mantido pelo Conselho Nacional de justiça </w:t>
      </w:r>
      <w:r>
        <w:rPr>
          <w:b/>
          <w:color w:val="0000FF"/>
        </w:rPr>
        <w:t>(</w:t>
      </w:r>
      <w:r>
        <w:fldChar w:fldCharType="begin"/>
      </w:r>
      <w:r>
        <w:instrText xml:space="preserve"> HYPERLINK "http://www.cnj.jus.br/improbidade_adm/consultar_requerido.php" \h </w:instrText>
      </w:r>
      <w:r>
        <w:fldChar w:fldCharType="separate"/>
      </w:r>
      <w:r>
        <w:rPr>
          <w:b/>
          <w:color w:val="0000FF"/>
          <w:u w:val="single"/>
        </w:rPr>
        <w:t>www.cnj.jus.br/improbidade_adm/consultar_requerido.php</w:t>
      </w:r>
      <w:r>
        <w:rPr>
          <w:b/>
          <w:color w:val="0000FF"/>
          <w:u w:val="single"/>
        </w:rPr>
        <w:fldChar w:fldCharType="end"/>
      </w:r>
      <w:r>
        <w:rPr>
          <w:b/>
          <w:color w:val="0000FF"/>
        </w:rPr>
        <w:t>);</w:t>
      </w:r>
    </w:p>
    <w:p>
      <w:pPr>
        <w:ind w:left="1134" w:hanging="1134"/>
      </w:pPr>
      <w:r>
        <w:t xml:space="preserve">                    d) Lista de Inidôneos e o Cadastro Integrado de Condenações por Ilícitos Administrativos            - CADICON, mantidos pelo Tribunal de Contas da União - TCU;</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 xml:space="preserve">Para a consulta de licitantes pessoa jurídica poderá haver a substituição ds consultas das alíneas “b”, “c” e “d” acima pela Consulta Consolidada de Pessoa Jurídica do TCU </w:t>
      </w:r>
      <w:r>
        <w:rPr>
          <w:b/>
          <w:color w:val="0000FF"/>
        </w:rPr>
        <w:t>(</w:t>
      </w:r>
      <w:r>
        <w:fldChar w:fldCharType="begin"/>
      </w:r>
      <w:r>
        <w:instrText xml:space="preserve"> HYPERLINK "https://certidoesapf.apps.tcu.gov.br/" \h </w:instrText>
      </w:r>
      <w:r>
        <w:fldChar w:fldCharType="separate"/>
      </w:r>
      <w:r>
        <w:rPr>
          <w:b/>
          <w:color w:val="0000FF"/>
          <w:u w:val="single"/>
        </w:rPr>
        <w:t>https://certidoesapf.apps.tcu.gov.br/</w:t>
      </w:r>
      <w:r>
        <w:rPr>
          <w:b/>
          <w:color w:val="0000FF"/>
          <w:u w:val="single"/>
        </w:rPr>
        <w:fldChar w:fldCharType="end"/>
      </w:r>
      <w:r>
        <w:rPr>
          <w:b/>
          <w:color w:val="0000FF"/>
        </w:rPr>
        <w:t>)</w:t>
      </w:r>
      <w:r>
        <w:rPr>
          <w:color w:val="000000"/>
        </w:rPr>
        <w:t>.</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numPr>
          <w:ilvl w:val="3"/>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4"/>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A tentativa de burla será verificada por meio dos vínculos societários, linhas de fornecimento similares, dentre outros.</w:t>
      </w:r>
    </w:p>
    <w:p>
      <w:pPr>
        <w:numPr>
          <w:ilvl w:val="4"/>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O licitante será convocado para manifestação previamente à sua desclassificação.</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2279"/>
        <w:jc w:val="both"/>
        <w:rPr>
          <w:color w:val="000000"/>
        </w:rPr>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2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numPr>
          <w:ilvl w:val="2"/>
          <w:numId w:val="23"/>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numPr>
          <w:ilvl w:val="2"/>
          <w:numId w:val="23"/>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23"/>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2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horas ou conforme o descrito através do chat, sob pena de inabilitação.</w:t>
      </w:r>
    </w:p>
    <w:p>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pPr>
        <w:numPr>
          <w:ilvl w:val="1"/>
          <w:numId w:val="23"/>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23"/>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pPr>
        <w:numPr>
          <w:ilvl w:val="1"/>
          <w:numId w:val="24"/>
        </w:numPr>
        <w:spacing w:before="120" w:after="120" w:line="276" w:lineRule="auto"/>
        <w:ind w:left="785"/>
        <w:jc w:val="both"/>
        <w:rPr>
          <w:b/>
          <w:color w:val="000000"/>
        </w:rPr>
      </w:pPr>
      <w:r>
        <w:rPr>
          <w:b/>
          <w:color w:val="000000"/>
        </w:rPr>
        <w:t xml:space="preserve">Habilitação jurídica: </w:t>
      </w:r>
    </w:p>
    <w:p>
      <w:pPr>
        <w:numPr>
          <w:ilvl w:val="2"/>
          <w:numId w:val="2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24"/>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pPr>
        <w:numPr>
          <w:ilvl w:val="2"/>
          <w:numId w:val="2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pPr>
        <w:numPr>
          <w:ilvl w:val="2"/>
          <w:numId w:val="2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pPr>
        <w:numPr>
          <w:ilvl w:val="2"/>
          <w:numId w:val="24"/>
        </w:numPr>
        <w:pBdr>
          <w:top w:val="none" w:color="auto" w:sz="0" w:space="0"/>
          <w:left w:val="none" w:color="auto" w:sz="0" w:space="0"/>
          <w:bottom w:val="none" w:color="auto" w:sz="0" w:space="0"/>
          <w:right w:val="none" w:color="auto" w:sz="0" w:space="0"/>
          <w:between w:val="none" w:color="auto" w:sz="0" w:space="0"/>
        </w:pBdr>
        <w:spacing w:before="120" w:line="276" w:lineRule="auto"/>
        <w:ind w:left="1134" w:firstLine="0"/>
        <w:jc w:val="both"/>
        <w:rPr>
          <w:color w:val="000000"/>
        </w:rPr>
      </w:pPr>
      <w:r>
        <w:rPr>
          <w:color w:val="000000"/>
        </w:rPr>
        <w:t>Os documentos acima deverão estar acompanhados de todas as alterações ou da consolidação respectiva.</w:t>
      </w:r>
    </w:p>
    <w:p>
      <w:pPr>
        <w:pBdr>
          <w:top w:val="none" w:color="auto" w:sz="0" w:space="0"/>
          <w:left w:val="none" w:color="auto" w:sz="0" w:space="0"/>
          <w:bottom w:val="none" w:color="auto" w:sz="0" w:space="0"/>
          <w:right w:val="none" w:color="auto" w:sz="0" w:space="0"/>
          <w:between w:val="none" w:color="auto" w:sz="0" w:space="0"/>
        </w:pBdr>
        <w:spacing w:after="120" w:line="276" w:lineRule="auto"/>
        <w:ind w:left="1134" w:hanging="720"/>
        <w:jc w:val="both"/>
        <w:rPr>
          <w:color w:val="000000"/>
        </w:rPr>
      </w:pPr>
    </w:p>
    <w:p>
      <w:pPr>
        <w:numPr>
          <w:ilvl w:val="1"/>
          <w:numId w:val="24"/>
        </w:numPr>
        <w:spacing w:before="120" w:after="120" w:line="276" w:lineRule="auto"/>
        <w:ind w:left="425" w:firstLine="0"/>
        <w:jc w:val="both"/>
        <w:rPr>
          <w:b/>
          <w:color w:val="000000"/>
        </w:rPr>
      </w:pPr>
      <w:r>
        <w:rPr>
          <w:b/>
          <w:color w:val="000000"/>
        </w:rPr>
        <w:t xml:space="preserve">  Regularidade fiscal e trabalhista:</w:t>
      </w:r>
    </w:p>
    <w:p>
      <w:pPr>
        <w:numPr>
          <w:ilvl w:val="2"/>
          <w:numId w:val="24"/>
        </w:numPr>
        <w:tabs>
          <w:tab w:val="left" w:pos="1440"/>
        </w:tabs>
        <w:spacing w:before="120" w:after="120" w:line="276" w:lineRule="auto"/>
        <w:ind w:left="1134" w:firstLine="0"/>
        <w:jc w:val="both"/>
      </w:pPr>
      <w:r>
        <w:t>prova de inscrição no Cadastro Nacional de Pessoas Jurídicas;</w:t>
      </w:r>
    </w:p>
    <w:p>
      <w:pPr>
        <w:numPr>
          <w:ilvl w:val="2"/>
          <w:numId w:val="24"/>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2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pPr>
        <w:numPr>
          <w:ilvl w:val="2"/>
          <w:numId w:val="24"/>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24"/>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pPr>
        <w:numPr>
          <w:ilvl w:val="2"/>
          <w:numId w:val="24"/>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pPr>
        <w:numPr>
          <w:ilvl w:val="2"/>
          <w:numId w:val="24"/>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numPr>
          <w:ilvl w:val="2"/>
          <w:numId w:val="24"/>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pPr>
        <w:spacing w:before="120" w:after="120" w:line="276" w:lineRule="auto"/>
        <w:ind w:left="425"/>
        <w:jc w:val="both"/>
        <w:rPr>
          <w:b/>
          <w:color w:val="000000"/>
          <w:highlight w:val="yellow"/>
        </w:rPr>
      </w:pPr>
    </w:p>
    <w:p>
      <w:pPr>
        <w:numPr>
          <w:ilvl w:val="1"/>
          <w:numId w:val="24"/>
        </w:numPr>
        <w:spacing w:before="120" w:after="120" w:line="276" w:lineRule="auto"/>
        <w:ind w:left="425" w:firstLine="0"/>
        <w:jc w:val="both"/>
        <w:rPr>
          <w:b/>
          <w:color w:val="000000"/>
        </w:rPr>
      </w:pPr>
      <w:r>
        <w:rPr>
          <w:b/>
          <w:color w:val="000000"/>
        </w:rPr>
        <w:t xml:space="preserve"> Qualificação Econômico-Financeira: </w:t>
      </w:r>
    </w:p>
    <w:p>
      <w:p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ind w:left="1854" w:hanging="720"/>
        <w:jc w:val="both"/>
        <w:rPr>
          <w:color w:val="000000"/>
          <w:highlight w:val="yellow"/>
        </w:rPr>
      </w:pPr>
    </w:p>
    <w:p>
      <w:pPr>
        <w:numPr>
          <w:ilvl w:val="2"/>
          <w:numId w:val="24"/>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142" w:firstLine="993"/>
        <w:jc w:val="both"/>
        <w:rPr>
          <w:color w:val="000000"/>
        </w:rPr>
      </w:pPr>
      <w:bookmarkStart w:id="5" w:name="_heading=h.tyjcwt" w:colFirst="0" w:colLast="0"/>
      <w:bookmarkEnd w:id="5"/>
      <w:r>
        <w:rPr>
          <w:color w:val="000000"/>
        </w:rPr>
        <w:t>certidão negativa de falência, recuperação judicial ou recuperação extrajudicial expedida pelo distribuidor da sede do licitante;</w:t>
      </w:r>
    </w:p>
    <w:p>
      <w:p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1854" w:hanging="720"/>
        <w:jc w:val="both"/>
        <w:rPr>
          <w:color w:val="000000"/>
        </w:rPr>
      </w:pPr>
      <w:bookmarkStart w:id="6" w:name="_heading=h.3dy6vkm" w:colFirst="0" w:colLast="0"/>
      <w:bookmarkEnd w:id="6"/>
    </w:p>
    <w:p>
      <w:pPr>
        <w:numPr>
          <w:ilvl w:val="3"/>
          <w:numId w:val="24"/>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ind w:left="1854"/>
        <w:jc w:val="both"/>
        <w:rPr>
          <w:color w:val="000000"/>
        </w:rPr>
      </w:pPr>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pPr>
        <w:numPr>
          <w:ilvl w:val="2"/>
          <w:numId w:val="24"/>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24"/>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pPr>
        <w:numPr>
          <w:ilvl w:val="3"/>
          <w:numId w:val="24"/>
        </w:numPr>
        <w:spacing w:before="120" w:after="120" w:line="276" w:lineRule="auto"/>
        <w:ind w:left="1701" w:firstLine="0"/>
        <w:jc w:val="both"/>
        <w:rPr>
          <w:color w:val="000000"/>
        </w:rPr>
      </w:pPr>
      <w:r>
        <w:rPr>
          <w:color w:val="000000"/>
        </w:rPr>
        <w:t>é admissível o balanço intermediário, se decorrer de lei ou contrato/estatuto social.</w:t>
      </w:r>
    </w:p>
    <w:p>
      <w:pPr>
        <w:numPr>
          <w:ilvl w:val="2"/>
          <w:numId w:val="24"/>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81"/>
        <w:tblW w:w="6487"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restart"/>
            <w:vAlign w:val="center"/>
          </w:tcPr>
          <w:p>
            <w:pPr>
              <w:tabs>
                <w:tab w:val="left" w:pos="1440"/>
              </w:tabs>
              <w:spacing w:line="276" w:lineRule="auto"/>
              <w:jc w:val="both"/>
              <w:rPr>
                <w:color w:val="000000"/>
              </w:rPr>
            </w:pPr>
            <w:r>
              <w:rPr>
                <w:color w:val="000000"/>
              </w:rPr>
              <w:t>LG =</w:t>
            </w:r>
          </w:p>
        </w:tc>
        <w:tc>
          <w:tcPr>
            <w:tcW w:w="4252" w:type="dxa"/>
            <w:tcBorders>
              <w:bottom w:val="single" w:color="000000" w:sz="4" w:space="0"/>
            </w:tcBorders>
            <w:vAlign w:val="bottom"/>
          </w:tcPr>
          <w:p>
            <w:pPr>
              <w:tabs>
                <w:tab w:val="left" w:pos="1440"/>
              </w:tabs>
              <w:spacing w:line="276" w:lineRule="auto"/>
              <w:jc w:val="both"/>
              <w:rPr>
                <w:color w:val="000000"/>
              </w:rPr>
            </w:pPr>
            <w:r>
              <w:rPr>
                <w:color w:val="000000"/>
              </w:rPr>
              <w:t>Ativo Circulante + Realizável a Longo Prazo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4252"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2"/>
        <w:tblW w:w="6629"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SG =</w:t>
            </w:r>
          </w:p>
        </w:tc>
        <w:tc>
          <w:tcPr>
            <w:tcW w:w="4394" w:type="dxa"/>
            <w:tcBorders>
              <w:bottom w:val="single" w:color="000000" w:sz="4" w:space="0"/>
            </w:tcBorders>
            <w:vAlign w:val="bottom"/>
          </w:tcPr>
          <w:p>
            <w:pPr>
              <w:tabs>
                <w:tab w:val="left" w:pos="1440"/>
              </w:tabs>
              <w:spacing w:line="276" w:lineRule="auto"/>
              <w:jc w:val="both"/>
              <w:rPr>
                <w:color w:val="000000"/>
              </w:rPr>
            </w:pPr>
            <w:r>
              <w:rPr>
                <w:color w:val="000000"/>
              </w:rPr>
              <w:t>Ativo Total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4394"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3"/>
        <w:tblW w:w="4786"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LC =</w:t>
            </w:r>
          </w:p>
        </w:tc>
        <w:tc>
          <w:tcPr>
            <w:tcW w:w="2551" w:type="dxa"/>
            <w:tcBorders>
              <w:bottom w:val="single" w:color="000000" w:sz="4" w:space="0"/>
            </w:tcBorders>
            <w:vAlign w:val="bottom"/>
          </w:tcPr>
          <w:p>
            <w:pPr>
              <w:tabs>
                <w:tab w:val="left" w:pos="1440"/>
              </w:tabs>
              <w:spacing w:line="276" w:lineRule="auto"/>
              <w:jc w:val="both"/>
              <w:rPr>
                <w:color w:val="000000"/>
              </w:rPr>
            </w:pPr>
            <w:r>
              <w:rPr>
                <w:color w:val="000000"/>
              </w:rPr>
              <w:t>Ativo Circulante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2551" w:type="dxa"/>
            <w:tcBorders>
              <w:top w:val="single" w:color="000000" w:sz="4" w:space="0"/>
            </w:tcBorders>
          </w:tcPr>
          <w:p>
            <w:pPr>
              <w:tabs>
                <w:tab w:val="left" w:pos="1440"/>
              </w:tabs>
              <w:spacing w:line="276" w:lineRule="auto"/>
              <w:jc w:val="both"/>
              <w:rPr>
                <w:color w:val="000000"/>
              </w:rPr>
            </w:pPr>
            <w:r>
              <w:rPr>
                <w:color w:val="000000"/>
              </w:rPr>
              <w:t>Passivo Circulante</w:t>
            </w:r>
          </w:p>
        </w:tc>
      </w:tr>
    </w:tbl>
    <w:p>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pPr>
        <w:numPr>
          <w:ilvl w:val="3"/>
          <w:numId w:val="24"/>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pPr>
        <w:numPr>
          <w:ilvl w:val="3"/>
          <w:numId w:val="24"/>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pPr>
        <w:numPr>
          <w:ilvl w:val="3"/>
          <w:numId w:val="24"/>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pPr>
        <w:numPr>
          <w:ilvl w:val="3"/>
          <w:numId w:val="24"/>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pPr>
        <w:numPr>
          <w:ilvl w:val="3"/>
          <w:numId w:val="24"/>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pPr>
        <w:numPr>
          <w:ilvl w:val="3"/>
          <w:numId w:val="24"/>
        </w:numPr>
        <w:spacing w:line="276" w:lineRule="auto"/>
        <w:ind w:left="1701" w:firstLine="0"/>
        <w:jc w:val="both"/>
        <w:rPr>
          <w:color w:val="auto"/>
        </w:rPr>
      </w:pPr>
      <w:r>
        <w:rPr>
          <w:rFonts w:cs="Arial"/>
          <w:color w:val="auto"/>
          <w:szCs w:val="20"/>
          <w:shd w:val="clear" w:color="auto" w:fill="FFFFFF"/>
        </w:rPr>
        <w:t>As 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r>
        <w:rPr>
          <w:rFonts w:hint="default" w:cs="Arial"/>
          <w:color w:val="auto"/>
          <w:szCs w:val="20"/>
          <w:shd w:val="clear" w:color="auto" w:fill="FFFFFF"/>
          <w:lang w:val="pt-BR"/>
        </w:rPr>
        <w:t>.</w:t>
      </w:r>
    </w:p>
    <w:p>
      <w:pPr>
        <w:spacing w:line="276" w:lineRule="auto"/>
        <w:jc w:val="both"/>
      </w:pPr>
    </w:p>
    <w:p>
      <w:pPr>
        <w:numPr>
          <w:ilvl w:val="1"/>
          <w:numId w:val="24"/>
        </w:numPr>
        <w:spacing w:before="120" w:after="120" w:line="276" w:lineRule="auto"/>
        <w:ind w:left="425" w:firstLine="0"/>
        <w:jc w:val="both"/>
        <w:rPr>
          <w:b/>
          <w:color w:val="000000"/>
        </w:rPr>
      </w:pPr>
      <w:r>
        <w:rPr>
          <w:b/>
          <w:color w:val="000000"/>
        </w:rPr>
        <w:t xml:space="preserve"> Qualificação Técnica: </w:t>
      </w:r>
    </w:p>
    <w:p>
      <w:pPr>
        <w:numPr>
          <w:ilvl w:val="2"/>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bookmarkStart w:id="7" w:name="_heading=h.1t3h5sf" w:colFirst="0" w:colLast="0"/>
      <w:bookmarkEnd w:id="7"/>
      <w:r>
        <w:rPr>
          <w:color w:val="00000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pPr>
        <w:numPr>
          <w:ilvl w:val="3"/>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pPr>
        <w:numPr>
          <w:ilvl w:val="4"/>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b/>
          <w:bCs/>
          <w:color w:val="000000"/>
          <w:highlight w:val="none"/>
        </w:rPr>
      </w:pPr>
      <w:bookmarkStart w:id="8" w:name="_heading=h.4d34og8" w:colFirst="0" w:colLast="0"/>
      <w:bookmarkEnd w:id="8"/>
      <w:r>
        <w:rPr>
          <w:b/>
          <w:bCs/>
          <w:color w:val="000000"/>
        </w:rPr>
        <w:t>O licitante deverá apresentar</w:t>
      </w:r>
      <w:r>
        <w:rPr>
          <w:rFonts w:hint="default"/>
          <w:b/>
          <w:bCs/>
          <w:color w:val="000000"/>
          <w:lang w:val="pt-BR"/>
        </w:rPr>
        <w:t xml:space="preserve">, </w:t>
      </w:r>
      <w:r>
        <w:rPr>
          <w:b/>
          <w:bCs/>
          <w:color w:val="000000"/>
        </w:rPr>
        <w:t xml:space="preserve">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w:t>
      </w:r>
      <w:r>
        <w:rPr>
          <w:b/>
          <w:bCs/>
          <w:color w:val="000000"/>
          <w:highlight w:val="none"/>
        </w:rPr>
        <w:t>demonstrando que a licitante gerencia ou gerenciou serviços de mão de obra</w:t>
      </w:r>
      <w:r>
        <w:rPr>
          <w:rFonts w:hint="default"/>
          <w:b/>
          <w:bCs/>
          <w:color w:val="000000"/>
          <w:highlight w:val="none"/>
          <w:lang w:val="pt-BR"/>
        </w:rPr>
        <w:t xml:space="preserve"> de qualquer categoria ou já executou contrato(s)</w:t>
      </w:r>
      <w:r>
        <w:rPr>
          <w:b/>
          <w:bCs/>
          <w:color w:val="000000"/>
          <w:highlight w:val="none"/>
        </w:rPr>
        <w:t>,</w:t>
      </w:r>
      <w:r>
        <w:rPr>
          <w:rFonts w:hint="default"/>
          <w:b/>
          <w:bCs/>
          <w:color w:val="000000"/>
          <w:highlight w:val="none"/>
          <w:lang w:val="pt-BR"/>
        </w:rPr>
        <w:t xml:space="preserve"> </w:t>
      </w:r>
      <w:r>
        <w:rPr>
          <w:rFonts w:hint="default"/>
          <w:b/>
          <w:bCs/>
          <w:color w:val="000000"/>
        </w:rPr>
        <w:t>com um mínimo de 50%</w:t>
      </w:r>
      <w:r>
        <w:rPr>
          <w:b/>
          <w:bCs/>
          <w:color w:val="000000"/>
        </w:rPr>
        <w:t xml:space="preserve"> </w:t>
      </w:r>
      <w:r>
        <w:rPr>
          <w:rFonts w:hint="default"/>
          <w:b/>
          <w:bCs/>
          <w:color w:val="000000"/>
          <w:lang w:val="pt-BR"/>
        </w:rPr>
        <w:t xml:space="preserve"> </w:t>
      </w:r>
      <w:r>
        <w:rPr>
          <w:rFonts w:hint="default"/>
          <w:b/>
          <w:bCs/>
          <w:color w:val="000000"/>
        </w:rPr>
        <w:t>(cinquenta por cento) do número de postos de trabalho a serem contratados</w:t>
      </w:r>
      <w:r>
        <w:rPr>
          <w:rFonts w:hint="default"/>
          <w:b/>
          <w:bCs/>
          <w:color w:val="000000"/>
          <w:lang w:val="pt-BR"/>
        </w:rPr>
        <w:t>, ou seja, 23 postos</w:t>
      </w:r>
      <w:r>
        <w:rPr>
          <w:rFonts w:hint="default"/>
          <w:b/>
          <w:bCs/>
          <w:color w:val="000000"/>
          <w:highlight w:val="none"/>
          <w:lang w:val="pt-BR"/>
        </w:rPr>
        <w:t>.</w:t>
      </w:r>
    </w:p>
    <w:p>
      <w:pPr>
        <w:numPr>
          <w:ilvl w:val="3"/>
          <w:numId w:val="24"/>
        </w:numPr>
        <w:pBdr>
          <w:top w:val="none" w:color="auto" w:sz="0" w:space="0"/>
          <w:left w:val="none" w:color="auto" w:sz="0" w:space="0"/>
          <w:bottom w:val="none" w:color="auto" w:sz="0" w:space="0"/>
          <w:right w:val="none" w:color="auto" w:sz="0" w:space="0"/>
          <w:between w:val="none" w:color="auto" w:sz="0" w:space="0"/>
        </w:pBd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pPr>
        <w:numPr>
          <w:ilvl w:val="3"/>
          <w:numId w:val="24"/>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numPr>
          <w:ilvl w:val="3"/>
          <w:numId w:val="24"/>
        </w:numPr>
        <w:spacing w:before="120" w:after="120" w:line="276" w:lineRule="auto"/>
        <w:ind w:left="1701" w:firstLine="0"/>
        <w:jc w:val="both"/>
        <w:rPr>
          <w:color w:val="000000"/>
        </w:rPr>
      </w:pPr>
      <w:bookmarkStart w:id="9" w:name="_heading=h.2s8eyo1" w:colFirst="0" w:colLast="0"/>
      <w:bookmarkEnd w:id="9"/>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numPr>
          <w:ilvl w:val="3"/>
          <w:numId w:val="24"/>
        </w:numPr>
        <w:spacing w:before="120" w:after="120" w:line="276" w:lineRule="auto"/>
        <w:ind w:left="1701" w:firstLine="0"/>
        <w:jc w:val="both"/>
        <w:rPr>
          <w:color w:val="000000"/>
        </w:rPr>
      </w:pPr>
      <w:r>
        <w:rPr>
          <w:color w:val="000000"/>
        </w:rPr>
        <w:t xml:space="preserve">Será aceito o somatório de atestados que comprovem que o licitante gerencia ou gerenciou serviços de terceirização compatíveis com o objeto licitado por período não inferior </w:t>
      </w:r>
      <w:r>
        <w:rPr>
          <w:b/>
          <w:bCs/>
          <w:color w:val="000000"/>
        </w:rPr>
        <w:t>a 2 (dois) anos,</w:t>
      </w:r>
      <w:r>
        <w:rPr>
          <w:color w:val="000000"/>
        </w:rPr>
        <w:t xml:space="preserve"> referentes a períodos sucessivos não contínuos, não havendo obrigatoriedade de os dois anos serem ininterruptos.</w:t>
      </w:r>
    </w:p>
    <w:p>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pPr>
        <w:numPr>
          <w:ilvl w:val="3"/>
          <w:numId w:val="24"/>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pPr>
        <w:numPr>
          <w:ilvl w:val="3"/>
          <w:numId w:val="24"/>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pPr>
        <w:numPr>
          <w:ilvl w:val="3"/>
          <w:numId w:val="24"/>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pPr>
        <w:numPr>
          <w:ilvl w:val="2"/>
          <w:numId w:val="24"/>
        </w:numPr>
        <w:tabs>
          <w:tab w:val="left" w:pos="1440"/>
        </w:tabs>
        <w:spacing w:before="120" w:after="120" w:line="276" w:lineRule="auto"/>
        <w:ind w:left="1134" w:firstLine="0"/>
        <w:jc w:val="both"/>
        <w:rPr>
          <w:rFonts w:cs="Arial"/>
          <w:iCs/>
          <w:szCs w:val="20"/>
        </w:rPr>
      </w:pPr>
      <w:r>
        <w:rPr>
          <w:b w:val="0"/>
          <w:bCs/>
        </w:rPr>
        <w:t>Declaração da LICITANTE, assinada pelo Representante legal da empresa, de que, caso seja declarada vencedora da licitação, instalará, na região metropolitana do Rio de Janeiro, sede, filial ou representação, dotada de infraestrutura administrativa e técnica, adequadas, com recursos humanos qualificados, necessários e suficientes para a prestação dos serviços contratados, a ser comprovada no prazo máximo de 60 (sessenta) dias contados a partir da assinatura do contrato</w:t>
      </w:r>
      <w:r>
        <w:rPr>
          <w:rFonts w:cs="Arial"/>
          <w:iCs/>
          <w:szCs w:val="20"/>
        </w:rPr>
        <w:t>.</w:t>
      </w:r>
    </w:p>
    <w:p>
      <w:pPr>
        <w:numPr>
          <w:ilvl w:val="2"/>
          <w:numId w:val="24"/>
        </w:numPr>
        <w:tabs>
          <w:tab w:val="left" w:pos="1440"/>
        </w:tabs>
        <w:spacing w:before="120" w:after="120" w:line="276" w:lineRule="auto"/>
        <w:ind w:left="1134" w:firstLine="0"/>
        <w:jc w:val="both"/>
        <w:rPr>
          <w:rFonts w:cs="Arial"/>
          <w:bCs/>
          <w:i/>
          <w:szCs w:val="20"/>
        </w:rPr>
      </w:pPr>
      <w:bookmarkStart w:id="10" w:name="_heading=h.17dp8vu" w:colFirst="0" w:colLast="0"/>
      <w:bookmarkEnd w:id="10"/>
      <w:r>
        <w:rPr>
          <w:rFonts w:cs="Arial"/>
          <w:bCs/>
          <w:i/>
          <w:szCs w:val="20"/>
        </w:rPr>
        <w:t xml:space="preserve">As </w:t>
      </w:r>
      <w:r>
        <w:rPr>
          <w:rFonts w:cs="Arial"/>
          <w:szCs w:val="20"/>
        </w:rPr>
        <w:t>empresas</w:t>
      </w:r>
      <w:r>
        <w:rPr>
          <w:rFonts w:cs="Arial"/>
          <w:bCs/>
          <w:i/>
          <w:szCs w:val="20"/>
        </w:rPr>
        <w:t xml:space="preserve">, cadastradas ou não no SICAF, deverão apresentar atestado de vistoria assinado pelo servidor responsável,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pPr>
        <w:numPr>
          <w:ilvl w:val="3"/>
          <w:numId w:val="24"/>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bCs/>
          <w:iCs/>
        </w:rPr>
        <w:t>constará na proposta</w:t>
      </w:r>
      <w:r>
        <w:rPr>
          <w:iCs/>
        </w:rPr>
        <w:t>, conforme modelo do Anexo V-A do Edital.</w:t>
      </w:r>
    </w:p>
    <w:p/>
    <w:p>
      <w:pPr>
        <w:numPr>
          <w:ilvl w:val="1"/>
          <w:numId w:val="24"/>
        </w:numPr>
        <w:spacing w:before="120" w:after="120" w:line="276" w:lineRule="auto"/>
        <w:jc w:val="both"/>
        <w:rPr>
          <w:b/>
        </w:rPr>
      </w:pPr>
      <w:r>
        <w:t>O licitante enquadrado como microempreendedor individual que pretenda auferir os benefícios do tratamento diferenciado previstos na Lei Complementar n. 123, de 2006, estará dispensado (a) da prova de inscrição nos cadastros de contribuintes estadual e municipal</w:t>
      </w:r>
      <w:r>
        <w:rPr>
          <w:rFonts w:hint="default"/>
          <w:lang w:val="pt-BR"/>
        </w:rPr>
        <w:t xml:space="preserve">, </w:t>
      </w:r>
      <w:r>
        <w:rPr>
          <w:rFonts w:ascii="Arial" w:hAnsi="Arial" w:eastAsia="SimSun" w:cs="Arial"/>
          <w:b/>
          <w:bCs/>
          <w:i w:val="0"/>
          <w:iCs w:val="0"/>
          <w:color w:val="000000"/>
          <w:sz w:val="20"/>
          <w:szCs w:val="20"/>
          <w:u w:val="none"/>
          <w:vertAlign w:val="baseline"/>
        </w:rPr>
        <w:t>entretanto, por força do Acórdão TCU 1</w:t>
      </w:r>
      <w:r>
        <w:rPr>
          <w:rFonts w:eastAsia="SimSun" w:cs="Arial"/>
          <w:b/>
          <w:bCs/>
          <w:i w:val="0"/>
          <w:iCs w:val="0"/>
          <w:color w:val="000000"/>
          <w:sz w:val="20"/>
          <w:szCs w:val="20"/>
          <w:u w:val="none"/>
          <w:vertAlign w:val="baseline"/>
          <w:lang w:val="pt-BR"/>
        </w:rPr>
        <w:t>48/2022</w:t>
      </w:r>
      <w:r>
        <w:rPr>
          <w:rFonts w:ascii="Arial" w:hAnsi="Arial" w:eastAsia="SimSun" w:cs="Arial"/>
          <w:b/>
          <w:bCs/>
          <w:i w:val="0"/>
          <w:iCs w:val="0"/>
          <w:color w:val="000000"/>
          <w:sz w:val="20"/>
          <w:szCs w:val="20"/>
          <w:u w:val="none"/>
          <w:vertAlign w:val="baseline"/>
        </w:rPr>
        <w:t>-Plenário, não estará dispensado da apresentação do balanço patrimonial e das demonstrações contábeis do último exercício</w:t>
      </w:r>
      <w:r>
        <w:t>.</w:t>
      </w:r>
    </w:p>
    <w:p>
      <w:pPr>
        <w:numPr>
          <w:ilvl w:val="1"/>
          <w:numId w:val="24"/>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24"/>
        </w:numPr>
        <w:spacing w:before="120" w:after="120" w:line="276" w:lineRule="auto"/>
        <w:jc w:val="both"/>
        <w:rPr>
          <w:color w:val="000000"/>
        </w:rPr>
      </w:pPr>
      <w:r>
        <w:rPr>
          <w:color w:val="000000"/>
        </w:rPr>
        <w:t>A declaração do vencedor acontecerá no momento imediatamente posterior à fase de habilitação.</w:t>
      </w:r>
    </w:p>
    <w:p>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24"/>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numPr>
          <w:ilvl w:val="1"/>
          <w:numId w:val="24"/>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numPr>
          <w:ilvl w:val="1"/>
          <w:numId w:val="24"/>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2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1"/>
          <w:numId w:val="24"/>
        </w:numPr>
        <w:spacing w:before="120" w:after="120" w:line="276" w:lineRule="auto"/>
        <w:jc w:val="both"/>
        <w:rPr>
          <w:color w:val="000000"/>
        </w:rPr>
      </w:pPr>
      <w:r>
        <w:rPr>
          <w:color w:val="000000"/>
        </w:rPr>
        <w:t>Constatado o atendimento às exigências de habilitação fixadas no Edital, o licitante será declarado vencedor.</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ENCAMINHAMENTO DA PROPOSTA VENCEDORA</w:t>
      </w:r>
    </w:p>
    <w:p>
      <w:pPr>
        <w:numPr>
          <w:ilvl w:val="1"/>
          <w:numId w:val="25"/>
        </w:numPr>
        <w:spacing w:before="120" w:after="120" w:line="276" w:lineRule="auto"/>
        <w:ind w:left="425" w:firstLine="0"/>
        <w:jc w:val="both"/>
        <w:rPr>
          <w:iCs/>
        </w:rPr>
      </w:pPr>
      <w:r>
        <w:rPr>
          <w:iCs/>
        </w:rPr>
        <w:t xml:space="preserve">A proposta final do licitante declarado vencedor deverá ser encaminhada no prazo de </w:t>
      </w:r>
      <w:r>
        <w:rPr>
          <w:rFonts w:cs="Arial"/>
          <w:iCs/>
          <w:szCs w:val="20"/>
        </w:rPr>
        <w:t xml:space="preserve"> 2 (duas) horas, ou conforme orientação do Pregoeiro no sistema eletrônico via ‘chat’,</w:t>
      </w:r>
      <w:r>
        <w:rPr>
          <w:iCs/>
        </w:rPr>
        <w:t xml:space="preserve"> a contar da solicitação do Pregoeiro no sistema eletrônico e deverá:</w:t>
      </w:r>
    </w:p>
    <w:p>
      <w:pPr>
        <w:numPr>
          <w:ilvl w:val="2"/>
          <w:numId w:val="25"/>
        </w:numPr>
        <w:pBdr>
          <w:top w:val="none" w:color="auto" w:sz="0" w:space="0"/>
          <w:left w:val="none" w:color="auto" w:sz="0" w:space="0"/>
          <w:bottom w:val="none" w:color="auto" w:sz="0" w:space="0"/>
          <w:right w:val="none" w:color="auto" w:sz="0" w:space="0"/>
          <w:between w:val="none" w:color="auto" w:sz="0" w:space="0"/>
        </w:pBdr>
        <w:spacing w:before="120" w:line="276" w:lineRule="auto"/>
        <w:ind w:left="1134" w:firstLine="0"/>
        <w:jc w:val="both"/>
        <w:rPr>
          <w:iCs/>
        </w:rPr>
      </w:pPr>
      <w:r>
        <w:rPr>
          <w:iCs/>
        </w:rPr>
        <w:t>ser redigida em língua portuguesa, datilografada ou digitada, em uma via, sem emendas, rasuras, entrelinhas ou ressalvas, devendo a última folha ser assinada e as demais rubricadas pelo licitante ou seu representante legal.</w:t>
      </w:r>
    </w:p>
    <w:p>
      <w:pPr>
        <w:numPr>
          <w:ilvl w:val="2"/>
          <w:numId w:val="25"/>
        </w:numPr>
        <w:pBdr>
          <w:top w:val="none" w:color="auto" w:sz="0" w:space="0"/>
          <w:left w:val="none" w:color="auto" w:sz="0" w:space="0"/>
          <w:bottom w:val="none" w:color="auto" w:sz="0" w:space="0"/>
          <w:right w:val="none" w:color="auto" w:sz="0" w:space="0"/>
          <w:between w:val="none" w:color="auto" w:sz="0" w:space="0"/>
        </w:pBdr>
        <w:spacing w:line="276" w:lineRule="auto"/>
        <w:ind w:left="1134" w:firstLine="0"/>
        <w:jc w:val="both"/>
        <w:rPr>
          <w:iCs/>
        </w:rPr>
      </w:pPr>
      <w:r>
        <w:rPr>
          <w:iCs/>
        </w:rPr>
        <w:t>apresentar a planilha de custos e formação de preços, devidamente ajustada ao lance vencedor, em conformidade com o modelo anexo a este instrumento convocatório.</w:t>
      </w:r>
    </w:p>
    <w:p>
      <w:pPr>
        <w:numPr>
          <w:ilvl w:val="2"/>
          <w:numId w:val="25"/>
        </w:numPr>
        <w:pBdr>
          <w:top w:val="none" w:color="auto" w:sz="0" w:space="0"/>
          <w:left w:val="none" w:color="auto" w:sz="0" w:space="0"/>
          <w:bottom w:val="none" w:color="auto" w:sz="0" w:space="0"/>
          <w:right w:val="none" w:color="auto" w:sz="0" w:space="0"/>
          <w:between w:val="none" w:color="auto" w:sz="0" w:space="0"/>
        </w:pBdr>
        <w:spacing w:after="120" w:line="276" w:lineRule="auto"/>
        <w:ind w:left="1134" w:firstLine="0"/>
        <w:jc w:val="both"/>
        <w:rPr>
          <w:iCs/>
        </w:rPr>
      </w:pPr>
      <w:r>
        <w:rPr>
          <w:iCs/>
        </w:rPr>
        <w:t>conter a indicação do banco, número da conta e agência do licitante vencedor, para fins de pagamento.</w:t>
      </w:r>
    </w:p>
    <w:p>
      <w:pPr>
        <w:numPr>
          <w:ilvl w:val="1"/>
          <w:numId w:val="25"/>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pPr>
        <w:numPr>
          <w:ilvl w:val="2"/>
          <w:numId w:val="25"/>
        </w:numPr>
        <w:spacing w:before="120" w:after="120" w:line="276" w:lineRule="auto"/>
        <w:ind w:left="1134" w:firstLine="0"/>
        <w:jc w:val="both"/>
        <w:rPr>
          <w:iCs/>
        </w:rPr>
      </w:pPr>
      <w:r>
        <w:rPr>
          <w:iCs/>
        </w:rPr>
        <w:t>Todas as especificações do objeto contidas na proposta vinculam a Contratada.</w:t>
      </w:r>
    </w:p>
    <w:p>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pPr>
        <w:numPr>
          <w:ilvl w:val="2"/>
          <w:numId w:val="25"/>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25"/>
        </w:numPr>
        <w:spacing w:before="120" w:after="120" w:line="276" w:lineRule="auto"/>
        <w:ind w:left="425" w:firstLine="0"/>
        <w:jc w:val="both"/>
      </w:pPr>
      <w:r>
        <w:t xml:space="preserve"> </w:t>
      </w:r>
      <w:r>
        <w:tab/>
      </w: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25"/>
        </w:numPr>
        <w:spacing w:before="120" w:after="120" w:line="276" w:lineRule="auto"/>
        <w:ind w:left="425" w:firstLine="0"/>
        <w:jc w:val="both"/>
      </w:pPr>
      <w:r>
        <w:t xml:space="preserve"> </w:t>
      </w:r>
      <w:r>
        <w:tab/>
      </w:r>
      <w:r>
        <w:t>A proposta deverá obedecer aos termos deste Edital e seus Anexos, não sendo considerada aquela que não corresponda às especificações ali contidas ou que estabeleça vínculo à proposta de outro licitante.</w:t>
      </w:r>
    </w:p>
    <w:p>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DOS RECURSOS</w:t>
      </w:r>
    </w:p>
    <w:p>
      <w:pPr>
        <w:numPr>
          <w:ilvl w:val="1"/>
          <w:numId w:val="25"/>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pPr>
        <w:numPr>
          <w:ilvl w:val="2"/>
          <w:numId w:val="25"/>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25"/>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REABERTURA DA SESSÃO PÚBLICA</w:t>
      </w:r>
    </w:p>
    <w:p>
      <w:pPr>
        <w:numPr>
          <w:ilvl w:val="1"/>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color w:val="000000"/>
        </w:rPr>
      </w:pPr>
      <w:r>
        <w:rPr>
          <w:color w:val="000000"/>
        </w:rPr>
        <w:t>A sessão pública poderá ser reaberta:</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numPr>
          <w:ilvl w:val="1"/>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ADJUDICAÇÃO E HOMOLOGAÇÃO</w:t>
      </w:r>
    </w:p>
    <w:p>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numPr>
          <w:ilvl w:val="1"/>
          <w:numId w:val="25"/>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GARANTIA DE EXECUÇÃO</w:t>
      </w:r>
    </w:p>
    <w:p>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TERMO DE CONTRATO</w:t>
      </w:r>
    </w:p>
    <w:p>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numPr>
          <w:ilvl w:val="2"/>
          <w:numId w:val="26"/>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pPr>
        <w:numPr>
          <w:ilvl w:val="1"/>
          <w:numId w:val="26"/>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pPr>
        <w:numPr>
          <w:ilvl w:val="2"/>
          <w:numId w:val="26"/>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pPr>
        <w:numPr>
          <w:ilvl w:val="2"/>
          <w:numId w:val="26"/>
        </w:numPr>
        <w:spacing w:before="120" w:after="120" w:line="276" w:lineRule="auto"/>
        <w:jc w:val="both"/>
        <w:rPr>
          <w:color w:val="000000"/>
        </w:rPr>
      </w:pPr>
      <w:r>
        <w:rPr>
          <w:color w:val="000000"/>
        </w:rPr>
        <w:t>a contratada se vincula à sua proposta e às previsões contidas no edital e seus anexos;</w:t>
      </w:r>
    </w:p>
    <w:p>
      <w:pPr>
        <w:numPr>
          <w:ilvl w:val="2"/>
          <w:numId w:val="26"/>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numPr>
          <w:ilvl w:val="2"/>
          <w:numId w:val="26"/>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26"/>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highlight w:val="white"/>
        </w:rPr>
        <w:t>DO REAJUSTAMENTO EM SENTIDO GERAL</w:t>
      </w:r>
    </w:p>
    <w:p>
      <w:pPr>
        <w:keepNext/>
        <w:keepLines/>
        <w:numPr>
          <w:ilvl w:val="1"/>
          <w:numId w:val="26"/>
        </w:numPr>
        <w:pBdr>
          <w:top w:val="none" w:color="auto" w:sz="0" w:space="0"/>
          <w:left w:val="none" w:color="auto" w:sz="0" w:space="0"/>
          <w:bottom w:val="none" w:color="auto" w:sz="0" w:space="0"/>
          <w:right w:val="none" w:color="auto" w:sz="0" w:space="0"/>
          <w:between w:val="none" w:color="auto" w:sz="0" w:space="0"/>
        </w:pBd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360" w:after="120" w:line="276" w:lineRule="auto"/>
        <w:ind w:right="-15"/>
        <w:jc w:val="both"/>
        <w:rPr>
          <w:b/>
          <w:color w:val="000000"/>
        </w:rPr>
      </w:pPr>
      <w:r>
        <w:rPr>
          <w:b/>
          <w:color w:val="000000"/>
        </w:rPr>
        <w:t>DA ACEITAÇÃO DO OBJETO E DA FISCALIZAÇÃO</w:t>
      </w:r>
    </w:p>
    <w:p>
      <w:pPr>
        <w:numPr>
          <w:ilvl w:val="1"/>
          <w:numId w:val="26"/>
        </w:numPr>
        <w:spacing w:before="120" w:after="120" w:line="276" w:lineRule="auto"/>
        <w:ind w:left="425" w:firstLine="0"/>
        <w:jc w:val="both"/>
      </w:pPr>
      <w:r>
        <w:t>Os critérios de aceitação do objeto e de fiscalização estão previstos no Termo de Referência.</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OBRIGAÇÕES DA CONTRATANTE E DA CONTRATADA</w:t>
      </w:r>
    </w:p>
    <w:p>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PAGAMENTO</w:t>
      </w:r>
    </w:p>
    <w:p>
      <w:pPr>
        <w:numPr>
          <w:ilvl w:val="1"/>
          <w:numId w:val="26"/>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As regras acerca do pagamento são as estabelecidas no Termo de Referência, anexo a este Edital.</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i/>
        </w:rPr>
      </w:pPr>
      <w:r>
        <w:rPr>
          <w:b/>
          <w:i/>
        </w:rPr>
        <w:t>DA CONTA-DEPÓSITO VINCULADA</w:t>
      </w:r>
      <w:r>
        <w:rPr>
          <w:b/>
          <w:i/>
          <w:highlight w:val="white"/>
        </w:rPr>
        <w:t>― BLOQUEADA PARA MOVIMENTAÇÃO</w:t>
      </w:r>
    </w:p>
    <w:p>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são as estabelecidas </w:t>
      </w:r>
      <w:r>
        <w:rPr>
          <w:iCs/>
        </w:rPr>
        <w:t>no Termo de Referência, anexo a este Edital.</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SANÇÕES ADMINISTRATIVAS.</w:t>
      </w:r>
    </w:p>
    <w:p>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pPr>
        <w:numPr>
          <w:ilvl w:val="2"/>
          <w:numId w:val="27"/>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pPr>
        <w:numPr>
          <w:ilvl w:val="2"/>
          <w:numId w:val="27"/>
        </w:numPr>
        <w:spacing w:before="120" w:after="120" w:line="276" w:lineRule="auto"/>
        <w:jc w:val="both"/>
        <w:rPr>
          <w:color w:val="000000"/>
        </w:rPr>
      </w:pPr>
      <w:r>
        <w:rPr>
          <w:color w:val="000000"/>
        </w:rPr>
        <w:t>não assinar a ata de registro de preços, quando cabível;</w:t>
      </w:r>
    </w:p>
    <w:p>
      <w:pPr>
        <w:numPr>
          <w:ilvl w:val="2"/>
          <w:numId w:val="27"/>
        </w:numPr>
        <w:spacing w:before="120" w:after="120" w:line="276" w:lineRule="auto"/>
        <w:jc w:val="both"/>
        <w:rPr>
          <w:color w:val="000000"/>
        </w:rPr>
      </w:pPr>
      <w:r>
        <w:rPr>
          <w:color w:val="000000"/>
        </w:rPr>
        <w:t>apresentar documentação falsa;</w:t>
      </w:r>
    </w:p>
    <w:p>
      <w:pPr>
        <w:numPr>
          <w:ilvl w:val="2"/>
          <w:numId w:val="27"/>
        </w:numPr>
        <w:spacing w:before="120" w:after="120" w:line="276" w:lineRule="auto"/>
        <w:jc w:val="both"/>
        <w:rPr>
          <w:color w:val="000000"/>
        </w:rPr>
      </w:pPr>
      <w:r>
        <w:rPr>
          <w:color w:val="000000"/>
        </w:rPr>
        <w:t>deixar de entregar os documentos exigidos no certame;</w:t>
      </w:r>
    </w:p>
    <w:p>
      <w:pPr>
        <w:numPr>
          <w:ilvl w:val="2"/>
          <w:numId w:val="27"/>
        </w:numPr>
        <w:spacing w:before="120" w:after="120" w:line="276" w:lineRule="auto"/>
        <w:jc w:val="both"/>
        <w:rPr>
          <w:color w:val="000000"/>
        </w:rPr>
      </w:pPr>
      <w:r>
        <w:rPr>
          <w:color w:val="000000"/>
        </w:rPr>
        <w:t>ensejar o retardamento da execução do objeto;</w:t>
      </w:r>
    </w:p>
    <w:p>
      <w:pPr>
        <w:numPr>
          <w:ilvl w:val="2"/>
          <w:numId w:val="27"/>
        </w:numPr>
        <w:spacing w:before="120" w:after="120" w:line="276" w:lineRule="auto"/>
        <w:jc w:val="both"/>
        <w:rPr>
          <w:color w:val="000000"/>
        </w:rPr>
      </w:pPr>
      <w:r>
        <w:rPr>
          <w:color w:val="000000"/>
        </w:rPr>
        <w:t>não mantiver a proposta;</w:t>
      </w:r>
    </w:p>
    <w:p>
      <w:pPr>
        <w:numPr>
          <w:ilvl w:val="2"/>
          <w:numId w:val="27"/>
        </w:numPr>
        <w:spacing w:before="120" w:after="120" w:line="276" w:lineRule="auto"/>
        <w:jc w:val="both"/>
        <w:rPr>
          <w:color w:val="000000"/>
        </w:rPr>
      </w:pPr>
      <w:r>
        <w:rPr>
          <w:color w:val="000000"/>
        </w:rPr>
        <w:t>cometer fraude fiscal;</w:t>
      </w:r>
    </w:p>
    <w:p>
      <w:pPr>
        <w:numPr>
          <w:ilvl w:val="2"/>
          <w:numId w:val="27"/>
        </w:numPr>
        <w:spacing w:before="120" w:after="120" w:line="276" w:lineRule="auto"/>
        <w:jc w:val="both"/>
        <w:rPr>
          <w:color w:val="000000"/>
        </w:rPr>
      </w:pPr>
      <w:r>
        <w:rPr>
          <w:color w:val="000000"/>
        </w:rPr>
        <w:t>comportar-se de modo inidôneo;</w:t>
      </w:r>
    </w:p>
    <w:p>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27"/>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27"/>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numPr>
          <w:ilvl w:val="2"/>
          <w:numId w:val="27"/>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sobre o valor estimado do(s) item(s) prejudicado(s) pela conduta do licitante;</w:t>
      </w:r>
    </w:p>
    <w:p>
      <w:pPr>
        <w:numPr>
          <w:ilvl w:val="2"/>
          <w:numId w:val="27"/>
        </w:numPr>
        <w:pBdr>
          <w:top w:val="none" w:color="auto" w:sz="0" w:space="0"/>
          <w:left w:val="none" w:color="auto" w:sz="0" w:space="0"/>
          <w:bottom w:val="none" w:color="auto" w:sz="0" w:space="0"/>
          <w:right w:val="none" w:color="auto" w:sz="0" w:space="0"/>
          <w:between w:val="none" w:color="auto" w:sz="0" w:space="0"/>
        </w:pBd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pPr>
        <w:numPr>
          <w:ilvl w:val="2"/>
          <w:numId w:val="27"/>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numPr>
          <w:ilvl w:val="1"/>
          <w:numId w:val="27"/>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27"/>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numPr>
          <w:ilvl w:val="1"/>
          <w:numId w:val="27"/>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27"/>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27"/>
        </w:numPr>
        <w:spacing w:before="120" w:after="120" w:line="276" w:lineRule="auto"/>
        <w:ind w:left="425" w:firstLine="0"/>
        <w:jc w:val="both"/>
        <w:rPr>
          <w:color w:val="000000"/>
        </w:rPr>
      </w:pPr>
      <w:r>
        <w:rPr>
          <w:color w:val="000000"/>
        </w:rPr>
        <w:t>As penalidades serão obrigatoriamente registradas no SICAF.</w:t>
      </w:r>
    </w:p>
    <w:p>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IMPUGNAÇÃO AO EDITAL E DO PEDIDO DE ESCLARECIMENTO</w:t>
      </w:r>
    </w:p>
    <w:p>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pPr>
        <w:numPr>
          <w:ilvl w:val="1"/>
          <w:numId w:val="27"/>
        </w:numPr>
        <w:tabs>
          <w:tab w:val="left" w:pos="284"/>
        </w:tabs>
        <w:spacing w:before="120" w:after="120" w:line="276" w:lineRule="auto"/>
        <w:ind w:left="425" w:firstLine="0"/>
        <w:jc w:val="both"/>
        <w:rPr>
          <w:rFonts w:cs="Arial"/>
          <w:color w:val="000000"/>
          <w:szCs w:val="20"/>
        </w:rPr>
      </w:pPr>
      <w:r>
        <w:rPr>
          <w:rFonts w:cs="Arial"/>
          <w:color w:val="000000"/>
          <w:szCs w:val="20"/>
        </w:rPr>
        <w:t>A impugnação poderá ser realizada por forma eletrônica, pelo e-mail cpl@id.uff.br.</w:t>
      </w:r>
    </w:p>
    <w:p>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pPr>
        <w:numPr>
          <w:ilvl w:val="1"/>
          <w:numId w:val="27"/>
        </w:numPr>
        <w:spacing w:before="120" w:after="120" w:line="276" w:lineRule="auto"/>
        <w:ind w:left="425" w:firstLine="0"/>
        <w:jc w:val="both"/>
        <w:rPr>
          <w:color w:val="000000"/>
        </w:rPr>
      </w:pPr>
      <w:r>
        <w:rPr>
          <w:color w:val="000000"/>
        </w:rPr>
        <w:t>Acolhida a impugnação, será definida e publicada nova data para a realização do certame.</w:t>
      </w:r>
    </w:p>
    <w:p>
      <w:pPr>
        <w:numPr>
          <w:ilvl w:val="1"/>
          <w:numId w:val="27"/>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pPr>
        <w:numPr>
          <w:ilvl w:val="1"/>
          <w:numId w:val="27"/>
        </w:numPr>
        <w:spacing w:before="120" w:after="120" w:line="276" w:lineRule="auto"/>
        <w:jc w:val="both"/>
        <w:rPr>
          <w:color w:val="000000"/>
        </w:rPr>
      </w:pPr>
      <w:r>
        <w:rPr>
          <w:color w:val="000000"/>
        </w:rPr>
        <w:t>As respostas aos pedidos de esclarecimentos serão divulgadas pelo sistema e vincularão os participantes e a Administração.</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DISPOSIÇÕES GERAIS</w:t>
      </w:r>
    </w:p>
    <w:p>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pPr>
        <w:numPr>
          <w:ilvl w:val="1"/>
          <w:numId w:val="27"/>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27"/>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pPr>
        <w:numPr>
          <w:ilvl w:val="1"/>
          <w:numId w:val="27"/>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pPr>
        <w:numPr>
          <w:ilvl w:val="1"/>
          <w:numId w:val="27"/>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27"/>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27"/>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pPr>
        <w:numPr>
          <w:ilvl w:val="1"/>
          <w:numId w:val="27"/>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27"/>
        </w:numPr>
        <w:spacing w:before="120" w:after="120" w:line="276" w:lineRule="auto"/>
        <w:ind w:left="425" w:firstLine="0"/>
        <w:jc w:val="both"/>
        <w:rPr>
          <w:rFonts w:cs="Arial"/>
          <w:szCs w:val="20"/>
        </w:rPr>
      </w:pPr>
      <w:r>
        <w:rPr>
          <w:color w:val="000000"/>
        </w:rPr>
        <w:t>Integram este Edital, para todos os fins e efeitos, os seguintes anexos:</w:t>
      </w:r>
    </w:p>
    <w:p>
      <w:pPr>
        <w:numPr>
          <w:ilvl w:val="2"/>
          <w:numId w:val="27"/>
        </w:numPr>
        <w:spacing w:before="120" w:after="120" w:line="276" w:lineRule="auto"/>
        <w:jc w:val="both"/>
        <w:rPr>
          <w:rFonts w:hint="default" w:cs="Arial"/>
          <w:b w:val="0"/>
          <w:bCs/>
          <w:szCs w:val="20"/>
          <w:lang w:val="pt-BR"/>
        </w:rPr>
      </w:pPr>
      <w:r>
        <w:rPr>
          <w:rFonts w:cs="Arial"/>
          <w:b/>
          <w:szCs w:val="20"/>
        </w:rPr>
        <w:t>Anexo I</w:t>
      </w:r>
      <w:r>
        <w:rPr>
          <w:rFonts w:cs="Arial"/>
          <w:szCs w:val="20"/>
        </w:rPr>
        <w:t xml:space="preserve"> - Termo de Referência;</w:t>
      </w:r>
    </w:p>
    <w:p>
      <w:pPr>
        <w:numPr>
          <w:ilvl w:val="2"/>
          <w:numId w:val="27"/>
        </w:numPr>
        <w:spacing w:before="120" w:after="120" w:line="276" w:lineRule="auto"/>
        <w:jc w:val="both"/>
        <w:rPr>
          <w:rFonts w:cs="Arial"/>
          <w:szCs w:val="20"/>
        </w:rPr>
      </w:pPr>
      <w:r>
        <w:rPr>
          <w:rFonts w:cs="Arial"/>
          <w:b/>
          <w:szCs w:val="20"/>
        </w:rPr>
        <w:t>Anexo II</w:t>
      </w:r>
      <w:r>
        <w:rPr>
          <w:rFonts w:hint="default" w:cs="Arial"/>
          <w:b/>
          <w:szCs w:val="20"/>
          <w:lang w:val="pt-BR"/>
        </w:rPr>
        <w:t xml:space="preserve">, III e IV - </w:t>
      </w:r>
      <w:r>
        <w:rPr>
          <w:rFonts w:hint="default" w:cs="Arial"/>
          <w:b w:val="0"/>
          <w:bCs/>
          <w:szCs w:val="20"/>
          <w:lang w:val="pt-BR"/>
        </w:rPr>
        <w:t>Planilhas de Formação de Custos;</w:t>
      </w:r>
    </w:p>
    <w:p>
      <w:pPr>
        <w:numPr>
          <w:ilvl w:val="2"/>
          <w:numId w:val="27"/>
        </w:numPr>
        <w:spacing w:before="120" w:after="120" w:line="276" w:lineRule="auto"/>
        <w:jc w:val="both"/>
        <w:rPr>
          <w:rFonts w:cs="Arial"/>
          <w:szCs w:val="20"/>
        </w:rPr>
      </w:pPr>
      <w:r>
        <w:rPr>
          <w:rFonts w:cs="Arial"/>
          <w:b/>
          <w:szCs w:val="20"/>
        </w:rPr>
        <w:t>Anexo V-A</w:t>
      </w:r>
      <w:r>
        <w:rPr>
          <w:rFonts w:cs="Arial"/>
          <w:szCs w:val="20"/>
        </w:rPr>
        <w:t xml:space="preserve"> – Modelo de Proposta Comercial;</w:t>
      </w:r>
    </w:p>
    <w:p>
      <w:pPr>
        <w:numPr>
          <w:ilvl w:val="2"/>
          <w:numId w:val="27"/>
        </w:numPr>
        <w:spacing w:before="120" w:after="120" w:line="276" w:lineRule="auto"/>
        <w:jc w:val="both"/>
        <w:rPr>
          <w:rFonts w:cs="Arial"/>
          <w:szCs w:val="20"/>
        </w:rPr>
      </w:pPr>
      <w:r>
        <w:rPr>
          <w:rFonts w:cs="Arial"/>
          <w:b/>
          <w:szCs w:val="20"/>
        </w:rPr>
        <w:t xml:space="preserve">Anexo V-B </w:t>
      </w:r>
      <w:r>
        <w:rPr>
          <w:rFonts w:cs="Arial"/>
          <w:szCs w:val="20"/>
        </w:rPr>
        <w:t>– Modelo de Declaração de Vistoria</w:t>
      </w:r>
      <w:r>
        <w:rPr>
          <w:rFonts w:hint="default" w:cs="Arial"/>
          <w:szCs w:val="20"/>
          <w:lang w:val="pt-BR"/>
        </w:rPr>
        <w:t>;</w:t>
      </w:r>
    </w:p>
    <w:p>
      <w:pPr>
        <w:numPr>
          <w:ilvl w:val="2"/>
          <w:numId w:val="27"/>
        </w:numPr>
        <w:spacing w:before="120" w:after="120" w:line="276" w:lineRule="auto"/>
        <w:jc w:val="both"/>
        <w:rPr>
          <w:rFonts w:cs="Arial"/>
          <w:szCs w:val="20"/>
        </w:rPr>
      </w:pPr>
      <w:r>
        <w:rPr>
          <w:rFonts w:cs="Arial"/>
          <w:b/>
          <w:szCs w:val="20"/>
        </w:rPr>
        <w:t>Anexo VI</w:t>
      </w:r>
      <w:r>
        <w:rPr>
          <w:rFonts w:cs="Arial"/>
          <w:szCs w:val="20"/>
        </w:rPr>
        <w:t xml:space="preserve"> – Termo de Conciliação Judicial</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cs="Arial"/>
          <w:b/>
          <w:szCs w:val="20"/>
        </w:rPr>
        <w:t>Anexo VII</w:t>
      </w:r>
      <w:r>
        <w:rPr>
          <w:rFonts w:cs="Arial"/>
          <w:szCs w:val="20"/>
        </w:rPr>
        <w:t xml:space="preserve"> - Minuta do Termo de Contrato;</w:t>
      </w:r>
    </w:p>
    <w:p>
      <w:pPr>
        <w:numPr>
          <w:ilvl w:val="2"/>
          <w:numId w:val="27"/>
        </w:numPr>
        <w:spacing w:before="120" w:after="120" w:line="276" w:lineRule="auto"/>
        <w:jc w:val="both"/>
        <w:rPr>
          <w:rFonts w:hint="default" w:cs="Arial"/>
          <w:szCs w:val="20"/>
          <w:lang w:val="pt-BR"/>
        </w:rPr>
      </w:pPr>
      <w:r>
        <w:rPr>
          <w:rFonts w:cs="Arial"/>
          <w:b/>
          <w:szCs w:val="20"/>
        </w:rPr>
        <w:t xml:space="preserve">Anexo VIII </w:t>
      </w:r>
      <w:r>
        <w:rPr>
          <w:rFonts w:cs="Arial"/>
          <w:szCs w:val="20"/>
        </w:rPr>
        <w:t>- Instrumento de Medição de Resultados (IMR)</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cs="Arial"/>
          <w:b/>
          <w:szCs w:val="20"/>
        </w:rPr>
        <w:t xml:space="preserve">Anexo IX - </w:t>
      </w:r>
      <w:r>
        <w:rPr>
          <w:rFonts w:hint="default" w:cs="Arial"/>
          <w:szCs w:val="20"/>
          <w:lang w:val="pt-BR"/>
        </w:rPr>
        <w:t>CCT RJ 000597/2022;</w:t>
      </w:r>
    </w:p>
    <w:p>
      <w:pPr>
        <w:numPr>
          <w:ilvl w:val="2"/>
          <w:numId w:val="27"/>
        </w:numPr>
        <w:spacing w:before="120" w:after="120" w:line="276" w:lineRule="auto"/>
        <w:jc w:val="both"/>
        <w:rPr>
          <w:rFonts w:hint="default" w:cs="Arial"/>
          <w:szCs w:val="20"/>
          <w:lang w:val="pt-BR"/>
        </w:rPr>
      </w:pPr>
      <w:r>
        <w:rPr>
          <w:rFonts w:hint="default" w:cs="Arial"/>
          <w:b/>
          <w:bCs/>
          <w:szCs w:val="20"/>
          <w:lang w:val="pt-BR"/>
        </w:rPr>
        <w:t>Anexo X</w:t>
      </w:r>
      <w:r>
        <w:rPr>
          <w:rFonts w:hint="default" w:cs="Arial"/>
          <w:szCs w:val="20"/>
          <w:lang w:val="pt-BR"/>
        </w:rPr>
        <w:t xml:space="preserve"> - </w:t>
      </w:r>
      <w:r>
        <w:rPr>
          <w:rFonts w:cs="Arial"/>
          <w:szCs w:val="20"/>
        </w:rPr>
        <w:t>Memória de Cálculo da Planilha de Custos e Formação de Preço</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hint="default" w:cs="Arial"/>
          <w:b/>
          <w:bCs/>
          <w:szCs w:val="20"/>
          <w:lang w:val="pt-BR"/>
        </w:rPr>
        <w:t>Anexo XI</w:t>
      </w:r>
      <w:r>
        <w:rPr>
          <w:rFonts w:hint="default" w:cs="Arial"/>
          <w:szCs w:val="20"/>
          <w:lang w:val="pt-BR"/>
        </w:rPr>
        <w:t xml:space="preserve"> - Modelo Termo de Cooperação Técnica.</w:t>
      </w:r>
    </w:p>
    <w:p>
      <w:pPr>
        <w:spacing w:before="120" w:after="120" w:line="276" w:lineRule="auto"/>
        <w:jc w:val="center"/>
        <w:rPr>
          <w:color w:val="000000"/>
        </w:rPr>
      </w:pPr>
    </w:p>
    <w:p>
      <w:pPr>
        <w:spacing w:before="120" w:after="120" w:line="276" w:lineRule="auto"/>
        <w:jc w:val="center"/>
        <w:rPr>
          <w:color w:val="000000"/>
        </w:rPr>
      </w:pPr>
      <w:r>
        <w:rPr>
          <w:color w:val="000000"/>
        </w:rPr>
        <w:t>Niterói,</w:t>
      </w:r>
      <w:r>
        <w:rPr>
          <w:rFonts w:hint="default"/>
          <w:color w:val="000000"/>
          <w:lang w:val="pt-BR"/>
        </w:rPr>
        <w:t xml:space="preserve"> 17 de maio de 2022</w:t>
      </w:r>
      <w:r>
        <w:rPr>
          <w:color w:val="000000"/>
        </w:rPr>
        <w:t>.</w:t>
      </w:r>
    </w:p>
    <w:p>
      <w:pPr>
        <w:spacing w:before="120" w:after="120" w:line="276" w:lineRule="auto"/>
        <w:jc w:val="center"/>
      </w:pPr>
    </w:p>
    <w:p>
      <w:pPr>
        <w:spacing w:before="120" w:after="120" w:line="276" w:lineRule="auto"/>
        <w:jc w:val="center"/>
        <w:rPr>
          <w:rFonts w:hint="default"/>
          <w:color w:val="000000"/>
          <w:lang w:val="pt-BR"/>
        </w:rPr>
      </w:pPr>
    </w:p>
    <w:p>
      <w:pPr>
        <w:spacing w:before="120" w:after="120" w:line="276" w:lineRule="auto"/>
        <w:jc w:val="center"/>
        <w:rPr>
          <w:rFonts w:hint="default"/>
          <w:color w:val="000000"/>
          <w:lang w:val="pt-BR"/>
        </w:rPr>
      </w:pPr>
      <w:r>
        <w:rPr>
          <w:rFonts w:hint="default"/>
          <w:color w:val="000000"/>
          <w:lang w:val="pt-BR"/>
        </w:rPr>
        <w:t>CLI/PROAD/UFF</w:t>
      </w:r>
    </w:p>
    <w:sectPr>
      <w:headerReference r:id="rId3" w:type="default"/>
      <w:footerReference r:id="rId4" w:type="default"/>
      <w:pgSz w:w="11906" w:h="16838"/>
      <w:pgMar w:top="1418" w:right="1134" w:bottom="1418" w:left="1701" w:header="709"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Georgia">
    <w:panose1 w:val="02040502050405020303"/>
    <w:charset w:val="00"/>
    <w:family w:val="roman"/>
    <w:pitch w:val="default"/>
    <w:sig w:usb0="00000287" w:usb1="00000000" w:usb2="00000000" w:usb3="00000000" w:csb0="2000009F" w:csb1="00000000"/>
  </w:font>
  <w:font w:name="Ecofont_Spranq_eco_Sans">
    <w:altName w:val="Calibri"/>
    <w:panose1 w:val="00000000000000000000"/>
    <w:charset w:val="00"/>
    <w:family w:val="swiss"/>
    <w:pitch w:val="default"/>
    <w:sig w:usb0="00000000" w:usb1="00000000" w:usb2="00000000" w:usb3="00000000" w:csb0="00000001" w:csb1="00000000"/>
  </w:font>
  <w:font w:name="WenQuanYi Micro Hei">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ohit Hindi">
    <w:altName w:val="Segoe Print"/>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ascii="Times New Roman" w:hAnsi="Times New Roman" w:eastAsia="Times New Roman" w:cs="Times New Roman"/>
        <w:color w:val="00000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hint="default"/>
        <w:color w:val="000000"/>
        <w:lang w:val="pt-BR"/>
      </w:rPr>
    </w:pPr>
    <w:bookmarkStart w:id="11" w:name="_heading=h.3znysh7" w:colFirst="0" w:colLast="0"/>
    <w:bookmarkEnd w:id="11"/>
    <w:r>
      <w:rPr>
        <w:rFonts w:ascii="Verdana" w:hAnsi="Verdana" w:eastAsia="Verdana" w:cs="Verdana"/>
        <w:color w:val="000000"/>
        <w:sz w:val="16"/>
        <w:szCs w:val="16"/>
      </w:rPr>
      <w:t xml:space="preserve">Processo n.º </w:t>
    </w:r>
    <w:r>
      <w:rPr>
        <w:rFonts w:ascii="Verdana" w:hAnsi="Verdana" w:eastAsia="Verdana" w:cs="Verdana"/>
        <w:color w:val="000000"/>
        <w:sz w:val="16"/>
        <w:szCs w:val="16"/>
        <w:lang w:val="pt-BR"/>
      </w:rPr>
      <w:t xml:space="preserve"> 23069.159888/2022-11</w:t>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ascii="Verdana" w:hAnsi="Verdana" w:eastAsia="Verdana" w:cs="Verdana"/>
        <w:sz w:val="16"/>
        <w:szCs w:val="16"/>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p>
  <w:p>
    <w:pPr>
      <w:pBdr>
        <w:top w:val="none" w:color="auto" w:sz="0" w:space="0"/>
        <w:left w:val="none" w:color="auto" w:sz="0" w:space="0"/>
        <w:bottom w:val="none" w:color="auto" w:sz="0" w:space="0"/>
        <w:right w:val="none" w:color="auto" w:sz="0" w:space="0"/>
        <w:between w:val="none" w:color="auto" w:sz="0" w:space="0"/>
      </w:pBdr>
      <w:tabs>
        <w:tab w:val="left" w:pos="4735"/>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A61541"/>
    <w:multiLevelType w:val="multilevel"/>
    <w:tmpl w:val="00A61541"/>
    <w:lvl w:ilvl="0" w:tentative="0">
      <w:start w:val="1"/>
      <w:numFmt w:val="decimal"/>
      <w:lvlText w:val=""/>
      <w:lvlJc w:val="left"/>
      <w:pPr>
        <w:ind w:left="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1">
    <w:nsid w:val="0286043D"/>
    <w:multiLevelType w:val="multilevel"/>
    <w:tmpl w:val="0286043D"/>
    <w:lvl w:ilvl="0" w:tentative="0">
      <w:start w:val="8"/>
      <w:numFmt w:val="decimal"/>
      <w:lvlText w:val="%1"/>
      <w:lvlJc w:val="left"/>
      <w:pPr>
        <w:ind w:left="540" w:hanging="540"/>
      </w:pPr>
    </w:lvl>
    <w:lvl w:ilvl="1" w:tentative="0">
      <w:start w:val="6"/>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
    <w:nsid w:val="0523419A"/>
    <w:multiLevelType w:val="multilevel"/>
    <w:tmpl w:val="0523419A"/>
    <w:lvl w:ilvl="0" w:tentative="0">
      <w:start w:val="8"/>
      <w:numFmt w:val="decimal"/>
      <w:lvlText w:val="%1"/>
      <w:lvlJc w:val="left"/>
      <w:pPr>
        <w:ind w:left="540" w:hanging="540"/>
      </w:pPr>
    </w:lvl>
    <w:lvl w:ilvl="1" w:tentative="0">
      <w:start w:val="9"/>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3">
    <w:nsid w:val="0AB56447"/>
    <w:multiLevelType w:val="multilevel"/>
    <w:tmpl w:val="0AB56447"/>
    <w:lvl w:ilvl="0" w:tentative="0">
      <w:start w:val="21"/>
      <w:numFmt w:val="decimal"/>
      <w:lvlText w:val="%1"/>
      <w:lvlJc w:val="left"/>
      <w:pPr>
        <w:ind w:left="375" w:hanging="375"/>
      </w:pPr>
    </w:lvl>
    <w:lvl w:ilvl="1" w:tentative="0">
      <w:start w:val="1"/>
      <w:numFmt w:val="decimal"/>
      <w:lvlText w:val="%1.%2"/>
      <w:lvlJc w:val="left"/>
      <w:pPr>
        <w:ind w:left="800" w:hanging="37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4">
    <w:nsid w:val="0D390840"/>
    <w:multiLevelType w:val="multilevel"/>
    <w:tmpl w:val="0D390840"/>
    <w:lvl w:ilvl="0" w:tentative="0">
      <w:start w:val="1"/>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0E017A58"/>
    <w:multiLevelType w:val="multilevel"/>
    <w:tmpl w:val="0E017A58"/>
    <w:lvl w:ilvl="0" w:tentative="0">
      <w:start w:val="7"/>
      <w:numFmt w:val="decimal"/>
      <w:lvlText w:val="%1"/>
      <w:lvlJc w:val="left"/>
      <w:pPr>
        <w:ind w:left="360" w:hanging="360"/>
      </w:pPr>
    </w:lvl>
    <w:lvl w:ilvl="1" w:tentative="0">
      <w:start w:val="1"/>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6">
    <w:nsid w:val="11B742B1"/>
    <w:multiLevelType w:val="multilevel"/>
    <w:tmpl w:val="11B742B1"/>
    <w:lvl w:ilvl="0" w:tentative="0">
      <w:start w:val="1"/>
      <w:numFmt w:val="decimal"/>
      <w:lvlText w:val="%1."/>
      <w:lvlJc w:val="left"/>
      <w:pPr>
        <w:ind w:left="360" w:hanging="360"/>
      </w:pPr>
      <w:rPr>
        <w:rFonts w:ascii="Arial" w:hAnsi="Arial" w:eastAsia="Arial" w:cs="Arial"/>
        <w:b/>
      </w:rPr>
    </w:lvl>
    <w:lvl w:ilvl="1" w:tentative="0">
      <w:start w:val="13"/>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1B6060CF"/>
    <w:multiLevelType w:val="multilevel"/>
    <w:tmpl w:val="1B6060CF"/>
    <w:lvl w:ilvl="0" w:tentative="0">
      <w:start w:val="8"/>
      <w:numFmt w:val="decimal"/>
      <w:lvlText w:val="%1"/>
      <w:lvlJc w:val="left"/>
      <w:pPr>
        <w:ind w:left="435" w:hanging="435"/>
      </w:pPr>
    </w:lvl>
    <w:lvl w:ilvl="1" w:tentative="0">
      <w:start w:val="5"/>
      <w:numFmt w:val="decimal"/>
      <w:lvlText w:val="%1.%2"/>
      <w:lvlJc w:val="left"/>
      <w:pPr>
        <w:ind w:left="860" w:hanging="43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8">
    <w:nsid w:val="24D07EBA"/>
    <w:multiLevelType w:val="multilevel"/>
    <w:tmpl w:val="24D07EBA"/>
    <w:lvl w:ilvl="0" w:tentative="0">
      <w:start w:val="4"/>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2EEE1BE3"/>
    <w:multiLevelType w:val="multilevel"/>
    <w:tmpl w:val="2EEE1BE3"/>
    <w:lvl w:ilvl="0" w:tentative="0">
      <w:start w:val="9"/>
      <w:numFmt w:val="decimal"/>
      <w:lvlText w:val="%1"/>
      <w:lvlJc w:val="left"/>
      <w:pPr>
        <w:ind w:left="360" w:hanging="360"/>
      </w:pPr>
    </w:lvl>
    <w:lvl w:ilvl="1" w:tentative="0">
      <w:start w:val="1"/>
      <w:numFmt w:val="decimal"/>
      <w:lvlText w:val="%1.%2"/>
      <w:lvlJc w:val="left"/>
      <w:pPr>
        <w:ind w:left="927" w:hanging="360"/>
      </w:pPr>
    </w:lvl>
    <w:lvl w:ilvl="2" w:tentative="0">
      <w:start w:val="1"/>
      <w:numFmt w:val="decimal"/>
      <w:lvlText w:val="%1.%2.%3"/>
      <w:lvlJc w:val="left"/>
      <w:pPr>
        <w:ind w:left="2280" w:hanging="720"/>
      </w:pPr>
      <w:rPr>
        <w:b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0">
    <w:nsid w:val="31153A8C"/>
    <w:multiLevelType w:val="multilevel"/>
    <w:tmpl w:val="31153A8C"/>
    <w:lvl w:ilvl="0" w:tentative="0">
      <w:start w:val="9"/>
      <w:numFmt w:val="decimal"/>
      <w:lvlText w:val="%1"/>
      <w:lvlJc w:val="left"/>
      <w:pPr>
        <w:ind w:left="375" w:hanging="375"/>
      </w:pPr>
    </w:lvl>
    <w:lvl w:ilvl="1" w:tentative="0">
      <w:start w:val="11"/>
      <w:numFmt w:val="decimal"/>
      <w:lvlText w:val="%1.%2"/>
      <w:lvlJc w:val="left"/>
      <w:pPr>
        <w:ind w:left="942" w:hanging="375"/>
      </w:p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1">
    <w:nsid w:val="34573D8B"/>
    <w:multiLevelType w:val="multilevel"/>
    <w:tmpl w:val="34573D8B"/>
    <w:lvl w:ilvl="0" w:tentative="0">
      <w:start w:val="6"/>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2">
    <w:nsid w:val="38DA3220"/>
    <w:multiLevelType w:val="multilevel"/>
    <w:tmpl w:val="38DA3220"/>
    <w:lvl w:ilvl="0" w:tentative="0">
      <w:start w:val="10"/>
      <w:numFmt w:val="decimal"/>
      <w:lvlText w:val="%1"/>
      <w:lvlJc w:val="left"/>
      <w:pPr>
        <w:ind w:left="360" w:hanging="360"/>
      </w:pPr>
    </w:lvl>
    <w:lvl w:ilvl="1" w:tentative="0">
      <w:start w:val="1"/>
      <w:numFmt w:val="decimal"/>
      <w:lvlText w:val="%1.%2"/>
      <w:lvlJc w:val="left"/>
      <w:pPr>
        <w:ind w:left="785" w:hanging="360"/>
      </w:pPr>
      <w:rPr>
        <w:b w:val="0"/>
        <w:color w:val="00000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3">
    <w:nsid w:val="39390FA0"/>
    <w:multiLevelType w:val="multilevel"/>
    <w:tmpl w:val="39390FA0"/>
    <w:lvl w:ilvl="0" w:tentative="0">
      <w:start w:val="6"/>
      <w:numFmt w:val="decimal"/>
      <w:lvlText w:val="%1."/>
      <w:lvlJc w:val="left"/>
      <w:pPr>
        <w:ind w:left="360" w:hanging="360"/>
      </w:pPr>
      <w:rPr>
        <w:rFonts w:ascii="Arial" w:hAnsi="Arial" w:eastAsia="Arial" w:cs="Arial"/>
        <w:b/>
      </w:rPr>
    </w:lvl>
    <w:lvl w:ilvl="1" w:tentative="0">
      <w:start w:val="9"/>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3F3E6BAA"/>
    <w:multiLevelType w:val="multilevel"/>
    <w:tmpl w:val="3F3E6BAA"/>
    <w:lvl w:ilvl="0" w:tentative="0">
      <w:start w:val="8"/>
      <w:numFmt w:val="decimal"/>
      <w:lvlText w:val="%1"/>
      <w:lvlJc w:val="left"/>
      <w:pPr>
        <w:ind w:left="540" w:hanging="540"/>
      </w:pPr>
    </w:lvl>
    <w:lvl w:ilvl="1" w:tentative="0">
      <w:start w:val="11"/>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15">
    <w:nsid w:val="47A26325"/>
    <w:multiLevelType w:val="multilevel"/>
    <w:tmpl w:val="47A26325"/>
    <w:lvl w:ilvl="0" w:tentative="0">
      <w:start w:val="4"/>
      <w:numFmt w:val="decimal"/>
      <w:lvlText w:val="%1"/>
      <w:lvlJc w:val="left"/>
      <w:pPr>
        <w:ind w:left="405" w:hanging="405"/>
      </w:pPr>
    </w:lvl>
    <w:lvl w:ilvl="1" w:tentative="0">
      <w:start w:val="2"/>
      <w:numFmt w:val="decimal"/>
      <w:lvlText w:val="%1.%2"/>
      <w:lvlJc w:val="left"/>
      <w:pPr>
        <w:ind w:left="1114" w:hanging="405"/>
      </w:pPr>
    </w:lvl>
    <w:lvl w:ilvl="2" w:tentative="0">
      <w:start w:val="1"/>
      <w:numFmt w:val="decimal"/>
      <w:lvlText w:val="%1.%2.%3"/>
      <w:lvlJc w:val="left"/>
      <w:pPr>
        <w:ind w:left="2216" w:hanging="720"/>
      </w:pPr>
      <w:rPr>
        <w:rFonts w:ascii="Arial" w:hAnsi="Arial" w:eastAsia="Arial" w:cs="Arial"/>
      </w:rPr>
    </w:lvl>
    <w:lvl w:ilvl="3" w:tentative="0">
      <w:start w:val="1"/>
      <w:numFmt w:val="decimal"/>
      <w:lvlText w:val="%1.%2.%3.%4"/>
      <w:lvlJc w:val="left"/>
      <w:pPr>
        <w:ind w:left="2964" w:hanging="720"/>
      </w:pPr>
    </w:lvl>
    <w:lvl w:ilvl="4" w:tentative="0">
      <w:start w:val="1"/>
      <w:numFmt w:val="decimal"/>
      <w:lvlText w:val="%1.%2.%3.%4.%5"/>
      <w:lvlJc w:val="left"/>
      <w:pPr>
        <w:ind w:left="3712" w:hanging="720"/>
      </w:pPr>
    </w:lvl>
    <w:lvl w:ilvl="5" w:tentative="0">
      <w:start w:val="1"/>
      <w:numFmt w:val="decimal"/>
      <w:lvlText w:val="%1.%2.%3.%4.%5.%6"/>
      <w:lvlJc w:val="left"/>
      <w:pPr>
        <w:ind w:left="4820" w:hanging="1080"/>
      </w:pPr>
    </w:lvl>
    <w:lvl w:ilvl="6" w:tentative="0">
      <w:start w:val="1"/>
      <w:numFmt w:val="decimal"/>
      <w:lvlText w:val="%1.%2.%3.%4.%5.%6.%7"/>
      <w:lvlJc w:val="left"/>
      <w:pPr>
        <w:ind w:left="5568" w:hanging="1080"/>
      </w:pPr>
    </w:lvl>
    <w:lvl w:ilvl="7" w:tentative="0">
      <w:start w:val="1"/>
      <w:numFmt w:val="decimal"/>
      <w:lvlText w:val="%1.%2.%3.%4.%5.%6.%7.%8"/>
      <w:lvlJc w:val="left"/>
      <w:pPr>
        <w:ind w:left="6676" w:hanging="1440"/>
      </w:pPr>
    </w:lvl>
    <w:lvl w:ilvl="8" w:tentative="0">
      <w:start w:val="1"/>
      <w:numFmt w:val="decimal"/>
      <w:lvlText w:val="%1.%2.%3.%4.%5.%6.%7.%8.%9"/>
      <w:lvlJc w:val="left"/>
      <w:pPr>
        <w:ind w:left="7424" w:hanging="1440"/>
      </w:pPr>
    </w:lvl>
  </w:abstractNum>
  <w:abstractNum w:abstractNumId="16">
    <w:nsid w:val="48204390"/>
    <w:multiLevelType w:val="multilevel"/>
    <w:tmpl w:val="48204390"/>
    <w:lvl w:ilvl="0" w:tentative="0">
      <w:start w:val="9"/>
      <w:numFmt w:val="decimal"/>
      <w:lvlText w:val="%1"/>
      <w:lvlJc w:val="left"/>
      <w:pPr>
        <w:ind w:left="360" w:hanging="360"/>
      </w:pPr>
    </w:lvl>
    <w:lvl w:ilvl="1" w:tentative="0">
      <w:start w:val="8"/>
      <w:numFmt w:val="decimal"/>
      <w:lvlText w:val="%1.%2"/>
      <w:lvlJc w:val="left"/>
      <w:pPr>
        <w:ind w:left="927" w:hanging="360"/>
      </w:pPr>
      <w:rPr>
        <w:b w:val="0"/>
      </w:rPr>
    </w:lvl>
    <w:lvl w:ilvl="2" w:tentative="0">
      <w:start w:val="1"/>
      <w:numFmt w:val="decimal"/>
      <w:lvlText w:val="%1.%2.%3"/>
      <w:lvlJc w:val="left"/>
      <w:pPr>
        <w:ind w:left="2280" w:hanging="720"/>
      </w:pPr>
      <w:rPr>
        <w:b w:val="0"/>
        <w:i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7">
    <w:nsid w:val="4FFA6BD6"/>
    <w:multiLevelType w:val="multilevel"/>
    <w:tmpl w:val="4FFA6BD6"/>
    <w:lvl w:ilvl="0" w:tentative="0">
      <w:start w:val="8"/>
      <w:numFmt w:val="decimal"/>
      <w:lvlText w:val="%1"/>
      <w:lvlJc w:val="left"/>
      <w:pPr>
        <w:ind w:left="435" w:hanging="435"/>
      </w:pPr>
      <w:rPr>
        <w:color w:val="000000"/>
      </w:rPr>
    </w:lvl>
    <w:lvl w:ilvl="1" w:tentative="0">
      <w:start w:val="4"/>
      <w:numFmt w:val="decimal"/>
      <w:lvlText w:val="%1.%2"/>
      <w:lvlJc w:val="left"/>
      <w:pPr>
        <w:ind w:left="931" w:hanging="435"/>
      </w:pPr>
      <w:rPr>
        <w:color w:val="000000"/>
      </w:rPr>
    </w:lvl>
    <w:lvl w:ilvl="2" w:tentative="0">
      <w:start w:val="1"/>
      <w:numFmt w:val="decimal"/>
      <w:lvlText w:val="%1.%2.%3"/>
      <w:lvlJc w:val="left"/>
      <w:pPr>
        <w:ind w:left="1712" w:hanging="720"/>
      </w:pPr>
      <w:rPr>
        <w:color w:val="000000"/>
      </w:rPr>
    </w:lvl>
    <w:lvl w:ilvl="3" w:tentative="0">
      <w:start w:val="1"/>
      <w:numFmt w:val="decimal"/>
      <w:lvlText w:val="%1.%2.%3.%4"/>
      <w:lvlJc w:val="left"/>
      <w:pPr>
        <w:ind w:left="2208" w:hanging="720"/>
      </w:pPr>
      <w:rPr>
        <w:i w:val="0"/>
        <w:color w:val="000000"/>
      </w:rPr>
    </w:lvl>
    <w:lvl w:ilvl="4" w:tentative="0">
      <w:start w:val="1"/>
      <w:numFmt w:val="decimal"/>
      <w:lvlText w:val="%1.%2.%3.%4.%5"/>
      <w:lvlJc w:val="left"/>
      <w:pPr>
        <w:ind w:left="3064" w:hanging="1080"/>
      </w:pPr>
      <w:rPr>
        <w:color w:val="000000"/>
      </w:rPr>
    </w:lvl>
    <w:lvl w:ilvl="5" w:tentative="0">
      <w:start w:val="1"/>
      <w:numFmt w:val="decimal"/>
      <w:lvlText w:val="%1.%2.%3.%4.%5.%6"/>
      <w:lvlJc w:val="left"/>
      <w:pPr>
        <w:ind w:left="3560" w:hanging="1080"/>
      </w:pPr>
      <w:rPr>
        <w:color w:val="000000"/>
      </w:rPr>
    </w:lvl>
    <w:lvl w:ilvl="6" w:tentative="0">
      <w:start w:val="1"/>
      <w:numFmt w:val="decimal"/>
      <w:lvlText w:val="%1.%2.%3.%4.%5.%6.%7"/>
      <w:lvlJc w:val="left"/>
      <w:pPr>
        <w:ind w:left="4416" w:hanging="1440"/>
      </w:pPr>
      <w:rPr>
        <w:color w:val="000000"/>
      </w:rPr>
    </w:lvl>
    <w:lvl w:ilvl="7" w:tentative="0">
      <w:start w:val="1"/>
      <w:numFmt w:val="decimal"/>
      <w:lvlText w:val="%1.%2.%3.%4.%5.%6.%7.%8"/>
      <w:lvlJc w:val="left"/>
      <w:pPr>
        <w:ind w:left="4912" w:hanging="1440"/>
      </w:pPr>
      <w:rPr>
        <w:color w:val="000000"/>
      </w:rPr>
    </w:lvl>
    <w:lvl w:ilvl="8" w:tentative="0">
      <w:start w:val="1"/>
      <w:numFmt w:val="decimal"/>
      <w:lvlText w:val="%1.%2.%3.%4.%5.%6.%7.%8.%9"/>
      <w:lvlJc w:val="left"/>
      <w:pPr>
        <w:ind w:left="5768" w:hanging="1800"/>
      </w:pPr>
      <w:rPr>
        <w:color w:val="000000"/>
      </w:rPr>
    </w:lvl>
  </w:abstractNum>
  <w:abstractNum w:abstractNumId="18">
    <w:nsid w:val="504C48B7"/>
    <w:multiLevelType w:val="multilevel"/>
    <w:tmpl w:val="504C48B7"/>
    <w:lvl w:ilvl="0" w:tentative="0">
      <w:start w:val="2"/>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9">
    <w:nsid w:val="55F67492"/>
    <w:multiLevelType w:val="multilevel"/>
    <w:tmpl w:val="55F67492"/>
    <w:lvl w:ilvl="0" w:tentative="0">
      <w:start w:val="8"/>
      <w:numFmt w:val="decimal"/>
      <w:lvlText w:val="%1"/>
      <w:lvlJc w:val="left"/>
      <w:pPr>
        <w:ind w:left="540" w:hanging="540"/>
      </w:pPr>
    </w:lvl>
    <w:lvl w:ilvl="1" w:tentative="0">
      <w:start w:val="10"/>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0">
    <w:nsid w:val="587005BD"/>
    <w:multiLevelType w:val="multilevel"/>
    <w:tmpl w:val="587005BD"/>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5F2A140C"/>
    <w:multiLevelType w:val="multilevel"/>
    <w:tmpl w:val="5F2A140C"/>
    <w:lvl w:ilvl="0" w:tentative="0">
      <w:start w:val="7"/>
      <w:numFmt w:val="decimal"/>
      <w:lvlText w:val="%1"/>
      <w:lvlJc w:val="left"/>
      <w:pPr>
        <w:ind w:left="360" w:hanging="360"/>
      </w:pPr>
    </w:lvl>
    <w:lvl w:ilvl="1" w:tentative="0">
      <w:start w:val="1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2">
    <w:nsid w:val="5F742B83"/>
    <w:multiLevelType w:val="multilevel"/>
    <w:tmpl w:val="5F742B83"/>
    <w:lvl w:ilvl="0" w:tentative="0">
      <w:start w:val="3"/>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3">
    <w:nsid w:val="683E68EF"/>
    <w:multiLevelType w:val="multilevel"/>
    <w:tmpl w:val="683E68EF"/>
    <w:lvl w:ilvl="0" w:tentative="0">
      <w:start w:val="7"/>
      <w:numFmt w:val="decimal"/>
      <w:pStyle w:val="19"/>
      <w:lvlText w:val="%1"/>
      <w:lvlJc w:val="left"/>
      <w:pPr>
        <w:ind w:left="360" w:hanging="360"/>
      </w:pPr>
    </w:lvl>
    <w:lvl w:ilvl="1" w:tentative="0">
      <w:start w:val="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4">
    <w:nsid w:val="72F1526A"/>
    <w:multiLevelType w:val="multilevel"/>
    <w:tmpl w:val="72F1526A"/>
    <w:lvl w:ilvl="0" w:tentative="0">
      <w:start w:val="15"/>
      <w:numFmt w:val="decimal"/>
      <w:lvlText w:val="%1"/>
      <w:lvlJc w:val="left"/>
      <w:pPr>
        <w:ind w:left="360" w:hanging="360"/>
      </w:pPr>
    </w:lvl>
    <w:lvl w:ilvl="1" w:tentative="0">
      <w:start w:val="1"/>
      <w:numFmt w:val="decimal"/>
      <w:lvlText w:val="%1.%2"/>
      <w:lvlJc w:val="left"/>
      <w:pPr>
        <w:ind w:left="785" w:hanging="360"/>
      </w:pPr>
      <w:rPr>
        <w:b w:val="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25">
    <w:nsid w:val="7A402EA0"/>
    <w:multiLevelType w:val="multilevel"/>
    <w:tmpl w:val="7A402EA0"/>
    <w:lvl w:ilvl="0" w:tentative="0">
      <w:start w:val="8"/>
      <w:numFmt w:val="decimal"/>
      <w:lvlText w:val="%1"/>
      <w:lvlJc w:val="left"/>
      <w:pPr>
        <w:ind w:left="540" w:hanging="540"/>
      </w:pPr>
    </w:lvl>
    <w:lvl w:ilvl="1" w:tentative="0">
      <w:start w:val="1"/>
      <w:numFmt w:val="decimal"/>
      <w:lvlText w:val="%1.%2"/>
      <w:lvlJc w:val="left"/>
      <w:pPr>
        <w:ind w:left="1036" w:hanging="540"/>
      </w:pPr>
      <w:rPr>
        <w:i w:val="0"/>
      </w:rPr>
    </w:lvl>
    <w:lvl w:ilvl="2" w:tentative="0">
      <w:start w:val="2"/>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6">
    <w:nsid w:val="7AB12D31"/>
    <w:multiLevelType w:val="multilevel"/>
    <w:tmpl w:val="7AB12D31"/>
    <w:lvl w:ilvl="0" w:tentative="0">
      <w:start w:val="4"/>
      <w:numFmt w:val="decimal"/>
      <w:pStyle w:val="46"/>
      <w:lvlText w:val="%1"/>
      <w:lvlJc w:val="left"/>
      <w:pPr>
        <w:ind w:left="435" w:hanging="435"/>
      </w:pPr>
      <w:rPr>
        <w:color w:val="000000"/>
        <w:sz w:val="20"/>
        <w:szCs w:val="20"/>
      </w:rPr>
    </w:lvl>
    <w:lvl w:ilvl="1" w:tentative="0">
      <w:start w:val="3"/>
      <w:numFmt w:val="decimal"/>
      <w:lvlText w:val="%1.%2"/>
      <w:lvlJc w:val="left"/>
      <w:pPr>
        <w:ind w:left="1145" w:hanging="435"/>
      </w:pPr>
      <w:rPr>
        <w:color w:val="000000"/>
        <w:sz w:val="20"/>
        <w:szCs w:val="20"/>
      </w:rPr>
    </w:lvl>
    <w:lvl w:ilvl="2" w:tentative="0">
      <w:start w:val="1"/>
      <w:numFmt w:val="decimal"/>
      <w:lvlText w:val="%1.%2.%3"/>
      <w:lvlJc w:val="left"/>
      <w:pPr>
        <w:ind w:left="2140" w:hanging="720"/>
      </w:pPr>
      <w:rPr>
        <w:color w:val="000000"/>
        <w:sz w:val="20"/>
        <w:szCs w:val="20"/>
      </w:rPr>
    </w:lvl>
    <w:lvl w:ilvl="3" w:tentative="0">
      <w:start w:val="1"/>
      <w:numFmt w:val="decimal"/>
      <w:lvlText w:val="%1.%2.%3.%4"/>
      <w:lvlJc w:val="left"/>
      <w:pPr>
        <w:ind w:left="2850" w:hanging="720"/>
      </w:pPr>
      <w:rPr>
        <w:color w:val="000000"/>
        <w:sz w:val="20"/>
        <w:szCs w:val="20"/>
      </w:rPr>
    </w:lvl>
    <w:lvl w:ilvl="4" w:tentative="0">
      <w:start w:val="1"/>
      <w:numFmt w:val="decimal"/>
      <w:lvlText w:val="%1.%2.%3.%4.%5"/>
      <w:lvlJc w:val="left"/>
      <w:pPr>
        <w:ind w:left="3560" w:hanging="720"/>
      </w:pPr>
      <w:rPr>
        <w:color w:val="000000"/>
        <w:sz w:val="20"/>
        <w:szCs w:val="20"/>
      </w:rPr>
    </w:lvl>
    <w:lvl w:ilvl="5" w:tentative="0">
      <w:start w:val="1"/>
      <w:numFmt w:val="decimal"/>
      <w:lvlText w:val="%1.%2.%3.%4.%5.%6"/>
      <w:lvlJc w:val="left"/>
      <w:pPr>
        <w:ind w:left="4630" w:hanging="1080"/>
      </w:pPr>
      <w:rPr>
        <w:color w:val="000000"/>
        <w:sz w:val="20"/>
        <w:szCs w:val="20"/>
      </w:rPr>
    </w:lvl>
    <w:lvl w:ilvl="6" w:tentative="0">
      <w:start w:val="1"/>
      <w:numFmt w:val="decimal"/>
      <w:lvlText w:val="%1.%2.%3.%4.%5.%6.%7"/>
      <w:lvlJc w:val="left"/>
      <w:pPr>
        <w:ind w:left="5340" w:hanging="1080"/>
      </w:pPr>
      <w:rPr>
        <w:color w:val="000000"/>
        <w:sz w:val="20"/>
        <w:szCs w:val="20"/>
      </w:rPr>
    </w:lvl>
    <w:lvl w:ilvl="7" w:tentative="0">
      <w:start w:val="1"/>
      <w:numFmt w:val="decimal"/>
      <w:lvlText w:val="%1.%2.%3.%4.%5.%6.%7.%8"/>
      <w:lvlJc w:val="left"/>
      <w:pPr>
        <w:ind w:left="6410" w:hanging="1440"/>
      </w:pPr>
      <w:rPr>
        <w:color w:val="000000"/>
        <w:sz w:val="20"/>
        <w:szCs w:val="20"/>
      </w:rPr>
    </w:lvl>
    <w:lvl w:ilvl="8" w:tentative="0">
      <w:start w:val="1"/>
      <w:numFmt w:val="decimal"/>
      <w:lvlText w:val="%1.%2.%3.%4.%5.%6.%7.%8.%9"/>
      <w:lvlJc w:val="left"/>
      <w:pPr>
        <w:ind w:left="7120" w:hanging="1440"/>
      </w:pPr>
      <w:rPr>
        <w:color w:val="000000"/>
        <w:sz w:val="20"/>
        <w:szCs w:val="20"/>
      </w:rPr>
    </w:lvl>
  </w:abstractNum>
  <w:num w:numId="1">
    <w:abstractNumId w:val="23"/>
  </w:num>
  <w:num w:numId="2">
    <w:abstractNumId w:val="26"/>
  </w:num>
  <w:num w:numId="3">
    <w:abstractNumId w:val="0"/>
  </w:num>
  <w:num w:numId="4">
    <w:abstractNumId w:val="6"/>
  </w:num>
  <w:num w:numId="5">
    <w:abstractNumId w:val="4"/>
  </w:num>
  <w:num w:numId="6">
    <w:abstractNumId w:val="18"/>
  </w:num>
  <w:num w:numId="7">
    <w:abstractNumId w:val="22"/>
  </w:num>
  <w:num w:numId="8">
    <w:abstractNumId w:val="8"/>
  </w:num>
  <w:num w:numId="9">
    <w:abstractNumId w:val="15"/>
  </w:num>
  <w:num w:numId="10">
    <w:abstractNumId w:val="20"/>
  </w:num>
  <w:num w:numId="11">
    <w:abstractNumId w:val="11"/>
  </w:num>
  <w:num w:numId="12">
    <w:abstractNumId w:val="13"/>
  </w:num>
  <w:num w:numId="13">
    <w:abstractNumId w:val="5"/>
  </w:num>
  <w:num w:numId="14">
    <w:abstractNumId w:val="21"/>
  </w:num>
  <w:num w:numId="15">
    <w:abstractNumId w:val="25"/>
  </w:num>
  <w:num w:numId="16">
    <w:abstractNumId w:val="17"/>
  </w:num>
  <w:num w:numId="17">
    <w:abstractNumId w:val="7"/>
  </w:num>
  <w:num w:numId="18">
    <w:abstractNumId w:val="1"/>
  </w:num>
  <w:num w:numId="19">
    <w:abstractNumId w:val="2"/>
  </w:num>
  <w:num w:numId="20">
    <w:abstractNumId w:val="19"/>
  </w:num>
  <w:num w:numId="21">
    <w:abstractNumId w:val="14"/>
  </w:num>
  <w:num w:numId="22">
    <w:abstractNumId w:val="10"/>
  </w:num>
  <w:num w:numId="23">
    <w:abstractNumId w:val="9"/>
  </w:num>
  <w:num w:numId="24">
    <w:abstractNumId w:val="16"/>
  </w:num>
  <w:num w:numId="25">
    <w:abstractNumId w:val="12"/>
  </w:num>
  <w:num w:numId="26">
    <w:abstractNumId w:val="2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2F87"/>
    <w:rsid w:val="000654EC"/>
    <w:rsid w:val="00065D28"/>
    <w:rsid w:val="000E64A7"/>
    <w:rsid w:val="00107E3A"/>
    <w:rsid w:val="00121CC0"/>
    <w:rsid w:val="00144EC8"/>
    <w:rsid w:val="00157E2A"/>
    <w:rsid w:val="001B7F5C"/>
    <w:rsid w:val="001F1907"/>
    <w:rsid w:val="001F4651"/>
    <w:rsid w:val="00295B40"/>
    <w:rsid w:val="002F1BE7"/>
    <w:rsid w:val="002F3638"/>
    <w:rsid w:val="002F41F5"/>
    <w:rsid w:val="00323388"/>
    <w:rsid w:val="00330A79"/>
    <w:rsid w:val="00333CF1"/>
    <w:rsid w:val="00345159"/>
    <w:rsid w:val="00351A99"/>
    <w:rsid w:val="003914EC"/>
    <w:rsid w:val="003F085B"/>
    <w:rsid w:val="00411FA6"/>
    <w:rsid w:val="00412CC4"/>
    <w:rsid w:val="004155BF"/>
    <w:rsid w:val="004412B8"/>
    <w:rsid w:val="0045324D"/>
    <w:rsid w:val="00535713"/>
    <w:rsid w:val="0060389D"/>
    <w:rsid w:val="00627A79"/>
    <w:rsid w:val="00644419"/>
    <w:rsid w:val="00653343"/>
    <w:rsid w:val="0065687C"/>
    <w:rsid w:val="0068419D"/>
    <w:rsid w:val="006A5F87"/>
    <w:rsid w:val="006B09C8"/>
    <w:rsid w:val="006B50A6"/>
    <w:rsid w:val="007466DA"/>
    <w:rsid w:val="007503DA"/>
    <w:rsid w:val="007B07FC"/>
    <w:rsid w:val="007D28FA"/>
    <w:rsid w:val="00801F2E"/>
    <w:rsid w:val="0085508E"/>
    <w:rsid w:val="008735B5"/>
    <w:rsid w:val="008902C9"/>
    <w:rsid w:val="008B2E01"/>
    <w:rsid w:val="008B59E8"/>
    <w:rsid w:val="008E0B50"/>
    <w:rsid w:val="008E1241"/>
    <w:rsid w:val="008E7D00"/>
    <w:rsid w:val="00903AB7"/>
    <w:rsid w:val="00903D42"/>
    <w:rsid w:val="0090702E"/>
    <w:rsid w:val="00911132"/>
    <w:rsid w:val="00970234"/>
    <w:rsid w:val="009A7C4E"/>
    <w:rsid w:val="009F127C"/>
    <w:rsid w:val="00A02594"/>
    <w:rsid w:val="00A0327F"/>
    <w:rsid w:val="00A55176"/>
    <w:rsid w:val="00A744F0"/>
    <w:rsid w:val="00A815E8"/>
    <w:rsid w:val="00AB598B"/>
    <w:rsid w:val="00B3624A"/>
    <w:rsid w:val="00B551A5"/>
    <w:rsid w:val="00B82FE9"/>
    <w:rsid w:val="00B94AE4"/>
    <w:rsid w:val="00B9759E"/>
    <w:rsid w:val="00BB66FB"/>
    <w:rsid w:val="00C20F21"/>
    <w:rsid w:val="00C24371"/>
    <w:rsid w:val="00C31100"/>
    <w:rsid w:val="00C67903"/>
    <w:rsid w:val="00C7213D"/>
    <w:rsid w:val="00C85C14"/>
    <w:rsid w:val="00CB3E5E"/>
    <w:rsid w:val="00D942FE"/>
    <w:rsid w:val="00DA5FD5"/>
    <w:rsid w:val="00DC5D21"/>
    <w:rsid w:val="00E30BF0"/>
    <w:rsid w:val="00E52159"/>
    <w:rsid w:val="00E60313"/>
    <w:rsid w:val="00E70BD4"/>
    <w:rsid w:val="00F03BEB"/>
    <w:rsid w:val="00F6688F"/>
    <w:rsid w:val="03F05F2B"/>
    <w:rsid w:val="06DA7E21"/>
    <w:rsid w:val="0EDA4D70"/>
    <w:rsid w:val="138B0DAB"/>
    <w:rsid w:val="19690377"/>
    <w:rsid w:val="1C3E48F7"/>
    <w:rsid w:val="22A67A1A"/>
    <w:rsid w:val="2ABA24CE"/>
    <w:rsid w:val="2FD8197B"/>
    <w:rsid w:val="36E459A5"/>
    <w:rsid w:val="3C174D7E"/>
    <w:rsid w:val="415066C2"/>
    <w:rsid w:val="41A85BEC"/>
    <w:rsid w:val="452B028C"/>
    <w:rsid w:val="45C23D0B"/>
    <w:rsid w:val="542847F3"/>
    <w:rsid w:val="56350E89"/>
    <w:rsid w:val="5F936C01"/>
    <w:rsid w:val="61886BF3"/>
    <w:rsid w:val="66716E29"/>
    <w:rsid w:val="6D4F035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Arial" w:hAnsi="Arial" w:eastAsia="Arial" w:cs="Tahoma"/>
      <w:szCs w:val="24"/>
      <w:lang w:val="pt-BR" w:eastAsia="pt-BR" w:bidi="ar-SA"/>
    </w:rPr>
  </w:style>
  <w:style w:type="paragraph" w:styleId="2">
    <w:name w:val="heading 1"/>
    <w:basedOn w:val="1"/>
    <w:next w:val="1"/>
    <w:link w:val="47"/>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0"/>
    <w:semiHidden/>
    <w:unhideWhenUsed/>
    <w:qFormat/>
    <w:uiPriority w:val="9"/>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rPr>
  </w:style>
  <w:style w:type="paragraph" w:styleId="6">
    <w:name w:val="heading 5"/>
    <w:basedOn w:val="1"/>
    <w:next w:val="1"/>
    <w:semiHidden/>
    <w:unhideWhenUsed/>
    <w:qFormat/>
    <w:uiPriority w:val="9"/>
    <w:pPr>
      <w:keepNext/>
      <w:keepLines/>
      <w:spacing w:before="220" w:after="40"/>
      <w:outlineLvl w:val="4"/>
    </w:pPr>
    <w:rPr>
      <w:b/>
      <w:sz w:val="22"/>
      <w:szCs w:val="22"/>
    </w:rPr>
  </w:style>
  <w:style w:type="paragraph" w:styleId="7">
    <w:name w:val="heading 6"/>
    <w:basedOn w:val="1"/>
    <w:next w:val="1"/>
    <w:semiHidden/>
    <w:unhideWhenUsed/>
    <w:qFormat/>
    <w:uiPriority w:val="9"/>
    <w:pPr>
      <w:keepNext/>
      <w:keepLines/>
      <w:spacing w:before="200" w:after="40"/>
      <w:outlineLvl w:val="5"/>
    </w:pPr>
    <w:rPr>
      <w:b/>
      <w:szCs w:val="20"/>
    </w:rPr>
  </w:style>
  <w:style w:type="paragraph" w:styleId="8">
    <w:name w:val="heading 9"/>
    <w:basedOn w:val="1"/>
    <w:next w:val="1"/>
    <w:link w:val="73"/>
    <w:semiHidden/>
    <w:unhideWhenUsed/>
    <w:qFormat/>
    <w:uiPriority w:val="0"/>
    <w:pPr>
      <w:keepNext/>
      <w:keepLines/>
      <w:spacing w:before="4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9">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character" w:styleId="11">
    <w:name w:val="Strong"/>
    <w:basedOn w:val="9"/>
    <w:qFormat/>
    <w:uiPriority w:val="22"/>
    <w:rPr>
      <w:b/>
      <w:bCs/>
    </w:rPr>
  </w:style>
  <w:style w:type="character" w:styleId="12">
    <w:name w:val="annotation reference"/>
    <w:basedOn w:val="9"/>
    <w:unhideWhenUsed/>
    <w:qFormat/>
    <w:uiPriority w:val="99"/>
    <w:rPr>
      <w:sz w:val="16"/>
      <w:szCs w:val="16"/>
    </w:rPr>
  </w:style>
  <w:style w:type="character" w:styleId="13">
    <w:name w:val="Emphasis"/>
    <w:basedOn w:val="9"/>
    <w:qFormat/>
    <w:uiPriority w:val="20"/>
    <w:rPr>
      <w:i/>
      <w:iCs/>
    </w:rPr>
  </w:style>
  <w:style w:type="character" w:styleId="14">
    <w:name w:val="Hyperlink"/>
    <w:qFormat/>
    <w:uiPriority w:val="0"/>
    <w:rPr>
      <w:color w:val="000080"/>
      <w:u w:val="single"/>
    </w:rPr>
  </w:style>
  <w:style w:type="paragraph" w:styleId="15">
    <w:name w:val="Body Text"/>
    <w:basedOn w:val="1"/>
    <w:link w:val="65"/>
    <w:unhideWhenUsed/>
    <w:qFormat/>
    <w:uiPriority w:val="99"/>
    <w:pPr>
      <w:spacing w:before="100" w:beforeAutospacing="1" w:after="100" w:afterAutospacing="1"/>
    </w:pPr>
    <w:rPr>
      <w:rFonts w:ascii="Times New Roman" w:hAnsi="Times New Roman" w:cs="Times New Roman"/>
      <w:sz w:val="24"/>
    </w:rPr>
  </w:style>
  <w:style w:type="paragraph" w:styleId="16">
    <w:name w:val="annotation text"/>
    <w:basedOn w:val="1"/>
    <w:link w:val="43"/>
    <w:unhideWhenUsed/>
    <w:qFormat/>
    <w:uiPriority w:val="99"/>
    <w:rPr>
      <w:szCs w:val="20"/>
    </w:rPr>
  </w:style>
  <w:style w:type="paragraph" w:styleId="17">
    <w:name w:val="Body Text Indent 2"/>
    <w:basedOn w:val="1"/>
    <w:link w:val="74"/>
    <w:unhideWhenUsed/>
    <w:qFormat/>
    <w:uiPriority w:val="99"/>
    <w:pPr>
      <w:spacing w:after="120" w:line="480" w:lineRule="auto"/>
      <w:ind w:left="283"/>
    </w:pPr>
    <w:rPr>
      <w:rFonts w:asciiTheme="minorHAnsi" w:hAnsiTheme="minorHAnsi" w:eastAsiaTheme="minorHAnsi" w:cstheme="minorBidi"/>
      <w:sz w:val="22"/>
      <w:szCs w:val="22"/>
      <w:lang w:eastAsia="en-US"/>
    </w:rPr>
  </w:style>
  <w:style w:type="paragraph" w:styleId="18">
    <w:name w:val="Title"/>
    <w:basedOn w:val="1"/>
    <w:next w:val="1"/>
    <w:qFormat/>
    <w:uiPriority w:val="10"/>
    <w:pPr>
      <w:keepNext/>
      <w:keepLines/>
      <w:spacing w:before="480" w:after="120"/>
    </w:pPr>
    <w:rPr>
      <w:b/>
      <w:sz w:val="72"/>
      <w:szCs w:val="72"/>
    </w:rPr>
  </w:style>
  <w:style w:type="paragraph" w:styleId="19">
    <w:name w:val="List Bullet 5"/>
    <w:basedOn w:val="1"/>
    <w:qFormat/>
    <w:uiPriority w:val="0"/>
    <w:pPr>
      <w:numPr>
        <w:ilvl w:val="0"/>
        <w:numId w:val="1"/>
      </w:numPr>
      <w:contextualSpacing/>
    </w:pPr>
  </w:style>
  <w:style w:type="paragraph" w:styleId="20">
    <w:name w:val="Normal (Web)"/>
    <w:basedOn w:val="1"/>
    <w:qFormat/>
    <w:uiPriority w:val="99"/>
    <w:pPr>
      <w:spacing w:before="100" w:beforeAutospacing="1" w:after="100" w:afterAutospacing="1"/>
    </w:pPr>
    <w:rPr>
      <w:rFonts w:ascii="Times New Roman" w:hAnsi="Times New Roman" w:cs="Times New Roman"/>
    </w:rPr>
  </w:style>
  <w:style w:type="paragraph" w:styleId="21">
    <w:name w:val="header"/>
    <w:basedOn w:val="1"/>
    <w:link w:val="38"/>
    <w:qFormat/>
    <w:uiPriority w:val="99"/>
    <w:pPr>
      <w:tabs>
        <w:tab w:val="center" w:pos="4252"/>
        <w:tab w:val="right" w:pos="8504"/>
      </w:tabs>
    </w:pPr>
  </w:style>
  <w:style w:type="paragraph" w:styleId="22">
    <w:name w:val="annotation subject"/>
    <w:basedOn w:val="16"/>
    <w:next w:val="16"/>
    <w:link w:val="44"/>
    <w:semiHidden/>
    <w:unhideWhenUsed/>
    <w:qFormat/>
    <w:uiPriority w:val="0"/>
    <w:rPr>
      <w:b/>
      <w:bCs/>
    </w:rPr>
  </w:style>
  <w:style w:type="paragraph" w:styleId="23">
    <w:name w:val="footer"/>
    <w:basedOn w:val="1"/>
    <w:link w:val="39"/>
    <w:qFormat/>
    <w:uiPriority w:val="99"/>
    <w:pPr>
      <w:tabs>
        <w:tab w:val="center" w:pos="4252"/>
        <w:tab w:val="right" w:pos="8504"/>
      </w:tabs>
    </w:pPr>
  </w:style>
  <w:style w:type="paragraph" w:styleId="24">
    <w:name w:val="Balloon Text"/>
    <w:basedOn w:val="1"/>
    <w:link w:val="29"/>
    <w:qFormat/>
    <w:uiPriority w:val="99"/>
    <w:rPr>
      <w:rFonts w:ascii="Tahoma" w:hAnsi="Tahoma"/>
      <w:sz w:val="16"/>
      <w:szCs w:val="16"/>
    </w:rPr>
  </w:style>
  <w:style w:type="paragraph" w:styleId="25">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styleId="26">
    <w:name w:val="Table Grid"/>
    <w:basedOn w:val="10"/>
    <w:qFormat/>
    <w:uiPriority w:val="0"/>
    <w:rPr>
      <w:rFonts w:eastAsiaTheme="minorEastAsia"/>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
    <w:name w:val="Table Normal"/>
    <w:qFormat/>
    <w:uiPriority w:val="0"/>
    <w:tblPr>
      <w:tblCellMar>
        <w:top w:w="0" w:type="dxa"/>
        <w:left w:w="0" w:type="dxa"/>
        <w:bottom w:w="0" w:type="dxa"/>
        <w:right w:w="0" w:type="dxa"/>
      </w:tblCellMar>
    </w:tblPr>
  </w:style>
  <w:style w:type="paragraph" w:styleId="28">
    <w:name w:val="List Paragraph"/>
    <w:basedOn w:val="1"/>
    <w:qFormat/>
    <w:uiPriority w:val="34"/>
    <w:pPr>
      <w:ind w:left="720"/>
      <w:contextualSpacing/>
    </w:pPr>
  </w:style>
  <w:style w:type="character" w:customStyle="1" w:styleId="29">
    <w:name w:val="Texto de balão Char"/>
    <w:link w:val="24"/>
    <w:qFormat/>
    <w:uiPriority w:val="99"/>
    <w:rPr>
      <w:rFonts w:ascii="Tahoma" w:hAnsi="Tahoma" w:cs="Tahoma"/>
      <w:sz w:val="16"/>
      <w:szCs w:val="16"/>
    </w:rPr>
  </w:style>
  <w:style w:type="character" w:customStyle="1" w:styleId="30">
    <w:name w:val="Título 2 Char"/>
    <w:link w:val="3"/>
    <w:qFormat/>
    <w:uiPriority w:val="0"/>
    <w:rPr>
      <w:b/>
      <w:color w:val="000000"/>
      <w:sz w:val="24"/>
    </w:rPr>
  </w:style>
  <w:style w:type="paragraph" w:customStyle="1" w:styleId="31">
    <w:name w:val="Nível 2"/>
    <w:basedOn w:val="1"/>
    <w:next w:val="1"/>
    <w:qFormat/>
    <w:uiPriority w:val="0"/>
    <w:pPr>
      <w:spacing w:after="120"/>
      <w:jc w:val="both"/>
    </w:pPr>
    <w:rPr>
      <w:rFonts w:cs="Times New Roman"/>
      <w:b/>
      <w:szCs w:val="20"/>
    </w:rPr>
  </w:style>
  <w:style w:type="character" w:customStyle="1" w:styleId="32">
    <w:name w:val="normal__char1"/>
    <w:qFormat/>
    <w:uiPriority w:val="0"/>
    <w:rPr>
      <w:rFonts w:hint="default" w:ascii="Arial" w:hAnsi="Arial" w:cs="Arial"/>
      <w:sz w:val="24"/>
      <w:szCs w:val="24"/>
      <w:u w:val="none"/>
    </w:rPr>
  </w:style>
  <w:style w:type="character" w:customStyle="1" w:styleId="33">
    <w:name w:val="apple-style-span"/>
    <w:basedOn w:val="9"/>
    <w:qFormat/>
    <w:uiPriority w:val="0"/>
  </w:style>
  <w:style w:type="paragraph" w:styleId="34">
    <w:name w:val="Quote"/>
    <w:basedOn w:val="1"/>
    <w:next w:val="1"/>
    <w:link w:val="3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lang w:eastAsia="en-US"/>
    </w:rPr>
  </w:style>
  <w:style w:type="character" w:customStyle="1" w:styleId="35">
    <w:name w:val="Citação Char"/>
    <w:link w:val="34"/>
    <w:qFormat/>
    <w:uiPriority w:val="0"/>
    <w:rPr>
      <w:rFonts w:ascii="Arial" w:hAnsi="Arial" w:eastAsia="Calibri" w:cs="Tahoma"/>
      <w:i/>
      <w:iCs/>
      <w:color w:val="000000"/>
      <w:szCs w:val="24"/>
      <w:shd w:val="clear" w:color="auto" w:fill="FFFFCC"/>
      <w:lang w:eastAsia="en-US"/>
    </w:rPr>
  </w:style>
  <w:style w:type="paragraph" w:customStyle="1" w:styleId="36">
    <w:name w:val="citação 2"/>
    <w:basedOn w:val="34"/>
    <w:link w:val="37"/>
    <w:qFormat/>
    <w:uiPriority w:val="0"/>
    <w:rPr>
      <w:szCs w:val="20"/>
    </w:rPr>
  </w:style>
  <w:style w:type="character" w:customStyle="1" w:styleId="37">
    <w:name w:val="citação 2 Char"/>
    <w:basedOn w:val="35"/>
    <w:link w:val="36"/>
    <w:qFormat/>
    <w:uiPriority w:val="0"/>
    <w:rPr>
      <w:rFonts w:ascii="Arial" w:hAnsi="Arial" w:eastAsia="Calibri" w:cs="Tahoma"/>
      <w:color w:val="000000"/>
      <w:szCs w:val="24"/>
      <w:shd w:val="clear" w:color="auto" w:fill="FFFFCC"/>
      <w:lang w:eastAsia="en-US"/>
    </w:rPr>
  </w:style>
  <w:style w:type="character" w:customStyle="1" w:styleId="38">
    <w:name w:val="Cabeçalho Char"/>
    <w:link w:val="21"/>
    <w:qFormat/>
    <w:uiPriority w:val="99"/>
    <w:rPr>
      <w:rFonts w:ascii="Ecofont_Spranq_eco_Sans" w:hAnsi="Ecofont_Spranq_eco_Sans" w:cs="Tahoma"/>
      <w:sz w:val="24"/>
      <w:szCs w:val="24"/>
    </w:rPr>
  </w:style>
  <w:style w:type="character" w:customStyle="1" w:styleId="39">
    <w:name w:val="Rodapé Char"/>
    <w:link w:val="23"/>
    <w:qFormat/>
    <w:uiPriority w:val="99"/>
    <w:rPr>
      <w:rFonts w:ascii="Ecofont_Spranq_eco_Sans" w:hAnsi="Ecofont_Spranq_eco_Sans" w:cs="Tahoma"/>
      <w:sz w:val="24"/>
      <w:szCs w:val="24"/>
    </w:rPr>
  </w:style>
  <w:style w:type="paragraph" w:customStyle="1" w:styleId="40">
    <w:name w:val="em_0020ementa"/>
    <w:basedOn w:val="1"/>
    <w:qFormat/>
    <w:uiPriority w:val="0"/>
    <w:pPr>
      <w:ind w:left="4160"/>
      <w:jc w:val="both"/>
    </w:pPr>
    <w:rPr>
      <w:rFonts w:ascii="Times New Roman" w:hAnsi="Times New Roman" w:cs="Times New Roman"/>
      <w:sz w:val="28"/>
      <w:szCs w:val="28"/>
    </w:rPr>
  </w:style>
  <w:style w:type="character" w:customStyle="1" w:styleId="41">
    <w:name w:val="cp_0020corpodespacho__char1"/>
    <w:qFormat/>
    <w:uiPriority w:val="0"/>
    <w:rPr>
      <w:rFonts w:hint="default" w:ascii="Times New Roman" w:hAnsi="Times New Roman" w:cs="Times New Roman"/>
      <w:sz w:val="26"/>
      <w:szCs w:val="26"/>
      <w:u w:val="none"/>
    </w:rPr>
  </w:style>
  <w:style w:type="character" w:customStyle="1" w:styleId="42">
    <w:name w:val="em_0020ementa__char1"/>
    <w:qFormat/>
    <w:uiPriority w:val="0"/>
    <w:rPr>
      <w:rFonts w:hint="default" w:ascii="Times New Roman" w:hAnsi="Times New Roman" w:cs="Times New Roman"/>
      <w:sz w:val="28"/>
      <w:szCs w:val="28"/>
      <w:u w:val="none"/>
    </w:rPr>
  </w:style>
  <w:style w:type="character" w:customStyle="1" w:styleId="43">
    <w:name w:val="Texto de comentário Char"/>
    <w:basedOn w:val="9"/>
    <w:link w:val="16"/>
    <w:qFormat/>
    <w:uiPriority w:val="99"/>
    <w:rPr>
      <w:rFonts w:ascii="Ecofont_Spranq_eco_Sans" w:hAnsi="Ecofont_Spranq_eco_Sans" w:cs="Tahoma"/>
    </w:rPr>
  </w:style>
  <w:style w:type="character" w:customStyle="1" w:styleId="44">
    <w:name w:val="Assunto do comentário Char"/>
    <w:basedOn w:val="43"/>
    <w:link w:val="22"/>
    <w:semiHidden/>
    <w:qFormat/>
    <w:uiPriority w:val="0"/>
    <w:rPr>
      <w:rFonts w:ascii="Ecofont_Spranq_eco_Sans" w:hAnsi="Ecofont_Spranq_eco_Sans" w:cs="Tahoma"/>
      <w:b/>
      <w:bCs/>
    </w:rPr>
  </w:style>
  <w:style w:type="paragraph" w:customStyle="1" w:styleId="45">
    <w:name w:val="Revision"/>
    <w:hidden/>
    <w:semiHidden/>
    <w:qFormat/>
    <w:uiPriority w:val="99"/>
    <w:rPr>
      <w:rFonts w:ascii="Ecofont_Spranq_eco_Sans" w:hAnsi="Ecofont_Spranq_eco_Sans" w:eastAsia="Arial" w:cs="Tahoma"/>
      <w:sz w:val="24"/>
      <w:szCs w:val="24"/>
      <w:lang w:val="pt-BR" w:eastAsia="pt-BR" w:bidi="ar-SA"/>
    </w:rPr>
  </w:style>
  <w:style w:type="paragraph" w:customStyle="1" w:styleId="46">
    <w:name w:val="Nivel 01"/>
    <w:basedOn w:val="2"/>
    <w:next w:val="1"/>
    <w:link w:val="48"/>
    <w:qFormat/>
    <w:uiPriority w:val="0"/>
    <w:pPr>
      <w:numPr>
        <w:ilvl w:val="0"/>
        <w:numId w:val="2"/>
      </w:numPr>
      <w:spacing w:after="120" w:line="276" w:lineRule="auto"/>
      <w:ind w:right="-15"/>
      <w:jc w:val="both"/>
    </w:pPr>
    <w:rPr>
      <w:rFonts w:ascii="Arial" w:hAnsi="Arial" w:cs="Times New Roman"/>
      <w:color w:val="000000"/>
      <w:sz w:val="20"/>
      <w:szCs w:val="20"/>
    </w:rPr>
  </w:style>
  <w:style w:type="character" w:customStyle="1" w:styleId="47">
    <w:name w:val="Título 1 Char"/>
    <w:basedOn w:val="9"/>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48">
    <w:name w:val="Nivel 01 Char"/>
    <w:basedOn w:val="47"/>
    <w:link w:val="46"/>
    <w:qFormat/>
    <w:uiPriority w:val="0"/>
    <w:rPr>
      <w:rFonts w:ascii="Arial" w:hAnsi="Arial" w:eastAsiaTheme="majorEastAsia" w:cstheme="majorBidi"/>
      <w:color w:val="000000"/>
      <w:sz w:val="28"/>
      <w:szCs w:val="28"/>
    </w:rPr>
  </w:style>
  <w:style w:type="paragraph" w:customStyle="1" w:styleId="49">
    <w:name w:val="Nivel1"/>
    <w:basedOn w:val="2"/>
    <w:link w:val="70"/>
    <w:qFormat/>
    <w:uiPriority w:val="0"/>
    <w:pPr>
      <w:spacing w:line="276" w:lineRule="auto"/>
      <w:ind w:left="357" w:hanging="357"/>
      <w:jc w:val="both"/>
    </w:pPr>
    <w:rPr>
      <w:rFonts w:ascii="Arial" w:hAnsi="Arial" w:cs="Arial"/>
      <w:bCs w:val="0"/>
      <w:color w:val="000000"/>
      <w:sz w:val="20"/>
      <w:szCs w:val="20"/>
    </w:rPr>
  </w:style>
  <w:style w:type="paragraph" w:customStyle="1" w:styleId="5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1">
    <w:name w:val="paragraph"/>
    <w:basedOn w:val="1"/>
    <w:qFormat/>
    <w:uiPriority w:val="0"/>
    <w:pPr>
      <w:spacing w:before="100" w:beforeAutospacing="1" w:after="100" w:afterAutospacing="1"/>
    </w:pPr>
    <w:rPr>
      <w:rFonts w:ascii="Times New Roman" w:hAnsi="Times New Roman" w:cs="Times New Roman"/>
      <w:sz w:val="24"/>
    </w:rPr>
  </w:style>
  <w:style w:type="character" w:customStyle="1" w:styleId="52">
    <w:name w:val="normaltextrun"/>
    <w:basedOn w:val="9"/>
    <w:qFormat/>
    <w:uiPriority w:val="0"/>
  </w:style>
  <w:style w:type="character" w:customStyle="1" w:styleId="53">
    <w:name w:val="eop"/>
    <w:basedOn w:val="9"/>
    <w:qFormat/>
    <w:uiPriority w:val="0"/>
  </w:style>
  <w:style w:type="character" w:customStyle="1" w:styleId="54">
    <w:name w:val="spellingerror"/>
    <w:basedOn w:val="9"/>
    <w:qFormat/>
    <w:uiPriority w:val="0"/>
  </w:style>
  <w:style w:type="character" w:customStyle="1" w:styleId="55">
    <w:name w:val="Quote Char"/>
    <w:basedOn w:val="9"/>
    <w:link w:val="56"/>
    <w:qFormat/>
    <w:uiPriority w:val="0"/>
    <w:rPr>
      <w:rFonts w:ascii="Ecofont_Spranq_eco_Sans" w:hAnsi="Ecofont_Spranq_eco_Sans" w:eastAsia="Calibri" w:cs="Tahoma"/>
      <w:i/>
      <w:iCs/>
      <w:color w:val="000000"/>
      <w:shd w:val="clear" w:color="auto" w:fill="FFFFCC"/>
      <w:lang w:eastAsia="en-US"/>
    </w:rPr>
  </w:style>
  <w:style w:type="paragraph" w:customStyle="1" w:styleId="56">
    <w:name w:val="Citação1"/>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i/>
      <w:iCs/>
      <w:color w:val="000000"/>
      <w:szCs w:val="20"/>
      <w:lang w:eastAsia="en-US"/>
    </w:rPr>
  </w:style>
  <w:style w:type="character" w:customStyle="1" w:styleId="57">
    <w:name w:val="Manoel"/>
    <w:qFormat/>
    <w:uiPriority w:val="0"/>
    <w:rPr>
      <w:rFonts w:ascii="Arial" w:hAnsi="Arial" w:cs="Arial"/>
      <w:color w:val="7030A0"/>
      <w:sz w:val="20"/>
    </w:rPr>
  </w:style>
  <w:style w:type="character" w:customStyle="1" w:styleId="58">
    <w:name w:val="ListLabel 12"/>
    <w:qFormat/>
    <w:uiPriority w:val="0"/>
    <w:rPr>
      <w:b/>
    </w:rPr>
  </w:style>
  <w:style w:type="paragraph" w:customStyle="1" w:styleId="59">
    <w:name w:val="texto1"/>
    <w:basedOn w:val="1"/>
    <w:qFormat/>
    <w:uiPriority w:val="0"/>
    <w:pPr>
      <w:spacing w:before="100" w:beforeAutospacing="1" w:after="100" w:afterAutospacing="1"/>
    </w:pPr>
    <w:rPr>
      <w:rFonts w:ascii="Times New Roman" w:hAnsi="Times New Roman" w:cs="Times New Roman"/>
      <w:sz w:val="24"/>
    </w:rPr>
  </w:style>
  <w:style w:type="paragraph" w:customStyle="1" w:styleId="60">
    <w:name w:val="Grade Colorida - Ênfase 11"/>
    <w:basedOn w:val="1"/>
    <w:next w:val="1"/>
    <w:link w:val="61"/>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cs="Times New Roman"/>
      <w:i/>
      <w:iCs/>
      <w:color w:val="000000"/>
      <w:lang w:eastAsia="en-US"/>
    </w:rPr>
  </w:style>
  <w:style w:type="character" w:customStyle="1" w:styleId="61">
    <w:name w:val="Grade Colorida - Ênfase 1 Char"/>
    <w:link w:val="60"/>
    <w:qFormat/>
    <w:uiPriority w:val="29"/>
    <w:rPr>
      <w:rFonts w:ascii="Arial" w:hAnsi="Arial" w:eastAsia="Calibri"/>
      <w:i/>
      <w:iCs/>
      <w:color w:val="000000"/>
      <w:szCs w:val="24"/>
      <w:shd w:val="clear" w:color="auto" w:fill="FFFFCC"/>
      <w:lang w:eastAsia="en-US"/>
    </w:rPr>
  </w:style>
  <w:style w:type="paragraph" w:customStyle="1" w:styleId="62">
    <w:name w:val="x_western"/>
    <w:basedOn w:val="1"/>
    <w:qFormat/>
    <w:uiPriority w:val="0"/>
    <w:pPr>
      <w:spacing w:before="100" w:beforeAutospacing="1" w:after="100" w:afterAutospacing="1"/>
    </w:pPr>
    <w:rPr>
      <w:rFonts w:ascii="Times New Roman" w:hAnsi="Times New Roman" w:cs="Times New Roman"/>
      <w:sz w:val="24"/>
    </w:rPr>
  </w:style>
  <w:style w:type="paragraph" w:customStyle="1" w:styleId="63">
    <w:name w:val="TCU - Ac - item 9 - §§_0"/>
    <w:basedOn w:val="1"/>
    <w:qFormat/>
    <w:uiPriority w:val="0"/>
    <w:pPr>
      <w:ind w:firstLine="1134"/>
      <w:jc w:val="both"/>
    </w:pPr>
    <w:rPr>
      <w:rFonts w:ascii="Times New Roman" w:hAnsi="Times New Roman" w:cs="Times New Roman"/>
      <w:sz w:val="24"/>
      <w:szCs w:val="22"/>
      <w:lang w:eastAsia="en-US"/>
    </w:rPr>
  </w:style>
  <w:style w:type="paragraph" w:customStyle="1" w:styleId="64">
    <w:name w:val="Normal_1"/>
    <w:qFormat/>
    <w:uiPriority w:val="0"/>
    <w:rPr>
      <w:rFonts w:ascii="Arial" w:hAnsi="Arial" w:eastAsia="Arial" w:cs="Arial"/>
      <w:sz w:val="24"/>
      <w:szCs w:val="22"/>
      <w:lang w:val="pt-BR" w:eastAsia="en-US" w:bidi="ar-SA"/>
    </w:rPr>
  </w:style>
  <w:style w:type="character" w:customStyle="1" w:styleId="65">
    <w:name w:val="Corpo de texto Char"/>
    <w:basedOn w:val="9"/>
    <w:link w:val="15"/>
    <w:qFormat/>
    <w:uiPriority w:val="99"/>
    <w:rPr>
      <w:sz w:val="24"/>
      <w:szCs w:val="24"/>
    </w:rPr>
  </w:style>
  <w:style w:type="paragraph" w:customStyle="1" w:styleId="66">
    <w:name w:val="tcu_-__ac_-_item_9_-_1ª_linha"/>
    <w:basedOn w:val="1"/>
    <w:qFormat/>
    <w:uiPriority w:val="0"/>
    <w:pPr>
      <w:spacing w:before="100" w:beforeAutospacing="1" w:after="100" w:afterAutospacing="1"/>
    </w:pPr>
    <w:rPr>
      <w:rFonts w:ascii="Times New Roman" w:hAnsi="Times New Roman" w:cs="Times New Roman"/>
      <w:sz w:val="24"/>
    </w:rPr>
  </w:style>
  <w:style w:type="paragraph" w:customStyle="1" w:styleId="67">
    <w:name w:val="texto_justificado_recuo_primeira_linha"/>
    <w:basedOn w:val="1"/>
    <w:qFormat/>
    <w:uiPriority w:val="0"/>
    <w:pPr>
      <w:spacing w:before="100" w:beforeAutospacing="1" w:after="100" w:afterAutospacing="1"/>
    </w:pPr>
    <w:rPr>
      <w:rFonts w:ascii="Times New Roman" w:hAnsi="Times New Roman" w:cs="Times New Roman"/>
      <w:sz w:val="24"/>
    </w:rPr>
  </w:style>
  <w:style w:type="character" w:customStyle="1" w:styleId="68">
    <w:name w:val="highlight"/>
    <w:basedOn w:val="9"/>
    <w:qFormat/>
    <w:uiPriority w:val="0"/>
  </w:style>
  <w:style w:type="paragraph" w:customStyle="1" w:styleId="69">
    <w:name w:val="texto_justificado"/>
    <w:basedOn w:val="1"/>
    <w:qFormat/>
    <w:uiPriority w:val="0"/>
    <w:pPr>
      <w:spacing w:before="100" w:beforeAutospacing="1" w:after="100" w:afterAutospacing="1"/>
    </w:pPr>
    <w:rPr>
      <w:rFonts w:ascii="Times New Roman" w:hAnsi="Times New Roman" w:cs="Times New Roman"/>
      <w:sz w:val="24"/>
    </w:rPr>
  </w:style>
  <w:style w:type="character" w:customStyle="1" w:styleId="70">
    <w:name w:val="Nivel1 Char"/>
    <w:basedOn w:val="47"/>
    <w:link w:val="49"/>
    <w:qFormat/>
    <w:uiPriority w:val="0"/>
    <w:rPr>
      <w:rFonts w:ascii="Arial" w:hAnsi="Arial" w:cs="Arial" w:eastAsiaTheme="majorEastAsia"/>
      <w:bCs w:val="0"/>
      <w:color w:val="000000"/>
      <w:sz w:val="28"/>
      <w:szCs w:val="28"/>
    </w:rPr>
  </w:style>
  <w:style w:type="paragraph" w:customStyle="1" w:styleId="71">
    <w:name w:val="Parágrafo da Lista1"/>
    <w:basedOn w:val="1"/>
    <w:qFormat/>
    <w:uiPriority w:val="0"/>
    <w:pPr>
      <w:ind w:left="720"/>
    </w:pPr>
    <w:rPr>
      <w:rFonts w:ascii="Ecofont_Spranq_eco_Sans" w:hAnsi="Ecofont_Spranq_eco_Sans" w:cs="Ecofont_Spranq_eco_Sans"/>
      <w:sz w:val="24"/>
    </w:rPr>
  </w:style>
  <w:style w:type="paragraph" w:customStyle="1" w:styleId="72">
    <w:name w:val="textbody"/>
    <w:basedOn w:val="1"/>
    <w:qFormat/>
    <w:uiPriority w:val="0"/>
    <w:pPr>
      <w:spacing w:before="100" w:beforeAutospacing="1" w:after="100" w:afterAutospacing="1"/>
    </w:pPr>
    <w:rPr>
      <w:rFonts w:ascii="Times New Roman" w:hAnsi="Times New Roman" w:cs="Times New Roman"/>
      <w:sz w:val="24"/>
    </w:rPr>
  </w:style>
  <w:style w:type="character" w:customStyle="1" w:styleId="73">
    <w:name w:val="Título 9 Char"/>
    <w:basedOn w:val="9"/>
    <w:link w:val="8"/>
    <w:semiHidden/>
    <w:qFormat/>
    <w:uiPriority w:val="0"/>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74">
    <w:name w:val="Recuo de corpo de texto 2 Char"/>
    <w:basedOn w:val="9"/>
    <w:link w:val="17"/>
    <w:qFormat/>
    <w:uiPriority w:val="99"/>
    <w:rPr>
      <w:rFonts w:asciiTheme="minorHAnsi" w:hAnsiTheme="minorHAnsi" w:eastAsiaTheme="minorHAnsi" w:cstheme="minorBidi"/>
      <w:sz w:val="22"/>
      <w:szCs w:val="22"/>
      <w:lang w:eastAsia="en-US"/>
    </w:rPr>
  </w:style>
  <w:style w:type="table" w:customStyle="1" w:styleId="75">
    <w:name w:val="_Style 75"/>
    <w:basedOn w:val="27"/>
    <w:qFormat/>
    <w:uiPriority w:val="0"/>
    <w:tblPr>
      <w:tblCellMar>
        <w:left w:w="115" w:type="dxa"/>
        <w:right w:w="115" w:type="dxa"/>
      </w:tblCellMar>
    </w:tblPr>
  </w:style>
  <w:style w:type="table" w:customStyle="1" w:styleId="76">
    <w:name w:val="_Style 76"/>
    <w:basedOn w:val="27"/>
    <w:qFormat/>
    <w:uiPriority w:val="0"/>
    <w:tblPr>
      <w:tblCellMar>
        <w:left w:w="108" w:type="dxa"/>
        <w:right w:w="108" w:type="dxa"/>
      </w:tblCellMar>
    </w:tblPr>
  </w:style>
  <w:style w:type="table" w:customStyle="1" w:styleId="77">
    <w:name w:val="_Style 77"/>
    <w:basedOn w:val="27"/>
    <w:qFormat/>
    <w:uiPriority w:val="0"/>
    <w:tblPr>
      <w:tblCellMar>
        <w:left w:w="108" w:type="dxa"/>
        <w:right w:w="108" w:type="dxa"/>
      </w:tblCellMar>
    </w:tblPr>
  </w:style>
  <w:style w:type="table" w:customStyle="1" w:styleId="78">
    <w:name w:val="_Style 78"/>
    <w:basedOn w:val="27"/>
    <w:qFormat/>
    <w:uiPriority w:val="0"/>
    <w:tblPr>
      <w:tblCellMar>
        <w:left w:w="108" w:type="dxa"/>
        <w:right w:w="108" w:type="dxa"/>
      </w:tblCellMar>
    </w:tblPr>
  </w:style>
  <w:style w:type="paragraph" w:customStyle="1" w:styleId="79">
    <w:name w:val="LO-normal"/>
    <w:qFormat/>
    <w:uiPriority w:val="0"/>
    <w:rPr>
      <w:rFonts w:ascii="Arial" w:hAnsi="Arial" w:eastAsia="Arial" w:cs="Arial"/>
      <w:lang w:val="pt-BR" w:eastAsia="zh-CN" w:bidi="hi-IN"/>
    </w:rPr>
  </w:style>
  <w:style w:type="table" w:customStyle="1" w:styleId="80">
    <w:name w:val="_Style 80"/>
    <w:basedOn w:val="27"/>
    <w:qFormat/>
    <w:uiPriority w:val="0"/>
    <w:tblPr>
      <w:tblCellMar>
        <w:left w:w="108" w:type="dxa"/>
        <w:right w:w="108" w:type="dxa"/>
      </w:tblCellMar>
    </w:tblPr>
  </w:style>
  <w:style w:type="table" w:customStyle="1" w:styleId="81">
    <w:name w:val="_Style 81"/>
    <w:basedOn w:val="27"/>
    <w:qFormat/>
    <w:uiPriority w:val="0"/>
    <w:tblPr>
      <w:tblCellMar>
        <w:left w:w="108" w:type="dxa"/>
        <w:right w:w="108" w:type="dxa"/>
      </w:tblCellMar>
    </w:tblPr>
  </w:style>
  <w:style w:type="table" w:customStyle="1" w:styleId="82">
    <w:name w:val="_Style 82"/>
    <w:basedOn w:val="27"/>
    <w:qFormat/>
    <w:uiPriority w:val="0"/>
    <w:tblPr>
      <w:tblCellMar>
        <w:left w:w="108" w:type="dxa"/>
        <w:right w:w="108" w:type="dxa"/>
      </w:tblCellMar>
    </w:tblPr>
  </w:style>
  <w:style w:type="table" w:customStyle="1" w:styleId="83">
    <w:name w:val="_Style 83"/>
    <w:basedOn w:val="27"/>
    <w:qFormat/>
    <w:uiPriority w:val="0"/>
    <w:tblPr>
      <w:tblCellMar>
        <w:left w:w="108" w:type="dxa"/>
        <w:right w:w="108" w:type="dxa"/>
      </w:tblCellMar>
    </w:tblPr>
  </w:style>
  <w:style w:type="table" w:customStyle="1" w:styleId="84">
    <w:name w:val="_Style 84"/>
    <w:basedOn w:val="27"/>
    <w:qFormat/>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26</Pages>
  <Words>11441</Words>
  <Characters>61783</Characters>
  <Lines>514</Lines>
  <Paragraphs>146</Paragraphs>
  <TotalTime>127</TotalTime>
  <ScaleCrop>false</ScaleCrop>
  <LinksUpToDate>false</LinksUpToDate>
  <CharactersWithSpaces>73078</CharactersWithSpaces>
  <Application>WPS Office_11.2.0.11130_F1E327BC-269C-435d-A152-05C5408002CA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2021-08-17T17:05:00Z</dcterms:created>
  <dc:creator>Manoel Paz e Silva Filho</dc:creator>
  <cp:lastModifiedBy>Juliana Borsoi</cp:lastModifiedBy>
  <dcterms:modified xsi:type="dcterms:W3CDTF">2022-05-24T18:56:52Z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1046-11.2.0.11130</vt:lpwstr>
  </property>
  <property fmtid="{D5CDD505-2E9C-101B-9397-08002B2CF9AE}" pid="4" name="ICV">
    <vt:lpwstr>FB5072437A774443B40297DF349716B4</vt:lpwstr>
  </property>
</Properties>
</file>