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val="0"/>
        <w:spacing w:line="276" w:lineRule="auto"/>
        <w:rPr>
          <w:color w:val="000000"/>
          <w:sz w:val="22"/>
          <w:szCs w:val="22"/>
        </w:rPr>
      </w:pPr>
    </w:p>
    <w:tbl>
      <w:tblPr>
        <w:tblStyle w:val="11"/>
        <w:tblW w:w="9888" w:type="dxa"/>
        <w:jc w:val="center"/>
        <w:tblLayout w:type="autofit"/>
        <w:tblCellMar>
          <w:top w:w="0" w:type="dxa"/>
          <w:left w:w="108" w:type="dxa"/>
          <w:bottom w:w="0" w:type="dxa"/>
          <w:right w:w="108" w:type="dxa"/>
        </w:tblCellMar>
      </w:tblPr>
      <w:tblGrid>
        <w:gridCol w:w="2940"/>
        <w:gridCol w:w="6948"/>
      </w:tblGrid>
      <w:tr>
        <w:tblPrEx>
          <w:tblCellMar>
            <w:top w:w="0" w:type="dxa"/>
            <w:left w:w="108" w:type="dxa"/>
            <w:bottom w:w="0" w:type="dxa"/>
            <w:right w:w="108" w:type="dxa"/>
          </w:tblCellMar>
        </w:tblPrEx>
        <w:trPr>
          <w:trHeight w:val="2963" w:hRule="atLeast"/>
          <w:jc w:val="center"/>
        </w:trPr>
        <w:tc>
          <w:tcPr>
            <w:tcW w:w="9887"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pBdr>
                <w:top w:val="none" w:color="auto" w:sz="0" w:space="0"/>
                <w:left w:val="none" w:color="auto" w:sz="0" w:space="0"/>
                <w:bottom w:val="none" w:color="auto" w:sz="0" w:space="0"/>
                <w:right w:val="none" w:color="auto" w:sz="0" w:space="0"/>
                <w:between w:val="none" w:color="auto" w:sz="0" w:space="0"/>
              </w:pBdr>
              <w:tabs>
                <w:tab w:val="left" w:pos="708"/>
                <w:tab w:val="center" w:pos="4252"/>
                <w:tab w:val="right" w:pos="8504"/>
              </w:tabs>
              <w:spacing w:before="100" w:after="100"/>
              <w:jc w:val="center"/>
              <w:rPr>
                <w:rFonts w:cs="Arial"/>
                <w:color w:val="FF0000"/>
                <w:szCs w:val="20"/>
              </w:rPr>
            </w:pPr>
            <w:r>
              <w:rPr>
                <w:rFonts w:ascii="Verdana" w:hAnsi="Verdana" w:eastAsia="Verdana" w:cs="Verdana"/>
                <w:b/>
                <w:color w:val="FF0000"/>
                <w:szCs w:val="20"/>
              </w:rPr>
              <w:t>EDITAL DE LICITAÇÃO</w:t>
            </w:r>
          </w:p>
          <w:p>
            <w:pPr>
              <w:pStyle w:val="2"/>
              <w:keepLines w:val="0"/>
              <w:numPr>
                <w:ilvl w:val="0"/>
                <w:numId w:val="1"/>
              </w:numPr>
              <w:spacing w:before="100" w:after="100"/>
              <w:jc w:val="center"/>
              <w:rPr>
                <w:b/>
              </w:rPr>
            </w:pPr>
            <w:r>
              <w:rPr>
                <w:rFonts w:ascii="Verdana" w:hAnsi="Verdana" w:eastAsia="Verdana" w:cs="Verdana"/>
                <w:b/>
                <w:sz w:val="20"/>
                <w:szCs w:val="20"/>
              </w:rPr>
              <w:t xml:space="preserve">PREGÃO ELETRÔNICO Nº </w:t>
            </w:r>
            <w:r>
              <w:rPr>
                <w:rFonts w:hint="default" w:ascii="Verdana" w:hAnsi="Verdana" w:eastAsia="Verdana" w:cs="Verdana"/>
                <w:b/>
                <w:sz w:val="20"/>
                <w:szCs w:val="20"/>
                <w:lang w:val="pt-BR"/>
              </w:rPr>
              <w:t>45/2022</w:t>
            </w:r>
            <w:r>
              <w:rPr>
                <w:rFonts w:ascii="Verdana" w:hAnsi="Verdana" w:eastAsia="Verdana" w:cs="Verdana"/>
                <w:b/>
                <w:sz w:val="20"/>
                <w:szCs w:val="20"/>
              </w:rPr>
              <w:t>/AD</w:t>
            </w:r>
          </w:p>
          <w:p>
            <w:pPr>
              <w:spacing w:before="100" w:after="100"/>
              <w:jc w:val="center"/>
              <w:rPr>
                <w:rFonts w:ascii="Verdana" w:hAnsi="Verdana" w:eastAsia="Verdana" w:cs="Verdana"/>
                <w:b/>
              </w:rPr>
            </w:pPr>
            <w:r>
              <w:rPr>
                <w:rFonts w:ascii="Verdana" w:hAnsi="Verdana" w:eastAsia="Verdana" w:cs="Verdana"/>
                <w:b/>
              </w:rPr>
              <w:t xml:space="preserve">SERVIÇOS CONTINUADOS </w:t>
            </w:r>
            <w:r>
              <w:rPr>
                <w:rFonts w:hint="default" w:ascii="Verdana" w:hAnsi="Verdana" w:eastAsia="Verdana" w:cs="Verdana"/>
                <w:b/>
                <w:lang w:val="pt-BR"/>
              </w:rPr>
              <w:t>COM</w:t>
            </w:r>
            <w:r>
              <w:rPr>
                <w:rFonts w:ascii="Verdana" w:hAnsi="Verdana" w:eastAsia="Verdana" w:cs="Verdana"/>
                <w:b/>
              </w:rPr>
              <w:t xml:space="preserve"> DEDICAÇÃO EXCLUSIVA DE MÃO DE OBRA </w:t>
            </w:r>
          </w:p>
          <w:p>
            <w:pPr>
              <w:pStyle w:val="4"/>
              <w:spacing w:before="120" w:after="120"/>
              <w:ind w:left="624" w:hanging="567"/>
              <w:jc w:val="center"/>
              <w:rPr>
                <w:rFonts w:ascii="Verdana" w:hAnsi="Verdana" w:eastAsia="Verdana" w:cs="Verdana"/>
                <w:b/>
                <w:sz w:val="18"/>
                <w:szCs w:val="18"/>
                <w:lang w:val="pt-BR"/>
              </w:rPr>
            </w:pPr>
            <w:r>
              <w:rPr>
                <w:rFonts w:ascii="Verdana" w:hAnsi="Verdana" w:eastAsia="Verdana" w:cs="Verdana"/>
                <w:b/>
                <w:sz w:val="18"/>
                <w:szCs w:val="18"/>
              </w:rPr>
              <w:t xml:space="preserve">PROCESSO Nº </w:t>
            </w:r>
            <w:r>
              <w:rPr>
                <w:rFonts w:ascii="Verdana" w:hAnsi="Verdana" w:eastAsia="Verdana" w:cs="Verdana"/>
                <w:b/>
                <w:sz w:val="18"/>
                <w:szCs w:val="18"/>
                <w:lang w:val="pt-BR"/>
              </w:rPr>
              <w:t xml:space="preserve">23069.154035/2022-92 </w:t>
            </w:r>
          </w:p>
          <w:p>
            <w:pPr>
              <w:pStyle w:val="4"/>
              <w:spacing w:before="120" w:after="120"/>
              <w:ind w:left="624" w:hanging="567"/>
              <w:jc w:val="center"/>
              <w:rPr>
                <w:rFonts w:hint="default" w:ascii="Verdana" w:hAnsi="Verdana" w:eastAsia="Verdana" w:cs="Verdana"/>
                <w:b/>
                <w:sz w:val="18"/>
                <w:szCs w:val="18"/>
                <w:lang w:val="pt-BR"/>
              </w:rPr>
            </w:pPr>
          </w:p>
        </w:tc>
      </w:tr>
      <w:tr>
        <w:tblPrEx>
          <w:tblCellMar>
            <w:top w:w="0" w:type="dxa"/>
            <w:left w:w="108" w:type="dxa"/>
            <w:bottom w:w="0" w:type="dxa"/>
            <w:right w:w="108" w:type="dxa"/>
          </w:tblCellMar>
        </w:tblPrEx>
        <w:trPr>
          <w:trHeight w:val="1176" w:hRule="atLeast"/>
          <w:jc w:val="center"/>
        </w:trPr>
        <w:tc>
          <w:tcPr>
            <w:tcW w:w="2940"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4"/>
              <w:spacing w:before="120" w:after="120"/>
              <w:ind w:left="624" w:hanging="567"/>
              <w:jc w:val="center"/>
            </w:pPr>
            <w:r>
              <w:rPr>
                <w:b/>
              </w:rPr>
              <w:t>OBJETO</w:t>
            </w:r>
          </w:p>
        </w:tc>
        <w:tc>
          <w:tcPr>
            <w:tcW w:w="6947"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both"/>
              <w:rPr>
                <w:rFonts w:ascii="Ecofont_Spranq_eco_Sans" w:hAnsi="Ecofont_Spranq_eco_Sans" w:eastAsia="Ecofont_Spranq_eco_Sans" w:cs="Ecofont_Spranq_eco_Sans"/>
                <w:color w:val="000000"/>
              </w:rPr>
            </w:pPr>
            <w:bookmarkStart w:id="0" w:name="_heading=h.gjdgxs"/>
            <w:bookmarkEnd w:id="0"/>
            <w:r>
              <w:rPr>
                <w:color w:val="000000"/>
              </w:rPr>
              <w:t xml:space="preserve">O objeto da presente licitação é a escolha da proposta mais vantajosa para a </w:t>
            </w:r>
            <w:r>
              <w:rPr>
                <w:rFonts w:hint="default"/>
                <w:b/>
                <w:bCs/>
                <w:color w:val="000000"/>
                <w:lang w:val="pt-BR"/>
              </w:rPr>
              <w:t>Contratação de empresa especializada para prestação de serviços continuados de limpeza, higiene e de conservação predial, com fornecimento de mão de obra, uniformes, EPI (Equipamentos de proteção individual), materiais e equipamentos, para atender em caráter ordinário ou extraordinário para as unidades da Universidade Federal Fluminense no município de Oriximiná</w:t>
            </w:r>
            <w:r>
              <w:rPr>
                <w:color w:val="000000"/>
              </w:rPr>
              <w:t>, conforme condições, quantidades e exigências estabelecidas neste Edital e seus anexos.</w:t>
            </w:r>
          </w:p>
        </w:tc>
      </w:tr>
      <w:tr>
        <w:tblPrEx>
          <w:tblCellMar>
            <w:top w:w="0" w:type="dxa"/>
            <w:left w:w="108" w:type="dxa"/>
            <w:bottom w:w="0" w:type="dxa"/>
            <w:right w:w="108" w:type="dxa"/>
          </w:tblCellMar>
        </w:tblPrEx>
        <w:trPr>
          <w:trHeight w:val="903" w:hRule="atLeast"/>
          <w:jc w:val="center"/>
        </w:trPr>
        <w:tc>
          <w:tcPr>
            <w:tcW w:w="2940"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4"/>
              <w:spacing w:before="120" w:after="120"/>
              <w:ind w:left="624" w:hanging="567"/>
              <w:jc w:val="center"/>
              <w:rPr>
                <w:b/>
              </w:rPr>
            </w:pPr>
            <w:r>
              <w:rPr>
                <w:b/>
              </w:rPr>
              <w:t>RECEBIMENTO DAS PROPOSTAS</w:t>
            </w:r>
          </w:p>
        </w:tc>
        <w:tc>
          <w:tcPr>
            <w:tcW w:w="6947"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4"/>
              <w:keepNext/>
              <w:keepLines/>
              <w:spacing w:before="120" w:after="120"/>
              <w:ind w:hanging="19"/>
              <w:jc w:val="both"/>
            </w:pPr>
            <w:r>
              <w:rPr>
                <w:rFonts w:ascii="Arial" w:hAnsi="Arial" w:eastAsia="SimSun" w:cs="Arial"/>
                <w:i w:val="0"/>
                <w:iCs w:val="0"/>
                <w:color w:val="000000"/>
                <w:sz w:val="20"/>
                <w:szCs w:val="20"/>
                <w:u w:val="none"/>
                <w:vertAlign w:val="baseline"/>
              </w:rPr>
              <w:t xml:space="preserve">A partir da data de divulgação do Edital no site </w:t>
            </w:r>
            <w:r>
              <w:rPr>
                <w:rFonts w:ascii="SimSun" w:hAnsi="SimSun" w:eastAsia="SimSun" w:cs="SimSun"/>
                <w:b w:val="0"/>
                <w:bCs w:val="0"/>
                <w:sz w:val="24"/>
                <w:szCs w:val="24"/>
                <w:u w:val="none"/>
              </w:rPr>
              <w:fldChar w:fldCharType="begin"/>
            </w:r>
            <w:r>
              <w:rPr>
                <w:rFonts w:ascii="SimSun" w:hAnsi="SimSun" w:eastAsia="SimSun" w:cs="SimSun"/>
                <w:b w:val="0"/>
                <w:bCs w:val="0"/>
                <w:sz w:val="24"/>
                <w:szCs w:val="24"/>
                <w:u w:val="none"/>
              </w:rPr>
              <w:instrText xml:space="preserve"> HYPERLINK "https://www.gov.br/compras/pt-br" </w:instrText>
            </w:r>
            <w:r>
              <w:rPr>
                <w:rFonts w:ascii="SimSun" w:hAnsi="SimSun" w:eastAsia="SimSun" w:cs="SimSun"/>
                <w:b w:val="0"/>
                <w:bCs w:val="0"/>
                <w:sz w:val="24"/>
                <w:szCs w:val="24"/>
                <w:u w:val="none"/>
              </w:rPr>
              <w:fldChar w:fldCharType="separate"/>
            </w:r>
            <w:r>
              <w:rPr>
                <w:rStyle w:val="15"/>
                <w:rFonts w:hint="default" w:ascii="Arial" w:hAnsi="Arial" w:eastAsia="SimSun" w:cs="Arial"/>
                <w:i/>
                <w:iCs/>
                <w:color w:val="000000"/>
                <w:sz w:val="20"/>
                <w:szCs w:val="20"/>
                <w:u w:val="single"/>
                <w:vertAlign w:val="baseline"/>
              </w:rPr>
              <w:t>www.gov.br/compras</w:t>
            </w:r>
            <w:r>
              <w:rPr>
                <w:rFonts w:ascii="SimSun" w:hAnsi="SimSun" w:eastAsia="SimSun" w:cs="SimSun"/>
                <w:b w:val="0"/>
                <w:bCs w:val="0"/>
                <w:sz w:val="24"/>
                <w:szCs w:val="24"/>
                <w:u w:val="none"/>
              </w:rPr>
              <w:fldChar w:fldCharType="end"/>
            </w:r>
            <w:r>
              <w:rPr>
                <w:rFonts w:hint="default" w:ascii="Arial" w:hAnsi="Arial" w:eastAsia="SimSun" w:cs="Arial"/>
                <w:i w:val="0"/>
                <w:iCs w:val="0"/>
                <w:color w:val="000000"/>
                <w:sz w:val="20"/>
                <w:szCs w:val="20"/>
                <w:u w:val="none"/>
                <w:vertAlign w:val="baseline"/>
              </w:rPr>
              <w:t xml:space="preserve"> até a data e horário de realização da sessão pública</w:t>
            </w:r>
          </w:p>
        </w:tc>
      </w:tr>
      <w:tr>
        <w:tblPrEx>
          <w:tblCellMar>
            <w:top w:w="0" w:type="dxa"/>
            <w:left w:w="108" w:type="dxa"/>
            <w:bottom w:w="0" w:type="dxa"/>
            <w:right w:w="108" w:type="dxa"/>
          </w:tblCellMar>
        </w:tblPrEx>
        <w:trPr>
          <w:trHeight w:val="1104" w:hRule="atLeast"/>
          <w:jc w:val="center"/>
        </w:trPr>
        <w:tc>
          <w:tcPr>
            <w:tcW w:w="2940"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4"/>
              <w:spacing w:before="120" w:after="120"/>
              <w:ind w:left="624" w:hanging="567"/>
              <w:jc w:val="center"/>
              <w:rPr>
                <w:b/>
              </w:rPr>
            </w:pPr>
            <w:r>
              <w:rPr>
                <w:b/>
              </w:rPr>
              <w:t>DATA ABERTURA DAS PROPOSTAS</w:t>
            </w:r>
          </w:p>
        </w:tc>
        <w:tc>
          <w:tcPr>
            <w:tcW w:w="6947"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4"/>
              <w:spacing w:before="120" w:after="120"/>
              <w:ind w:hanging="25"/>
              <w:jc w:val="both"/>
              <w:rPr>
                <w:rFonts w:hint="default"/>
                <w:lang w:val="pt-BR"/>
              </w:rPr>
            </w:pPr>
            <w:r>
              <w:rPr>
                <w:rFonts w:ascii="Arial" w:hAnsi="Arial" w:eastAsia="SimSun" w:cs="Arial"/>
                <w:i w:val="0"/>
                <w:iCs w:val="0"/>
                <w:color w:val="000000"/>
                <w:sz w:val="20"/>
                <w:szCs w:val="20"/>
                <w:u w:val="none"/>
                <w:vertAlign w:val="baseline"/>
              </w:rPr>
              <w:t xml:space="preserve">Sessão Pública a ser realizada no endereço eletrônico informado no edital, às </w:t>
            </w:r>
            <w:r>
              <w:rPr>
                <w:rFonts w:hint="default" w:eastAsia="SimSun" w:cs="Arial"/>
                <w:i w:val="0"/>
                <w:iCs w:val="0"/>
                <w:color w:val="000000"/>
                <w:sz w:val="20"/>
                <w:szCs w:val="20"/>
                <w:u w:val="none"/>
                <w:vertAlign w:val="baseline"/>
                <w:lang w:val="pt-BR"/>
              </w:rPr>
              <w:t>10</w:t>
            </w:r>
            <w:r>
              <w:rPr>
                <w:rFonts w:hint="default" w:eastAsia="SimSun" w:cs="Arial"/>
                <w:b/>
                <w:bCs/>
                <w:i w:val="0"/>
                <w:iCs w:val="0"/>
                <w:color w:val="000000"/>
                <w:sz w:val="20"/>
                <w:szCs w:val="20"/>
                <w:u w:val="none"/>
                <w:vertAlign w:val="baseline"/>
                <w:lang w:val="pt-BR"/>
              </w:rPr>
              <w:t xml:space="preserve">h </w:t>
            </w:r>
            <w:r>
              <w:rPr>
                <w:rFonts w:hint="default" w:ascii="Arial" w:hAnsi="Arial" w:eastAsia="SimSun" w:cs="Arial"/>
                <w:i w:val="0"/>
                <w:iCs w:val="0"/>
                <w:color w:val="000000"/>
                <w:sz w:val="20"/>
                <w:szCs w:val="20"/>
                <w:u w:val="none"/>
                <w:vertAlign w:val="baseline"/>
              </w:rPr>
              <w:t>do dia</w:t>
            </w:r>
            <w:r>
              <w:rPr>
                <w:rFonts w:hint="default" w:eastAsia="SimSun" w:cs="Arial"/>
                <w:i w:val="0"/>
                <w:iCs w:val="0"/>
                <w:color w:val="000000"/>
                <w:sz w:val="20"/>
                <w:szCs w:val="20"/>
                <w:u w:val="none"/>
                <w:vertAlign w:val="baseline"/>
                <w:lang w:val="pt-BR"/>
              </w:rPr>
              <w:t xml:space="preserve"> </w:t>
            </w:r>
            <w:r>
              <w:rPr>
                <w:rFonts w:hint="default" w:eastAsia="SimSun" w:cs="Arial"/>
                <w:b/>
                <w:bCs/>
                <w:i w:val="0"/>
                <w:iCs w:val="0"/>
                <w:color w:val="000000"/>
                <w:sz w:val="20"/>
                <w:szCs w:val="20"/>
                <w:u w:val="none"/>
                <w:vertAlign w:val="baseline"/>
                <w:lang w:val="pt-BR"/>
              </w:rPr>
              <w:t>26/MAI/2022</w:t>
            </w:r>
            <w:r>
              <w:rPr>
                <w:rFonts w:hint="default" w:eastAsia="SimSun" w:cs="Arial"/>
                <w:i w:val="0"/>
                <w:iCs w:val="0"/>
                <w:color w:val="000000"/>
                <w:sz w:val="20"/>
                <w:szCs w:val="20"/>
                <w:u w:val="none"/>
                <w:vertAlign w:val="baseline"/>
                <w:lang w:val="pt-BR"/>
              </w:rPr>
              <w:t>.</w:t>
            </w:r>
          </w:p>
        </w:tc>
      </w:tr>
      <w:tr>
        <w:tblPrEx>
          <w:tblCellMar>
            <w:top w:w="0" w:type="dxa"/>
            <w:left w:w="108" w:type="dxa"/>
            <w:bottom w:w="0" w:type="dxa"/>
            <w:right w:w="108" w:type="dxa"/>
          </w:tblCellMar>
        </w:tblPrEx>
        <w:trPr>
          <w:trHeight w:val="2042" w:hRule="atLeast"/>
          <w:jc w:val="center"/>
        </w:trPr>
        <w:tc>
          <w:tcPr>
            <w:tcW w:w="2940"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4"/>
              <w:spacing w:before="120" w:after="120"/>
              <w:ind w:left="624" w:hanging="567"/>
              <w:jc w:val="center"/>
              <w:rPr>
                <w:b/>
              </w:rPr>
            </w:pPr>
            <w:r>
              <w:rPr>
                <w:b/>
              </w:rPr>
              <w:t>ENDEREÇO</w:t>
            </w:r>
          </w:p>
        </w:tc>
        <w:tc>
          <w:tcPr>
            <w:tcW w:w="6947"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22"/>
              <w:keepNext w:val="0"/>
              <w:keepLines w:val="0"/>
              <w:widowControl/>
              <w:suppressLineNumbers w:val="0"/>
              <w:pBdr>
                <w:top w:val="none" w:color="auto" w:sz="0" w:space="0"/>
                <w:left w:val="none" w:color="auto" w:sz="0" w:space="0"/>
                <w:bottom w:val="none" w:color="auto" w:sz="0" w:space="0"/>
                <w:right w:val="none" w:color="auto" w:sz="0" w:space="0"/>
              </w:pBdr>
              <w:bidi w:val="0"/>
              <w:spacing w:before="120" w:beforeAutospacing="0" w:after="120" w:afterAutospacing="0" w:line="15" w:lineRule="atLeast"/>
              <w:ind w:left="-20" w:hanging="20"/>
              <w:jc w:val="both"/>
            </w:pPr>
            <w:r>
              <w:rPr>
                <w:rFonts w:ascii="Arial" w:hAnsi="Arial" w:cs="Arial"/>
                <w:i w:val="0"/>
                <w:iCs w:val="0"/>
                <w:color w:val="000000"/>
                <w:sz w:val="20"/>
                <w:szCs w:val="20"/>
                <w:u w:val="none"/>
                <w:vertAlign w:val="baseline"/>
              </w:rPr>
              <w:t>Universidade Federal Fluminense</w:t>
            </w:r>
          </w:p>
          <w:p>
            <w:pPr>
              <w:pStyle w:val="22"/>
              <w:keepNext w:val="0"/>
              <w:keepLines w:val="0"/>
              <w:widowControl/>
              <w:suppressLineNumbers w:val="0"/>
              <w:pBdr>
                <w:top w:val="none" w:color="auto" w:sz="0" w:space="0"/>
                <w:left w:val="none" w:color="auto" w:sz="0" w:space="0"/>
                <w:bottom w:val="none" w:color="auto" w:sz="0" w:space="0"/>
                <w:right w:val="none" w:color="auto" w:sz="0" w:space="0"/>
              </w:pBdr>
              <w:bidi w:val="0"/>
              <w:spacing w:before="120" w:beforeAutospacing="0" w:after="120" w:afterAutospacing="0" w:line="15" w:lineRule="atLeast"/>
              <w:ind w:left="-20" w:hanging="20"/>
              <w:jc w:val="both"/>
            </w:pPr>
            <w:r>
              <w:rPr>
                <w:rFonts w:hint="default" w:ascii="Arial" w:hAnsi="Arial" w:cs="Arial"/>
                <w:i w:val="0"/>
                <w:iCs w:val="0"/>
                <w:color w:val="000000"/>
                <w:sz w:val="20"/>
                <w:szCs w:val="20"/>
                <w:u w:val="none"/>
                <w:vertAlign w:val="baseline"/>
              </w:rPr>
              <w:t>Pró-Reitoria de Administração</w:t>
            </w:r>
          </w:p>
          <w:p>
            <w:pPr>
              <w:pStyle w:val="22"/>
              <w:keepNext w:val="0"/>
              <w:keepLines w:val="0"/>
              <w:widowControl/>
              <w:suppressLineNumbers w:val="0"/>
              <w:pBdr>
                <w:top w:val="none" w:color="auto" w:sz="0" w:space="0"/>
                <w:left w:val="none" w:color="auto" w:sz="0" w:space="0"/>
                <w:bottom w:val="none" w:color="auto" w:sz="0" w:space="0"/>
                <w:right w:val="none" w:color="auto" w:sz="0" w:space="0"/>
              </w:pBdr>
              <w:bidi w:val="0"/>
              <w:spacing w:before="120" w:beforeAutospacing="0" w:after="120" w:afterAutospacing="0" w:line="15" w:lineRule="atLeast"/>
              <w:ind w:left="-20" w:hanging="20"/>
              <w:jc w:val="both"/>
            </w:pPr>
            <w:r>
              <w:rPr>
                <w:rFonts w:hint="default" w:ascii="Arial" w:hAnsi="Arial" w:cs="Arial"/>
                <w:i w:val="0"/>
                <w:iCs w:val="0"/>
                <w:color w:val="000000"/>
                <w:sz w:val="20"/>
                <w:szCs w:val="20"/>
                <w:u w:val="none"/>
                <w:vertAlign w:val="baseline"/>
              </w:rPr>
              <w:t>Coordenação de Licitação</w:t>
            </w:r>
          </w:p>
          <w:p>
            <w:pPr>
              <w:pStyle w:val="22"/>
              <w:keepNext w:val="0"/>
              <w:keepLines w:val="0"/>
              <w:widowControl/>
              <w:suppressLineNumbers w:val="0"/>
              <w:bidi w:val="0"/>
              <w:spacing w:before="0" w:beforeAutospacing="0" w:after="0" w:afterAutospacing="0" w:line="15" w:lineRule="atLeast"/>
            </w:pPr>
            <w:r>
              <w:rPr>
                <w:rFonts w:hint="default" w:ascii="Arial" w:hAnsi="Arial" w:cs="Arial"/>
                <w:i w:val="0"/>
                <w:iCs w:val="0"/>
                <w:color w:val="000000"/>
                <w:sz w:val="20"/>
                <w:szCs w:val="20"/>
                <w:u w:val="none"/>
                <w:vertAlign w:val="baseline"/>
              </w:rPr>
              <w:t>UASG: 150182</w:t>
            </w:r>
          </w:p>
          <w:p>
            <w:pPr>
              <w:pStyle w:val="22"/>
              <w:keepNext w:val="0"/>
              <w:keepLines w:val="0"/>
              <w:widowControl/>
              <w:suppressLineNumbers w:val="0"/>
              <w:pBdr>
                <w:top w:val="none" w:color="auto" w:sz="0" w:space="0"/>
                <w:left w:val="none" w:color="auto" w:sz="0" w:space="0"/>
                <w:bottom w:val="none" w:color="auto" w:sz="0" w:space="0"/>
                <w:right w:val="none" w:color="auto" w:sz="0" w:space="0"/>
              </w:pBdr>
              <w:bidi w:val="0"/>
              <w:spacing w:before="120" w:beforeAutospacing="0" w:after="120" w:afterAutospacing="0" w:line="15" w:lineRule="atLeast"/>
              <w:ind w:left="-20" w:hanging="20"/>
              <w:jc w:val="both"/>
            </w:pPr>
            <w:r>
              <w:rPr>
                <w:rFonts w:hint="default" w:ascii="Arial" w:hAnsi="Arial" w:cs="Arial"/>
                <w:i w:val="0"/>
                <w:iCs w:val="0"/>
                <w:color w:val="000000"/>
                <w:sz w:val="20"/>
                <w:szCs w:val="20"/>
                <w:u w:val="none"/>
                <w:vertAlign w:val="baseline"/>
              </w:rPr>
              <w:t>Rua Miguel de Frias n.º 09, Bairro Icaraí, Niterói - RJ</w:t>
            </w:r>
          </w:p>
          <w:p>
            <w:pPr>
              <w:pStyle w:val="22"/>
              <w:keepNext w:val="0"/>
              <w:keepLines w:val="0"/>
              <w:widowControl/>
              <w:suppressLineNumbers w:val="0"/>
              <w:pBdr>
                <w:top w:val="none" w:color="auto" w:sz="0" w:space="0"/>
                <w:left w:val="none" w:color="auto" w:sz="0" w:space="0"/>
                <w:bottom w:val="none" w:color="auto" w:sz="0" w:space="0"/>
                <w:right w:val="none" w:color="auto" w:sz="0" w:space="0"/>
              </w:pBdr>
              <w:bidi w:val="0"/>
              <w:spacing w:before="120" w:beforeAutospacing="0" w:after="120" w:afterAutospacing="0" w:line="15" w:lineRule="atLeast"/>
              <w:ind w:left="-20" w:hanging="20"/>
              <w:jc w:val="both"/>
            </w:pPr>
            <w:r>
              <w:rPr>
                <w:rFonts w:hint="default" w:ascii="Arial" w:hAnsi="Arial" w:cs="Arial"/>
                <w:i w:val="0"/>
                <w:iCs w:val="0"/>
                <w:color w:val="000000"/>
                <w:sz w:val="20"/>
                <w:szCs w:val="20"/>
                <w:u w:val="none"/>
                <w:vertAlign w:val="baseline"/>
              </w:rPr>
              <w:t>CEP: 24.220-900</w:t>
            </w:r>
          </w:p>
          <w:p>
            <w:pPr>
              <w:pStyle w:val="22"/>
              <w:keepNext w:val="0"/>
              <w:keepLines w:val="0"/>
              <w:widowControl/>
              <w:suppressLineNumbers w:val="0"/>
              <w:pBdr>
                <w:top w:val="none" w:color="auto" w:sz="0" w:space="0"/>
                <w:left w:val="none" w:color="auto" w:sz="0" w:space="0"/>
                <w:bottom w:val="none" w:color="auto" w:sz="0" w:space="0"/>
                <w:right w:val="none" w:color="auto" w:sz="0" w:space="0"/>
              </w:pBdr>
              <w:bidi w:val="0"/>
              <w:spacing w:before="120" w:beforeAutospacing="0" w:after="120" w:afterAutospacing="0" w:line="15" w:lineRule="atLeast"/>
              <w:ind w:left="-20" w:hanging="20"/>
              <w:jc w:val="both"/>
            </w:pPr>
          </w:p>
          <w:p>
            <w:pPr>
              <w:pStyle w:val="4"/>
              <w:spacing w:before="120" w:after="120"/>
              <w:ind w:hanging="25"/>
              <w:jc w:val="both"/>
            </w:pPr>
            <w:r>
              <w:rPr>
                <w:rFonts w:hint="default" w:ascii="Arial" w:hAnsi="Arial" w:eastAsia="SimSun" w:cs="Arial"/>
                <w:i w:val="0"/>
                <w:iCs w:val="0"/>
                <w:color w:val="000000"/>
                <w:sz w:val="20"/>
                <w:szCs w:val="20"/>
                <w:u w:val="none"/>
                <w:vertAlign w:val="baseline"/>
              </w:rPr>
              <w:t>E-mail:</w:t>
            </w:r>
            <w:r>
              <w:rPr>
                <w:rFonts w:hint="default" w:ascii="Arial" w:hAnsi="Arial" w:eastAsia="SimSun" w:cs="Arial"/>
                <w:b/>
                <w:bCs/>
                <w:i w:val="0"/>
                <w:iCs w:val="0"/>
                <w:color w:val="0000FF"/>
                <w:sz w:val="20"/>
                <w:szCs w:val="20"/>
                <w:u w:val="none"/>
                <w:vertAlign w:val="baseline"/>
              </w:rPr>
              <w:t xml:space="preserve"> </w:t>
            </w:r>
            <w:r>
              <w:rPr>
                <w:rFonts w:ascii="SimSun" w:hAnsi="SimSun" w:eastAsia="SimSun" w:cs="SimSun"/>
                <w:b w:val="0"/>
                <w:bCs w:val="0"/>
                <w:sz w:val="24"/>
                <w:szCs w:val="24"/>
                <w:u w:val="none"/>
              </w:rPr>
              <w:fldChar w:fldCharType="begin"/>
            </w:r>
            <w:r>
              <w:rPr>
                <w:rFonts w:ascii="SimSun" w:hAnsi="SimSun" w:eastAsia="SimSun" w:cs="SimSun"/>
                <w:b w:val="0"/>
                <w:bCs w:val="0"/>
                <w:sz w:val="24"/>
                <w:szCs w:val="24"/>
                <w:u w:val="none"/>
              </w:rPr>
              <w:instrText xml:space="preserve"> HYPERLINK "mailto:cpl@id.uff.br" </w:instrText>
            </w:r>
            <w:r>
              <w:rPr>
                <w:rFonts w:ascii="SimSun" w:hAnsi="SimSun" w:eastAsia="SimSun" w:cs="SimSun"/>
                <w:b w:val="0"/>
                <w:bCs w:val="0"/>
                <w:sz w:val="24"/>
                <w:szCs w:val="24"/>
                <w:u w:val="none"/>
              </w:rPr>
              <w:fldChar w:fldCharType="separate"/>
            </w:r>
            <w:r>
              <w:rPr>
                <w:rStyle w:val="15"/>
                <w:rFonts w:hint="default" w:ascii="Arial" w:hAnsi="Arial" w:eastAsia="SimSun" w:cs="Arial"/>
                <w:b/>
                <w:bCs/>
                <w:i w:val="0"/>
                <w:iCs w:val="0"/>
                <w:color w:val="0000FF"/>
                <w:sz w:val="20"/>
                <w:szCs w:val="20"/>
                <w:u w:val="single"/>
                <w:vertAlign w:val="baseline"/>
              </w:rPr>
              <w:t>cpl@id.uff.br</w:t>
            </w:r>
            <w:r>
              <w:rPr>
                <w:rFonts w:ascii="SimSun" w:hAnsi="SimSun" w:eastAsia="SimSun" w:cs="SimSun"/>
                <w:b w:val="0"/>
                <w:bCs w:val="0"/>
                <w:sz w:val="24"/>
                <w:szCs w:val="24"/>
                <w:u w:val="none"/>
              </w:rPr>
              <w:fldChar w:fldCharType="end"/>
            </w:r>
          </w:p>
        </w:tc>
      </w:tr>
      <w:tr>
        <w:tblPrEx>
          <w:tblCellMar>
            <w:top w:w="0" w:type="dxa"/>
            <w:left w:w="108" w:type="dxa"/>
            <w:bottom w:w="0" w:type="dxa"/>
            <w:right w:w="108" w:type="dxa"/>
          </w:tblCellMar>
        </w:tblPrEx>
        <w:trPr>
          <w:trHeight w:val="851" w:hRule="atLeast"/>
          <w:jc w:val="center"/>
        </w:trPr>
        <w:tc>
          <w:tcPr>
            <w:tcW w:w="2940"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4"/>
              <w:spacing w:before="120" w:after="120"/>
              <w:ind w:left="624" w:hanging="567"/>
              <w:jc w:val="center"/>
              <w:rPr>
                <w:b/>
              </w:rPr>
            </w:pPr>
            <w:r>
              <w:rPr>
                <w:b/>
              </w:rPr>
              <w:t>TIPO DE LICITAÇÃO</w:t>
            </w:r>
          </w:p>
        </w:tc>
        <w:tc>
          <w:tcPr>
            <w:tcW w:w="6947"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4"/>
              <w:keepNext/>
              <w:keepLines/>
              <w:spacing w:before="120" w:after="120"/>
              <w:ind w:hanging="25"/>
              <w:jc w:val="both"/>
              <w:rPr>
                <w:color w:val="000000"/>
                <w:sz w:val="21"/>
                <w:szCs w:val="21"/>
                <w:highlight w:val="yellow"/>
              </w:rPr>
            </w:pPr>
            <w:r>
              <w:rPr>
                <w:color w:val="000000"/>
                <w:sz w:val="21"/>
                <w:szCs w:val="21"/>
              </w:rPr>
              <w:t>Menor preço unitário.</w:t>
            </w:r>
          </w:p>
        </w:tc>
      </w:tr>
      <w:tr>
        <w:tblPrEx>
          <w:tblCellMar>
            <w:top w:w="0" w:type="dxa"/>
            <w:left w:w="108" w:type="dxa"/>
            <w:bottom w:w="0" w:type="dxa"/>
            <w:right w:w="108" w:type="dxa"/>
          </w:tblCellMar>
        </w:tblPrEx>
        <w:trPr>
          <w:trHeight w:val="851" w:hRule="atLeast"/>
          <w:jc w:val="center"/>
        </w:trPr>
        <w:tc>
          <w:tcPr>
            <w:tcW w:w="2940"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4"/>
              <w:spacing w:before="120" w:after="120"/>
              <w:ind w:left="624" w:hanging="567"/>
              <w:jc w:val="center"/>
              <w:rPr>
                <w:b/>
              </w:rPr>
            </w:pPr>
            <w:r>
              <w:rPr>
                <w:b/>
              </w:rPr>
              <w:t>ACESSO ELETRÔNICO AO EDITAL</w:t>
            </w:r>
          </w:p>
        </w:tc>
        <w:tc>
          <w:tcPr>
            <w:tcW w:w="6947"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4"/>
              <w:keepNext/>
              <w:keepLines/>
              <w:spacing w:before="120" w:after="120"/>
              <w:ind w:hanging="25"/>
              <w:jc w:val="both"/>
            </w:pPr>
            <w:r>
              <w:rPr>
                <w:rFonts w:ascii="SimSun" w:hAnsi="SimSun" w:eastAsia="SimSun" w:cs="SimSun"/>
                <w:b w:val="0"/>
                <w:bCs w:val="0"/>
                <w:sz w:val="24"/>
                <w:szCs w:val="24"/>
                <w:u w:val="none"/>
              </w:rPr>
              <w:fldChar w:fldCharType="begin"/>
            </w:r>
            <w:r>
              <w:rPr>
                <w:rFonts w:ascii="SimSun" w:hAnsi="SimSun" w:eastAsia="SimSun" w:cs="SimSun"/>
                <w:b w:val="0"/>
                <w:bCs w:val="0"/>
                <w:sz w:val="24"/>
                <w:szCs w:val="24"/>
                <w:u w:val="none"/>
              </w:rPr>
              <w:instrText xml:space="preserve"> HYPERLINK "https://www.gov.br/compras/pt-br" </w:instrText>
            </w:r>
            <w:r>
              <w:rPr>
                <w:rFonts w:ascii="SimSun" w:hAnsi="SimSun" w:eastAsia="SimSun" w:cs="SimSun"/>
                <w:b w:val="0"/>
                <w:bCs w:val="0"/>
                <w:sz w:val="24"/>
                <w:szCs w:val="24"/>
                <w:u w:val="none"/>
              </w:rPr>
              <w:fldChar w:fldCharType="separate"/>
            </w:r>
            <w:r>
              <w:rPr>
                <w:rStyle w:val="15"/>
                <w:rFonts w:ascii="Cambria" w:hAnsi="Cambria" w:eastAsia="Cambria" w:cs="Cambria"/>
                <w:b/>
                <w:bCs/>
                <w:i/>
                <w:iCs/>
                <w:color w:val="0000FF"/>
                <w:sz w:val="20"/>
                <w:szCs w:val="20"/>
                <w:u w:val="single"/>
                <w:vertAlign w:val="baseline"/>
              </w:rPr>
              <w:t>www.gov.br/compras</w:t>
            </w:r>
            <w:r>
              <w:rPr>
                <w:rFonts w:ascii="SimSun" w:hAnsi="SimSun" w:eastAsia="SimSun" w:cs="SimSun"/>
                <w:b w:val="0"/>
                <w:bCs w:val="0"/>
                <w:sz w:val="24"/>
                <w:szCs w:val="24"/>
                <w:u w:val="none"/>
              </w:rPr>
              <w:fldChar w:fldCharType="end"/>
            </w:r>
          </w:p>
        </w:tc>
      </w:tr>
      <w:tr>
        <w:tblPrEx>
          <w:tblCellMar>
            <w:top w:w="0" w:type="dxa"/>
            <w:left w:w="108" w:type="dxa"/>
            <w:bottom w:w="0" w:type="dxa"/>
            <w:right w:w="108" w:type="dxa"/>
          </w:tblCellMar>
        </w:tblPrEx>
        <w:trPr>
          <w:trHeight w:val="851" w:hRule="atLeast"/>
          <w:jc w:val="center"/>
        </w:trPr>
        <w:tc>
          <w:tcPr>
            <w:tcW w:w="2940"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4"/>
              <w:spacing w:before="120" w:after="120"/>
              <w:ind w:left="624" w:hanging="567"/>
              <w:jc w:val="center"/>
              <w:rPr>
                <w:b/>
              </w:rPr>
            </w:pPr>
            <w:r>
              <w:rPr>
                <w:b/>
              </w:rPr>
              <w:t>PREGOEIRO</w:t>
            </w:r>
          </w:p>
        </w:tc>
        <w:tc>
          <w:tcPr>
            <w:tcW w:w="6947"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4"/>
              <w:keepNext/>
              <w:keepLines/>
              <w:spacing w:before="120" w:after="120"/>
              <w:ind w:hanging="25"/>
              <w:jc w:val="both"/>
              <w:rPr>
                <w:rFonts w:hint="default"/>
                <w:color w:val="000000"/>
                <w:sz w:val="21"/>
                <w:szCs w:val="21"/>
                <w:lang w:val="pt-BR"/>
              </w:rPr>
            </w:pPr>
            <w:r>
              <w:rPr>
                <w:rFonts w:hint="default"/>
                <w:color w:val="000000"/>
                <w:sz w:val="21"/>
                <w:szCs w:val="21"/>
                <w:lang w:val="pt-BR"/>
              </w:rPr>
              <w:t>Hellen de Lima Medeiros da Silva</w:t>
            </w:r>
          </w:p>
        </w:tc>
      </w:tr>
    </w:tbl>
    <w:p>
      <w:pPr>
        <w:pStyle w:val="4"/>
        <w:spacing w:after="120" w:line="276" w:lineRule="auto"/>
        <w:ind w:right="-17"/>
        <w:jc w:val="both"/>
        <w:rPr>
          <w:b/>
          <w:color w:val="000000"/>
        </w:rPr>
      </w:pPr>
    </w:p>
    <w:p>
      <w:pPr>
        <w:pStyle w:val="4"/>
        <w:spacing w:after="120" w:line="276" w:lineRule="auto"/>
        <w:ind w:right="-17"/>
        <w:jc w:val="both"/>
        <w:rPr>
          <w:b/>
          <w:color w:val="000000"/>
        </w:rPr>
      </w:pPr>
    </w:p>
    <w:p>
      <w:pPr>
        <w:pStyle w:val="4"/>
        <w:spacing w:after="120" w:line="276" w:lineRule="auto"/>
        <w:ind w:right="-17"/>
        <w:jc w:val="both"/>
        <w:rPr>
          <w:b/>
          <w:color w:val="000000"/>
        </w:rPr>
      </w:pPr>
    </w:p>
    <w:p>
      <w:pPr>
        <w:pStyle w:val="4"/>
        <w:spacing w:after="120" w:line="276" w:lineRule="auto"/>
        <w:ind w:right="-17"/>
        <w:jc w:val="both"/>
        <w:rPr>
          <w:b/>
          <w:color w:val="000000"/>
        </w:rPr>
      </w:pPr>
    </w:p>
    <w:p>
      <w:pPr>
        <w:pStyle w:val="4"/>
        <w:spacing w:after="120" w:line="276" w:lineRule="auto"/>
        <w:ind w:right="-17"/>
        <w:jc w:val="both"/>
        <w:rPr>
          <w:b/>
          <w:color w:val="000000"/>
        </w:rPr>
      </w:pPr>
    </w:p>
    <w:p>
      <w:pPr>
        <w:pStyle w:val="4"/>
        <w:tabs>
          <w:tab w:val="center" w:pos="4252"/>
          <w:tab w:val="left" w:pos="8340"/>
          <w:tab w:val="right" w:pos="8504"/>
        </w:tabs>
        <w:rPr>
          <w:rFonts w:ascii="Verdana" w:hAnsi="Verdana" w:eastAsia="Verdana" w:cs="Verdana"/>
          <w:color w:val="000000"/>
          <w:sz w:val="18"/>
          <w:szCs w:val="18"/>
        </w:rPr>
      </w:pPr>
      <w:r>
        <w:rPr>
          <w:rFonts w:ascii="Verdana" w:hAnsi="Verdana" w:eastAsia="Verdana" w:cs="Verdana"/>
          <w:color w:val="000000"/>
          <w:sz w:val="18"/>
          <w:szCs w:val="18"/>
          <w:lang w:eastAsia="pt-BR" w:bidi="ar-SA"/>
        </w:rPr>
        <w:drawing>
          <wp:anchor distT="0" distB="0" distL="0" distR="0" simplePos="0" relativeHeight="251659264" behindDoc="0" locked="0" layoutInCell="1" allowOverlap="1">
            <wp:simplePos x="0" y="0"/>
            <wp:positionH relativeFrom="column">
              <wp:posOffset>5263515</wp:posOffset>
            </wp:positionH>
            <wp:positionV relativeFrom="paragraph">
              <wp:posOffset>-179070</wp:posOffset>
            </wp:positionV>
            <wp:extent cx="1200150" cy="409575"/>
            <wp:effectExtent l="0" t="0" r="0" b="0"/>
            <wp:wrapSquare wrapText="bothSides"/>
            <wp:docPr id="3" name="Figura2"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a2" descr="BRASAO PROAD"/>
                    <pic:cNvPicPr>
                      <a:picLocks noChangeAspect="1" noChangeArrowheads="1"/>
                    </pic:cNvPicPr>
                  </pic:nvPicPr>
                  <pic:blipFill>
                    <a:blip r:embed="rId6"/>
                    <a:stretch>
                      <a:fillRect/>
                    </a:stretch>
                  </pic:blipFill>
                  <pic:spPr>
                    <a:xfrm>
                      <a:off x="0" y="0"/>
                      <a:ext cx="1200150" cy="409575"/>
                    </a:xfrm>
                    <a:prstGeom prst="rect">
                      <a:avLst/>
                    </a:prstGeom>
                  </pic:spPr>
                </pic:pic>
              </a:graphicData>
            </a:graphic>
          </wp:anchor>
        </w:drawing>
      </w:r>
      <w:r>
        <w:rPr>
          <w:rFonts w:ascii="Verdana" w:hAnsi="Verdana" w:eastAsia="Verdana" w:cs="Verdana"/>
          <w:color w:val="000000"/>
          <w:sz w:val="18"/>
          <w:szCs w:val="18"/>
          <w:lang w:eastAsia="pt-BR" w:bidi="ar-SA"/>
        </w:rPr>
        <w:drawing>
          <wp:anchor distT="0" distB="0" distL="0" distR="0" simplePos="0" relativeHeight="251659264" behindDoc="0" locked="0" layoutInCell="1" allowOverlap="1">
            <wp:simplePos x="0" y="0"/>
            <wp:positionH relativeFrom="column">
              <wp:posOffset>-150495</wp:posOffset>
            </wp:positionH>
            <wp:positionV relativeFrom="paragraph">
              <wp:posOffset>-125095</wp:posOffset>
            </wp:positionV>
            <wp:extent cx="898525" cy="483870"/>
            <wp:effectExtent l="0" t="0" r="0" b="0"/>
            <wp:wrapSquare wrapText="bothSides"/>
            <wp:docPr id="4" name="Figura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a1" descr="BRASAO UFF2"/>
                    <pic:cNvPicPr>
                      <a:picLocks noChangeAspect="1" noChangeArrowheads="1"/>
                    </pic:cNvPicPr>
                  </pic:nvPicPr>
                  <pic:blipFill>
                    <a:blip r:embed="rId7"/>
                    <a:stretch>
                      <a:fillRect/>
                    </a:stretch>
                  </pic:blipFill>
                  <pic:spPr>
                    <a:xfrm>
                      <a:off x="0" y="0"/>
                      <a:ext cx="898525" cy="483870"/>
                    </a:xfrm>
                    <a:prstGeom prst="rect">
                      <a:avLst/>
                    </a:prstGeom>
                  </pic:spPr>
                </pic:pic>
              </a:graphicData>
            </a:graphic>
          </wp:anchor>
        </w:drawing>
      </w:r>
      <w:r>
        <w:rPr>
          <w:rFonts w:ascii="Verdana" w:hAnsi="Verdana" w:eastAsia="Verdana" w:cs="Verdana"/>
          <w:color w:val="000000"/>
          <w:sz w:val="18"/>
          <w:szCs w:val="18"/>
        </w:rPr>
        <w:tab/>
      </w:r>
    </w:p>
    <w:p>
      <w:pPr>
        <w:pStyle w:val="4"/>
        <w:rPr>
          <w:rFonts w:ascii="Verdana" w:hAnsi="Verdana" w:eastAsia="Verdana" w:cs="Verdana"/>
          <w:sz w:val="18"/>
          <w:szCs w:val="18"/>
        </w:rPr>
      </w:pPr>
    </w:p>
    <w:p>
      <w:pPr>
        <w:pStyle w:val="4"/>
        <w:rPr>
          <w:rFonts w:ascii="Verdana" w:hAnsi="Verdana" w:eastAsia="Verdana" w:cs="Verdana"/>
          <w:sz w:val="18"/>
          <w:szCs w:val="18"/>
        </w:rPr>
      </w:pPr>
    </w:p>
    <w:p>
      <w:pPr>
        <w:pStyle w:val="4"/>
        <w:rPr>
          <w:rFonts w:ascii="Verdana" w:hAnsi="Verdana" w:eastAsia="Verdana" w:cs="Verdana"/>
          <w:sz w:val="18"/>
          <w:szCs w:val="18"/>
        </w:rPr>
      </w:pPr>
    </w:p>
    <w:p>
      <w:pPr>
        <w:pStyle w:val="4"/>
        <w:tabs>
          <w:tab w:val="left" w:pos="6284"/>
        </w:tabs>
        <w:jc w:val="center"/>
        <w:rPr>
          <w:rFonts w:ascii="Verdana" w:hAnsi="Verdana" w:eastAsia="Verdana" w:cs="Verdana"/>
          <w:b/>
          <w:sz w:val="18"/>
          <w:szCs w:val="18"/>
        </w:rPr>
      </w:pPr>
      <w:r>
        <w:rPr>
          <w:rFonts w:ascii="Verdana" w:hAnsi="Verdana" w:eastAsia="Verdana" w:cs="Verdana"/>
          <w:b/>
          <w:sz w:val="18"/>
          <w:szCs w:val="18"/>
        </w:rPr>
        <w:t>MINISTÉRIO DA EDUCAÇÃO</w:t>
      </w:r>
    </w:p>
    <w:p>
      <w:pPr>
        <w:pStyle w:val="4"/>
        <w:tabs>
          <w:tab w:val="left" w:pos="6284"/>
        </w:tabs>
        <w:jc w:val="center"/>
        <w:rPr>
          <w:rFonts w:ascii="Verdana" w:hAnsi="Verdana" w:eastAsia="Verdana" w:cs="Verdana"/>
          <w:b/>
          <w:sz w:val="18"/>
          <w:szCs w:val="18"/>
        </w:rPr>
      </w:pPr>
      <w:r>
        <w:rPr>
          <w:rFonts w:ascii="Verdana" w:hAnsi="Verdana" w:eastAsia="Verdana" w:cs="Verdana"/>
          <w:sz w:val="18"/>
          <w:szCs w:val="18"/>
        </w:rPr>
        <w:t>UNIVERSIDADE FEDERAL FLUMINENSE</w:t>
      </w:r>
    </w:p>
    <w:p>
      <w:pPr>
        <w:pStyle w:val="4"/>
        <w:jc w:val="center"/>
        <w:rPr>
          <w:rFonts w:ascii="Verdana" w:hAnsi="Verdana" w:eastAsia="Verdana" w:cs="Verdana"/>
          <w:sz w:val="18"/>
          <w:szCs w:val="18"/>
        </w:rPr>
      </w:pPr>
      <w:r>
        <w:rPr>
          <w:rFonts w:ascii="Verdana" w:hAnsi="Verdana" w:eastAsia="Verdana" w:cs="Verdana"/>
          <w:sz w:val="18"/>
          <w:szCs w:val="18"/>
        </w:rPr>
        <w:t>PRÓ-REITORIA DE ADMINISTRAÇÃO</w:t>
      </w:r>
    </w:p>
    <w:p>
      <w:pPr>
        <w:pStyle w:val="4"/>
      </w:pPr>
    </w:p>
    <w:p>
      <w:pPr>
        <w:pStyle w:val="4"/>
        <w:jc w:val="center"/>
      </w:pPr>
      <w:r>
        <w:rPr>
          <w:b/>
        </w:rPr>
        <w:t xml:space="preserve">PREGÃO ELETRÔNICO Nº </w:t>
      </w:r>
      <w:r>
        <w:rPr>
          <w:b/>
          <w:lang w:val="pt-BR"/>
        </w:rPr>
        <w:t>45/2022</w:t>
      </w:r>
      <w:r>
        <w:rPr>
          <w:b/>
        </w:rPr>
        <w:t>/AD</w:t>
      </w:r>
    </w:p>
    <w:p>
      <w:pPr>
        <w:pStyle w:val="4"/>
        <w:jc w:val="center"/>
        <w:rPr>
          <w:rFonts w:hint="default"/>
          <w:lang w:val="pt-BR"/>
        </w:rPr>
      </w:pPr>
      <w:r>
        <w:rPr>
          <w:b/>
        </w:rPr>
        <w:t xml:space="preserve">(Processo Administrativo n.° </w:t>
      </w:r>
      <w:r>
        <w:rPr>
          <w:b/>
          <w:lang w:val="pt-BR"/>
        </w:rPr>
        <w:t xml:space="preserve">23069.154035/2022-92 </w:t>
      </w:r>
    </w:p>
    <w:p>
      <w:pPr>
        <w:pStyle w:val="4"/>
        <w:spacing w:after="120" w:line="276" w:lineRule="auto"/>
        <w:ind w:right="-17"/>
        <w:jc w:val="both"/>
        <w:rPr>
          <w:b/>
          <w:color w:val="000000"/>
        </w:rPr>
      </w:pPr>
    </w:p>
    <w:p>
      <w:pPr>
        <w:pStyle w:val="4"/>
        <w:spacing w:after="120" w:line="276" w:lineRule="auto"/>
        <w:ind w:right="-30" w:firstLine="540"/>
        <w:jc w:val="both"/>
      </w:pPr>
      <w:r>
        <w:rPr>
          <w:color w:val="000000"/>
        </w:rPr>
        <w:t xml:space="preserve">Torna-se público que </w:t>
      </w:r>
      <w:r>
        <w:t>a Universidade Federal Fluminense por meio da Coordenação de Licitações da Pró-Reitoria de Administração, sediada à Rua Miguel de Frias, nº 9, 1º andar, Icaraí, Niterói - RJ, realizará licitação</w:t>
      </w:r>
      <w:r>
        <w:rPr>
          <w:color w:val="000000"/>
        </w:rPr>
        <w:t>,</w:t>
      </w:r>
      <w:r>
        <w:rPr>
          <w:i/>
          <w:color w:val="FF0000"/>
        </w:rPr>
        <w:t xml:space="preserve"> </w:t>
      </w:r>
      <w:r>
        <w:rPr>
          <w:color w:val="000000"/>
        </w:rPr>
        <w:t xml:space="preserve">na modalidade PREGÃO, na forma ELETRÔNICA, com critério de julgamento </w:t>
      </w:r>
      <w:r>
        <w:rPr>
          <w:b/>
          <w:color w:val="000000"/>
        </w:rPr>
        <w:t xml:space="preserve">menor preço </w:t>
      </w:r>
      <w:r>
        <w:rPr>
          <w:color w:val="000000"/>
        </w:rPr>
        <w:t>por item,</w:t>
      </w:r>
      <w:r>
        <w:t xml:space="preserve"> sob a forma de execução indireta, no regime de empreitada por </w:t>
      </w:r>
      <w:r>
        <w:rPr>
          <w:color w:val="000000"/>
        </w:rPr>
        <w:t xml:space="preserve">preço </w:t>
      </w:r>
      <w:r>
        <w:rPr>
          <w:rFonts w:hint="default"/>
          <w:color w:val="000000"/>
          <w:lang w:val="pt-BR"/>
        </w:rPr>
        <w:t>unitário</w:t>
      </w:r>
      <w:r>
        <w:t xml:space="preserve">, </w:t>
      </w:r>
      <w:r>
        <w:rPr>
          <w:color w:val="000000"/>
        </w:rPr>
        <w:t>nos termos da Lei nº 10.520, de 17 de julho de 2002, do Decreto nº 10.024, de 20 de setembro de 2019, do Decreto 9.507, de 21 de setembro de 2018, do Decreto nº 7.746, de 05 de junho de 2012,</w:t>
      </w:r>
      <w:r>
        <w:rPr>
          <w:i/>
          <w:color w:val="FF0000"/>
        </w:rPr>
        <w:t xml:space="preserve"> </w:t>
      </w:r>
      <w:r>
        <w:rPr>
          <w:color w:val="000000"/>
        </w:rPr>
        <w:t xml:space="preserve">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pPr>
        <w:pStyle w:val="4"/>
        <w:spacing w:line="276" w:lineRule="auto"/>
        <w:jc w:val="both"/>
        <w:rPr>
          <w:color w:val="000000"/>
        </w:rPr>
      </w:pPr>
    </w:p>
    <w:p>
      <w:pPr>
        <w:pStyle w:val="22"/>
        <w:keepNext w:val="0"/>
        <w:keepLines w:val="0"/>
        <w:widowControl/>
        <w:suppressLineNumbers w:val="0"/>
        <w:bidi w:val="0"/>
        <w:spacing w:before="0" w:beforeAutospacing="0" w:after="0" w:afterAutospacing="0" w:line="15" w:lineRule="atLeast"/>
        <w:jc w:val="both"/>
        <w:rPr>
          <w:rFonts w:hint="default"/>
          <w:lang w:val="pt-BR"/>
        </w:rPr>
      </w:pPr>
      <w:r>
        <w:rPr>
          <w:rFonts w:ascii="Arial" w:hAnsi="Arial" w:cs="Arial"/>
          <w:i w:val="0"/>
          <w:iCs w:val="0"/>
          <w:color w:val="000000"/>
          <w:sz w:val="20"/>
          <w:szCs w:val="20"/>
          <w:u w:val="none"/>
          <w:vertAlign w:val="baseline"/>
        </w:rPr>
        <w:t>Data da sessão:</w:t>
      </w:r>
      <w:r>
        <w:rPr>
          <w:rFonts w:hint="default" w:ascii="Arial" w:hAnsi="Arial" w:cs="Arial"/>
          <w:i w:val="0"/>
          <w:iCs w:val="0"/>
          <w:color w:val="000000"/>
          <w:sz w:val="20"/>
          <w:szCs w:val="20"/>
          <w:u w:val="none"/>
          <w:vertAlign w:val="baseline"/>
          <w:lang w:val="pt-BR"/>
        </w:rPr>
        <w:t xml:space="preserve"> </w:t>
      </w:r>
      <w:r>
        <w:rPr>
          <w:rFonts w:hint="default" w:ascii="Arial" w:hAnsi="Arial" w:cs="Arial"/>
          <w:b/>
          <w:bCs/>
          <w:i w:val="0"/>
          <w:iCs w:val="0"/>
          <w:color w:val="000000"/>
          <w:sz w:val="20"/>
          <w:szCs w:val="20"/>
          <w:u w:val="none"/>
          <w:vertAlign w:val="baseline"/>
          <w:lang w:val="pt-BR"/>
        </w:rPr>
        <w:t>26</w:t>
      </w:r>
      <w:bookmarkStart w:id="9" w:name="_GoBack"/>
      <w:bookmarkEnd w:id="9"/>
      <w:r>
        <w:rPr>
          <w:rFonts w:hint="default" w:ascii="Arial" w:hAnsi="Arial" w:cs="Arial"/>
          <w:b/>
          <w:bCs/>
          <w:i w:val="0"/>
          <w:iCs w:val="0"/>
          <w:color w:val="000000"/>
          <w:sz w:val="20"/>
          <w:szCs w:val="20"/>
          <w:u w:val="none"/>
          <w:vertAlign w:val="baseline"/>
          <w:lang w:val="pt-BR"/>
        </w:rPr>
        <w:t>/MAI/2022</w:t>
      </w:r>
    </w:p>
    <w:p>
      <w:pPr>
        <w:pStyle w:val="22"/>
        <w:keepNext w:val="0"/>
        <w:keepLines w:val="0"/>
        <w:widowControl/>
        <w:suppressLineNumbers w:val="0"/>
        <w:bidi w:val="0"/>
        <w:spacing w:before="0" w:beforeAutospacing="0" w:after="0" w:afterAutospacing="0" w:line="15" w:lineRule="atLeast"/>
        <w:jc w:val="both"/>
        <w:rPr>
          <w:rFonts w:hint="default" w:ascii="Arial" w:hAnsi="Arial" w:cs="Arial"/>
          <w:i w:val="0"/>
          <w:iCs w:val="0"/>
          <w:color w:val="000000"/>
          <w:sz w:val="20"/>
          <w:szCs w:val="20"/>
          <w:u w:val="none"/>
          <w:vertAlign w:val="baseline"/>
          <w:lang w:val="pt-BR"/>
        </w:rPr>
      </w:pPr>
      <w:r>
        <w:rPr>
          <w:rFonts w:hint="default" w:ascii="Arial" w:hAnsi="Arial" w:cs="Arial"/>
          <w:i w:val="0"/>
          <w:iCs w:val="0"/>
          <w:color w:val="000000"/>
          <w:sz w:val="20"/>
          <w:szCs w:val="20"/>
          <w:u w:val="none"/>
          <w:vertAlign w:val="baseline"/>
        </w:rPr>
        <w:t>Horário: </w:t>
      </w:r>
      <w:r>
        <w:rPr>
          <w:rFonts w:hint="default" w:ascii="Arial" w:hAnsi="Arial" w:cs="Arial"/>
          <w:i w:val="0"/>
          <w:iCs w:val="0"/>
          <w:color w:val="000000"/>
          <w:sz w:val="20"/>
          <w:szCs w:val="20"/>
          <w:u w:val="none"/>
          <w:vertAlign w:val="baseline"/>
          <w:lang w:val="pt-BR"/>
        </w:rPr>
        <w:t>10h</w:t>
      </w:r>
    </w:p>
    <w:p>
      <w:pPr>
        <w:pStyle w:val="22"/>
        <w:keepNext w:val="0"/>
        <w:keepLines w:val="0"/>
        <w:widowControl/>
        <w:suppressLineNumbers w:val="0"/>
        <w:bidi w:val="0"/>
        <w:spacing w:before="0" w:beforeAutospacing="0" w:after="0" w:afterAutospacing="0" w:line="15" w:lineRule="atLeast"/>
        <w:jc w:val="both"/>
        <w:rPr>
          <w:b/>
          <w:color w:val="000000"/>
        </w:rPr>
      </w:pPr>
      <w:r>
        <w:rPr>
          <w:rFonts w:hint="default" w:ascii="Arial" w:hAnsi="Arial" w:eastAsia="SimSun" w:cs="Arial"/>
          <w:i w:val="0"/>
          <w:iCs w:val="0"/>
          <w:color w:val="000000"/>
          <w:sz w:val="20"/>
          <w:szCs w:val="20"/>
          <w:u w:val="none"/>
          <w:vertAlign w:val="baseline"/>
        </w:rPr>
        <w:t xml:space="preserve">Local: Portal de Compras do Governo Federal – </w:t>
      </w:r>
      <w:r>
        <w:rPr>
          <w:rFonts w:ascii="SimSun" w:hAnsi="SimSun" w:eastAsia="SimSun" w:cs="SimSun"/>
          <w:b w:val="0"/>
          <w:bCs w:val="0"/>
          <w:sz w:val="24"/>
          <w:szCs w:val="24"/>
          <w:u w:val="none"/>
        </w:rPr>
        <w:fldChar w:fldCharType="begin"/>
      </w:r>
      <w:r>
        <w:rPr>
          <w:rFonts w:ascii="SimSun" w:hAnsi="SimSun" w:eastAsia="SimSun" w:cs="SimSun"/>
          <w:b w:val="0"/>
          <w:bCs w:val="0"/>
          <w:sz w:val="24"/>
          <w:szCs w:val="24"/>
          <w:u w:val="none"/>
        </w:rPr>
        <w:instrText xml:space="preserve"> HYPERLINK "http://www.gov.br/compras" </w:instrText>
      </w:r>
      <w:r>
        <w:rPr>
          <w:rFonts w:ascii="SimSun" w:hAnsi="SimSun" w:eastAsia="SimSun" w:cs="SimSun"/>
          <w:b w:val="0"/>
          <w:bCs w:val="0"/>
          <w:sz w:val="24"/>
          <w:szCs w:val="24"/>
          <w:u w:val="none"/>
        </w:rPr>
        <w:fldChar w:fldCharType="separate"/>
      </w:r>
      <w:r>
        <w:rPr>
          <w:rStyle w:val="15"/>
          <w:rFonts w:hint="default" w:ascii="Arial" w:hAnsi="Arial" w:eastAsia="SimSun" w:cs="Arial"/>
          <w:b/>
          <w:bCs/>
          <w:i w:val="0"/>
          <w:iCs w:val="0"/>
          <w:color w:val="0000FF"/>
          <w:sz w:val="20"/>
          <w:szCs w:val="20"/>
          <w:u w:val="single"/>
          <w:vertAlign w:val="baseline"/>
        </w:rPr>
        <w:t>www.gov.br/compras</w:t>
      </w:r>
      <w:r>
        <w:rPr>
          <w:rFonts w:ascii="SimSun" w:hAnsi="SimSun" w:eastAsia="SimSun" w:cs="SimSun"/>
          <w:b w:val="0"/>
          <w:bCs w:val="0"/>
          <w:sz w:val="24"/>
          <w:szCs w:val="24"/>
          <w:u w:val="none"/>
        </w:rPr>
        <w:fldChar w:fldCharType="end"/>
      </w:r>
    </w:p>
    <w:p>
      <w:pPr>
        <w:pStyle w:val="4"/>
        <w:keepNext/>
        <w:keepLines/>
        <w:numPr>
          <w:ilvl w:val="0"/>
          <w:numId w:val="2"/>
        </w:numPr>
        <w:spacing w:before="480" w:after="120" w:line="276" w:lineRule="auto"/>
        <w:ind w:right="-15"/>
        <w:jc w:val="both"/>
        <w:rPr>
          <w:b/>
          <w:color w:val="000000"/>
        </w:rPr>
      </w:pPr>
      <w:r>
        <w:rPr>
          <w:b/>
          <w:color w:val="000000"/>
        </w:rPr>
        <w:t>DO OBJETO</w:t>
      </w:r>
    </w:p>
    <w:p>
      <w:pPr>
        <w:pStyle w:val="4"/>
        <w:numPr>
          <w:ilvl w:val="1"/>
          <w:numId w:val="3"/>
        </w:numPr>
        <w:spacing w:before="120" w:after="120" w:line="276" w:lineRule="auto"/>
        <w:jc w:val="both"/>
        <w:rPr>
          <w:color w:val="000000"/>
        </w:rPr>
      </w:pPr>
      <w:r>
        <w:rPr>
          <w:color w:val="000000"/>
        </w:rPr>
        <w:t xml:space="preserve">O objeto da presente licitação é a escolha da proposta mais vantajosa para a </w:t>
      </w:r>
      <w:r>
        <w:rPr>
          <w:rFonts w:hint="default"/>
          <w:b/>
          <w:bCs/>
          <w:color w:val="000000"/>
          <w:lang w:val="pt-BR"/>
        </w:rPr>
        <w:t>Contratação de empresa especializada para prestação de serviços continuados de limpeza, higiene e de conservação predial, com fornecimento de mão de obra, uniformes, EPI (Equipamentos de proteção individual), materiais e equipamentos, para atender em caráter ordinário ou extraordinário para as unidades da Universidade Federal Fluminense no município de Oriximiná</w:t>
      </w:r>
      <w:r>
        <w:rPr>
          <w:color w:val="000000"/>
        </w:rPr>
        <w:t>, conforme condições, quantidades e exigências estabelecidas neste Edital e seus anexos.</w:t>
      </w:r>
    </w:p>
    <w:p>
      <w:pPr>
        <w:pStyle w:val="4"/>
        <w:tabs>
          <w:tab w:val="left" w:pos="709"/>
        </w:tabs>
        <w:spacing w:before="120" w:after="120" w:line="276" w:lineRule="auto"/>
        <w:ind w:left="1134" w:hanging="425"/>
        <w:jc w:val="both"/>
        <w:rPr>
          <w:rFonts w:hint="default"/>
          <w:color w:val="000000"/>
          <w:lang w:val="pt-BR"/>
        </w:rPr>
      </w:pPr>
      <w:r>
        <w:rPr>
          <w:color w:val="000000"/>
        </w:rPr>
        <w:t>1.2. A licitação será</w:t>
      </w:r>
      <w:r>
        <w:rPr>
          <w:i w:val="0"/>
          <w:iCs w:val="0"/>
          <w:color w:val="auto"/>
        </w:rPr>
        <w:t xml:space="preserve"> </w:t>
      </w:r>
      <w:r>
        <w:rPr>
          <w:rFonts w:ascii="Arial" w:hAnsi="Arial" w:eastAsia="SimSun" w:cs="Arial"/>
          <w:i w:val="0"/>
          <w:iCs w:val="0"/>
          <w:color w:val="auto"/>
          <w:sz w:val="20"/>
          <w:szCs w:val="20"/>
          <w:u w:val="none"/>
          <w:vertAlign w:val="baseline"/>
        </w:rPr>
        <w:t xml:space="preserve">será realizada em </w:t>
      </w:r>
      <w:r>
        <w:rPr>
          <w:rFonts w:hint="default" w:eastAsia="SimSun" w:cs="Arial"/>
          <w:i w:val="0"/>
          <w:iCs w:val="0"/>
          <w:color w:val="auto"/>
          <w:sz w:val="20"/>
          <w:szCs w:val="20"/>
          <w:u w:val="none"/>
          <w:vertAlign w:val="baseline"/>
          <w:lang w:val="pt-BR"/>
        </w:rPr>
        <w:t>único item.</w:t>
      </w:r>
    </w:p>
    <w:p>
      <w:pPr>
        <w:pStyle w:val="4"/>
        <w:tabs>
          <w:tab w:val="left" w:pos="709"/>
        </w:tabs>
        <w:spacing w:before="120" w:after="120" w:line="276" w:lineRule="auto"/>
        <w:ind w:left="1134" w:hanging="425"/>
        <w:jc w:val="both"/>
        <w:rPr>
          <w:color w:val="000000"/>
        </w:rPr>
      </w:pPr>
      <w:r>
        <w:rPr>
          <w:color w:val="000000"/>
        </w:rPr>
        <w:t>1.3. O critério de julgamento adotado será o menor preço, observadas as exigências contidas neste Edital e seus Anexos quanto às especificações do objeto.</w:t>
      </w:r>
    </w:p>
    <w:p>
      <w:pPr>
        <w:pStyle w:val="4"/>
        <w:keepNext/>
        <w:keepLines/>
        <w:numPr>
          <w:ilvl w:val="0"/>
          <w:numId w:val="2"/>
        </w:numPr>
        <w:spacing w:before="480" w:after="120" w:line="276" w:lineRule="auto"/>
        <w:ind w:right="-15"/>
        <w:jc w:val="both"/>
        <w:rPr>
          <w:b/>
        </w:rPr>
      </w:pPr>
      <w:r>
        <w:rPr>
          <w:b/>
        </w:rPr>
        <w:t>DOS RECURSOS ORÇAMENTÁRIOS</w:t>
      </w:r>
    </w:p>
    <w:p>
      <w:pPr>
        <w:pStyle w:val="4"/>
        <w:ind w:left="360"/>
        <w:rPr>
          <w:color w:val="FF0000"/>
        </w:rPr>
      </w:pPr>
    </w:p>
    <w:p>
      <w:pPr>
        <w:pStyle w:val="4"/>
        <w:numPr>
          <w:ilvl w:val="1"/>
          <w:numId w:val="2"/>
        </w:numPr>
        <w:spacing w:before="120" w:after="120" w:line="276" w:lineRule="auto"/>
        <w:ind w:left="737" w:firstLine="0"/>
        <w:jc w:val="both"/>
        <w:rPr>
          <w:rFonts w:hint="default"/>
          <w:lang w:val="pt-BR"/>
        </w:rPr>
      </w:pPr>
      <w:r>
        <w:t xml:space="preserve">As despesas para atender a esta licitação </w:t>
      </w:r>
      <w:r>
        <w:rPr>
          <w:rFonts w:hint="default"/>
          <w:lang w:val="pt-BR"/>
        </w:rPr>
        <w:t>serão indicadas quando da homologação do procedimento licitatório, conforme despacho PLOR/PLAN SEI nº 0730562 (https://sei.uff.br/sei/controlador.php?acao=procedimento_trabalhar&amp;id_procedimento=782404&amp;id_documento=796191).</w:t>
      </w:r>
    </w:p>
    <w:p>
      <w:pPr>
        <w:pStyle w:val="4"/>
        <w:spacing w:before="120" w:after="120" w:line="276" w:lineRule="auto"/>
        <w:jc w:val="both"/>
        <w:rPr>
          <w:color w:val="FF0000"/>
        </w:rPr>
      </w:pPr>
    </w:p>
    <w:p>
      <w:pPr>
        <w:pStyle w:val="4"/>
        <w:spacing w:before="120" w:after="120" w:line="276" w:lineRule="auto"/>
        <w:jc w:val="both"/>
        <w:rPr>
          <w:highlight w:val="yellow"/>
        </w:rPr>
      </w:pPr>
    </w:p>
    <w:p>
      <w:pPr>
        <w:pStyle w:val="4"/>
        <w:keepNext/>
        <w:keepLines/>
        <w:numPr>
          <w:ilvl w:val="0"/>
          <w:numId w:val="2"/>
        </w:numPr>
        <w:spacing w:before="480" w:after="120" w:line="276" w:lineRule="auto"/>
        <w:ind w:right="-15"/>
        <w:jc w:val="both"/>
        <w:rPr>
          <w:b/>
          <w:color w:val="000000"/>
        </w:rPr>
      </w:pPr>
      <w:r>
        <w:rPr>
          <w:b/>
          <w:color w:val="000000"/>
        </w:rPr>
        <w:t>DO CREDENCIAMENTO</w:t>
      </w:r>
    </w:p>
    <w:p>
      <w:pPr>
        <w:pStyle w:val="4"/>
        <w:numPr>
          <w:ilvl w:val="1"/>
          <w:numId w:val="4"/>
        </w:numPr>
        <w:spacing w:before="120" w:after="120" w:line="276" w:lineRule="auto"/>
        <w:jc w:val="both"/>
      </w:pPr>
      <w:r>
        <w:rPr>
          <w:color w:val="000000"/>
        </w:rPr>
        <w:t>O Credenciamento é o nível básico do registro cadastral no SICAF, que permite a participação dos interessados na modalidade licitatória Pregão, em sua forma eletrônica.</w:t>
      </w:r>
    </w:p>
    <w:p>
      <w:pPr>
        <w:pStyle w:val="4"/>
        <w:numPr>
          <w:ilvl w:val="1"/>
          <w:numId w:val="2"/>
        </w:numPr>
        <w:spacing w:before="120" w:after="120" w:line="276" w:lineRule="auto"/>
        <w:ind w:left="425" w:firstLine="0"/>
        <w:jc w:val="both"/>
      </w:pPr>
      <w:r>
        <w:rPr>
          <w:color w:val="000000"/>
        </w:rPr>
        <w:t xml:space="preserve">O cadastro no SICAF deverá ser feito no Portal de Compras do Governo Federal, no sítio </w:t>
      </w:r>
      <w:r>
        <w:fldChar w:fldCharType="begin"/>
      </w:r>
      <w:r>
        <w:instrText xml:space="preserve"> HYPERLINK "https://imsva91-ctp.trendmicro.com/wis/clicktime/v1/query?url=http%3A%2F%2Fwww.comprasgovernamentais.gov.br&amp;umid=430E31AC-70A7-6B05-9AA8-F59BA4DC8B50&amp;auth=14cd2a61769b426d6a6f0362faa35895243d54fa-6e2197056396482feb6896ce169217ee94d7ae2f" \h </w:instrText>
      </w:r>
      <w:r>
        <w:fldChar w:fldCharType="separate"/>
      </w:r>
      <w:r>
        <w:rPr>
          <w:rStyle w:val="176"/>
        </w:rPr>
        <w:t>www.comprasgovernamentais.gov.br</w:t>
      </w:r>
      <w:r>
        <w:rPr>
          <w:rStyle w:val="176"/>
        </w:rPr>
        <w:fldChar w:fldCharType="end"/>
      </w:r>
      <w:r>
        <w:rPr>
          <w:color w:val="000000"/>
        </w:rPr>
        <w:t>, por meio de certificado digital conferido pela Infraestrutura de Chaves Públicas Brasileira – ICP - Brasil.</w:t>
      </w:r>
    </w:p>
    <w:p>
      <w:pPr>
        <w:pStyle w:val="4"/>
        <w:numPr>
          <w:ilvl w:val="1"/>
          <w:numId w:val="2"/>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pPr>
        <w:pStyle w:val="4"/>
        <w:numPr>
          <w:ilvl w:val="1"/>
          <w:numId w:val="2"/>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pStyle w:val="4"/>
        <w:numPr>
          <w:ilvl w:val="1"/>
          <w:numId w:val="2"/>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pStyle w:val="4"/>
        <w:numPr>
          <w:ilvl w:val="2"/>
          <w:numId w:val="2"/>
        </w:numPr>
        <w:spacing w:before="120" w:after="120" w:line="276" w:lineRule="auto"/>
        <w:jc w:val="both"/>
        <w:rPr>
          <w:color w:val="000000"/>
        </w:rPr>
      </w:pPr>
      <w:r>
        <w:rPr>
          <w:color w:val="000000"/>
        </w:rPr>
        <w:t>A não observância do disposto no subitem anterior poderá ensejar desclassificação no momento da habilitação</w:t>
      </w:r>
    </w:p>
    <w:p>
      <w:pPr>
        <w:pStyle w:val="4"/>
        <w:keepNext/>
        <w:keepLines/>
        <w:numPr>
          <w:ilvl w:val="0"/>
          <w:numId w:val="2"/>
        </w:numPr>
        <w:spacing w:before="480" w:after="120" w:line="276" w:lineRule="auto"/>
        <w:ind w:right="-15"/>
        <w:jc w:val="both"/>
        <w:rPr>
          <w:b/>
          <w:color w:val="000000"/>
        </w:rPr>
      </w:pPr>
      <w:r>
        <w:rPr>
          <w:b/>
          <w:color w:val="000000"/>
        </w:rPr>
        <w:t xml:space="preserve"> DA PARTICIPAÇÃO NO PREGÃO.</w:t>
      </w:r>
    </w:p>
    <w:p>
      <w:pPr>
        <w:pStyle w:val="4"/>
        <w:numPr>
          <w:ilvl w:val="1"/>
          <w:numId w:val="5"/>
        </w:numPr>
        <w:spacing w:before="120" w:after="120" w:line="276" w:lineRule="auto"/>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pStyle w:val="4"/>
        <w:rPr>
          <w:color w:val="000000"/>
        </w:rPr>
      </w:pPr>
    </w:p>
    <w:p>
      <w:pPr>
        <w:pStyle w:val="4"/>
        <w:numPr>
          <w:ilvl w:val="2"/>
          <w:numId w:val="2"/>
        </w:numPr>
        <w:spacing w:before="120" w:after="120" w:line="276" w:lineRule="auto"/>
        <w:jc w:val="both"/>
        <w:rPr>
          <w:color w:val="000000"/>
        </w:rPr>
      </w:pPr>
      <w:r>
        <w:rPr>
          <w:color w:val="000000"/>
        </w:rPr>
        <w:t>Os licitantes deverão utilizar o certificado digital para acesso ao Sistema</w:t>
      </w:r>
    </w:p>
    <w:p>
      <w:pPr>
        <w:pStyle w:val="4"/>
        <w:numPr>
          <w:ilvl w:val="1"/>
          <w:numId w:val="2"/>
        </w:numPr>
        <w:spacing w:before="120" w:after="120" w:line="276" w:lineRule="auto"/>
        <w:ind w:left="425" w:firstLine="0"/>
        <w:jc w:val="both"/>
        <w:rPr>
          <w:color w:val="000000"/>
        </w:rPr>
      </w:pPr>
      <w:r>
        <w:rPr>
          <w:color w:val="000000"/>
        </w:rPr>
        <w:t>Não poderão participar desta licitação os interessados:</w:t>
      </w:r>
    </w:p>
    <w:p>
      <w:pPr>
        <w:pStyle w:val="4"/>
        <w:numPr>
          <w:ilvl w:val="2"/>
          <w:numId w:val="6"/>
        </w:numPr>
        <w:shd w:val="clear" w:color="auto" w:fill="FFFFFF"/>
        <w:spacing w:before="120" w:after="120" w:line="276" w:lineRule="auto"/>
        <w:jc w:val="both"/>
      </w:pPr>
      <w:r>
        <w:rPr>
          <w:color w:val="000000"/>
        </w:rPr>
        <w:t>proibidos de participar de licitações e celebrar contratos administrativos, na forma da legislação vigente;</w:t>
      </w:r>
    </w:p>
    <w:p>
      <w:pPr>
        <w:pStyle w:val="4"/>
        <w:numPr>
          <w:ilvl w:val="2"/>
          <w:numId w:val="6"/>
        </w:numPr>
        <w:shd w:val="clear" w:color="auto" w:fill="FFFFFF"/>
        <w:spacing w:before="120" w:after="120" w:line="276" w:lineRule="auto"/>
        <w:jc w:val="both"/>
      </w:pPr>
      <w:r>
        <w:rPr>
          <w:color w:val="000000"/>
        </w:rPr>
        <w:t>que não atendam às condições deste Edital e seu(s) anexo(s);</w:t>
      </w:r>
    </w:p>
    <w:p>
      <w:pPr>
        <w:pStyle w:val="4"/>
        <w:numPr>
          <w:ilvl w:val="2"/>
          <w:numId w:val="6"/>
        </w:numPr>
        <w:shd w:val="clear" w:color="auto" w:fill="FFFFFF"/>
        <w:spacing w:before="120" w:after="120" w:line="276" w:lineRule="auto"/>
        <w:jc w:val="both"/>
      </w:pPr>
      <w:r>
        <w:rPr>
          <w:color w:val="000000"/>
        </w:rPr>
        <w:t>estrangeiros que não tenham representação legal no Brasil com poderes expressos para receber citação e responder administrativa ou judicialmente;</w:t>
      </w:r>
    </w:p>
    <w:p>
      <w:pPr>
        <w:pStyle w:val="4"/>
        <w:numPr>
          <w:ilvl w:val="2"/>
          <w:numId w:val="6"/>
        </w:numPr>
        <w:shd w:val="clear" w:color="auto" w:fill="FFFFFF"/>
        <w:spacing w:before="120" w:after="120" w:line="276" w:lineRule="auto"/>
        <w:jc w:val="both"/>
      </w:pPr>
      <w:r>
        <w:rPr>
          <w:color w:val="000000"/>
        </w:rPr>
        <w:t>que se enquadrem nas vedações previstas no artigo 9º da Lei nº 8.666, de 1993;</w:t>
      </w:r>
    </w:p>
    <w:p>
      <w:pPr>
        <w:pStyle w:val="4"/>
        <w:keepNext/>
        <w:widowControl w:val="0"/>
        <w:numPr>
          <w:ilvl w:val="2"/>
          <w:numId w:val="6"/>
        </w:numPr>
        <w:shd w:val="clear" w:color="auto" w:fill="FFFFFF"/>
        <w:spacing w:before="119" w:after="119" w:line="276" w:lineRule="auto"/>
        <w:jc w:val="both"/>
      </w:pPr>
      <w:bookmarkStart w:id="1" w:name="_heading=h.30j0zll"/>
      <w:bookmarkEnd w:id="1"/>
      <w:r>
        <w:rPr>
          <w:color w:val="000000"/>
        </w:rPr>
        <w:t>que estejam sob falência, recuperação judicial ou extrajudicial, ou concurso de credores ou insolvência, em processo de dissolução ou liquidação, observado o disposto no item 9.10.1.1 deste Edital;</w:t>
      </w:r>
    </w:p>
    <w:p>
      <w:pPr>
        <w:pStyle w:val="4"/>
        <w:numPr>
          <w:ilvl w:val="2"/>
          <w:numId w:val="6"/>
        </w:numPr>
        <w:spacing w:line="276" w:lineRule="auto"/>
      </w:pPr>
      <w:r>
        <w:rPr>
          <w:color w:val="000000"/>
        </w:rPr>
        <w:t>entidades empresariais que estejam reunidas em consórcio;</w:t>
      </w:r>
    </w:p>
    <w:p>
      <w:pPr>
        <w:pStyle w:val="4"/>
        <w:spacing w:line="276" w:lineRule="auto"/>
        <w:rPr>
          <w:color w:val="000000"/>
        </w:rPr>
      </w:pPr>
    </w:p>
    <w:p>
      <w:pPr>
        <w:pStyle w:val="4"/>
        <w:numPr>
          <w:ilvl w:val="2"/>
          <w:numId w:val="6"/>
        </w:numPr>
        <w:tabs>
          <w:tab w:val="left" w:pos="1440"/>
        </w:tabs>
        <w:spacing w:before="120" w:after="120" w:line="276" w:lineRule="auto"/>
        <w:jc w:val="both"/>
      </w:pPr>
      <w:r>
        <w:rPr>
          <w:color w:val="000000"/>
        </w:rPr>
        <w:t xml:space="preserve">organizações da Sociedade Civil de Interesse Público - OSCIP, atuando nessa condição (Acórdão nº 746/2014-TCU-Plenário); </w:t>
      </w:r>
    </w:p>
    <w:p>
      <w:pPr>
        <w:pStyle w:val="4"/>
        <w:numPr>
          <w:ilvl w:val="2"/>
          <w:numId w:val="6"/>
        </w:numPr>
        <w:tabs>
          <w:tab w:val="left" w:pos="1440"/>
        </w:tabs>
        <w:spacing w:before="120" w:after="120" w:line="276" w:lineRule="auto"/>
        <w:jc w:val="both"/>
      </w:pPr>
      <w:r>
        <w:rPr>
          <w:color w:val="000000"/>
        </w:rPr>
        <w:t>instituições sem fins lucrativos (parágrafo único do art. 12 da Instrução Normativa SEGES/MP nº 05/2017);</w:t>
      </w:r>
    </w:p>
    <w:p>
      <w:pPr>
        <w:pStyle w:val="4"/>
        <w:numPr>
          <w:ilvl w:val="3"/>
          <w:numId w:val="6"/>
        </w:numPr>
        <w:tabs>
          <w:tab w:val="left" w:pos="1440"/>
        </w:tabs>
        <w:spacing w:before="120" w:after="120" w:line="276" w:lineRule="auto"/>
        <w:jc w:val="both"/>
        <w:rPr>
          <w:color w:val="000000"/>
        </w:rPr>
      </w:pPr>
      <w:r>
        <w:rPr>
          <w:color w:val="000000"/>
        </w:rPr>
        <w:t>É admissível a participação de organizações sociais, qualificadas na forma dos arts. 5º a 7º da Lei 9.637/1998, desde que os serviços objeto desta licitação se insiram entre as atividades previstas no contrato de gestão firmado entre o Poder Público e a organização social (Acórdão nº 1.406/2017- TCU-Plenário), mediante apresentação do Contrato de Gestão e dos respectivos atos constitutivos.</w:t>
      </w:r>
    </w:p>
    <w:p>
      <w:pPr>
        <w:pStyle w:val="4"/>
        <w:numPr>
          <w:ilvl w:val="2"/>
          <w:numId w:val="6"/>
        </w:numPr>
        <w:tabs>
          <w:tab w:val="left" w:pos="1440"/>
        </w:tabs>
        <w:spacing w:before="120" w:after="120" w:line="276" w:lineRule="auto"/>
        <w:jc w:val="both"/>
      </w:pPr>
      <w:r>
        <w:rPr>
          <w:color w:val="000000"/>
        </w:rPr>
        <w:t>sociedades cooperativas, considerando a vedação contida no art. 10 da Instrução Normativa SEGES/MP nº 5, de 2017, bem como o disposto no Termo de Conciliação firmado entre o Ministério Público do Trabalho e a AGU.</w:t>
      </w:r>
    </w:p>
    <w:p>
      <w:pPr>
        <w:pStyle w:val="4"/>
        <w:numPr>
          <w:ilvl w:val="1"/>
          <w:numId w:val="2"/>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pPr>
        <w:pStyle w:val="4"/>
        <w:numPr>
          <w:ilvl w:val="0"/>
          <w:numId w:val="7"/>
        </w:numPr>
        <w:shd w:val="clear" w:color="auto" w:fill="FFFFFF"/>
        <w:spacing w:before="119" w:line="276" w:lineRule="auto"/>
        <w:ind w:left="993" w:hanging="283"/>
        <w:jc w:val="both"/>
        <w:rPr>
          <w:color w:val="003366"/>
        </w:rPr>
      </w:pPr>
      <w:r>
        <w:rPr>
          <w:color w:val="000000"/>
          <w:highlight w:val="white"/>
        </w:rPr>
        <w:t>detentor de cargo em comissão ou função de confiança que atue na área responsável pela demanda ou contratação; ou</w:t>
      </w:r>
    </w:p>
    <w:p>
      <w:pPr>
        <w:pStyle w:val="4"/>
        <w:numPr>
          <w:ilvl w:val="0"/>
          <w:numId w:val="7"/>
        </w:numPr>
        <w:shd w:val="clear" w:color="auto" w:fill="FFFFFF"/>
        <w:spacing w:before="119" w:after="119" w:line="276" w:lineRule="auto"/>
        <w:ind w:left="993" w:hanging="283"/>
        <w:jc w:val="both"/>
        <w:rPr>
          <w:color w:val="003366"/>
        </w:rPr>
      </w:pPr>
      <w:r>
        <w:rPr>
          <w:color w:val="000000"/>
          <w:highlight w:val="white"/>
        </w:rPr>
        <w:t>de autoridade hierarquicamente superior no âmbito do órgão contratante.</w:t>
      </w:r>
    </w:p>
    <w:p>
      <w:pPr>
        <w:pStyle w:val="4"/>
        <w:numPr>
          <w:ilvl w:val="2"/>
          <w:numId w:val="8"/>
        </w:numPr>
        <w:shd w:val="clear" w:color="auto" w:fill="FFFFFF"/>
        <w:spacing w:before="119" w:after="119" w:line="276" w:lineRule="auto"/>
        <w:jc w:val="both"/>
        <w:rPr>
          <w:color w:val="003366"/>
        </w:rPr>
      </w:pPr>
      <w:r>
        <w:rPr>
          <w:color w:val="000000"/>
          <w:highlight w:val="white"/>
        </w:rPr>
        <w:t>Para os fins do disposto neste item</w:t>
      </w:r>
      <w:r>
        <w:rPr>
          <w:i/>
          <w:color w:val="000000"/>
          <w:highlight w:val="white"/>
        </w:rPr>
        <w:t>,</w:t>
      </w:r>
      <w:r>
        <w:rPr>
          <w:color w:val="00000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pPr>
        <w:pStyle w:val="4"/>
        <w:numPr>
          <w:ilvl w:val="1"/>
          <w:numId w:val="2"/>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pPr>
        <w:pStyle w:val="4"/>
        <w:numPr>
          <w:ilvl w:val="1"/>
          <w:numId w:val="2"/>
        </w:numPr>
        <w:spacing w:before="120" w:after="120" w:line="276" w:lineRule="auto"/>
        <w:ind w:left="425" w:firstLine="0"/>
        <w:jc w:val="both"/>
      </w:pPr>
      <w:r>
        <w:rPr>
          <w:color w:val="000000"/>
        </w:rPr>
        <w:t xml:space="preserve">Como condição para participação no Pregão, o licitante assinalará “sim” ou “não” em campo próprio do sistema eletrônico, relativo às seguintes declarações: </w:t>
      </w:r>
    </w:p>
    <w:p>
      <w:pPr>
        <w:pStyle w:val="4"/>
        <w:numPr>
          <w:ilvl w:val="2"/>
          <w:numId w:val="2"/>
        </w:numPr>
        <w:tabs>
          <w:tab w:val="left" w:pos="1440"/>
        </w:tabs>
        <w:spacing w:before="120" w:line="276" w:lineRule="auto"/>
        <w:jc w:val="both"/>
        <w:rPr>
          <w:color w:val="000000"/>
        </w:rPr>
      </w:pPr>
      <w:r>
        <w:rPr>
          <w:color w:val="000000"/>
        </w:rPr>
        <w:t>que cumpre os requisitos estabelecidos no artigo 3° da Lei Complementar nº 123, de 2006, estando apto a usufruir do tratamento favorecido estabelecido em seus arts. 42 a 49.</w:t>
      </w:r>
    </w:p>
    <w:p>
      <w:pPr>
        <w:pStyle w:val="4"/>
        <w:numPr>
          <w:ilvl w:val="3"/>
          <w:numId w:val="2"/>
        </w:numPr>
        <w:tabs>
          <w:tab w:val="left" w:pos="1440"/>
        </w:tabs>
        <w:spacing w:line="276" w:lineRule="auto"/>
        <w:ind w:left="2268" w:firstLine="0"/>
        <w:jc w:val="both"/>
        <w:rPr>
          <w:color w:val="000000"/>
        </w:rPr>
      </w:pPr>
      <w:r>
        <w:rPr>
          <w:color w:val="000000"/>
        </w:rPr>
        <w:t>nos itens exclusivos para participação de microempresas e empresas de pequeno porte, a assinalação do campo “não” impedirá o prosseguimento no certame;</w:t>
      </w:r>
    </w:p>
    <w:p>
      <w:pPr>
        <w:pStyle w:val="4"/>
        <w:numPr>
          <w:ilvl w:val="3"/>
          <w:numId w:val="2"/>
        </w:numPr>
        <w:tabs>
          <w:tab w:val="left" w:pos="1440"/>
        </w:tabs>
        <w:spacing w:line="276" w:lineRule="auto"/>
        <w:ind w:left="2268" w:firstLine="0"/>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pStyle w:val="4"/>
        <w:numPr>
          <w:ilvl w:val="2"/>
          <w:numId w:val="2"/>
        </w:numPr>
        <w:tabs>
          <w:tab w:val="left" w:pos="1440"/>
        </w:tabs>
        <w:spacing w:line="276" w:lineRule="auto"/>
        <w:jc w:val="both"/>
        <w:rPr>
          <w:color w:val="000000"/>
        </w:rPr>
      </w:pPr>
      <w:r>
        <w:rPr>
          <w:color w:val="000000"/>
        </w:rPr>
        <w:t>que está ciente e concorda com as condições contidas no Edital e seus anexos;</w:t>
      </w:r>
    </w:p>
    <w:p>
      <w:pPr>
        <w:pStyle w:val="4"/>
        <w:numPr>
          <w:ilvl w:val="2"/>
          <w:numId w:val="2"/>
        </w:numPr>
        <w:tabs>
          <w:tab w:val="left" w:pos="1440"/>
        </w:tabs>
        <w:spacing w:line="276" w:lineRule="auto"/>
        <w:jc w:val="both"/>
        <w:rPr>
          <w:color w:val="000000"/>
        </w:rPr>
      </w:pPr>
      <w:r>
        <w:rPr>
          <w:color w:val="000000"/>
        </w:rPr>
        <w:t>que cumpre os requisitos para a habilitação definidos no Edital e que a proposta apresentada está em conformidade com as exigências editalícias;</w:t>
      </w:r>
    </w:p>
    <w:p>
      <w:pPr>
        <w:pStyle w:val="4"/>
        <w:numPr>
          <w:ilvl w:val="2"/>
          <w:numId w:val="2"/>
        </w:numPr>
        <w:tabs>
          <w:tab w:val="left" w:pos="1440"/>
        </w:tabs>
        <w:spacing w:line="276" w:lineRule="auto"/>
        <w:jc w:val="both"/>
        <w:rPr>
          <w:color w:val="000000"/>
        </w:rPr>
      </w:pPr>
      <w:r>
        <w:rPr>
          <w:color w:val="000000"/>
        </w:rPr>
        <w:t xml:space="preserve">que inexistem fatos impeditivos para sua habilitação no certame, ciente da obrigatoriedade de declarar ocorrências posteriores; </w:t>
      </w:r>
    </w:p>
    <w:p>
      <w:pPr>
        <w:pStyle w:val="4"/>
        <w:numPr>
          <w:ilvl w:val="2"/>
          <w:numId w:val="2"/>
        </w:numPr>
        <w:tabs>
          <w:tab w:val="left" w:pos="1440"/>
        </w:tabs>
        <w:spacing w:line="276" w:lineRule="auto"/>
        <w:jc w:val="both"/>
        <w:rPr>
          <w:color w:val="000000"/>
        </w:rPr>
      </w:pPr>
      <w:r>
        <w:rPr>
          <w:color w:val="000000"/>
        </w:rPr>
        <w:t>que não emprega menor de 18 anos em trabalho noturno, perigoso ou insalubre e não emprega menor de 16 anos, salvo menor, a partir de 14 anos, na condição de aprendiz, nos termos do artigo 7°, XXXIII, da Constituição;</w:t>
      </w:r>
    </w:p>
    <w:p>
      <w:pPr>
        <w:pStyle w:val="4"/>
        <w:numPr>
          <w:ilvl w:val="2"/>
          <w:numId w:val="2"/>
        </w:numPr>
        <w:tabs>
          <w:tab w:val="left" w:pos="1440"/>
        </w:tabs>
        <w:spacing w:line="276" w:lineRule="auto"/>
        <w:jc w:val="both"/>
        <w:rPr>
          <w:color w:val="000000"/>
        </w:rPr>
      </w:pPr>
      <w:r>
        <w:rPr>
          <w:color w:val="000000"/>
        </w:rPr>
        <w:t>que a proposta foi elaborada de forma independente, nos termos da Instrução Normativa SLTI/MP nº 2, de 16 de setembro de 2009.</w:t>
      </w:r>
    </w:p>
    <w:p>
      <w:pPr>
        <w:pStyle w:val="4"/>
        <w:numPr>
          <w:ilvl w:val="2"/>
          <w:numId w:val="2"/>
        </w:numPr>
        <w:tabs>
          <w:tab w:val="left" w:pos="1440"/>
        </w:tabs>
        <w:spacing w:line="276" w:lineRule="auto"/>
        <w:jc w:val="both"/>
        <w:rPr>
          <w:color w:val="000000"/>
        </w:rPr>
      </w:pPr>
      <w:r>
        <w:rPr>
          <w:color w:val="FF0000"/>
        </w:rPr>
        <w:t xml:space="preserve"> </w:t>
      </w:r>
      <w:r>
        <w:rPr>
          <w:color w:val="000000"/>
        </w:rPr>
        <w:t>que não possui, em sua cadeia produtiva, empregados executando trabalho degradante ou forçado, observando o disposto nos incisos III e IV do art. 1º e no inciso III do art. 5º da Constituição Federal;</w:t>
      </w:r>
    </w:p>
    <w:p>
      <w:pPr>
        <w:pStyle w:val="4"/>
        <w:numPr>
          <w:ilvl w:val="2"/>
          <w:numId w:val="2"/>
        </w:numPr>
        <w:tabs>
          <w:tab w:val="left" w:pos="1440"/>
        </w:tabs>
        <w:spacing w:after="120" w:line="276" w:lineRule="auto"/>
        <w:jc w:val="both"/>
        <w:rPr>
          <w:color w:val="000000"/>
        </w:rPr>
      </w:pPr>
      <w:r>
        <w:rPr>
          <w:color w:val="00000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pStyle w:val="4"/>
        <w:numPr>
          <w:ilvl w:val="1"/>
          <w:numId w:val="2"/>
        </w:numPr>
        <w:spacing w:before="120" w:after="120" w:line="276" w:lineRule="auto"/>
        <w:ind w:left="425" w:firstLine="0"/>
        <w:jc w:val="both"/>
      </w:pPr>
      <w:r>
        <w:rPr>
          <w:color w:val="000000"/>
        </w:rPr>
        <w:t>A declaração falsa relativa ao cumprimento de qualquer condição sujeitará o licitante às sanções previstas em lei e neste Edital.</w:t>
      </w:r>
    </w:p>
    <w:p>
      <w:pPr>
        <w:pStyle w:val="4"/>
        <w:spacing w:before="120" w:after="120" w:line="276" w:lineRule="auto"/>
        <w:ind w:left="425"/>
        <w:jc w:val="both"/>
      </w:pPr>
    </w:p>
    <w:p>
      <w:pPr>
        <w:pStyle w:val="4"/>
        <w:keepNext/>
        <w:keepLines/>
        <w:spacing w:before="120" w:after="120" w:line="276" w:lineRule="auto"/>
        <w:ind w:left="425" w:right="-15"/>
        <w:jc w:val="both"/>
        <w:rPr>
          <w:b/>
          <w:color w:val="000000"/>
        </w:rPr>
      </w:pPr>
      <w:r>
        <w:rPr>
          <w:b/>
          <w:color w:val="000000"/>
        </w:rPr>
        <w:t>5.</w:t>
      </w:r>
      <w:r>
        <w:rPr>
          <w:b/>
          <w:color w:val="000000"/>
        </w:rPr>
        <w:tab/>
      </w:r>
      <w:r>
        <w:rPr>
          <w:b/>
          <w:color w:val="000000"/>
        </w:rPr>
        <w:t xml:space="preserve"> DA APRESENTAÇÃO DA PROPOSTA E DOS DOCUMENTOS DE HABILITAÇÃO</w:t>
      </w:r>
    </w:p>
    <w:p>
      <w:pPr>
        <w:pStyle w:val="4"/>
        <w:spacing w:before="120" w:after="120" w:line="276" w:lineRule="auto"/>
        <w:ind w:left="425"/>
        <w:jc w:val="both"/>
      </w:pPr>
      <w:r>
        <w:t>5.1.</w:t>
      </w:r>
      <w:r>
        <w:tab/>
      </w:r>
      <w: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pPr>
        <w:pStyle w:val="4"/>
        <w:spacing w:before="120" w:after="120" w:line="276" w:lineRule="auto"/>
        <w:ind w:left="425"/>
        <w:jc w:val="both"/>
      </w:pPr>
      <w:r>
        <w:t>5.2.</w:t>
      </w:r>
      <w:r>
        <w:tab/>
      </w:r>
      <w:r>
        <w:t>O envio da proposta, acompanhada dos documentos de habilitação exigidos neste Edital, ocorrerá por meio de chave de acesso e senha.</w:t>
      </w:r>
    </w:p>
    <w:p>
      <w:pPr>
        <w:pStyle w:val="4"/>
        <w:spacing w:before="120" w:after="120" w:line="276" w:lineRule="auto"/>
        <w:ind w:left="425"/>
        <w:jc w:val="both"/>
      </w:pPr>
      <w:r>
        <w:t>5.3.</w:t>
      </w:r>
      <w:r>
        <w:tab/>
      </w:r>
      <w:r>
        <w:t>Os licitantes poderão deixar de apresentar os documentos de habilitação que constem do SICAF, assegurado aos demais licitantes o direito de acesso aos dados constantes dos sistemas.</w:t>
      </w:r>
    </w:p>
    <w:p>
      <w:pPr>
        <w:pStyle w:val="4"/>
        <w:spacing w:before="120" w:after="120" w:line="276" w:lineRule="auto"/>
        <w:ind w:left="425"/>
        <w:jc w:val="both"/>
      </w:pPr>
      <w:r>
        <w:t>5.4.</w:t>
      </w:r>
      <w:r>
        <w:tab/>
      </w:r>
      <w:r>
        <w:t xml:space="preserve">As Microempresas e Empresas de Pequeno Porte deverão encaminhar a documentação de habilitação, ainda que haja alguma restrição de regularidade fiscal e trabalhista, nos termos do art. 43, § 1º da LC nº 123, de 2006. </w:t>
      </w:r>
    </w:p>
    <w:p>
      <w:pPr>
        <w:pStyle w:val="4"/>
        <w:spacing w:before="120" w:after="120" w:line="276" w:lineRule="auto"/>
        <w:ind w:left="425"/>
        <w:jc w:val="both"/>
      </w:pPr>
      <w:r>
        <w:t>5.5.</w:t>
      </w:r>
      <w:r>
        <w:tab/>
      </w: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pStyle w:val="4"/>
        <w:spacing w:before="120" w:after="120" w:line="276" w:lineRule="auto"/>
        <w:ind w:left="425"/>
        <w:jc w:val="both"/>
      </w:pPr>
      <w:r>
        <w:t>5.6.</w:t>
      </w:r>
      <w:r>
        <w:tab/>
      </w:r>
      <w:r>
        <w:t>Até a abertura da sessão pública, os licitantes poderão retirar ou substituir a proposta e os documentos de habilitação anteriormente inseridos no sistema;</w:t>
      </w:r>
    </w:p>
    <w:p>
      <w:pPr>
        <w:pStyle w:val="4"/>
        <w:spacing w:before="120" w:after="120" w:line="276" w:lineRule="auto"/>
        <w:ind w:left="425"/>
        <w:jc w:val="both"/>
      </w:pPr>
      <w:r>
        <w:t>5.7.</w:t>
      </w:r>
      <w:r>
        <w:tab/>
      </w:r>
      <w:r>
        <w:t>Não será estabelecida, nessa etapa do certame, ordem de classificação entre as propostas apresentadas, o que somente ocorrerá após a realização dos procedimentos de negociação e julgamento da proposta.</w:t>
      </w:r>
    </w:p>
    <w:p>
      <w:pPr>
        <w:pStyle w:val="4"/>
        <w:spacing w:before="120" w:after="120" w:line="276" w:lineRule="auto"/>
        <w:ind w:left="425"/>
        <w:jc w:val="both"/>
      </w:pPr>
      <w:r>
        <w:t>5.8.</w:t>
      </w:r>
      <w:r>
        <w:tab/>
      </w:r>
      <w:r>
        <w:t>Os documentos que compõem a proposta e a habilitação do licitante melhor classificado somente serão disponibilizados para avaliação do pregoeiro e para acesso público após o encerramento do envio de lances.</w:t>
      </w:r>
    </w:p>
    <w:p>
      <w:pPr>
        <w:pStyle w:val="4"/>
        <w:keepNext/>
        <w:keepLines/>
        <w:numPr>
          <w:ilvl w:val="0"/>
          <w:numId w:val="9"/>
        </w:numPr>
        <w:spacing w:before="480" w:after="120" w:line="276" w:lineRule="auto"/>
        <w:ind w:right="-15" w:firstLine="66"/>
        <w:jc w:val="both"/>
        <w:rPr>
          <w:b/>
          <w:color w:val="000000"/>
        </w:rPr>
      </w:pPr>
      <w:r>
        <w:rPr>
          <w:b/>
          <w:color w:val="000000"/>
        </w:rPr>
        <w:t>DO PREENCHIMENTO DA PROPOSTA</w:t>
      </w:r>
    </w:p>
    <w:p>
      <w:pPr>
        <w:pStyle w:val="4"/>
        <w:ind w:left="340"/>
        <w:jc w:val="both"/>
      </w:pPr>
      <w:r>
        <w:t>6.1  licitante deverá enviar sua proposta mediante o preenchimento, no sistema eletrônico, dos seguintes campos:</w:t>
      </w:r>
    </w:p>
    <w:p>
      <w:pPr>
        <w:pStyle w:val="4"/>
        <w:tabs>
          <w:tab w:val="left" w:pos="1440"/>
        </w:tabs>
        <w:spacing w:before="120" w:line="276" w:lineRule="auto"/>
        <w:ind w:left="2886"/>
        <w:jc w:val="both"/>
        <w:rPr>
          <w:color w:val="000000"/>
        </w:rPr>
      </w:pPr>
      <w:r>
        <w:rPr>
          <w:color w:val="000000"/>
        </w:rPr>
        <w:t>6.1.1  valor</w:t>
      </w:r>
      <w:r>
        <w:rPr>
          <w:rFonts w:hint="default"/>
          <w:color w:val="000000"/>
          <w:lang w:val="pt-BR"/>
        </w:rPr>
        <w:t xml:space="preserve"> mensal e</w:t>
      </w:r>
      <w:r>
        <w:rPr>
          <w:color w:val="000000"/>
        </w:rPr>
        <w:t xml:space="preserve"> anual do item;</w:t>
      </w:r>
    </w:p>
    <w:p>
      <w:pPr>
        <w:pStyle w:val="4"/>
        <w:tabs>
          <w:tab w:val="left" w:pos="1440"/>
        </w:tabs>
        <w:spacing w:line="276" w:lineRule="auto"/>
        <w:ind w:left="2886"/>
        <w:jc w:val="both"/>
        <w:rPr>
          <w:color w:val="000000"/>
        </w:rPr>
      </w:pPr>
      <w:r>
        <w:rPr>
          <w:color w:val="000000"/>
        </w:rPr>
        <w:t xml:space="preserve">6.1.2 Descrição do objeto, contendo as informações similares à especificação do Termo de Referência, incluindo-se, dentre outras, as seguintes informações: </w:t>
      </w:r>
    </w:p>
    <w:p>
      <w:pPr>
        <w:pStyle w:val="4"/>
        <w:tabs>
          <w:tab w:val="left" w:pos="1440"/>
        </w:tabs>
        <w:spacing w:line="276" w:lineRule="auto"/>
        <w:ind w:left="2886"/>
        <w:jc w:val="both"/>
        <w:rPr>
          <w:color w:val="000000"/>
        </w:rPr>
      </w:pPr>
    </w:p>
    <w:p>
      <w:pPr>
        <w:pStyle w:val="4"/>
        <w:tabs>
          <w:tab w:val="left" w:pos="1440"/>
        </w:tabs>
        <w:spacing w:line="276" w:lineRule="auto"/>
        <w:ind w:left="2448"/>
        <w:jc w:val="both"/>
        <w:rPr>
          <w:color w:val="000000"/>
        </w:rPr>
      </w:pPr>
      <w:r>
        <w:rPr>
          <w:color w:val="000000"/>
        </w:rPr>
        <w:t>6.1.2.1 A indicação dos sindicatos, acordos coletivos, convenções coletivas ou sentenças normativas que regem as categorias profissionais que executarão o serviço e as respectivas datas bases e vigências, com base na Classificação Brasileira de Ocupações - CBO;</w:t>
      </w:r>
    </w:p>
    <w:p>
      <w:pPr>
        <w:pStyle w:val="4"/>
        <w:tabs>
          <w:tab w:val="left" w:pos="1440"/>
        </w:tabs>
        <w:spacing w:line="276" w:lineRule="auto"/>
        <w:ind w:left="2448"/>
        <w:jc w:val="both"/>
        <w:rPr>
          <w:color w:val="000000"/>
        </w:rPr>
      </w:pPr>
      <w:bookmarkStart w:id="2" w:name="_heading=h.1fob9te"/>
      <w:bookmarkEnd w:id="2"/>
      <w:r>
        <w:rPr>
          <w:color w:val="000000"/>
        </w:rPr>
        <w:t>6.1.2.2 Produtividade adotada e, se esta for diferente daquela utilizada pela Administração como referência, ou não estiver contida na faixa referencial de produtividade, mas admitida pelo ato convocatório, a respectiva comprovação de exequibilidade;</w:t>
      </w:r>
    </w:p>
    <w:p>
      <w:pPr>
        <w:pStyle w:val="4"/>
        <w:tabs>
          <w:tab w:val="left" w:pos="1440"/>
        </w:tabs>
        <w:spacing w:after="120" w:line="276" w:lineRule="auto"/>
        <w:ind w:left="2448"/>
        <w:jc w:val="both"/>
        <w:rPr>
          <w:i/>
          <w:color w:val="FF0000"/>
        </w:rPr>
      </w:pPr>
      <w:r>
        <w:rPr>
          <w:color w:val="000000"/>
        </w:rPr>
        <w:t xml:space="preserve">6.1.2.3 A quantidade de pessoal que será alocado na execução contratual; </w:t>
      </w:r>
    </w:p>
    <w:p>
      <w:pPr>
        <w:pStyle w:val="4"/>
        <w:spacing w:before="120" w:after="120" w:line="276" w:lineRule="auto"/>
        <w:ind w:left="1566"/>
        <w:jc w:val="both"/>
        <w:rPr>
          <w:i/>
          <w:color w:val="FF0000"/>
        </w:rPr>
      </w:pPr>
      <w:r>
        <w:rPr>
          <w:color w:val="000000"/>
        </w:rPr>
        <w:t>6.2 Os licitantes poderão apresentar produtividades diferenciadas daquela estabelecida pela Administração como referência, nos termos do item 6.1.2.2, desde que não alterem o objeto da contratação, não contrariem dispositivos legais vigentes e, caso não estejam contidas nas faixas referenciais de produtividade, comprovem a exequibilidade da proposta.</w:t>
      </w:r>
    </w:p>
    <w:p>
      <w:pPr>
        <w:pStyle w:val="4"/>
        <w:spacing w:before="120" w:after="120" w:line="276" w:lineRule="auto"/>
        <w:ind w:left="1566"/>
        <w:jc w:val="both"/>
        <w:rPr>
          <w:i/>
          <w:color w:val="FF0000"/>
        </w:rPr>
      </w:pPr>
      <w:r>
        <w:rPr>
          <w:color w:val="000000"/>
        </w:rPr>
        <w:t xml:space="preserve">6.3 Para efeito do subitem anterior, admite-se a adequação técnica da metodologia empregada pela contratada, visando assegurar a execução do objeto, desde que mantidas as condições para a justa remuneração do serviço. </w:t>
      </w:r>
    </w:p>
    <w:p>
      <w:pPr>
        <w:pStyle w:val="4"/>
        <w:spacing w:before="120" w:after="120" w:line="276" w:lineRule="auto"/>
        <w:ind w:left="1566"/>
        <w:jc w:val="both"/>
      </w:pPr>
      <w:r>
        <w:t>6.4 Todas as especificações do objeto contidas na proposta vinculam a Contratada.</w:t>
      </w:r>
    </w:p>
    <w:p>
      <w:pPr>
        <w:pStyle w:val="4"/>
        <w:spacing w:before="120" w:after="120" w:line="276" w:lineRule="auto"/>
        <w:ind w:left="1566"/>
        <w:jc w:val="both"/>
      </w:pPr>
      <w:r>
        <w:rPr>
          <w:color w:val="000000"/>
        </w:rPr>
        <w:t xml:space="preserve">6.5 Nos valores propostos estarão inclusos todos os custos operacionais, encargos previdenciários, trabalhistas, tributários, comerciais e quaisquer outros que incidam direta ou </w:t>
      </w:r>
      <w:r>
        <w:t>indiretamente</w:t>
      </w:r>
      <w:r>
        <w:rPr>
          <w:color w:val="000000"/>
        </w:rPr>
        <w:t xml:space="preserve"> na prestação dos serviços, </w:t>
      </w:r>
      <w:r>
        <w:t>apurados mediante o preenchimento do modelo de Planilha de Custos e Formação de Preços, conforme anexo deste Edital;</w:t>
      </w:r>
    </w:p>
    <w:p>
      <w:pPr>
        <w:pStyle w:val="4"/>
        <w:tabs>
          <w:tab w:val="left" w:pos="1440"/>
        </w:tabs>
        <w:spacing w:before="120" w:line="276" w:lineRule="auto"/>
        <w:ind w:left="2642"/>
        <w:jc w:val="both"/>
        <w:rPr>
          <w:color w:val="000000"/>
        </w:rPr>
      </w:pPr>
      <w:r>
        <w:rPr>
          <w:color w:val="000000"/>
        </w:rPr>
        <w:t>6.5.1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pPr>
        <w:pStyle w:val="4"/>
        <w:tabs>
          <w:tab w:val="left" w:pos="1440"/>
        </w:tabs>
        <w:spacing w:line="276" w:lineRule="auto"/>
        <w:ind w:left="2642"/>
        <w:jc w:val="both"/>
        <w:rPr>
          <w:color w:val="000000"/>
        </w:rPr>
      </w:pPr>
      <w:r>
        <w:rPr>
          <w:color w:val="000000"/>
        </w:rPr>
        <w:t xml:space="preserve">6.5.2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pStyle w:val="4"/>
        <w:spacing w:before="120" w:after="120" w:line="276" w:lineRule="auto"/>
        <w:ind w:left="1637"/>
        <w:jc w:val="both"/>
      </w:pPr>
      <w:r>
        <w:t>6.6  A empresa é a única responsável pela cotação correta dos encargos tributários. Em caso de erro ou cotação incompatível com o regime tributário a que se submete, serão adotadas as orientações a seguir:</w:t>
      </w:r>
    </w:p>
    <w:p>
      <w:pPr>
        <w:pStyle w:val="4"/>
        <w:spacing w:before="120" w:after="120" w:line="276" w:lineRule="auto"/>
        <w:ind w:left="1922"/>
        <w:jc w:val="both"/>
      </w:pPr>
      <w:r>
        <w:t xml:space="preserve"> 6.6.1 cotação de percentual menor que o adequado: o percentual será mantido durante toda a execução contratual;</w:t>
      </w:r>
    </w:p>
    <w:p>
      <w:pPr>
        <w:pStyle w:val="4"/>
        <w:spacing w:before="120" w:after="120" w:line="276" w:lineRule="auto"/>
        <w:ind w:left="1922"/>
        <w:jc w:val="both"/>
      </w:pPr>
      <w:r>
        <w:t xml:space="preserve"> 6.6.2 cotação de percentual maior que o adequado: o excesso será suprimido, unilateralmente, da planilha e haverá glosa, quando do pagamento, e/ou redução, quando da repactuação, para fins de total ressarcimento do débito.</w:t>
      </w:r>
    </w:p>
    <w:p>
      <w:pPr>
        <w:pStyle w:val="4"/>
        <w:spacing w:before="120" w:after="120" w:line="276" w:lineRule="auto"/>
        <w:ind w:left="1637"/>
        <w:jc w:val="both"/>
      </w:pPr>
      <w:r>
        <w:t xml:space="preserve">6.7 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pStyle w:val="4"/>
        <w:spacing w:before="120" w:after="120" w:line="276" w:lineRule="auto"/>
        <w:ind w:left="1637"/>
        <w:jc w:val="both"/>
      </w:pPr>
      <w:r>
        <w:t>6.8 Independentemente do percentual de tributo inserido na planilha, no pagamento dos serviços, serão retidos na fonte os percentuais estabelecidos na legislação vigente.</w:t>
      </w:r>
    </w:p>
    <w:p>
      <w:pPr>
        <w:pStyle w:val="4"/>
        <w:spacing w:before="120" w:after="120" w:line="276" w:lineRule="auto"/>
        <w:ind w:left="1197"/>
        <w:jc w:val="both"/>
      </w:pPr>
      <w:r>
        <w:rPr>
          <w:color w:val="000000"/>
        </w:rPr>
        <w:t>6.9 Na presente licitação, a Microempresa e a Empresa de Pequeno Porte poderão se beneficiar do regime de tributação pelo Simples Nacional.</w:t>
      </w:r>
      <w:r>
        <w:rPr>
          <w:i/>
          <w:color w:val="FF0000"/>
        </w:rPr>
        <w:t xml:space="preserve"> </w:t>
      </w:r>
    </w:p>
    <w:p>
      <w:pPr>
        <w:pStyle w:val="4"/>
        <w:spacing w:before="120" w:after="120" w:line="276" w:lineRule="auto"/>
        <w:ind w:left="1637"/>
        <w:jc w:val="both"/>
      </w:pPr>
      <w:r>
        <w:t>6.10 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pStyle w:val="4"/>
        <w:spacing w:before="120" w:after="120" w:line="276" w:lineRule="auto"/>
        <w:ind w:left="1637"/>
        <w:jc w:val="both"/>
      </w:pPr>
      <w:r>
        <w:t>6.11 Os preços ofertados, tanto na proposta inicial, quanto na etapa de lances, serão de exclusiva responsabilidade do licitante, não lhe assistindo o direito de pleitear qualquer alteração, sob alegação de erro, omissão ou qualquer outro pretexto.</w:t>
      </w:r>
    </w:p>
    <w:p>
      <w:pPr>
        <w:pStyle w:val="4"/>
        <w:spacing w:before="120" w:after="120" w:line="276" w:lineRule="auto"/>
        <w:ind w:left="1637"/>
        <w:jc w:val="both"/>
      </w:pPr>
      <w:r>
        <w:rPr>
          <w:color w:val="000000"/>
        </w:rPr>
        <w:t>6.12 O prazo de validade da proposta não será inferior a 60 (sessenta) dias</w:t>
      </w:r>
      <w:r>
        <w:rPr>
          <w:b/>
          <w:color w:val="000000"/>
        </w:rPr>
        <w:t>,</w:t>
      </w:r>
      <w:r>
        <w:rPr>
          <w:color w:val="000000"/>
        </w:rPr>
        <w:t xml:space="preserve"> a contar da data de sua apresentação.</w:t>
      </w:r>
    </w:p>
    <w:p>
      <w:pPr>
        <w:pStyle w:val="4"/>
        <w:spacing w:before="120" w:after="120" w:line="276" w:lineRule="auto"/>
        <w:ind w:left="1637"/>
        <w:jc w:val="both"/>
      </w:pPr>
      <w:r>
        <w:rPr>
          <w:color w:val="000000"/>
        </w:rPr>
        <w:t>6.13 Os licitantes devem respeitar os preços máximos estabelecidos nas normas de regência de contratações públicas federais, quando participarem de licitações públicas;</w:t>
      </w:r>
    </w:p>
    <w:p>
      <w:pPr>
        <w:pStyle w:val="4"/>
        <w:spacing w:before="120" w:after="120" w:line="276" w:lineRule="auto"/>
        <w:ind w:left="1922"/>
        <w:jc w:val="both"/>
      </w:pPr>
      <w:r>
        <w:rPr>
          <w:color w:val="000000"/>
        </w:rPr>
        <w:t>6.13.1 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pStyle w:val="4"/>
        <w:keepNext/>
        <w:keepLines/>
        <w:spacing w:before="480" w:after="120" w:line="276" w:lineRule="auto"/>
        <w:ind w:left="360" w:right="-15"/>
        <w:jc w:val="both"/>
        <w:rPr>
          <w:b/>
          <w:color w:val="000000"/>
          <w:highlight w:val="yellow"/>
        </w:rPr>
      </w:pPr>
      <w:r>
        <w:rPr>
          <w:b/>
          <w:color w:val="000000"/>
        </w:rPr>
        <w:t>7.  DA ABERTURA DA SESSÃO, CLASSIFICAÇÃO DAS PROPOSTAS E FORMULAÇÃO DE LANCES</w:t>
      </w:r>
    </w:p>
    <w:p>
      <w:pPr>
        <w:pStyle w:val="4"/>
        <w:numPr>
          <w:ilvl w:val="1"/>
          <w:numId w:val="10"/>
        </w:numPr>
        <w:spacing w:before="120" w:after="120" w:line="276" w:lineRule="auto"/>
        <w:ind w:left="786"/>
        <w:jc w:val="both"/>
        <w:rPr>
          <w:color w:val="000000"/>
        </w:rPr>
      </w:pPr>
      <w:r>
        <w:rPr>
          <w:color w:val="000000"/>
        </w:rPr>
        <w:t>A abertura da presente licitação dar-se-á em sessão pública, por meio de sistema eletrônico, na data, horário e local indicados neste Edital.</w:t>
      </w:r>
    </w:p>
    <w:p>
      <w:pPr>
        <w:pStyle w:val="4"/>
        <w:numPr>
          <w:ilvl w:val="1"/>
          <w:numId w:val="10"/>
        </w:numPr>
        <w:shd w:val="clear" w:color="auto" w:fill="FFFFFF"/>
        <w:spacing w:before="120" w:after="120" w:line="276" w:lineRule="auto"/>
        <w:jc w:val="both"/>
        <w:rPr>
          <w:color w:val="000000"/>
        </w:rPr>
      </w:pPr>
      <w:r>
        <w:rPr>
          <w:color w:val="00000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pStyle w:val="4"/>
        <w:numPr>
          <w:ilvl w:val="2"/>
          <w:numId w:val="10"/>
        </w:numPr>
        <w:shd w:val="clear" w:color="auto" w:fill="FFFFFF"/>
        <w:spacing w:before="120" w:after="120" w:line="276" w:lineRule="auto"/>
        <w:jc w:val="both"/>
        <w:rPr>
          <w:color w:val="000000"/>
        </w:rPr>
      </w:pPr>
      <w:r>
        <w:rPr>
          <w:color w:val="000000"/>
        </w:rPr>
        <w:t>Também será desclassificada a proposta que identifique o licitante.</w:t>
      </w:r>
    </w:p>
    <w:p>
      <w:pPr>
        <w:pStyle w:val="4"/>
        <w:numPr>
          <w:ilvl w:val="2"/>
          <w:numId w:val="10"/>
        </w:numPr>
        <w:shd w:val="clear" w:color="auto" w:fill="FFFFFF"/>
        <w:spacing w:before="120" w:after="120" w:line="276" w:lineRule="auto"/>
        <w:jc w:val="both"/>
        <w:rPr>
          <w:color w:val="000000"/>
        </w:rPr>
      </w:pPr>
      <w:r>
        <w:rPr>
          <w:color w:val="000000"/>
        </w:rPr>
        <w:t>A desclassificação será sempre fundamentada e registrada no sistema, com acompanhamento em tempo real por todos os participantes.</w:t>
      </w:r>
    </w:p>
    <w:p>
      <w:pPr>
        <w:pStyle w:val="4"/>
        <w:numPr>
          <w:ilvl w:val="2"/>
          <w:numId w:val="10"/>
        </w:numPr>
        <w:shd w:val="clear" w:color="auto" w:fill="FFFFFF"/>
        <w:spacing w:before="120" w:after="120" w:line="276" w:lineRule="auto"/>
        <w:jc w:val="both"/>
        <w:rPr>
          <w:color w:val="000000"/>
        </w:rPr>
      </w:pPr>
      <w:r>
        <w:rPr>
          <w:color w:val="000000"/>
        </w:rPr>
        <w:t>A não desclassificação da proposta não impede o seu julgamento definitivo em sentido contrário, levado a efeito na fase de aceitação.</w:t>
      </w:r>
    </w:p>
    <w:p>
      <w:pPr>
        <w:pStyle w:val="4"/>
        <w:numPr>
          <w:ilvl w:val="1"/>
          <w:numId w:val="10"/>
        </w:numPr>
        <w:shd w:val="clear" w:color="auto" w:fill="FFFFFF"/>
        <w:spacing w:before="120" w:after="120" w:line="276" w:lineRule="auto"/>
        <w:jc w:val="both"/>
        <w:rPr>
          <w:color w:val="000000"/>
        </w:rPr>
      </w:pPr>
      <w:r>
        <w:rPr>
          <w:color w:val="000000"/>
        </w:rPr>
        <w:t>O sistema ordenará automaticamente as propostas classificadas, sendo que somente estas participarão da fase de lances.</w:t>
      </w:r>
    </w:p>
    <w:p>
      <w:pPr>
        <w:pStyle w:val="4"/>
        <w:numPr>
          <w:ilvl w:val="1"/>
          <w:numId w:val="10"/>
        </w:numPr>
        <w:spacing w:before="120" w:after="120" w:line="276" w:lineRule="auto"/>
        <w:ind w:left="425" w:firstLine="0"/>
        <w:jc w:val="both"/>
        <w:rPr>
          <w:color w:val="000000"/>
        </w:rPr>
      </w:pPr>
      <w:r>
        <w:rPr>
          <w:color w:val="000000"/>
        </w:rPr>
        <w:t xml:space="preserve"> O sistema disponibilizará campo próprio para troca de mensagens entre o Pregoeiro e os licitantes.</w:t>
      </w:r>
    </w:p>
    <w:p>
      <w:pPr>
        <w:pStyle w:val="4"/>
        <w:numPr>
          <w:ilvl w:val="1"/>
          <w:numId w:val="10"/>
        </w:numPr>
        <w:spacing w:before="120" w:after="120" w:line="276" w:lineRule="auto"/>
        <w:ind w:left="425" w:firstLine="0"/>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 </w:t>
      </w:r>
    </w:p>
    <w:p>
      <w:pPr>
        <w:pStyle w:val="4"/>
        <w:numPr>
          <w:ilvl w:val="2"/>
          <w:numId w:val="10"/>
        </w:numPr>
        <w:tabs>
          <w:tab w:val="left" w:pos="1440"/>
        </w:tabs>
        <w:spacing w:before="120" w:after="120" w:line="276" w:lineRule="auto"/>
        <w:ind w:left="1134" w:firstLine="0"/>
        <w:jc w:val="both"/>
        <w:rPr>
          <w:color w:val="000000"/>
        </w:rPr>
      </w:pPr>
      <w:r>
        <w:rPr>
          <w:color w:val="000000"/>
        </w:rPr>
        <w:t>O lance deverá ser ofertado pelo valor anual do item.</w:t>
      </w:r>
    </w:p>
    <w:p>
      <w:pPr>
        <w:pStyle w:val="4"/>
        <w:numPr>
          <w:ilvl w:val="1"/>
          <w:numId w:val="10"/>
        </w:numPr>
        <w:spacing w:before="120" w:after="120" w:line="276" w:lineRule="auto"/>
        <w:jc w:val="both"/>
      </w:pPr>
      <w:r>
        <w:t>Os licitantes poderão oferecer lances sucessivos, observando o horário fixado para abertura da sessão e as regras estabelecidas no Edital.</w:t>
      </w:r>
    </w:p>
    <w:p>
      <w:pPr>
        <w:pStyle w:val="4"/>
        <w:numPr>
          <w:ilvl w:val="1"/>
          <w:numId w:val="10"/>
        </w:numPr>
        <w:spacing w:before="120" w:after="120" w:line="276" w:lineRule="auto"/>
        <w:jc w:val="both"/>
      </w:pPr>
      <w:r>
        <w:t xml:space="preserve">O licitante somente poderá oferecer lance de valor inferior ou percentual de desconto superior ao último por ele ofertado e registrado pelo sistema. </w:t>
      </w:r>
      <w:r>
        <w:rPr>
          <w:i/>
          <w:color w:val="FF0000"/>
        </w:rPr>
        <w:tab/>
      </w:r>
    </w:p>
    <w:p>
      <w:pPr>
        <w:pStyle w:val="4"/>
        <w:numPr>
          <w:ilvl w:val="1"/>
          <w:numId w:val="11"/>
        </w:numPr>
        <w:spacing w:before="120" w:after="120" w:line="276" w:lineRule="auto"/>
        <w:jc w:val="both"/>
        <w:rPr>
          <w:color w:val="000000"/>
        </w:rPr>
      </w:pPr>
      <w:r>
        <w:rPr>
          <w:color w:val="000000"/>
        </w:rPr>
        <w:t>Será adotado para o envio de lances no pregão eletrônico o modo de disputa “aberto e fechado”, em que os licitantes apresentarão lances públicos e sucessivos, com lance final e fechado.</w:t>
      </w:r>
    </w:p>
    <w:p>
      <w:pPr>
        <w:pStyle w:val="4"/>
        <w:numPr>
          <w:ilvl w:val="1"/>
          <w:numId w:val="11"/>
        </w:numPr>
        <w:spacing w:before="120" w:after="120" w:line="276" w:lineRule="auto"/>
        <w:jc w:val="both"/>
      </w:pPr>
      <w:r>
        <w:rPr>
          <w:color w:val="000000"/>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pPr>
        <w:pStyle w:val="4"/>
        <w:numPr>
          <w:ilvl w:val="1"/>
          <w:numId w:val="11"/>
        </w:numPr>
        <w:spacing w:before="120" w:after="120" w:line="276" w:lineRule="auto"/>
        <w:jc w:val="both"/>
      </w:pPr>
      <w:r>
        <w:rPr>
          <w:color w:val="000000"/>
        </w:rP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pPr>
        <w:pStyle w:val="4"/>
        <w:numPr>
          <w:ilvl w:val="2"/>
          <w:numId w:val="11"/>
        </w:numPr>
        <w:spacing w:before="120" w:after="120" w:line="276" w:lineRule="auto"/>
        <w:jc w:val="both"/>
      </w:pPr>
      <w:r>
        <w:rPr>
          <w:color w:val="000000"/>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pPr>
        <w:pStyle w:val="4"/>
        <w:numPr>
          <w:ilvl w:val="1"/>
          <w:numId w:val="11"/>
        </w:numPr>
        <w:spacing w:before="120" w:after="120" w:line="276" w:lineRule="auto"/>
        <w:jc w:val="both"/>
      </w:pPr>
      <w:r>
        <w:rPr>
          <w:color w:val="000000"/>
        </w:rPr>
        <w:t>Após o término dos prazos estabelecidos nos itens anteriores, o sistema ordenará os lances segundo a ordem crescente de valores.</w:t>
      </w:r>
    </w:p>
    <w:p>
      <w:pPr>
        <w:pStyle w:val="4"/>
        <w:numPr>
          <w:ilvl w:val="2"/>
          <w:numId w:val="11"/>
        </w:numPr>
        <w:spacing w:before="120" w:after="120" w:line="276" w:lineRule="auto"/>
        <w:jc w:val="both"/>
      </w:pPr>
      <w:r>
        <w:rPr>
          <w:color w:val="000000"/>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pPr>
        <w:pStyle w:val="4"/>
        <w:numPr>
          <w:ilvl w:val="1"/>
          <w:numId w:val="11"/>
        </w:numPr>
        <w:spacing w:before="120" w:after="120" w:line="276" w:lineRule="auto"/>
        <w:jc w:val="both"/>
      </w:pPr>
      <w:r>
        <w:rPr>
          <w:color w:val="000000"/>
        </w:rPr>
        <w:t>Poderá o pregoeiro, auxiliado pela equipe de apoio, justificadamente, admitir o reinício da etapa fechada, caso nenhum licitante classificado na etapa de lance fechado atender às exigências de habilitação.</w:t>
      </w:r>
    </w:p>
    <w:p>
      <w:pPr>
        <w:pStyle w:val="4"/>
        <w:numPr>
          <w:ilvl w:val="1"/>
          <w:numId w:val="11"/>
        </w:numPr>
        <w:spacing w:before="120" w:after="120" w:line="276" w:lineRule="auto"/>
        <w:jc w:val="both"/>
      </w:pPr>
      <w:r>
        <w:rPr>
          <w:color w:val="000000"/>
        </w:rPr>
        <w:t xml:space="preserve">Não serão aceitos dois ou mais lances de mesmo valor, prevalecendo aquele que for recebido e registrado em </w:t>
      </w:r>
      <w:r>
        <w:t>primeiro</w:t>
      </w:r>
      <w:r>
        <w:rPr>
          <w:color w:val="000000"/>
        </w:rPr>
        <w:t xml:space="preserve"> lugar. </w:t>
      </w:r>
    </w:p>
    <w:p>
      <w:pPr>
        <w:pStyle w:val="4"/>
        <w:numPr>
          <w:ilvl w:val="1"/>
          <w:numId w:val="11"/>
        </w:numPr>
        <w:spacing w:before="120" w:after="120" w:line="276" w:lineRule="auto"/>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pPr>
        <w:pStyle w:val="4"/>
        <w:numPr>
          <w:ilvl w:val="1"/>
          <w:numId w:val="11"/>
        </w:numPr>
        <w:spacing w:before="120" w:after="120" w:line="276" w:lineRule="auto"/>
        <w:ind w:left="425" w:firstLine="0"/>
        <w:jc w:val="both"/>
        <w:rPr>
          <w:color w:val="000000"/>
        </w:rPr>
      </w:pPr>
      <w:r>
        <w:rPr>
          <w:color w:val="000000"/>
        </w:rPr>
        <w:t xml:space="preserve"> No caso de desconexão com o Pregoeiro, no decorrer da etapa competitiva do Pregão, o sistema eletrônico poderá permanecer acessível aos licitantes para a recepção dos lances.</w:t>
      </w:r>
    </w:p>
    <w:p>
      <w:pPr>
        <w:pStyle w:val="4"/>
        <w:numPr>
          <w:ilvl w:val="1"/>
          <w:numId w:val="11"/>
        </w:numPr>
        <w:spacing w:before="120" w:after="120" w:line="276" w:lineRule="auto"/>
        <w:ind w:left="425" w:firstLine="0"/>
        <w:jc w:val="both"/>
        <w:rPr>
          <w:color w:val="000000"/>
        </w:rPr>
      </w:pPr>
      <w:r>
        <w:rPr>
          <w:color w:val="000000"/>
        </w:rPr>
        <w:t xml:space="preserve"> 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pPr>
        <w:pStyle w:val="4"/>
        <w:numPr>
          <w:ilvl w:val="1"/>
          <w:numId w:val="11"/>
        </w:numPr>
        <w:spacing w:before="120" w:after="120" w:line="276" w:lineRule="auto"/>
        <w:ind w:left="425" w:firstLine="0"/>
        <w:jc w:val="both"/>
      </w:pPr>
      <w:r>
        <w:rPr>
          <w:color w:val="000000"/>
        </w:rPr>
        <w:t>O critério de julgamento adotado será o menor preço, conforme definido neste Edital e seus anexos.</w:t>
      </w:r>
    </w:p>
    <w:p>
      <w:pPr>
        <w:pStyle w:val="4"/>
        <w:numPr>
          <w:ilvl w:val="1"/>
          <w:numId w:val="11"/>
        </w:numPr>
        <w:spacing w:before="120" w:after="120" w:line="276" w:lineRule="auto"/>
        <w:jc w:val="both"/>
      </w:pPr>
      <w:r>
        <w:rPr>
          <w:color w:val="000000"/>
        </w:rPr>
        <w:t>Caso o licitante não apresente lances, concorrerá com o valor de sua proposta.</w:t>
      </w:r>
    </w:p>
    <w:p>
      <w:pPr>
        <w:pStyle w:val="4"/>
        <w:numPr>
          <w:ilvl w:val="1"/>
          <w:numId w:val="11"/>
        </w:numPr>
        <w:spacing w:before="120" w:after="120" w:line="276" w:lineRule="auto"/>
        <w:ind w:left="425"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4"/>
        <w:numPr>
          <w:ilvl w:val="1"/>
          <w:numId w:val="11"/>
        </w:numPr>
        <w:spacing w:before="120" w:after="120" w:line="276" w:lineRule="auto"/>
        <w:ind w:left="425"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pPr>
        <w:pStyle w:val="4"/>
        <w:numPr>
          <w:ilvl w:val="1"/>
          <w:numId w:val="11"/>
        </w:numPr>
        <w:spacing w:before="120" w:after="120" w:line="276" w:lineRule="auto"/>
        <w:ind w:left="425"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4"/>
        <w:numPr>
          <w:ilvl w:val="1"/>
          <w:numId w:val="11"/>
        </w:numPr>
        <w:spacing w:before="120" w:after="120" w:line="276" w:lineRule="auto"/>
        <w:ind w:left="425"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pPr>
        <w:pStyle w:val="4"/>
        <w:numPr>
          <w:ilvl w:val="1"/>
          <w:numId w:val="11"/>
        </w:numPr>
        <w:spacing w:before="120" w:after="120" w:line="276" w:lineRule="auto"/>
        <w:ind w:left="425"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4"/>
        <w:numPr>
          <w:ilvl w:val="1"/>
          <w:numId w:val="11"/>
        </w:numPr>
        <w:tabs>
          <w:tab w:val="left" w:pos="-12"/>
        </w:tabs>
        <w:spacing w:before="120" w:line="276" w:lineRule="auto"/>
        <w:jc w:val="both"/>
        <w:rPr>
          <w:color w:val="000000"/>
        </w:rPr>
      </w:pPr>
      <w:r>
        <w:rPr>
          <w:color w:val="000000"/>
        </w:rPr>
        <w:t>Só poderá haver empate entre propostas iguais (não seguidas de lances), ou entre lances finais da fase fechada do modo de disputa aberto e fechado.</w:t>
      </w:r>
    </w:p>
    <w:p>
      <w:pPr>
        <w:pStyle w:val="4"/>
        <w:numPr>
          <w:ilvl w:val="2"/>
          <w:numId w:val="11"/>
        </w:numPr>
        <w:tabs>
          <w:tab w:val="left" w:pos="-12"/>
        </w:tabs>
        <w:spacing w:line="276" w:lineRule="auto"/>
        <w:jc w:val="both"/>
        <w:rPr>
          <w:color w:val="000000"/>
        </w:rPr>
      </w:pPr>
      <w:r>
        <w:rPr>
          <w:color w:val="000000"/>
        </w:rPr>
        <w:t>Havendo eventual empate entre propostas ou lances, o critério de desempate será aquele previsto no art. 3º, § 2º, da Lei nº 8.666, de 1993, assegurando-se a preferência, sucessivamente, aos serviços:</w:t>
      </w:r>
    </w:p>
    <w:p>
      <w:pPr>
        <w:pStyle w:val="4"/>
        <w:numPr>
          <w:ilvl w:val="3"/>
          <w:numId w:val="11"/>
        </w:numPr>
        <w:tabs>
          <w:tab w:val="left" w:pos="-12"/>
        </w:tabs>
        <w:spacing w:line="276" w:lineRule="auto"/>
        <w:jc w:val="both"/>
        <w:rPr>
          <w:color w:val="000000"/>
        </w:rPr>
      </w:pPr>
      <w:r>
        <w:rPr>
          <w:color w:val="000000"/>
        </w:rPr>
        <w:t xml:space="preserve">prestados por empresas brasileiras; </w:t>
      </w:r>
    </w:p>
    <w:p>
      <w:pPr>
        <w:pStyle w:val="4"/>
        <w:numPr>
          <w:ilvl w:val="3"/>
          <w:numId w:val="11"/>
        </w:numPr>
        <w:tabs>
          <w:tab w:val="left" w:pos="-12"/>
        </w:tabs>
        <w:spacing w:line="276" w:lineRule="auto"/>
        <w:jc w:val="both"/>
        <w:rPr>
          <w:color w:val="000000"/>
        </w:rPr>
      </w:pPr>
      <w:r>
        <w:rPr>
          <w:color w:val="000000"/>
        </w:rPr>
        <w:t>prestados por empresas que invistam em pesquisa e no desenvolvimento de tecnologia no País;</w:t>
      </w:r>
    </w:p>
    <w:p>
      <w:pPr>
        <w:pStyle w:val="4"/>
        <w:numPr>
          <w:ilvl w:val="3"/>
          <w:numId w:val="11"/>
        </w:numPr>
        <w:tabs>
          <w:tab w:val="left" w:pos="-12"/>
        </w:tabs>
        <w:spacing w:line="276" w:lineRule="auto"/>
        <w:jc w:val="both"/>
        <w:rPr>
          <w:color w:val="000000"/>
        </w:rPr>
      </w:pPr>
      <w:r>
        <w:rPr>
          <w:color w:val="000000"/>
        </w:rPr>
        <w:t>prestados por empresas que comprovem cumprimento de reserva de cargos prevista em lei para pessoa com deficiência ou para reabilitado da Previdência Social e que atendam às regras de acessibilidade previstas na legislação.</w:t>
      </w:r>
    </w:p>
    <w:p>
      <w:pPr>
        <w:pStyle w:val="4"/>
        <w:numPr>
          <w:ilvl w:val="1"/>
          <w:numId w:val="11"/>
        </w:numPr>
        <w:tabs>
          <w:tab w:val="left" w:pos="-12"/>
        </w:tabs>
        <w:spacing w:line="276" w:lineRule="auto"/>
        <w:jc w:val="both"/>
        <w:rPr>
          <w:color w:val="000000"/>
        </w:rPr>
      </w:pPr>
      <w:r>
        <w:rPr>
          <w:color w:val="000000"/>
        </w:rPr>
        <w:t xml:space="preserve">Persistindo o empate, a proposta vencedora será sorteada pelo sistema eletrônico dentre as propostas ou os lances empatados. </w:t>
      </w:r>
    </w:p>
    <w:p>
      <w:pPr>
        <w:pStyle w:val="4"/>
        <w:numPr>
          <w:ilvl w:val="1"/>
          <w:numId w:val="11"/>
        </w:numPr>
        <w:tabs>
          <w:tab w:val="left" w:pos="-12"/>
        </w:tabs>
        <w:spacing w:line="276" w:lineRule="auto"/>
        <w:jc w:val="both"/>
        <w:rPr>
          <w:color w:val="000000"/>
        </w:rPr>
      </w:pPr>
      <w:r>
        <w:rPr>
          <w:color w:val="00000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pPr>
        <w:pStyle w:val="4"/>
        <w:numPr>
          <w:ilvl w:val="2"/>
          <w:numId w:val="11"/>
        </w:numPr>
        <w:tabs>
          <w:tab w:val="left" w:pos="-12"/>
        </w:tabs>
        <w:spacing w:line="276" w:lineRule="auto"/>
        <w:jc w:val="both"/>
        <w:rPr>
          <w:color w:val="000000"/>
        </w:rPr>
      </w:pPr>
      <w:r>
        <w:rPr>
          <w:color w:val="000000"/>
        </w:rPr>
        <w:t>A negociação será realizada por meio do sistema, podendo ser acompanhada pelos demais licitantes.</w:t>
      </w:r>
    </w:p>
    <w:p>
      <w:pPr>
        <w:pStyle w:val="4"/>
        <w:numPr>
          <w:ilvl w:val="2"/>
          <w:numId w:val="11"/>
        </w:numPr>
        <w:tabs>
          <w:tab w:val="left" w:pos="-12"/>
        </w:tabs>
        <w:spacing w:line="276" w:lineRule="auto"/>
        <w:jc w:val="both"/>
        <w:rPr>
          <w:color w:val="000000"/>
        </w:rPr>
      </w:pPr>
      <w:r>
        <w:rPr>
          <w:color w:val="000000"/>
        </w:rPr>
        <w:t>O pregoeiro solicitará ao licitante melhor classificado que, no prazo de 4 (quatro)</w:t>
      </w:r>
      <w:r>
        <w:rPr>
          <w:i/>
          <w:color w:val="000000"/>
        </w:rPr>
        <w:t xml:space="preserve"> </w:t>
      </w:r>
      <w:r>
        <w:rPr>
          <w:color w:val="000000"/>
        </w:rPr>
        <w:t xml:space="preserve">horas, envie a proposta adequada ao último lance ofertado após a negociação realizada, acompanhada, se for o caso, dos documentos complementares, quando necessários à confirmação daqueles exigidos neste Edital e já apresentados. </w:t>
      </w:r>
    </w:p>
    <w:p>
      <w:pPr>
        <w:pStyle w:val="4"/>
        <w:numPr>
          <w:ilvl w:val="1"/>
          <w:numId w:val="11"/>
        </w:numPr>
        <w:tabs>
          <w:tab w:val="left" w:pos="-12"/>
        </w:tabs>
        <w:spacing w:after="120" w:line="276" w:lineRule="auto"/>
        <w:jc w:val="both"/>
        <w:rPr>
          <w:color w:val="000000"/>
        </w:rPr>
      </w:pPr>
      <w:r>
        <w:rPr>
          <w:color w:val="000000"/>
        </w:rPr>
        <w:t>Após a negociação do preço, o Pregoeiro iniciará a fase de aceitação e julgamento da proposta.</w:t>
      </w:r>
    </w:p>
    <w:p>
      <w:pPr>
        <w:pStyle w:val="4"/>
        <w:keepNext/>
        <w:keepLines/>
        <w:numPr>
          <w:ilvl w:val="0"/>
          <w:numId w:val="11"/>
        </w:numPr>
        <w:spacing w:before="480" w:after="120" w:line="276" w:lineRule="auto"/>
        <w:ind w:right="-15"/>
        <w:jc w:val="both"/>
        <w:rPr>
          <w:b/>
          <w:color w:val="000000"/>
        </w:rPr>
      </w:pPr>
      <w:r>
        <w:rPr>
          <w:b/>
          <w:color w:val="000000"/>
        </w:rPr>
        <w:t>DA ACEITABILIDADE DA PROPOSTA VENCEDORA.</w:t>
      </w:r>
      <w:bookmarkStart w:id="3" w:name="bookmark=id.3znysh7"/>
      <w:bookmarkEnd w:id="3"/>
    </w:p>
    <w:p>
      <w:pPr>
        <w:pStyle w:val="4"/>
        <w:numPr>
          <w:ilvl w:val="1"/>
          <w:numId w:val="11"/>
        </w:numPr>
        <w:spacing w:before="120" w:after="120" w:line="276" w:lineRule="auto"/>
        <w:ind w:left="1036" w:right="-15" w:hanging="540"/>
        <w:jc w:val="both"/>
      </w:pPr>
      <w:r>
        <w:rPr>
          <w:color w:val="00000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pPr>
        <w:pStyle w:val="4"/>
        <w:numPr>
          <w:ilvl w:val="1"/>
          <w:numId w:val="11"/>
        </w:numPr>
        <w:spacing w:before="120" w:after="120" w:line="276" w:lineRule="auto"/>
        <w:ind w:left="1036" w:right="-15" w:hanging="540"/>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pPr>
        <w:pStyle w:val="4"/>
        <w:numPr>
          <w:ilvl w:val="1"/>
          <w:numId w:val="11"/>
        </w:numPr>
        <w:spacing w:before="120" w:after="120" w:line="276" w:lineRule="auto"/>
        <w:ind w:left="1036" w:right="-15" w:hanging="540"/>
        <w:jc w:val="both"/>
      </w:pPr>
      <w:r>
        <w:rPr>
          <w:color w:val="000000"/>
          <w:highlight w:val="white"/>
        </w:rPr>
        <w:t>A Planilha de Custos e Formação de Preços deverá ser encaminhada pelo licitante exclusivamente via sistema, no prazo de 4 (quatro) hora</w:t>
      </w:r>
      <w:r>
        <w:rPr>
          <w:color w:val="000000"/>
        </w:rPr>
        <w:t>s, contado</w:t>
      </w:r>
      <w:r>
        <w:rPr>
          <w:color w:val="000000"/>
          <w:highlight w:val="white"/>
        </w:rPr>
        <w:t xml:space="preserve"> da solicitação do pregoeiro, </w:t>
      </w:r>
      <w:r>
        <w:rPr>
          <w:color w:val="000000"/>
        </w:rPr>
        <w:t xml:space="preserve">com os respectivos valores readequados ao lance vencedor, </w:t>
      </w:r>
      <w:r>
        <w:rPr>
          <w:color w:val="000000"/>
          <w:highlight w:val="white"/>
        </w:rPr>
        <w:t>e será analisada pelo Pregoeiro no momento da aceitação do lance vencedor.</w:t>
      </w:r>
    </w:p>
    <w:p>
      <w:pPr>
        <w:pStyle w:val="4"/>
        <w:numPr>
          <w:ilvl w:val="1"/>
          <w:numId w:val="11"/>
        </w:numPr>
        <w:spacing w:before="120" w:after="120" w:line="276" w:lineRule="auto"/>
        <w:ind w:left="1036" w:right="-15" w:hanging="540"/>
        <w:jc w:val="both"/>
        <w:rPr>
          <w:color w:val="000000"/>
        </w:rPr>
      </w:pPr>
      <w:r>
        <w:rPr>
          <w:color w:val="000000"/>
        </w:rPr>
        <w:t xml:space="preserve">Será desclassificada a proposta ou o lance vencedor, nos termos do item 9.1 do Anexo VII-A da IN SEGES/MP n. 5/2017, que: </w:t>
      </w:r>
    </w:p>
    <w:p>
      <w:pPr>
        <w:pStyle w:val="4"/>
        <w:numPr>
          <w:ilvl w:val="2"/>
          <w:numId w:val="12"/>
        </w:numPr>
        <w:spacing w:before="120" w:line="276" w:lineRule="auto"/>
        <w:ind w:right="-15"/>
        <w:jc w:val="both"/>
        <w:rPr>
          <w:color w:val="000000"/>
        </w:rPr>
      </w:pPr>
      <w:r>
        <w:rPr>
          <w:color w:val="000000"/>
        </w:rPr>
        <w:t>não estiver em conformidade com os requisitos estabelecidos neste edital;</w:t>
      </w:r>
    </w:p>
    <w:p>
      <w:pPr>
        <w:pStyle w:val="4"/>
        <w:numPr>
          <w:ilvl w:val="2"/>
          <w:numId w:val="12"/>
        </w:numPr>
        <w:spacing w:line="276" w:lineRule="auto"/>
        <w:ind w:right="-15"/>
        <w:jc w:val="both"/>
        <w:rPr>
          <w:color w:val="000000"/>
        </w:rPr>
      </w:pPr>
      <w:r>
        <w:rPr>
          <w:color w:val="000000"/>
        </w:rPr>
        <w:t>contenha vício insanável ou ilegalidade;</w:t>
      </w:r>
    </w:p>
    <w:p>
      <w:pPr>
        <w:pStyle w:val="4"/>
        <w:numPr>
          <w:ilvl w:val="2"/>
          <w:numId w:val="12"/>
        </w:numPr>
        <w:spacing w:line="276" w:lineRule="auto"/>
        <w:ind w:right="-15"/>
        <w:jc w:val="both"/>
        <w:rPr>
          <w:color w:val="000000"/>
        </w:rPr>
      </w:pPr>
      <w:r>
        <w:rPr>
          <w:color w:val="000000"/>
        </w:rPr>
        <w:t>não apresente as especificações técnicas exigidas pelo Termo de Referência;</w:t>
      </w:r>
    </w:p>
    <w:p>
      <w:pPr>
        <w:pStyle w:val="4"/>
        <w:numPr>
          <w:ilvl w:val="2"/>
          <w:numId w:val="12"/>
        </w:numPr>
        <w:spacing w:line="276" w:lineRule="auto"/>
        <w:ind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pPr>
        <w:pStyle w:val="4"/>
        <w:numPr>
          <w:ilvl w:val="3"/>
          <w:numId w:val="12"/>
        </w:numPr>
        <w:spacing w:line="276" w:lineRule="auto"/>
        <w:ind w:right="-15"/>
        <w:jc w:val="both"/>
      </w:pPr>
      <w:r>
        <w:rPr>
          <w:color w:val="000000"/>
        </w:rPr>
        <w:t>Quando o licitante não conseguir comprovar que possui ou possuirá recursos suficientes para executar a contento o objeto, será considerada inexequível a proposta de preços ou menor lance que:</w:t>
      </w:r>
    </w:p>
    <w:p>
      <w:pPr>
        <w:pStyle w:val="4"/>
        <w:numPr>
          <w:ilvl w:val="4"/>
          <w:numId w:val="12"/>
        </w:numPr>
        <w:spacing w:line="276" w:lineRule="auto"/>
        <w:jc w:val="both"/>
        <w:rPr>
          <w:color w:val="000000"/>
        </w:rPr>
      </w:pPr>
      <w:r>
        <w:rPr>
          <w:color w:val="000000"/>
        </w:rP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pStyle w:val="4"/>
        <w:numPr>
          <w:ilvl w:val="4"/>
          <w:numId w:val="12"/>
        </w:numPr>
        <w:spacing w:line="276" w:lineRule="auto"/>
        <w:ind w:hanging="1079"/>
        <w:jc w:val="both"/>
        <w:rPr>
          <w:color w:val="000000"/>
        </w:rPr>
      </w:pPr>
      <w:r>
        <w:rPr>
          <w:color w:val="000000"/>
        </w:rPr>
        <w:t>apresentar um ou mais valores da planilha de custo que sejam inferiores àqueles fixados em instrumentos de caráter normativo obrigatório, tais como leis, medidas provisórias e convenções coletivas de trabalho vigentes.</w:t>
      </w:r>
    </w:p>
    <w:p>
      <w:pPr>
        <w:pStyle w:val="4"/>
        <w:numPr>
          <w:ilvl w:val="3"/>
          <w:numId w:val="12"/>
        </w:numPr>
        <w:spacing w:line="276" w:lineRule="auto"/>
        <w:ind w:right="-15"/>
        <w:jc w:val="both"/>
      </w:pPr>
      <w:r>
        <w:rPr>
          <w:color w:val="000000"/>
        </w:rPr>
        <w:t>A fim de assegurar o tratamento isonômico entre as licitantes, bem como para a contagem da anualidade prevista no art. 3º, §1º da Lei n. 10.192/2001, informa-se que foram utilizadas as seguintes convenções coletivas de trabalho no cálculo do valor estimado pela Administração.</w:t>
      </w:r>
    </w:p>
    <w:p>
      <w:pPr>
        <w:pStyle w:val="4"/>
        <w:numPr>
          <w:ilvl w:val="4"/>
          <w:numId w:val="12"/>
        </w:numPr>
        <w:spacing w:line="276" w:lineRule="auto"/>
        <w:jc w:val="both"/>
        <w:rPr>
          <w:b/>
        </w:rPr>
      </w:pPr>
      <w:r>
        <w:rPr>
          <w:b/>
        </w:rPr>
        <w:t xml:space="preserve">CCT </w:t>
      </w:r>
      <w:r>
        <w:rPr>
          <w:rFonts w:hint="default"/>
          <w:b/>
          <w:lang w:val="pt-BR"/>
        </w:rPr>
        <w:t>2021/2022</w:t>
      </w:r>
      <w:r>
        <w:rPr>
          <w:b/>
        </w:rPr>
        <w:t xml:space="preserve"> - </w:t>
      </w:r>
      <w:r>
        <w:rPr>
          <w:rFonts w:hint="default"/>
          <w:b/>
          <w:lang w:val="pt-BR"/>
        </w:rPr>
        <w:t>PA0000672021.</w:t>
      </w:r>
    </w:p>
    <w:p>
      <w:pPr>
        <w:pStyle w:val="4"/>
        <w:numPr>
          <w:ilvl w:val="4"/>
          <w:numId w:val="12"/>
        </w:numPr>
        <w:spacing w:after="120" w:line="276" w:lineRule="auto"/>
        <w:jc w:val="both"/>
      </w:pPr>
      <w:r>
        <w:t>O(s) sindicato(s) indicado(s) nos subitens acima não são de utilização obrigatória pelos licitantes (Acórdão TCU nº 369/2012), mas sempre se exigirá o cumprimento das convenções coletivas adotadas por cada licitante/contratante.</w:t>
      </w:r>
    </w:p>
    <w:p>
      <w:pPr>
        <w:pStyle w:val="4"/>
        <w:numPr>
          <w:ilvl w:val="1"/>
          <w:numId w:val="12"/>
        </w:numPr>
        <w:spacing w:before="120" w:after="120" w:line="276" w:lineRule="auto"/>
        <w:ind w:left="1036" w:right="-15" w:hanging="540"/>
        <w:jc w:val="both"/>
        <w:rPr>
          <w:color w:val="000000"/>
        </w:rPr>
      </w:pPr>
      <w:r>
        <w:rPr>
          <w:color w:val="000000"/>
        </w:rPr>
        <w:t>É vedado à proponente incluir na Planilha de Custos e Formação de Preços:</w:t>
      </w:r>
    </w:p>
    <w:p>
      <w:pPr>
        <w:pStyle w:val="4"/>
        <w:numPr>
          <w:ilvl w:val="2"/>
          <w:numId w:val="13"/>
        </w:numPr>
        <w:tabs>
          <w:tab w:val="left" w:pos="1560"/>
        </w:tabs>
        <w:spacing w:before="120" w:line="276" w:lineRule="auto"/>
        <w:jc w:val="both"/>
        <w:rPr>
          <w:color w:val="000000"/>
        </w:rPr>
      </w:pPr>
      <w:r>
        <w:rPr>
          <w:color w:val="000000"/>
        </w:rPr>
        <w:t>item relativo a despesas decorrentes de disposições contidas em Acordos, Convenções ou Dissídios Coletivos de Trabalho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 (art. 9º, parágrafo único, incisos I a III, do Decreto n.º 9.507/2018, e art. 6º da IN SEGES/MP n.º 5, de 2017);</w:t>
      </w:r>
    </w:p>
    <w:p>
      <w:pPr>
        <w:pStyle w:val="4"/>
        <w:numPr>
          <w:ilvl w:val="2"/>
          <w:numId w:val="13"/>
        </w:numPr>
        <w:tabs>
          <w:tab w:val="left" w:pos="1560"/>
        </w:tabs>
        <w:spacing w:line="276" w:lineRule="auto"/>
        <w:jc w:val="both"/>
        <w:rPr>
          <w:color w:val="000000"/>
        </w:rPr>
      </w:pPr>
      <w:r>
        <w:rPr>
          <w:color w:val="000000"/>
        </w:rPr>
        <w:t>item relativo a despesas decorrentes de disposições contidas em Acordos, Convenções ou Dissídios Coletivos de Trabalho que tratem de obrigações e direitos que somente se aplicam aos contratos com a Administração Pública (art. 6º, parágrafo único, da IN SEGES/MP n.º 5/2017);</w:t>
      </w:r>
    </w:p>
    <w:p>
      <w:pPr>
        <w:pStyle w:val="4"/>
        <w:numPr>
          <w:ilvl w:val="2"/>
          <w:numId w:val="13"/>
        </w:numPr>
        <w:tabs>
          <w:tab w:val="left" w:pos="1560"/>
        </w:tabs>
        <w:spacing w:line="276" w:lineRule="auto"/>
        <w:jc w:val="both"/>
        <w:rPr>
          <w:color w:val="000000"/>
        </w:rPr>
      </w:pPr>
      <w:r>
        <w:rPr>
          <w:color w:val="000000"/>
        </w:rPr>
        <w:t>rubricas que prevejam o custeio de despesas com treinamento, reciclagem e capacitação ou congêneres, pois tais parcelas já são cobertas pelas despesas administrativas (Acórdão TCU nº 2.746/2015 - Plenário);</w:t>
      </w:r>
    </w:p>
    <w:p>
      <w:pPr>
        <w:pStyle w:val="4"/>
        <w:numPr>
          <w:ilvl w:val="2"/>
          <w:numId w:val="13"/>
        </w:numPr>
        <w:tabs>
          <w:tab w:val="left" w:pos="1560"/>
        </w:tabs>
        <w:spacing w:line="276" w:lineRule="auto"/>
        <w:jc w:val="both"/>
        <w:rPr>
          <w:color w:val="000000"/>
        </w:rPr>
      </w:pPr>
      <w:r>
        <w:rPr>
          <w:color w:val="000000"/>
        </w:rPr>
        <w:t>rubrica denominada “reserva técnica”, exceto se houver justificativa, na proposta, que indique, claramente e por meio de memória de cálculo, o que está sendo custeado, de modo a haver a comprovação da não cobertura do valor, direta ou indiretamente, por outra rubrica da planilha (Acórdãos TCU nº 2.746/2015 – Plenário, nº 64/2010 - 2ª Câmara e nº 953/2016 - Plenário);</w:t>
      </w:r>
    </w:p>
    <w:p>
      <w:pPr>
        <w:pStyle w:val="4"/>
        <w:numPr>
          <w:ilvl w:val="2"/>
          <w:numId w:val="13"/>
        </w:numPr>
        <w:tabs>
          <w:tab w:val="left" w:pos="1560"/>
        </w:tabs>
        <w:spacing w:line="276" w:lineRule="auto"/>
        <w:jc w:val="both"/>
        <w:rPr>
          <w:color w:val="000000"/>
        </w:rPr>
      </w:pPr>
      <w:r>
        <w:rPr>
          <w:color w:val="000000"/>
        </w:rPr>
        <w:t>rubrica para pagamento do Imposto de Renda Pessoa Jurídica - IRPJ e da Contribuição Social Sobre o Lucro Líquido – CSLL (Súmula TCU nº 254/2010);</w:t>
      </w:r>
    </w:p>
    <w:p>
      <w:pPr>
        <w:pStyle w:val="4"/>
        <w:numPr>
          <w:ilvl w:val="2"/>
          <w:numId w:val="13"/>
        </w:numPr>
        <w:tabs>
          <w:tab w:val="left" w:pos="1560"/>
        </w:tabs>
        <w:spacing w:after="120" w:line="276" w:lineRule="auto"/>
        <w:jc w:val="both"/>
        <w:rPr>
          <w:color w:val="000000"/>
        </w:rPr>
      </w:pPr>
      <w:r>
        <w:rPr>
          <w:color w:val="000000"/>
        </w:rPr>
        <w:t>rubrica denominada “verba” ou “verba provisional”, pois o item não está vinculado a qualquer contraprestação mensurável (Acórdãos TCU nº 1.949/2007 – Plenário e nº 6.439/2011 – 1ª Câmara).</w:t>
      </w:r>
    </w:p>
    <w:p>
      <w:pPr>
        <w:pStyle w:val="4"/>
        <w:numPr>
          <w:ilvl w:val="1"/>
          <w:numId w:val="13"/>
        </w:numPr>
        <w:spacing w:before="120" w:after="120" w:line="276" w:lineRule="auto"/>
        <w:ind w:left="1036" w:right="-15" w:hanging="540"/>
        <w:jc w:val="both"/>
        <w:rPr>
          <w:color w:val="000000"/>
        </w:rPr>
      </w:pPr>
      <w:r>
        <w:rPr>
          <w:color w:val="000000"/>
        </w:rPr>
        <w:t xml:space="preserve">A inclusão na proposta de item de custo vedado não acarretará a desclassificação do licitante, devendo o pregoeiro determinar que os respectivos custos sejam excluídos da Planilha, adotando, se for o caso, as providências do art. 47, </w:t>
      </w:r>
      <w:r>
        <w:rPr>
          <w:i/>
          <w:color w:val="000000"/>
        </w:rPr>
        <w:t>caput</w:t>
      </w:r>
      <w:r>
        <w:rPr>
          <w:color w:val="000000"/>
        </w:rPr>
        <w:t xml:space="preserve">, do Decreto n.º 10.024, de 2019. </w:t>
      </w:r>
    </w:p>
    <w:p>
      <w:pPr>
        <w:pStyle w:val="4"/>
        <w:numPr>
          <w:ilvl w:val="2"/>
          <w:numId w:val="13"/>
        </w:numPr>
        <w:tabs>
          <w:tab w:val="left" w:pos="1560"/>
        </w:tabs>
        <w:spacing w:after="120" w:line="276" w:lineRule="auto"/>
        <w:jc w:val="both"/>
      </w:pPr>
      <w:r>
        <w:rPr>
          <w:color w:val="000000"/>
        </w:rPr>
        <w:t>Na hipótese de contratação com a previsão de itens de custos vedados, tais valores serão glosados e os itens serão excluídos da Planilha, garantidas ampla defesa e contraditório.</w:t>
      </w:r>
    </w:p>
    <w:p>
      <w:pPr>
        <w:pStyle w:val="4"/>
        <w:numPr>
          <w:ilvl w:val="1"/>
          <w:numId w:val="14"/>
        </w:numPr>
        <w:spacing w:before="120" w:after="120" w:line="276" w:lineRule="auto"/>
        <w:ind w:right="-15"/>
        <w:jc w:val="both"/>
      </w:pPr>
      <w:r>
        <w:rPr>
          <w:color w:val="000000"/>
        </w:rPr>
        <w:t xml:space="preserve">A inexequibilidade dos valores referentes a itens isolados da Planilha de Custos e Formação de Preços não caracteriza motivo suficiente para a desclassificação da proposta, desde que não contrariem exigências legais. </w:t>
      </w:r>
    </w:p>
    <w:p>
      <w:pPr>
        <w:pStyle w:val="4"/>
        <w:numPr>
          <w:ilvl w:val="1"/>
          <w:numId w:val="14"/>
        </w:numPr>
        <w:spacing w:before="120" w:after="120" w:line="276" w:lineRule="auto"/>
        <w:ind w:right="-15"/>
        <w:jc w:val="both"/>
      </w:pPr>
      <w:r>
        <w:rPr>
          <w:color w:val="00000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pStyle w:val="4"/>
        <w:numPr>
          <w:ilvl w:val="1"/>
          <w:numId w:val="14"/>
        </w:numPr>
        <w:spacing w:before="120" w:after="120" w:line="276" w:lineRule="auto"/>
        <w:ind w:right="-15"/>
        <w:jc w:val="both"/>
      </w:pPr>
      <w:r>
        <w:rPr>
          <w:color w:val="00000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pPr>
        <w:pStyle w:val="4"/>
        <w:numPr>
          <w:ilvl w:val="2"/>
          <w:numId w:val="15"/>
        </w:numPr>
        <w:spacing w:before="120" w:after="120" w:line="276" w:lineRule="auto"/>
        <w:ind w:right="-15"/>
        <w:jc w:val="both"/>
      </w:pPr>
      <w:r>
        <w:t>As propostas com preços próximos ou inferiores ao mínimo estabelecido pelo Ministério da Economia, disponibilizado em meio eletrônico, no Portal de Compras do Governo Federal (</w:t>
      </w:r>
      <w:r>
        <w:rPr>
          <w:u w:val="single"/>
        </w:rPr>
        <w:t>http://www.comprasgovernamentais.gov.br</w:t>
      </w:r>
      <w:r>
        <w:t>), deverão comprovar sua exequibilidade, de forma inequívoca, sob pena de desclassificação, sem prejuízo do disposto nos itens 9.2 a 9.6 do Anexo VII-A, da Instrução Normativa/SEGES/MP n.º 5/2017 (Portaria SEGES/MP n. 213, de 25 de setembro de 2017).</w:t>
      </w:r>
    </w:p>
    <w:p>
      <w:pPr>
        <w:pStyle w:val="4"/>
        <w:numPr>
          <w:ilvl w:val="1"/>
          <w:numId w:val="14"/>
        </w:numPr>
        <w:spacing w:before="120" w:after="120" w:line="276" w:lineRule="auto"/>
        <w:ind w:left="992" w:right="-15" w:hanging="465"/>
        <w:jc w:val="both"/>
      </w:pPr>
      <w:r>
        <w:t>Qualquer interessado poderá requerer que se realizem diligências para aferir a exequibilidade e a legalidade das propostas, devendo apresentar as provas ou os indícios que fundamentam a suspeita.</w:t>
      </w:r>
    </w:p>
    <w:p>
      <w:pPr>
        <w:pStyle w:val="4"/>
        <w:spacing w:before="120" w:after="120" w:line="276" w:lineRule="auto"/>
        <w:ind w:left="1842" w:right="-15" w:hanging="992"/>
        <w:jc w:val="both"/>
      </w:pPr>
      <w:r>
        <w:t xml:space="preserve">  8.10.1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pPr>
        <w:pStyle w:val="4"/>
        <w:numPr>
          <w:ilvl w:val="1"/>
          <w:numId w:val="14"/>
        </w:numPr>
        <w:spacing w:before="120" w:after="120" w:line="276" w:lineRule="auto"/>
        <w:ind w:left="992" w:right="-15" w:hanging="465"/>
        <w:jc w:val="both"/>
      </w:pPr>
      <w:r>
        <w:rPr>
          <w:color w:val="000000"/>
        </w:rPr>
        <w:t>O Pregoeiro poderá convocar o licitante para enviar documento digital complementar, por meio de funcionalidade disponível no sistema, no prazo de 2 (duas) horas,</w:t>
      </w:r>
      <w:r>
        <w:rPr>
          <w:color w:val="FF0000"/>
        </w:rPr>
        <w:t xml:space="preserve"> </w:t>
      </w:r>
      <w:r>
        <w:rPr>
          <w:color w:val="000000"/>
        </w:rPr>
        <w:t>sob pena de não aceitação da proposta.</w:t>
      </w:r>
    </w:p>
    <w:p>
      <w:pPr>
        <w:pStyle w:val="4"/>
        <w:numPr>
          <w:ilvl w:val="2"/>
          <w:numId w:val="16"/>
        </w:numPr>
        <w:spacing w:before="120" w:after="120" w:line="276" w:lineRule="auto"/>
        <w:ind w:right="-15"/>
        <w:jc w:val="both"/>
      </w:pPr>
      <w:r>
        <w:rPr>
          <w:color w:val="000000"/>
        </w:rPr>
        <w:t xml:space="preserve">É facultado ao pregoeiro prorrogar o prazo estabelecido a partir de solicitação fundamentada feita no chat </w:t>
      </w:r>
      <w:r>
        <w:rPr>
          <w:rFonts w:ascii="Arial" w:hAnsi="Arial" w:eastAsia="SimSun" w:cs="Arial"/>
          <w:b/>
          <w:bCs/>
          <w:i w:val="0"/>
          <w:iCs w:val="0"/>
          <w:color w:val="000000"/>
          <w:sz w:val="20"/>
          <w:szCs w:val="20"/>
          <w:u w:val="none"/>
          <w:shd w:val="clear" w:fill="FFFFFF"/>
          <w:vertAlign w:val="baseline"/>
        </w:rPr>
        <w:t xml:space="preserve">ou também por meio do e-mail </w:t>
      </w:r>
      <w:r>
        <w:rPr>
          <w:rFonts w:ascii="SimSun" w:hAnsi="SimSun" w:eastAsia="SimSun" w:cs="SimSun"/>
          <w:b w:val="0"/>
          <w:bCs w:val="0"/>
          <w:sz w:val="24"/>
          <w:szCs w:val="24"/>
          <w:u w:val="none"/>
        </w:rPr>
        <w:fldChar w:fldCharType="begin"/>
      </w:r>
      <w:r>
        <w:rPr>
          <w:rFonts w:ascii="SimSun" w:hAnsi="SimSun" w:eastAsia="SimSun" w:cs="SimSun"/>
          <w:b w:val="0"/>
          <w:bCs w:val="0"/>
          <w:sz w:val="24"/>
          <w:szCs w:val="24"/>
          <w:u w:val="none"/>
        </w:rPr>
        <w:instrText xml:space="preserve"> HYPERLINK "mailto:cpl@id.uff.br" </w:instrText>
      </w:r>
      <w:r>
        <w:rPr>
          <w:rFonts w:ascii="SimSun" w:hAnsi="SimSun" w:eastAsia="SimSun" w:cs="SimSun"/>
          <w:b w:val="0"/>
          <w:bCs w:val="0"/>
          <w:sz w:val="24"/>
          <w:szCs w:val="24"/>
          <w:u w:val="none"/>
        </w:rPr>
        <w:fldChar w:fldCharType="separate"/>
      </w:r>
      <w:r>
        <w:rPr>
          <w:rStyle w:val="15"/>
          <w:rFonts w:hint="default" w:ascii="Arial" w:hAnsi="Arial" w:eastAsia="SimSun" w:cs="Arial"/>
          <w:b/>
          <w:bCs/>
          <w:i w:val="0"/>
          <w:iCs w:val="0"/>
          <w:color w:val="1155CC"/>
          <w:sz w:val="20"/>
          <w:szCs w:val="20"/>
          <w:u w:val="single"/>
          <w:shd w:val="clear" w:fill="FFFFFF"/>
          <w:vertAlign w:val="baseline"/>
        </w:rPr>
        <w:t>cpl@id.uff.b</w:t>
      </w:r>
      <w:r>
        <w:rPr>
          <w:rStyle w:val="15"/>
          <w:rFonts w:hint="default" w:ascii="Arial" w:hAnsi="Arial" w:eastAsia="SimSun" w:cs="Arial"/>
          <w:i w:val="0"/>
          <w:iCs w:val="0"/>
          <w:color w:val="1155CC"/>
          <w:sz w:val="20"/>
          <w:szCs w:val="20"/>
          <w:u w:val="single"/>
          <w:shd w:val="clear" w:fill="FFFFFF"/>
          <w:vertAlign w:val="baseline"/>
        </w:rPr>
        <w:t>r</w:t>
      </w:r>
      <w:r>
        <w:rPr>
          <w:rFonts w:ascii="SimSun" w:hAnsi="SimSun" w:eastAsia="SimSun" w:cs="SimSun"/>
          <w:b w:val="0"/>
          <w:bCs w:val="0"/>
          <w:sz w:val="24"/>
          <w:szCs w:val="24"/>
          <w:u w:val="none"/>
        </w:rPr>
        <w:fldChar w:fldCharType="end"/>
      </w:r>
      <w:r>
        <w:rPr>
          <w:rFonts w:hint="default" w:ascii="Arial" w:hAnsi="Arial" w:eastAsia="SimSun" w:cs="Arial"/>
          <w:i w:val="0"/>
          <w:iCs w:val="0"/>
          <w:color w:val="000000"/>
          <w:sz w:val="20"/>
          <w:szCs w:val="20"/>
          <w:u w:val="none"/>
          <w:shd w:val="clear" w:fill="FFFFFF"/>
          <w:vertAlign w:val="baseline"/>
        </w:rPr>
        <w:t xml:space="preserve"> pelo licitante</w:t>
      </w:r>
      <w:r>
        <w:rPr>
          <w:rFonts w:hint="default" w:eastAsia="SimSun" w:cs="Arial"/>
          <w:i w:val="0"/>
          <w:iCs w:val="0"/>
          <w:color w:val="000000"/>
          <w:sz w:val="20"/>
          <w:szCs w:val="20"/>
          <w:u w:val="none"/>
          <w:shd w:val="clear" w:fill="FFFFFF"/>
          <w:vertAlign w:val="baseline"/>
          <w:lang w:val="pt-BR"/>
        </w:rPr>
        <w:t>,</w:t>
      </w:r>
      <w:r>
        <w:rPr>
          <w:color w:val="000000"/>
        </w:rPr>
        <w:t xml:space="preserve"> antes de findo o prazo.</w:t>
      </w:r>
    </w:p>
    <w:p>
      <w:pPr>
        <w:pStyle w:val="4"/>
        <w:numPr>
          <w:ilvl w:val="2"/>
          <w:numId w:val="16"/>
        </w:numPr>
        <w:spacing w:before="120" w:after="120" w:line="276" w:lineRule="auto"/>
        <w:ind w:right="-15"/>
        <w:jc w:val="both"/>
      </w:pPr>
      <w:r>
        <w:rPr>
          <w:color w:val="000000"/>
        </w:rPr>
        <w:t>Dentre os documentos passíveis de solicitação pelo Pregoeiro, destacam-se as planilhas de custo readequadas com o valor final ofertado.</w:t>
      </w:r>
    </w:p>
    <w:p>
      <w:pPr>
        <w:pStyle w:val="4"/>
        <w:numPr>
          <w:ilvl w:val="1"/>
          <w:numId w:val="16"/>
        </w:numPr>
        <w:spacing w:before="120" w:after="120" w:line="276" w:lineRule="auto"/>
        <w:ind w:right="-15"/>
        <w:jc w:val="both"/>
        <w:rPr>
          <w:color w:val="000000"/>
        </w:rPr>
      </w:pPr>
      <w:r>
        <w:rPr>
          <w:color w:val="000000"/>
        </w:rPr>
        <w:t>Todos os dados informados pelo licitante em sua planilha deverão refletir com fidelidade os custos especificados e a margem de lucro pretendida.</w:t>
      </w:r>
    </w:p>
    <w:p>
      <w:pPr>
        <w:pStyle w:val="4"/>
        <w:numPr>
          <w:ilvl w:val="1"/>
          <w:numId w:val="16"/>
        </w:numPr>
        <w:spacing w:before="120" w:after="120" w:line="276" w:lineRule="auto"/>
        <w:ind w:right="-15"/>
        <w:jc w:val="both"/>
        <w:rPr>
          <w:color w:val="000000"/>
        </w:rPr>
      </w:pPr>
      <w:r>
        <w:rPr>
          <w:color w:val="000000"/>
        </w:rPr>
        <w:t>O Pregoeiro analisará a compatibilidade dos preços unitários apresentados na Planilha de Custos e Formação de Preços com aqueles praticados no mercado em relação aos insumos e também quanto aos salários das categorias envolvidas na contratação;</w:t>
      </w:r>
    </w:p>
    <w:p>
      <w:pPr>
        <w:pStyle w:val="4"/>
        <w:numPr>
          <w:ilvl w:val="1"/>
          <w:numId w:val="16"/>
        </w:numPr>
        <w:spacing w:before="120" w:after="120" w:line="276" w:lineRule="auto"/>
        <w:ind w:right="-15"/>
        <w:jc w:val="both"/>
        <w:rPr>
          <w:color w:val="000000"/>
        </w:rPr>
      </w:pPr>
      <w:r>
        <w:rPr>
          <w:color w:val="000000"/>
        </w:rPr>
        <w:t xml:space="preserve">Erros no preenchimento da planilha não constituem motivo para a desclassificação da proposta. A planilha poderá ser ajustada pelo licitante, no prazo indicado pelo Pregoeiro, desde que não haja majoração do preço. </w:t>
      </w:r>
    </w:p>
    <w:p>
      <w:pPr>
        <w:pStyle w:val="4"/>
        <w:numPr>
          <w:ilvl w:val="2"/>
          <w:numId w:val="16"/>
        </w:numPr>
        <w:spacing w:before="120" w:after="120" w:line="276" w:lineRule="auto"/>
        <w:ind w:right="-15"/>
        <w:jc w:val="both"/>
      </w:pPr>
      <w:r>
        <w:rPr>
          <w:color w:val="000000"/>
        </w:rPr>
        <w:t>O ajuste de que trata este dispositivo se limita a sanar erros ou falhas que não alterem a substância das propostas;</w:t>
      </w:r>
    </w:p>
    <w:p>
      <w:pPr>
        <w:pStyle w:val="4"/>
        <w:numPr>
          <w:ilvl w:val="2"/>
          <w:numId w:val="16"/>
        </w:numPr>
        <w:spacing w:before="120" w:after="120" w:line="276" w:lineRule="auto"/>
        <w:ind w:right="-15"/>
        <w:jc w:val="both"/>
      </w:pPr>
      <w:r>
        <w:rPr>
          <w:color w:val="000000"/>
        </w:rPr>
        <w:t>Considera-se erro no preenchimento da planilha passível de correção a indicação de recolhimento de impostos e contribuições na forma do Simples Nacional, quando não cabível esse regime.</w:t>
      </w:r>
    </w:p>
    <w:p>
      <w:pPr>
        <w:pStyle w:val="4"/>
        <w:numPr>
          <w:ilvl w:val="1"/>
          <w:numId w:val="16"/>
        </w:numPr>
        <w:spacing w:before="120" w:after="120" w:line="276" w:lineRule="auto"/>
        <w:ind w:right="-15"/>
        <w:jc w:val="both"/>
        <w:rPr>
          <w:color w:val="000000"/>
        </w:rPr>
      </w:pPr>
      <w:r>
        <w:rPr>
          <w:color w:val="000000"/>
        </w:rPr>
        <w:t>Para fins de análise da proposta quanto ao cumprimento das especificações do objeto, poderá ser colhida a manifestação escrita do setor requisitante do serviço ou da área especializada no objeto.</w:t>
      </w:r>
    </w:p>
    <w:p>
      <w:pPr>
        <w:pStyle w:val="4"/>
        <w:numPr>
          <w:ilvl w:val="1"/>
          <w:numId w:val="16"/>
        </w:numPr>
        <w:spacing w:before="120" w:after="120" w:line="276" w:lineRule="auto"/>
        <w:ind w:right="-15"/>
        <w:jc w:val="both"/>
        <w:rPr>
          <w:color w:val="000000"/>
        </w:rPr>
      </w:pPr>
      <w:r>
        <w:rPr>
          <w:color w:val="000000"/>
        </w:rPr>
        <w:t>Se a proposta ou lance vencedor for desclassificado, o Pregoeiro examinará a proposta ou lance subsequente, e, assim sucessivamente, na ordem de classificação.</w:t>
      </w:r>
    </w:p>
    <w:p>
      <w:pPr>
        <w:pStyle w:val="4"/>
        <w:numPr>
          <w:ilvl w:val="1"/>
          <w:numId w:val="16"/>
        </w:numPr>
        <w:spacing w:before="120" w:after="120" w:line="276" w:lineRule="auto"/>
        <w:ind w:right="-15"/>
        <w:jc w:val="both"/>
        <w:rPr>
          <w:color w:val="000000"/>
        </w:rPr>
      </w:pPr>
      <w:r>
        <w:rPr>
          <w:color w:val="000000"/>
        </w:rPr>
        <w:t>Havendo necessidade, o Pregoeiro suspenderá a sessão, informando no “chat” a nova data e horário para a continuidade da mesma.</w:t>
      </w:r>
    </w:p>
    <w:p>
      <w:pPr>
        <w:pStyle w:val="4"/>
        <w:numPr>
          <w:ilvl w:val="1"/>
          <w:numId w:val="16"/>
        </w:numPr>
        <w:spacing w:before="120" w:after="120" w:line="276" w:lineRule="auto"/>
        <w:ind w:right="-15"/>
        <w:jc w:val="both"/>
        <w:rPr>
          <w:color w:val="000000"/>
        </w:rPr>
      </w:pPr>
      <w:r>
        <w:rPr>
          <w:color w:val="00000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pStyle w:val="4"/>
        <w:numPr>
          <w:ilvl w:val="1"/>
          <w:numId w:val="16"/>
        </w:numPr>
        <w:spacing w:before="120" w:after="120" w:line="276" w:lineRule="auto"/>
        <w:ind w:right="-15"/>
        <w:jc w:val="both"/>
        <w:rPr>
          <w:color w:val="000000"/>
        </w:rPr>
      </w:pPr>
      <w:r>
        <w:rPr>
          <w:color w:val="000000"/>
        </w:rPr>
        <w:t>Encerrada a análise quanto à aceitação da proposta, o pregoeiro verificará a habilitação do licitante, observado o disposto neste Edital. </w:t>
      </w:r>
    </w:p>
    <w:p>
      <w:pPr>
        <w:pStyle w:val="4"/>
        <w:keepNext/>
        <w:keepLines/>
        <w:numPr>
          <w:ilvl w:val="0"/>
          <w:numId w:val="17"/>
        </w:numPr>
        <w:spacing w:before="480" w:after="120" w:line="276" w:lineRule="auto"/>
        <w:ind w:right="-15"/>
        <w:jc w:val="both"/>
        <w:rPr>
          <w:b/>
          <w:color w:val="000000"/>
        </w:rPr>
      </w:pPr>
      <w:r>
        <w:rPr>
          <w:b/>
          <w:color w:val="000000"/>
        </w:rPr>
        <w:t xml:space="preserve">DA HABILITAÇÃO </w:t>
      </w:r>
    </w:p>
    <w:p>
      <w:pPr>
        <w:pStyle w:val="4"/>
        <w:numPr>
          <w:ilvl w:val="1"/>
          <w:numId w:val="18"/>
        </w:numPr>
        <w:spacing w:before="120" w:line="276" w:lineRule="auto"/>
        <w:jc w:val="both"/>
        <w:rPr>
          <w:color w:val="000000"/>
        </w:rPr>
      </w:pPr>
      <w:r>
        <w:rPr>
          <w:color w:val="000000"/>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pStyle w:val="4"/>
        <w:spacing w:after="120" w:line="276" w:lineRule="auto"/>
        <w:ind w:left="1134"/>
        <w:jc w:val="both"/>
        <w:rPr>
          <w:color w:val="000000"/>
        </w:rPr>
      </w:pPr>
      <w:r>
        <w:rPr>
          <w:color w:val="000000"/>
        </w:rPr>
        <w:t>a) SICAF;</w:t>
      </w:r>
    </w:p>
    <w:p>
      <w:pPr>
        <w:pStyle w:val="4"/>
        <w:spacing w:before="120" w:after="120" w:line="276" w:lineRule="auto"/>
        <w:ind w:left="1134" w:hanging="1134"/>
        <w:jc w:val="both"/>
      </w:pPr>
      <w:r>
        <w:t xml:space="preserve">                    b) Cadastro Nacional de Empresas Inidôneas e Suspensas - CEIS, mantido pela   Controladoria-Geral da União (</w:t>
      </w:r>
      <w:r>
        <w:fldChar w:fldCharType="begin"/>
      </w:r>
      <w:r>
        <w:instrText xml:space="preserve"> HYPERLINK "http://www.portaldatransparencia.gov.br/ceis" \h </w:instrText>
      </w:r>
      <w:r>
        <w:fldChar w:fldCharType="separate"/>
      </w:r>
      <w:r>
        <w:rPr>
          <w:rStyle w:val="176"/>
        </w:rPr>
        <w:t>www.portaldatransparencia.gov.br/ceis</w:t>
      </w:r>
      <w:r>
        <w:rPr>
          <w:rStyle w:val="176"/>
        </w:rPr>
        <w:fldChar w:fldCharType="end"/>
      </w:r>
      <w:r>
        <w:t>);</w:t>
      </w:r>
    </w:p>
    <w:p>
      <w:pPr>
        <w:pStyle w:val="4"/>
        <w:spacing w:before="120" w:after="120" w:line="276" w:lineRule="auto"/>
        <w:ind w:left="1134" w:hanging="1134"/>
        <w:jc w:val="both"/>
      </w:pPr>
      <w:r>
        <w:t xml:space="preserve">                    c) Cadastro Nacional de Condenações Cíveis por Atos de Improbidade Administrativa,                     mantido pelo Conselho Nacional de justiça(</w:t>
      </w:r>
      <w:r>
        <w:fldChar w:fldCharType="begin"/>
      </w:r>
      <w:r>
        <w:instrText xml:space="preserve"> HYPERLINK "http://www.cnj.jus.br/improbidade_adm/consultar_requerido.php" \h </w:instrText>
      </w:r>
      <w:r>
        <w:fldChar w:fldCharType="separate"/>
      </w:r>
      <w:r>
        <w:rPr>
          <w:rStyle w:val="176"/>
        </w:rPr>
        <w:t>www.cnj.jus.br/improbidade_adm/consultar_requerido.php</w:t>
      </w:r>
      <w:r>
        <w:rPr>
          <w:rStyle w:val="176"/>
        </w:rPr>
        <w:fldChar w:fldCharType="end"/>
      </w:r>
      <w:r>
        <w:t>);</w:t>
      </w:r>
    </w:p>
    <w:p>
      <w:pPr>
        <w:pStyle w:val="4"/>
        <w:ind w:left="1134" w:hanging="1134"/>
      </w:pPr>
      <w:r>
        <w:t xml:space="preserve">                    d) Lista de Inidôneos e o Cadastro Integrado de Condenações por Ilícitos Administrativos            - CADICON, mantidos pelo Tribunal de Contas da União - TCU;</w:t>
      </w:r>
    </w:p>
    <w:p>
      <w:pPr>
        <w:pStyle w:val="4"/>
        <w:numPr>
          <w:ilvl w:val="2"/>
          <w:numId w:val="18"/>
        </w:numPr>
        <w:spacing w:before="120" w:line="276" w:lineRule="auto"/>
        <w:ind w:left="1134" w:firstLine="0"/>
        <w:jc w:val="both"/>
      </w:pPr>
      <w:r>
        <w:rPr>
          <w:color w:val="000000"/>
        </w:rPr>
        <w:t>Para a consulta de licitantes pessoa jurídica poderá haver a substituição ds consultas das alíneas “b”, “c” e “d” acima pela Consulta Consolidada de Pessoa Jurídica do TCU (</w:t>
      </w:r>
      <w:r>
        <w:fldChar w:fldCharType="begin"/>
      </w:r>
      <w:r>
        <w:instrText xml:space="preserve"> HYPERLINK "https://certidoesapf.apps.tcu.gov.br/" \h </w:instrText>
      </w:r>
      <w:r>
        <w:fldChar w:fldCharType="separate"/>
      </w:r>
      <w:r>
        <w:rPr>
          <w:rStyle w:val="177"/>
        </w:rPr>
        <w:t>https://certidoesapf.apps.tcu.gov.br/</w:t>
      </w:r>
      <w:r>
        <w:rPr>
          <w:rStyle w:val="177"/>
        </w:rPr>
        <w:fldChar w:fldCharType="end"/>
      </w:r>
      <w:r>
        <w:rPr>
          <w:color w:val="000000"/>
        </w:rPr>
        <w:t>).</w:t>
      </w:r>
    </w:p>
    <w:p>
      <w:pPr>
        <w:pStyle w:val="4"/>
        <w:numPr>
          <w:ilvl w:val="2"/>
          <w:numId w:val="18"/>
        </w:numPr>
        <w:spacing w:line="276" w:lineRule="auto"/>
        <w:ind w:left="1134" w:firstLine="0"/>
        <w:jc w:val="both"/>
      </w:pPr>
      <w:r>
        <w:rPr>
          <w:color w:val="00000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4"/>
        <w:numPr>
          <w:ilvl w:val="3"/>
          <w:numId w:val="18"/>
        </w:numPr>
        <w:spacing w:line="276" w:lineRule="auto"/>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pPr>
        <w:pStyle w:val="4"/>
        <w:numPr>
          <w:ilvl w:val="4"/>
          <w:numId w:val="18"/>
        </w:numPr>
        <w:spacing w:line="276" w:lineRule="auto"/>
        <w:jc w:val="both"/>
        <w:rPr>
          <w:color w:val="000000"/>
        </w:rPr>
      </w:pPr>
      <w:r>
        <w:rPr>
          <w:color w:val="000000"/>
        </w:rPr>
        <w:t>A tentativa de burla será verificada por meio dos vínculos societários, linhas de fornecimento similares, dentre outros.</w:t>
      </w:r>
    </w:p>
    <w:p>
      <w:pPr>
        <w:pStyle w:val="4"/>
        <w:numPr>
          <w:ilvl w:val="4"/>
          <w:numId w:val="18"/>
        </w:numPr>
        <w:spacing w:line="276" w:lineRule="auto"/>
        <w:jc w:val="both"/>
        <w:rPr>
          <w:color w:val="000000"/>
        </w:rPr>
      </w:pPr>
      <w:r>
        <w:rPr>
          <w:color w:val="000000"/>
        </w:rPr>
        <w:t>O licitante será convocado para manifestação previamente à sua desclassificação.</w:t>
      </w:r>
    </w:p>
    <w:p>
      <w:pPr>
        <w:pStyle w:val="4"/>
        <w:numPr>
          <w:ilvl w:val="2"/>
          <w:numId w:val="18"/>
        </w:numPr>
        <w:spacing w:line="276" w:lineRule="auto"/>
        <w:ind w:left="1134" w:firstLine="0"/>
        <w:jc w:val="both"/>
      </w:pPr>
      <w:r>
        <w:rPr>
          <w:color w:val="000000"/>
        </w:rPr>
        <w:t>Constatada a existência de sanção, o Pregoeiro reputará o licitante inabilitado, por falta de condição de participação.</w:t>
      </w:r>
    </w:p>
    <w:p>
      <w:pPr>
        <w:pStyle w:val="4"/>
        <w:numPr>
          <w:ilvl w:val="2"/>
          <w:numId w:val="18"/>
        </w:numPr>
        <w:spacing w:after="120" w:line="276" w:lineRule="auto"/>
        <w:ind w:left="1842" w:hanging="708"/>
        <w:jc w:val="both"/>
      </w:pPr>
      <w:r>
        <w:rPr>
          <w:color w:val="000000"/>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4"/>
        <w:numPr>
          <w:ilvl w:val="1"/>
          <w:numId w:val="18"/>
        </w:numPr>
        <w:shd w:val="clear" w:color="auto" w:fill="FFFFFF"/>
        <w:spacing w:before="120" w:after="120" w:line="276" w:lineRule="auto"/>
        <w:ind w:left="924" w:hanging="357"/>
        <w:jc w:val="both"/>
        <w:rPr>
          <w:color w:val="000000"/>
        </w:rPr>
      </w:pPr>
      <w:r>
        <w:rPr>
          <w:color w:val="00000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pPr>
        <w:pStyle w:val="4"/>
        <w:numPr>
          <w:ilvl w:val="2"/>
          <w:numId w:val="18"/>
        </w:numPr>
        <w:spacing w:before="120" w:after="120" w:line="276" w:lineRule="auto"/>
        <w:ind w:left="1854"/>
        <w:jc w:val="both"/>
      </w:pPr>
      <w: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pPr>
        <w:pStyle w:val="4"/>
        <w:numPr>
          <w:ilvl w:val="2"/>
          <w:numId w:val="18"/>
        </w:numPr>
        <w:spacing w:before="120" w:after="120" w:line="276" w:lineRule="auto"/>
        <w:ind w:left="1854"/>
        <w:jc w:val="both"/>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pPr>
        <w:pStyle w:val="4"/>
        <w:numPr>
          <w:ilvl w:val="2"/>
          <w:numId w:val="18"/>
        </w:numPr>
        <w:spacing w:before="120" w:after="120" w:line="276" w:lineRule="auto"/>
        <w:ind w:left="1854"/>
        <w:jc w:val="both"/>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pStyle w:val="4"/>
        <w:numPr>
          <w:ilvl w:val="1"/>
          <w:numId w:val="18"/>
        </w:numPr>
        <w:shd w:val="clear" w:color="auto" w:fill="FFFFFF"/>
        <w:spacing w:before="120" w:after="120" w:line="276" w:lineRule="auto"/>
        <w:jc w:val="both"/>
        <w:rPr>
          <w:rFonts w:ascii="Ecofont_Spranq_eco_Sans" w:hAnsi="Ecofont_Spranq_eco_Sans" w:eastAsia="Ecofont_Spranq_eco_Sans" w:cs="Ecofont_Spranq_eco_Sans"/>
          <w:color w:val="000000"/>
        </w:rPr>
      </w:pPr>
      <w:r>
        <w:rPr>
          <w:color w:val="000000"/>
        </w:rPr>
        <w:t>Havendo a necessidade de envio de documentos de habilitação complementares, necessários à confirmação daqueles exigidos neste Edital e já apresentados, o licitante será convocado a encaminhá-los, em formato digital, via sistema, no prazo de 2 (duas)</w:t>
      </w:r>
      <w:r>
        <w:rPr>
          <w:i/>
          <w:color w:val="000000"/>
        </w:rPr>
        <w:t xml:space="preserve"> </w:t>
      </w:r>
      <w:r>
        <w:rPr>
          <w:color w:val="000000"/>
        </w:rPr>
        <w:t>horas, sob pena de inabilitação.</w:t>
      </w:r>
    </w:p>
    <w:p>
      <w:pPr>
        <w:pStyle w:val="4"/>
        <w:numPr>
          <w:ilvl w:val="1"/>
          <w:numId w:val="18"/>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pPr>
        <w:pStyle w:val="4"/>
        <w:numPr>
          <w:ilvl w:val="1"/>
          <w:numId w:val="18"/>
        </w:numPr>
        <w:spacing w:before="120" w:after="120" w:line="276" w:lineRule="auto"/>
        <w:ind w:left="425" w:firstLine="0"/>
        <w:jc w:val="both"/>
        <w:rPr>
          <w:color w:val="000000"/>
        </w:rPr>
      </w:pPr>
      <w:r>
        <w:rPr>
          <w:color w:val="000000"/>
        </w:rPr>
        <w:t xml:space="preserve"> Não serão aceitos documentos de habilitação com indicação de CNPJ/CPF diferentes, salvo aqueles legalmente permitidos.</w:t>
      </w:r>
    </w:p>
    <w:p>
      <w:pPr>
        <w:pStyle w:val="4"/>
        <w:numPr>
          <w:ilvl w:val="1"/>
          <w:numId w:val="18"/>
        </w:numPr>
        <w:spacing w:before="120" w:after="120" w:line="276" w:lineRule="auto"/>
        <w:ind w:hanging="501"/>
        <w:jc w:val="both"/>
        <w:rPr>
          <w:color w:val="000000"/>
        </w:rPr>
      </w:pPr>
      <w:r>
        <w:rPr>
          <w:color w:val="00000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pStyle w:val="4"/>
        <w:numPr>
          <w:ilvl w:val="2"/>
          <w:numId w:val="18"/>
        </w:numPr>
        <w:spacing w:before="120" w:after="120" w:line="276" w:lineRule="auto"/>
        <w:jc w:val="both"/>
      </w:pPr>
      <w:r>
        <w:rPr>
          <w:color w:val="000000"/>
        </w:rPr>
        <w:t>Serão aceitos registros de CNPJ de licitante matriz e filial com diferenças de números de documentos pertinentes ao CND e ao CRF/FGTS, quando for comprovada a centralização do recolhimento dessas contribuições.</w:t>
      </w:r>
    </w:p>
    <w:p>
      <w:pPr>
        <w:pStyle w:val="4"/>
        <w:numPr>
          <w:ilvl w:val="1"/>
          <w:numId w:val="18"/>
        </w:numPr>
        <w:spacing w:before="120" w:after="120" w:line="276" w:lineRule="auto"/>
        <w:jc w:val="both"/>
        <w:rPr>
          <w:color w:val="000000"/>
        </w:rPr>
      </w:pPr>
      <w:r>
        <w:rPr>
          <w:color w:val="000000"/>
        </w:rPr>
        <w:t>Ressalvado o disposto no item 5.3, os licitantes deverão encaminhar, nos termos deste Edital, a documentação relacionada nos itens a seguir, para fins de habilitação:</w:t>
      </w:r>
    </w:p>
    <w:p>
      <w:pPr>
        <w:pStyle w:val="4"/>
        <w:numPr>
          <w:ilvl w:val="1"/>
          <w:numId w:val="19"/>
        </w:numPr>
        <w:spacing w:before="120" w:after="120" w:line="276" w:lineRule="auto"/>
        <w:ind w:left="785"/>
        <w:jc w:val="both"/>
        <w:rPr>
          <w:b/>
          <w:color w:val="000000"/>
        </w:rPr>
      </w:pPr>
      <w:r>
        <w:rPr>
          <w:b/>
          <w:color w:val="000000"/>
        </w:rPr>
        <w:t xml:space="preserve">Habilitação jurídica: </w:t>
      </w:r>
    </w:p>
    <w:p>
      <w:pPr>
        <w:pStyle w:val="4"/>
        <w:numPr>
          <w:ilvl w:val="2"/>
          <w:numId w:val="19"/>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pPr>
        <w:pStyle w:val="4"/>
        <w:numPr>
          <w:ilvl w:val="2"/>
          <w:numId w:val="19"/>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pPr>
        <w:pStyle w:val="4"/>
        <w:numPr>
          <w:ilvl w:val="2"/>
          <w:numId w:val="19"/>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pPr>
        <w:pStyle w:val="4"/>
        <w:numPr>
          <w:ilvl w:val="2"/>
          <w:numId w:val="19"/>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pPr>
        <w:pStyle w:val="4"/>
        <w:numPr>
          <w:ilvl w:val="2"/>
          <w:numId w:val="19"/>
        </w:numPr>
        <w:spacing w:before="120" w:line="276" w:lineRule="auto"/>
        <w:ind w:left="1134" w:firstLine="0"/>
        <w:jc w:val="both"/>
        <w:rPr>
          <w:color w:val="000000"/>
        </w:rPr>
      </w:pPr>
      <w:r>
        <w:rPr>
          <w:color w:val="000000"/>
        </w:rPr>
        <w:t>Os documentos acima deverão estar acompanhados de todas as alterações ou da consolidação respectiva.</w:t>
      </w:r>
    </w:p>
    <w:p>
      <w:pPr>
        <w:pStyle w:val="4"/>
        <w:spacing w:after="120" w:line="276" w:lineRule="auto"/>
        <w:ind w:left="1134"/>
        <w:jc w:val="both"/>
        <w:rPr>
          <w:color w:val="000000"/>
        </w:rPr>
      </w:pPr>
    </w:p>
    <w:p>
      <w:pPr>
        <w:pStyle w:val="4"/>
        <w:numPr>
          <w:ilvl w:val="1"/>
          <w:numId w:val="19"/>
        </w:numPr>
        <w:spacing w:before="120" w:after="120" w:line="276" w:lineRule="auto"/>
        <w:ind w:left="425" w:firstLine="0"/>
        <w:jc w:val="both"/>
        <w:rPr>
          <w:b/>
          <w:color w:val="000000"/>
        </w:rPr>
      </w:pPr>
      <w:r>
        <w:rPr>
          <w:b/>
          <w:color w:val="000000"/>
        </w:rPr>
        <w:t xml:space="preserve">  Regularidade fiscal e trabalhista:</w:t>
      </w:r>
    </w:p>
    <w:p>
      <w:pPr>
        <w:pStyle w:val="4"/>
        <w:numPr>
          <w:ilvl w:val="2"/>
          <w:numId w:val="19"/>
        </w:numPr>
        <w:tabs>
          <w:tab w:val="left" w:pos="1440"/>
        </w:tabs>
        <w:spacing w:before="120" w:after="120" w:line="276" w:lineRule="auto"/>
        <w:ind w:left="1134" w:firstLine="0"/>
        <w:jc w:val="both"/>
      </w:pPr>
      <w:r>
        <w:t>prova de inscrição no Cadastro Nacional de Pessoas Jurídicas;</w:t>
      </w:r>
    </w:p>
    <w:p>
      <w:pPr>
        <w:pStyle w:val="4"/>
        <w:numPr>
          <w:ilvl w:val="2"/>
          <w:numId w:val="19"/>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4"/>
        <w:numPr>
          <w:ilvl w:val="2"/>
          <w:numId w:val="19"/>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pPr>
        <w:pStyle w:val="4"/>
        <w:numPr>
          <w:ilvl w:val="2"/>
          <w:numId w:val="19"/>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pPr>
        <w:pStyle w:val="4"/>
        <w:numPr>
          <w:ilvl w:val="2"/>
          <w:numId w:val="19"/>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pPr>
        <w:pStyle w:val="4"/>
        <w:numPr>
          <w:ilvl w:val="2"/>
          <w:numId w:val="19"/>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pPr>
        <w:pStyle w:val="4"/>
        <w:numPr>
          <w:ilvl w:val="2"/>
          <w:numId w:val="19"/>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pPr>
        <w:pStyle w:val="4"/>
        <w:spacing w:before="120" w:after="120" w:line="276" w:lineRule="auto"/>
        <w:ind w:left="425"/>
        <w:jc w:val="both"/>
        <w:rPr>
          <w:b/>
          <w:color w:val="000000"/>
          <w:highlight w:val="yellow"/>
        </w:rPr>
      </w:pPr>
    </w:p>
    <w:p>
      <w:pPr>
        <w:pStyle w:val="4"/>
        <w:numPr>
          <w:ilvl w:val="1"/>
          <w:numId w:val="19"/>
        </w:numPr>
        <w:spacing w:before="120" w:after="120" w:line="276" w:lineRule="auto"/>
        <w:ind w:left="425" w:firstLine="0"/>
        <w:jc w:val="both"/>
        <w:rPr>
          <w:b/>
          <w:color w:val="000000"/>
        </w:rPr>
      </w:pPr>
      <w:r>
        <w:rPr>
          <w:b/>
          <w:color w:val="000000"/>
        </w:rPr>
        <w:t xml:space="preserve"> Qualificação Econômico-Financeira: </w:t>
      </w:r>
    </w:p>
    <w:p>
      <w:pPr>
        <w:pStyle w:val="4"/>
        <w:tabs>
          <w:tab w:val="left" w:pos="1440"/>
        </w:tabs>
        <w:spacing w:before="120" w:line="276" w:lineRule="auto"/>
        <w:ind w:left="1854"/>
        <w:jc w:val="both"/>
        <w:rPr>
          <w:color w:val="000000"/>
          <w:highlight w:val="yellow"/>
        </w:rPr>
      </w:pPr>
    </w:p>
    <w:p>
      <w:pPr>
        <w:pStyle w:val="4"/>
        <w:numPr>
          <w:ilvl w:val="2"/>
          <w:numId w:val="19"/>
        </w:numPr>
        <w:tabs>
          <w:tab w:val="left" w:pos="1440"/>
        </w:tabs>
        <w:spacing w:line="276" w:lineRule="auto"/>
        <w:ind w:left="-142" w:firstLine="993"/>
        <w:jc w:val="both"/>
        <w:rPr>
          <w:color w:val="000000"/>
        </w:rPr>
      </w:pPr>
      <w:r>
        <w:rPr>
          <w:color w:val="000000"/>
        </w:rPr>
        <w:t>certidão negativa de falência, recuperação judicial ou recuperação extrajudicial expedida pelo distribuidor da sede do licitante;</w:t>
      </w:r>
    </w:p>
    <w:p>
      <w:pPr>
        <w:pStyle w:val="4"/>
        <w:tabs>
          <w:tab w:val="left" w:pos="1440"/>
        </w:tabs>
        <w:spacing w:line="276" w:lineRule="auto"/>
        <w:ind w:left="1854"/>
        <w:jc w:val="both"/>
        <w:rPr>
          <w:color w:val="000000"/>
        </w:rPr>
      </w:pPr>
      <w:bookmarkStart w:id="4" w:name="_heading=h.2et92p0"/>
      <w:bookmarkEnd w:id="4"/>
    </w:p>
    <w:p>
      <w:pPr>
        <w:pStyle w:val="4"/>
        <w:numPr>
          <w:ilvl w:val="3"/>
          <w:numId w:val="19"/>
        </w:numPr>
        <w:tabs>
          <w:tab w:val="left" w:pos="1440"/>
        </w:tabs>
        <w:spacing w:after="120" w:line="276" w:lineRule="auto"/>
        <w:ind w:left="1854"/>
        <w:jc w:val="both"/>
        <w:rPr>
          <w:color w:val="000000"/>
        </w:rPr>
      </w:pPr>
      <w:bookmarkStart w:id="5" w:name="_heading=h.tyjcwt"/>
      <w:bookmarkEnd w:id="5"/>
      <w:r>
        <w:rPr>
          <w:color w:val="000000"/>
        </w:rPr>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p>
    <w:p>
      <w:pPr>
        <w:pStyle w:val="4"/>
        <w:numPr>
          <w:ilvl w:val="2"/>
          <w:numId w:val="19"/>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pStyle w:val="4"/>
        <w:numPr>
          <w:ilvl w:val="3"/>
          <w:numId w:val="19"/>
        </w:numPr>
        <w:spacing w:before="120" w:after="120" w:line="276" w:lineRule="auto"/>
        <w:ind w:left="1701" w:firstLine="0"/>
        <w:jc w:val="both"/>
        <w:rPr>
          <w:color w:val="000000"/>
        </w:rPr>
      </w:pPr>
      <w:r>
        <w:rPr>
          <w:color w:val="000000"/>
        </w:rPr>
        <w:t>no caso de empresa constituída no exercício social vigente, admite-se a apresentação de balanço patrimonial e demonstrações contábeis referentes ao período de existência da sociedade;</w:t>
      </w:r>
    </w:p>
    <w:p>
      <w:pPr>
        <w:pStyle w:val="4"/>
        <w:numPr>
          <w:ilvl w:val="3"/>
          <w:numId w:val="19"/>
        </w:numPr>
        <w:spacing w:before="120" w:after="120" w:line="276" w:lineRule="auto"/>
        <w:ind w:left="1701" w:firstLine="0"/>
        <w:jc w:val="both"/>
        <w:rPr>
          <w:color w:val="000000"/>
        </w:rPr>
      </w:pPr>
      <w:r>
        <w:rPr>
          <w:color w:val="000000"/>
        </w:rPr>
        <w:t>é admissível o balanço intermediário, se decorrer de lei ou contrato/estatuto social.</w:t>
      </w:r>
    </w:p>
    <w:p>
      <w:pPr>
        <w:pStyle w:val="4"/>
        <w:numPr>
          <w:ilvl w:val="2"/>
          <w:numId w:val="19"/>
        </w:numPr>
        <w:tabs>
          <w:tab w:val="left" w:pos="1440"/>
        </w:tabs>
        <w:spacing w:before="120" w:after="120" w:line="276" w:lineRule="auto"/>
        <w:ind w:left="1134" w:firstLine="0"/>
        <w:jc w:val="both"/>
        <w:rPr>
          <w:color w:val="000000"/>
        </w:rPr>
      </w:pPr>
      <w:r>
        <w:rPr>
          <w:color w:val="000000"/>
        </w:rPr>
        <w:t xml:space="preserve">comprovação da boa situação financeira da empresa mediante obtenção de índices de Liquidez Geral (LG), Solvência Geral (SG) e Liquidez Corrente (LC), superiores a 1 (um), obtidos pela aplicação das seguintes fórmulas: </w:t>
      </w:r>
    </w:p>
    <w:tbl>
      <w:tblPr>
        <w:tblStyle w:val="11"/>
        <w:tblW w:w="6486" w:type="dxa"/>
        <w:tblInd w:w="1134" w:type="dxa"/>
        <w:tblLayout w:type="autofit"/>
        <w:tblCellMar>
          <w:top w:w="0" w:type="dxa"/>
          <w:left w:w="108" w:type="dxa"/>
          <w:bottom w:w="0" w:type="dxa"/>
          <w:right w:w="108" w:type="dxa"/>
        </w:tblCellMar>
      </w:tblPr>
      <w:tblGrid>
        <w:gridCol w:w="2233"/>
        <w:gridCol w:w="4253"/>
      </w:tblGrid>
      <w:tr>
        <w:tblPrEx>
          <w:tblCellMar>
            <w:top w:w="0" w:type="dxa"/>
            <w:left w:w="108" w:type="dxa"/>
            <w:bottom w:w="0" w:type="dxa"/>
            <w:right w:w="108" w:type="dxa"/>
          </w:tblCellMar>
        </w:tblPrEx>
        <w:tc>
          <w:tcPr>
            <w:tcW w:w="2233" w:type="dxa"/>
            <w:vMerge w:val="restart"/>
            <w:shd w:val="clear" w:color="auto" w:fill="auto"/>
            <w:vAlign w:val="center"/>
          </w:tcPr>
          <w:p>
            <w:pPr>
              <w:pStyle w:val="4"/>
              <w:tabs>
                <w:tab w:val="left" w:pos="1440"/>
              </w:tabs>
              <w:spacing w:line="276" w:lineRule="auto"/>
              <w:jc w:val="both"/>
              <w:rPr>
                <w:color w:val="000000"/>
              </w:rPr>
            </w:pPr>
            <w:r>
              <w:rPr>
                <w:color w:val="000000"/>
              </w:rPr>
              <w:t>LG =</w:t>
            </w:r>
          </w:p>
        </w:tc>
        <w:tc>
          <w:tcPr>
            <w:tcW w:w="4252" w:type="dxa"/>
            <w:tcBorders>
              <w:bottom w:val="single" w:color="000000" w:sz="4" w:space="0"/>
            </w:tcBorders>
            <w:shd w:val="clear" w:color="auto" w:fill="auto"/>
            <w:vAlign w:val="bottom"/>
          </w:tcPr>
          <w:p>
            <w:pPr>
              <w:pStyle w:val="4"/>
              <w:tabs>
                <w:tab w:val="left" w:pos="1440"/>
              </w:tabs>
              <w:spacing w:line="276" w:lineRule="auto"/>
              <w:jc w:val="both"/>
              <w:rPr>
                <w:color w:val="000000"/>
              </w:rPr>
            </w:pPr>
            <w:r>
              <w:rPr>
                <w:color w:val="000000"/>
              </w:rPr>
              <w:t>Ativo Circulante + Realizável a Longo Prazo</w:t>
            </w:r>
          </w:p>
        </w:tc>
      </w:tr>
      <w:tr>
        <w:tblPrEx>
          <w:tblCellMar>
            <w:top w:w="0" w:type="dxa"/>
            <w:left w:w="108" w:type="dxa"/>
            <w:bottom w:w="0" w:type="dxa"/>
            <w:right w:w="108" w:type="dxa"/>
          </w:tblCellMar>
        </w:tblPrEx>
        <w:tc>
          <w:tcPr>
            <w:tcW w:w="2233" w:type="dxa"/>
            <w:vMerge w:val="continue"/>
            <w:shd w:val="clear" w:color="auto" w:fill="auto"/>
            <w:vAlign w:val="center"/>
          </w:tcPr>
          <w:p>
            <w:pPr>
              <w:pStyle w:val="4"/>
              <w:widowControl w:val="0"/>
              <w:spacing w:line="276" w:lineRule="auto"/>
              <w:rPr>
                <w:color w:val="000000"/>
              </w:rPr>
            </w:pPr>
          </w:p>
        </w:tc>
        <w:tc>
          <w:tcPr>
            <w:tcW w:w="4252" w:type="dxa"/>
            <w:tcBorders>
              <w:top w:val="single" w:color="000000" w:sz="4" w:space="0"/>
            </w:tcBorders>
            <w:shd w:val="clear" w:color="auto" w:fill="auto"/>
          </w:tcPr>
          <w:p>
            <w:pPr>
              <w:pStyle w:val="4"/>
              <w:tabs>
                <w:tab w:val="left" w:pos="1440"/>
              </w:tabs>
              <w:spacing w:line="276" w:lineRule="auto"/>
              <w:jc w:val="both"/>
              <w:rPr>
                <w:color w:val="000000"/>
              </w:rPr>
            </w:pPr>
            <w:r>
              <w:rPr>
                <w:color w:val="000000"/>
              </w:rPr>
              <w:t>Passivo Circulante + Passivo Não Circulante</w:t>
            </w:r>
          </w:p>
        </w:tc>
      </w:tr>
    </w:tbl>
    <w:p>
      <w:pPr>
        <w:pStyle w:val="4"/>
        <w:tabs>
          <w:tab w:val="left" w:pos="1440"/>
        </w:tabs>
        <w:spacing w:line="276" w:lineRule="auto"/>
        <w:ind w:left="1134"/>
        <w:jc w:val="both"/>
        <w:rPr>
          <w:color w:val="000000"/>
        </w:rPr>
      </w:pPr>
    </w:p>
    <w:tbl>
      <w:tblPr>
        <w:tblStyle w:val="11"/>
        <w:tblW w:w="6628" w:type="dxa"/>
        <w:tblInd w:w="1134" w:type="dxa"/>
        <w:tblLayout w:type="autofit"/>
        <w:tblCellMar>
          <w:top w:w="0" w:type="dxa"/>
          <w:left w:w="108" w:type="dxa"/>
          <w:bottom w:w="0" w:type="dxa"/>
          <w:right w:w="108" w:type="dxa"/>
        </w:tblCellMar>
      </w:tblPr>
      <w:tblGrid>
        <w:gridCol w:w="2233"/>
        <w:gridCol w:w="4395"/>
      </w:tblGrid>
      <w:tr>
        <w:tc>
          <w:tcPr>
            <w:tcW w:w="2233" w:type="dxa"/>
            <w:vMerge w:val="restart"/>
            <w:shd w:val="clear" w:color="auto" w:fill="auto"/>
            <w:vAlign w:val="center"/>
          </w:tcPr>
          <w:p>
            <w:pPr>
              <w:pStyle w:val="4"/>
              <w:tabs>
                <w:tab w:val="left" w:pos="1440"/>
              </w:tabs>
              <w:spacing w:line="276" w:lineRule="auto"/>
              <w:jc w:val="both"/>
              <w:rPr>
                <w:color w:val="000000"/>
              </w:rPr>
            </w:pPr>
            <w:r>
              <w:rPr>
                <w:color w:val="000000"/>
              </w:rPr>
              <w:t>SG =</w:t>
            </w:r>
          </w:p>
        </w:tc>
        <w:tc>
          <w:tcPr>
            <w:tcW w:w="4394" w:type="dxa"/>
            <w:tcBorders>
              <w:bottom w:val="single" w:color="000000" w:sz="4" w:space="0"/>
            </w:tcBorders>
            <w:shd w:val="clear" w:color="auto" w:fill="auto"/>
            <w:vAlign w:val="bottom"/>
          </w:tcPr>
          <w:p>
            <w:pPr>
              <w:pStyle w:val="4"/>
              <w:tabs>
                <w:tab w:val="left" w:pos="1440"/>
              </w:tabs>
              <w:spacing w:line="276" w:lineRule="auto"/>
              <w:jc w:val="both"/>
              <w:rPr>
                <w:color w:val="000000"/>
              </w:rPr>
            </w:pPr>
            <w:r>
              <w:rPr>
                <w:color w:val="000000"/>
              </w:rPr>
              <w:t>Ativo Total</w:t>
            </w:r>
          </w:p>
        </w:tc>
      </w:tr>
      <w:tr>
        <w:tblPrEx>
          <w:tblCellMar>
            <w:top w:w="0" w:type="dxa"/>
            <w:left w:w="108" w:type="dxa"/>
            <w:bottom w:w="0" w:type="dxa"/>
            <w:right w:w="108" w:type="dxa"/>
          </w:tblCellMar>
        </w:tblPrEx>
        <w:tc>
          <w:tcPr>
            <w:tcW w:w="2233" w:type="dxa"/>
            <w:vMerge w:val="continue"/>
            <w:shd w:val="clear" w:color="auto" w:fill="auto"/>
            <w:vAlign w:val="center"/>
          </w:tcPr>
          <w:p>
            <w:pPr>
              <w:pStyle w:val="4"/>
              <w:widowControl w:val="0"/>
              <w:spacing w:line="276" w:lineRule="auto"/>
              <w:rPr>
                <w:color w:val="000000"/>
              </w:rPr>
            </w:pPr>
          </w:p>
        </w:tc>
        <w:tc>
          <w:tcPr>
            <w:tcW w:w="4394" w:type="dxa"/>
            <w:tcBorders>
              <w:top w:val="single" w:color="000000" w:sz="4" w:space="0"/>
            </w:tcBorders>
            <w:shd w:val="clear" w:color="auto" w:fill="auto"/>
          </w:tcPr>
          <w:p>
            <w:pPr>
              <w:pStyle w:val="4"/>
              <w:tabs>
                <w:tab w:val="left" w:pos="1440"/>
              </w:tabs>
              <w:spacing w:line="276" w:lineRule="auto"/>
              <w:jc w:val="both"/>
              <w:rPr>
                <w:color w:val="000000"/>
              </w:rPr>
            </w:pPr>
            <w:r>
              <w:rPr>
                <w:color w:val="000000"/>
              </w:rPr>
              <w:t>Passivo Circulante + Passivo Não Circulante</w:t>
            </w:r>
          </w:p>
        </w:tc>
      </w:tr>
    </w:tbl>
    <w:p>
      <w:pPr>
        <w:pStyle w:val="4"/>
        <w:tabs>
          <w:tab w:val="left" w:pos="1440"/>
        </w:tabs>
        <w:spacing w:line="276" w:lineRule="auto"/>
        <w:ind w:left="1134"/>
        <w:jc w:val="both"/>
        <w:rPr>
          <w:color w:val="000000"/>
        </w:rPr>
      </w:pPr>
    </w:p>
    <w:tbl>
      <w:tblPr>
        <w:tblStyle w:val="11"/>
        <w:tblW w:w="4785" w:type="dxa"/>
        <w:tblInd w:w="1134" w:type="dxa"/>
        <w:tblLayout w:type="autofit"/>
        <w:tblCellMar>
          <w:top w:w="0" w:type="dxa"/>
          <w:left w:w="108" w:type="dxa"/>
          <w:bottom w:w="0" w:type="dxa"/>
          <w:right w:w="108" w:type="dxa"/>
        </w:tblCellMar>
      </w:tblPr>
      <w:tblGrid>
        <w:gridCol w:w="2233"/>
        <w:gridCol w:w="2552"/>
      </w:tblGrid>
      <w:tr>
        <w:tblPrEx>
          <w:tblCellMar>
            <w:top w:w="0" w:type="dxa"/>
            <w:left w:w="108" w:type="dxa"/>
            <w:bottom w:w="0" w:type="dxa"/>
            <w:right w:w="108" w:type="dxa"/>
          </w:tblCellMar>
        </w:tblPrEx>
        <w:tc>
          <w:tcPr>
            <w:tcW w:w="2233" w:type="dxa"/>
            <w:vMerge w:val="restart"/>
            <w:shd w:val="clear" w:color="auto" w:fill="auto"/>
            <w:vAlign w:val="center"/>
          </w:tcPr>
          <w:p>
            <w:pPr>
              <w:pStyle w:val="4"/>
              <w:tabs>
                <w:tab w:val="left" w:pos="1440"/>
              </w:tabs>
              <w:spacing w:line="276" w:lineRule="auto"/>
              <w:jc w:val="both"/>
              <w:rPr>
                <w:color w:val="000000"/>
              </w:rPr>
            </w:pPr>
            <w:r>
              <w:rPr>
                <w:color w:val="000000"/>
              </w:rPr>
              <w:t>LC =</w:t>
            </w:r>
          </w:p>
        </w:tc>
        <w:tc>
          <w:tcPr>
            <w:tcW w:w="2551" w:type="dxa"/>
            <w:tcBorders>
              <w:bottom w:val="single" w:color="000000" w:sz="4" w:space="0"/>
            </w:tcBorders>
            <w:shd w:val="clear" w:color="auto" w:fill="auto"/>
            <w:vAlign w:val="bottom"/>
          </w:tcPr>
          <w:p>
            <w:pPr>
              <w:pStyle w:val="4"/>
              <w:tabs>
                <w:tab w:val="left" w:pos="1440"/>
              </w:tabs>
              <w:spacing w:line="276" w:lineRule="auto"/>
              <w:jc w:val="both"/>
              <w:rPr>
                <w:color w:val="000000"/>
              </w:rPr>
            </w:pPr>
            <w:r>
              <w:rPr>
                <w:color w:val="000000"/>
              </w:rPr>
              <w:t>Ativo Circulante</w:t>
            </w:r>
          </w:p>
        </w:tc>
      </w:tr>
      <w:tr>
        <w:tblPrEx>
          <w:tblCellMar>
            <w:top w:w="0" w:type="dxa"/>
            <w:left w:w="108" w:type="dxa"/>
            <w:bottom w:w="0" w:type="dxa"/>
            <w:right w:w="108" w:type="dxa"/>
          </w:tblCellMar>
        </w:tblPrEx>
        <w:tc>
          <w:tcPr>
            <w:tcW w:w="2233" w:type="dxa"/>
            <w:vMerge w:val="continue"/>
            <w:shd w:val="clear" w:color="auto" w:fill="auto"/>
            <w:vAlign w:val="center"/>
          </w:tcPr>
          <w:p>
            <w:pPr>
              <w:pStyle w:val="4"/>
              <w:widowControl w:val="0"/>
              <w:spacing w:line="276" w:lineRule="auto"/>
              <w:rPr>
                <w:color w:val="000000"/>
              </w:rPr>
            </w:pPr>
          </w:p>
        </w:tc>
        <w:tc>
          <w:tcPr>
            <w:tcW w:w="2551" w:type="dxa"/>
            <w:tcBorders>
              <w:top w:val="single" w:color="000000" w:sz="4" w:space="0"/>
            </w:tcBorders>
            <w:shd w:val="clear" w:color="auto" w:fill="auto"/>
          </w:tcPr>
          <w:p>
            <w:pPr>
              <w:pStyle w:val="4"/>
              <w:tabs>
                <w:tab w:val="left" w:pos="1440"/>
              </w:tabs>
              <w:spacing w:line="276" w:lineRule="auto"/>
              <w:jc w:val="both"/>
              <w:rPr>
                <w:color w:val="000000"/>
              </w:rPr>
            </w:pPr>
            <w:r>
              <w:rPr>
                <w:color w:val="000000"/>
              </w:rPr>
              <w:t>Passivo Circulante</w:t>
            </w:r>
          </w:p>
        </w:tc>
      </w:tr>
    </w:tbl>
    <w:p>
      <w:pPr>
        <w:pStyle w:val="4"/>
        <w:numPr>
          <w:ilvl w:val="2"/>
          <w:numId w:val="19"/>
        </w:numPr>
        <w:tabs>
          <w:tab w:val="left" w:pos="1440"/>
        </w:tabs>
        <w:spacing w:before="120" w:after="120" w:line="276" w:lineRule="auto"/>
        <w:ind w:left="1134" w:firstLine="0"/>
        <w:jc w:val="both"/>
        <w:rPr>
          <w:color w:val="000000"/>
        </w:rPr>
      </w:pPr>
      <w:r>
        <w:rPr>
          <w:color w:val="000000"/>
        </w:rPr>
        <w:t xml:space="preserve">As empresas que apresentarem resultado inferior ou igual a 1(um) em qualquer dos índices de Liquidez Geral (LG), Solvência Geral (SG) e Liquidez Corrente (LC), deverão comprovar patrimônio líquido de </w:t>
      </w:r>
      <w:r>
        <w:t xml:space="preserve">10 (dez) por cento </w:t>
      </w:r>
      <w:r>
        <w:rPr>
          <w:color w:val="000000"/>
        </w:rPr>
        <w:t>do valor total estimado da contratação ou do item pertinente.</w:t>
      </w:r>
    </w:p>
    <w:p>
      <w:pPr>
        <w:pStyle w:val="4"/>
        <w:numPr>
          <w:ilvl w:val="2"/>
          <w:numId w:val="19"/>
        </w:numPr>
        <w:tabs>
          <w:tab w:val="left" w:pos="1440"/>
        </w:tabs>
        <w:spacing w:before="120" w:after="120" w:line="276" w:lineRule="auto"/>
        <w:ind w:left="1134" w:firstLine="0"/>
        <w:jc w:val="both"/>
        <w:rPr>
          <w:color w:val="000000"/>
        </w:rPr>
      </w:pPr>
      <w:r>
        <w:rPr>
          <w:color w:val="000000"/>
        </w:rPr>
        <w:t xml:space="preserve">As empresas deverão ainda complementar a comprovação da qualificação econômico-financeira por meio de: </w:t>
      </w:r>
    </w:p>
    <w:p>
      <w:pPr>
        <w:pStyle w:val="4"/>
        <w:numPr>
          <w:ilvl w:val="3"/>
          <w:numId w:val="19"/>
        </w:numPr>
        <w:spacing w:before="120" w:after="120" w:line="276" w:lineRule="auto"/>
        <w:ind w:left="1701" w:firstLine="0"/>
        <w:jc w:val="both"/>
        <w:rPr>
          <w:color w:val="000000"/>
        </w:rPr>
      </w:pPr>
      <w:r>
        <w:rPr>
          <w:color w:val="000000"/>
        </w:rPr>
        <w:t xml:space="preserve">Comprovação de possuir Capital Circulante Líquido (CCL) ou Capital de Giro (Ativo Circulante – Passivo Circulante) de, no mínimo, 16,66% (dezesseis inteiros e sessenta e seis centésimos por cento) do valor estimado para a contratação ou item pertinente, tendo por base o balanço patrimonial e as demonstrações contábeis já exigíveis na forma da lei; </w:t>
      </w:r>
    </w:p>
    <w:p>
      <w:pPr>
        <w:pStyle w:val="4"/>
        <w:numPr>
          <w:ilvl w:val="3"/>
          <w:numId w:val="19"/>
        </w:numPr>
        <w:spacing w:before="120" w:line="276" w:lineRule="auto"/>
        <w:ind w:left="1701" w:firstLine="0"/>
        <w:jc w:val="both"/>
      </w:pPr>
      <w:r>
        <w:t xml:space="preserve">Comprovação de patrimônio líquido de 10% (dez por cento) do valor estimado da contratação, por meio da apresentação do balanço patrimonial e demonstrações contáveis do último exercício social, apresentados na forma da lei, vedada a substituição por balancetes ou balanços provisórios, podendo ser atualizados por índices oficiais quando encerrados há mais de 3 (três) meses da data da apresentação da proposta. </w:t>
      </w:r>
    </w:p>
    <w:p>
      <w:pPr>
        <w:pStyle w:val="4"/>
        <w:numPr>
          <w:ilvl w:val="3"/>
          <w:numId w:val="19"/>
        </w:numPr>
        <w:spacing w:line="276" w:lineRule="auto"/>
        <w:ind w:left="1701" w:firstLine="0"/>
        <w:jc w:val="both"/>
      </w:pPr>
      <w:r>
        <w:t>Comprovação, por meio de declaração, da relação de compromissos assumidos, conforme modelo constante do Anexo V-A,</w:t>
      </w:r>
      <w:r>
        <w:rPr>
          <w:color w:val="FF0000"/>
        </w:rPr>
        <w:t xml:space="preserve"> </w:t>
      </w:r>
      <w:r>
        <w:t xml:space="preserve">de que 1/12 (um doze avos) do valor total dos contratos firmados com a Administração Pública e/ou com a iniciativa privada, vigentes na data da sessão pública de abertura deste Pregão, não é superior ao Patrimônio Líquido do licitante, podendo este ser atualizado na forma já disciplinada neste Edital; </w:t>
      </w:r>
    </w:p>
    <w:p>
      <w:pPr>
        <w:pStyle w:val="4"/>
        <w:numPr>
          <w:ilvl w:val="3"/>
          <w:numId w:val="19"/>
        </w:numPr>
        <w:spacing w:line="276" w:lineRule="auto"/>
        <w:ind w:left="1701" w:firstLine="0"/>
        <w:jc w:val="both"/>
      </w:pPr>
      <w:r>
        <w:t xml:space="preserve">a declaração de que trata a subcondição acima deverá estar acompanhada da Demonstração do Resultado do Exercício (DRE) relativa ao último exercício social, </w:t>
      </w:r>
    </w:p>
    <w:p>
      <w:pPr>
        <w:pStyle w:val="4"/>
        <w:numPr>
          <w:ilvl w:val="3"/>
          <w:numId w:val="19"/>
        </w:numPr>
        <w:spacing w:line="276" w:lineRule="auto"/>
        <w:ind w:left="1701" w:firstLine="0"/>
        <w:jc w:val="both"/>
      </w:pPr>
      <w:r>
        <w:t xml:space="preserve">quando houver divergência percentual superior a 10% (dez por cento), para mais ou para menos, entre a declaração aqui tratada e a receita bruta discriminada na Demonstração do Resultado do Exercício (DRE), deverão ser apresentadas, concomitantemente, as devidas justificativas. </w:t>
      </w:r>
    </w:p>
    <w:p>
      <w:pPr>
        <w:pStyle w:val="4"/>
        <w:numPr>
          <w:ilvl w:val="3"/>
          <w:numId w:val="19"/>
        </w:numPr>
        <w:spacing w:line="276" w:lineRule="auto"/>
        <w:ind w:left="1701" w:firstLine="0"/>
        <w:jc w:val="both"/>
      </w:pPr>
      <w:r>
        <w:rPr>
          <w:rFonts w:hint="default"/>
          <w:lang w:val="pt-BR"/>
        </w:rPr>
        <w:t xml:space="preserve">As </w:t>
      </w:r>
      <w:r>
        <w:rPr>
          <w:rFonts w:cs="Arial"/>
          <w:color w:val="auto"/>
          <w:szCs w:val="20"/>
          <w:shd w:val="clear" w:color="auto" w:fill="FFFFFF"/>
        </w:rPr>
        <w:t>empresas sujeitas ao regime de tributação de incidência não cumulativa de PIS e Cofins apresentem a média das alíquotas efetivamente recolhidas nos 12 meses anteriores à apresentação da proposta, apurada com base nos dados da Escrituração Fiscal Digital da Contribuição para o PIS/PASEP e para a Cofins (EFD-Contribuições), cujos respectivos registros deverão ser remetidos juntamente com a proposta e as planilhas em virtude do direito de compensação dos créditos previstos no art. 3º das Leis nº 10.637/2002 e 10.833/2003, de forma a garantir que os preços contratados pela Administração Pública reflitam os benefícios tributários concedidos pela legislação tributária</w:t>
      </w:r>
      <w:r>
        <w:rPr>
          <w:rFonts w:hint="default" w:cs="Arial"/>
          <w:color w:val="auto"/>
          <w:szCs w:val="20"/>
          <w:shd w:val="clear" w:color="auto" w:fill="FFFFFF"/>
          <w:lang w:val="pt-BR"/>
        </w:rPr>
        <w:t>.</w:t>
      </w:r>
    </w:p>
    <w:p>
      <w:pPr>
        <w:pStyle w:val="4"/>
        <w:spacing w:line="276" w:lineRule="auto"/>
        <w:jc w:val="both"/>
      </w:pPr>
    </w:p>
    <w:p>
      <w:pPr>
        <w:pStyle w:val="4"/>
        <w:numPr>
          <w:ilvl w:val="1"/>
          <w:numId w:val="19"/>
        </w:numPr>
        <w:spacing w:before="120" w:after="120" w:line="276" w:lineRule="auto"/>
        <w:ind w:left="425" w:firstLine="0"/>
        <w:jc w:val="both"/>
        <w:rPr>
          <w:b/>
          <w:color w:val="000000"/>
        </w:rPr>
      </w:pPr>
      <w:r>
        <w:rPr>
          <w:b/>
          <w:color w:val="000000"/>
        </w:rPr>
        <w:t xml:space="preserve"> Qualificação Técnica: </w:t>
      </w:r>
    </w:p>
    <w:p>
      <w:pPr>
        <w:pStyle w:val="4"/>
        <w:numPr>
          <w:ilvl w:val="0"/>
          <w:numId w:val="0"/>
        </w:numPr>
        <w:spacing w:line="276" w:lineRule="auto"/>
        <w:ind w:left="1560" w:leftChars="0"/>
        <w:jc w:val="both"/>
        <w:rPr>
          <w:rFonts w:hint="default"/>
          <w:color w:val="000000"/>
          <w:lang w:val="pt-BR" w:eastAsia="zh-CN"/>
        </w:rPr>
      </w:pPr>
      <w:bookmarkStart w:id="6" w:name="_heading=h.3dy6vkm"/>
      <w:bookmarkEnd w:id="6"/>
    </w:p>
    <w:p>
      <w:pPr>
        <w:pStyle w:val="4"/>
        <w:numPr>
          <w:ilvl w:val="2"/>
          <w:numId w:val="19"/>
        </w:numPr>
        <w:spacing w:line="276" w:lineRule="auto"/>
        <w:jc w:val="both"/>
      </w:pPr>
      <w:r>
        <w:rPr>
          <w:rFonts w:hint="default"/>
          <w:color w:val="000000"/>
          <w:lang w:val="pt-BR"/>
        </w:rPr>
        <w:t xml:space="preserve">  Comprovação de</w:t>
      </w:r>
      <w:r>
        <w:rPr>
          <w:color w:val="000000"/>
        </w:rPr>
        <w:t xml:space="preserve"> aptidão para a prestação dos serviços em características, quantidades e prazos compatíveis com o objeto desta licitação, ou com o item pertinente, mediante a apresentação de atestado(s) fornecido(s) por pessoas jurídicas de direito público ou privado</w:t>
      </w:r>
      <w:r>
        <w:rPr>
          <w:rFonts w:hint="default"/>
          <w:color w:val="000000"/>
          <w:lang w:val="en-US" w:eastAsia="zh-CN"/>
        </w:rPr>
        <w:t xml:space="preserve">. </w:t>
      </w:r>
    </w:p>
    <w:p>
      <w:pPr>
        <w:pStyle w:val="4"/>
        <w:numPr>
          <w:ilvl w:val="3"/>
          <w:numId w:val="19"/>
        </w:numPr>
        <w:spacing w:line="276" w:lineRule="auto"/>
        <w:jc w:val="both"/>
        <w:rPr>
          <w:color w:val="000000"/>
        </w:rPr>
      </w:pPr>
      <w:r>
        <w:rPr>
          <w:rFonts w:hint="default"/>
          <w:b/>
          <w:bCs/>
          <w:lang w:val="pt-BR"/>
        </w:rPr>
        <w:t xml:space="preserve"> </w:t>
      </w:r>
      <w:r>
        <w:rPr>
          <w:color w:val="000000"/>
        </w:rPr>
        <w:t>Para fins da comprovação de que trata este subitem, os atestados deverão dizer respeito a serviços executados com as seguintes características mínimas:</w:t>
      </w:r>
    </w:p>
    <w:p>
      <w:pPr>
        <w:pStyle w:val="4"/>
        <w:numPr>
          <w:ilvl w:val="0"/>
          <w:numId w:val="0"/>
        </w:numPr>
        <w:tabs>
          <w:tab w:val="left" w:pos="1440"/>
        </w:tabs>
        <w:spacing w:before="120" w:after="120" w:line="276" w:lineRule="auto"/>
        <w:ind w:left="1702" w:leftChars="0" w:firstLine="700" w:firstLineChars="350"/>
        <w:jc w:val="both"/>
        <w:rPr>
          <w:rFonts w:hint="default"/>
          <w:b/>
          <w:bCs/>
          <w:color w:val="000000"/>
          <w:lang w:val="en-US" w:eastAsia="zh-CN"/>
        </w:rPr>
      </w:pPr>
      <w:r>
        <w:rPr>
          <w:rFonts w:hint="default"/>
          <w:b w:val="0"/>
          <w:bCs/>
          <w:lang w:val="pt-BR"/>
        </w:rPr>
        <w:t xml:space="preserve">9.11.1.1.1 </w:t>
      </w:r>
      <w:r>
        <w:rPr>
          <w:b/>
        </w:rPr>
        <w:t>Comprovação que a licitante atuou com gestão de mão de obra de qualquer categoria.</w:t>
      </w:r>
    </w:p>
    <w:p>
      <w:pPr>
        <w:pStyle w:val="4"/>
        <w:numPr>
          <w:ilvl w:val="0"/>
          <w:numId w:val="0"/>
        </w:numPr>
        <w:spacing w:line="276" w:lineRule="auto"/>
        <w:ind w:left="1702" w:leftChars="0" w:firstLine="700" w:firstLineChars="350"/>
        <w:jc w:val="both"/>
        <w:rPr>
          <w:rFonts w:hint="default"/>
          <w:color w:val="000000"/>
          <w:lang w:val="pt-BR" w:eastAsia="zh-CN"/>
        </w:rPr>
      </w:pPr>
      <w:r>
        <w:rPr>
          <w:rFonts w:hint="default"/>
          <w:b w:val="0"/>
          <w:bCs w:val="0"/>
          <w:color w:val="000000"/>
          <w:lang w:val="pt-BR"/>
        </w:rPr>
        <w:t>9.11.1.1.2</w:t>
      </w:r>
      <w:r>
        <w:rPr>
          <w:rFonts w:hint="default"/>
          <w:b/>
          <w:bCs/>
          <w:color w:val="000000"/>
          <w:lang w:val="pt-BR"/>
        </w:rPr>
        <w:t xml:space="preserve"> </w:t>
      </w:r>
      <w:r>
        <w:rPr>
          <w:rFonts w:hint="default"/>
          <w:b/>
          <w:bCs/>
          <w:color w:val="000000"/>
          <w:lang w:val="en-US" w:eastAsia="zh-CN"/>
        </w:rPr>
        <w:t xml:space="preserve">Comprovação que já executou contrato(s) com </w:t>
      </w:r>
      <w:r>
        <w:rPr>
          <w:rFonts w:hint="default"/>
          <w:b/>
          <w:bCs/>
          <w:color w:val="000000"/>
          <w:lang w:val="pt-BR" w:eastAsia="zh-CN"/>
        </w:rPr>
        <w:t xml:space="preserve">o </w:t>
      </w:r>
      <w:r>
        <w:rPr>
          <w:b/>
          <w:bCs/>
        </w:rPr>
        <w:t>número de postos equivalentes ao da contratação</w:t>
      </w:r>
      <w:r>
        <w:rPr>
          <w:rFonts w:hint="default"/>
          <w:color w:val="000000"/>
          <w:lang w:val="pt-BR" w:eastAsia="zh-CN"/>
        </w:rPr>
        <w:t>.</w:t>
      </w:r>
    </w:p>
    <w:p>
      <w:pPr>
        <w:pStyle w:val="4"/>
        <w:numPr>
          <w:ilvl w:val="0"/>
          <w:numId w:val="0"/>
        </w:numPr>
        <w:spacing w:line="276" w:lineRule="auto"/>
        <w:jc w:val="both"/>
        <w:rPr>
          <w:rFonts w:hint="default"/>
          <w:color w:val="000000"/>
          <w:lang w:val="en-US" w:eastAsia="zh-CN"/>
        </w:rPr>
      </w:pPr>
    </w:p>
    <w:p>
      <w:pPr>
        <w:pStyle w:val="4"/>
        <w:numPr>
          <w:ilvl w:val="3"/>
          <w:numId w:val="19"/>
        </w:numPr>
        <w:spacing w:line="276" w:lineRule="auto"/>
        <w:jc w:val="both"/>
        <w:rPr>
          <w:rFonts w:hint="default"/>
          <w:color w:val="000000"/>
          <w:lang w:val="en-US" w:eastAsia="zh-CN"/>
        </w:rPr>
      </w:pPr>
      <w:r>
        <w:rPr>
          <w:rFonts w:hint="default"/>
          <w:color w:val="000000"/>
          <w:lang w:val="en-US" w:eastAsia="zh-CN"/>
        </w:rPr>
        <w:t xml:space="preserve">Os atestados </w:t>
      </w:r>
      <w:bookmarkStart w:id="7" w:name="_heading=h.1t3h5sf"/>
      <w:bookmarkEnd w:id="7"/>
      <w:r>
        <w:rPr>
          <w:rFonts w:hint="default"/>
          <w:color w:val="000000"/>
          <w:lang w:val="en-US" w:eastAsia="zh-CN"/>
        </w:rPr>
        <w:t>ou declarações de capacidade técnica deverão se referir a serviços prestados no âmbito de sua atividade econômica principal e/ou secundaria especificadas no contrato social registrado na junta comercial competente, bem como no cadastro de pessoas Jurídicas da Receita Federal do Brasil — RFB</w:t>
      </w:r>
      <w:r>
        <w:rPr>
          <w:rFonts w:hint="default"/>
          <w:color w:val="000000"/>
          <w:lang w:val="pt-BR" w:eastAsia="zh-CN"/>
        </w:rPr>
        <w:t>.</w:t>
      </w:r>
    </w:p>
    <w:p>
      <w:pPr>
        <w:pStyle w:val="4"/>
        <w:numPr>
          <w:ilvl w:val="3"/>
          <w:numId w:val="19"/>
        </w:numPr>
        <w:spacing w:before="120" w:after="120" w:line="276" w:lineRule="auto"/>
        <w:ind w:left="1701" w:firstLine="0"/>
        <w:jc w:val="both"/>
        <w:rPr>
          <w:color w:val="000000"/>
        </w:rPr>
      </w:pPr>
      <w:r>
        <w:rPr>
          <w:color w:val="000000"/>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pPr>
        <w:pStyle w:val="4"/>
        <w:numPr>
          <w:ilvl w:val="3"/>
          <w:numId w:val="19"/>
        </w:numPr>
        <w:spacing w:before="120" w:after="120" w:line="276" w:lineRule="auto"/>
        <w:ind w:left="1701" w:firstLine="0"/>
        <w:jc w:val="both"/>
        <w:rPr>
          <w:color w:val="000000"/>
        </w:rPr>
      </w:pPr>
      <w:r>
        <w:rPr>
          <w:color w:val="00000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pPr>
        <w:pStyle w:val="4"/>
        <w:numPr>
          <w:ilvl w:val="3"/>
          <w:numId w:val="19"/>
        </w:numPr>
        <w:spacing w:before="120" w:after="120" w:line="276" w:lineRule="auto"/>
        <w:ind w:left="1701" w:firstLine="0"/>
        <w:jc w:val="both"/>
      </w:pPr>
      <w:r>
        <w:t xml:space="preserve">Deverá haver a comprovação da experiência mínima de </w:t>
      </w:r>
      <w:r>
        <w:rPr>
          <w:rFonts w:hint="default"/>
          <w:lang w:val="pt-BR"/>
        </w:rPr>
        <w:t>2</w:t>
      </w:r>
      <w:r>
        <w:t xml:space="preserve"> (</w:t>
      </w:r>
      <w:r>
        <w:rPr>
          <w:rFonts w:hint="default"/>
          <w:lang w:val="pt-BR"/>
        </w:rPr>
        <w:t>dois</w:t>
      </w:r>
      <w:r>
        <w:t xml:space="preserve">) anos na prestação dos serviços, sendo aceito o somatório de atestados de períodos diferentes, não havendo obrigatoriedade de os </w:t>
      </w:r>
      <w:r>
        <w:rPr>
          <w:rFonts w:hint="default"/>
          <w:lang w:val="pt-BR"/>
        </w:rPr>
        <w:t>2</w:t>
      </w:r>
      <w:r>
        <w:t xml:space="preserve"> (</w:t>
      </w:r>
      <w:r>
        <w:rPr>
          <w:rFonts w:hint="default"/>
          <w:lang w:val="pt-BR"/>
        </w:rPr>
        <w:t>dois</w:t>
      </w:r>
      <w:r>
        <w:t>) anos serem ininterruptos, conforme item 10.7.1 do Anexo VII-A da IN SEGES/MPDG n. 5/2017.</w:t>
      </w:r>
      <w:r>
        <w:tab/>
      </w:r>
    </w:p>
    <w:p>
      <w:pPr>
        <w:pStyle w:val="4"/>
        <w:numPr>
          <w:ilvl w:val="3"/>
          <w:numId w:val="19"/>
        </w:numPr>
        <w:spacing w:before="120" w:after="120" w:line="276" w:lineRule="auto"/>
        <w:ind w:left="1701" w:firstLine="0"/>
        <w:jc w:val="both"/>
        <w:rPr>
          <w:color w:val="000000"/>
        </w:rPr>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 n. 5/2017.</w:t>
      </w:r>
    </w:p>
    <w:p>
      <w:pPr>
        <w:pStyle w:val="4"/>
        <w:numPr>
          <w:ilvl w:val="3"/>
          <w:numId w:val="19"/>
        </w:numPr>
        <w:tabs>
          <w:tab w:val="left" w:pos="1440"/>
        </w:tabs>
        <w:spacing w:before="120" w:after="120" w:line="276" w:lineRule="auto"/>
        <w:jc w:val="both"/>
      </w:pPr>
      <w:r>
        <w:t xml:space="preserve">Na contratação de serviços continuados com mais de 40 (quarenta) postos, o licitante deverá comprovar que tenha executado contrato com um mínimo de 50% (cinquenta por cento) do número de postos de trabalho a serem contratados. </w:t>
      </w:r>
    </w:p>
    <w:p>
      <w:pPr>
        <w:pStyle w:val="4"/>
        <w:numPr>
          <w:ilvl w:val="3"/>
          <w:numId w:val="19"/>
        </w:numPr>
        <w:tabs>
          <w:tab w:val="left" w:pos="1440"/>
        </w:tabs>
        <w:spacing w:before="120" w:after="120" w:line="276" w:lineRule="auto"/>
        <w:jc w:val="both"/>
      </w:pPr>
      <w:r>
        <w:t>Quando o número de postos de trabalho a ser contratado for igual ou inferior a 40 (quarenta), o licitante deverá comprovar que tenha executado contrato(s) em número de postos equivalentes ao da contratação, conforme exigido na alínea c2 do item 10.6 do Anexo VII-A da IN SEGES/MP n. 5/2017.</w:t>
      </w:r>
    </w:p>
    <w:p>
      <w:pPr>
        <w:pStyle w:val="4"/>
        <w:numPr>
          <w:ilvl w:val="3"/>
          <w:numId w:val="19"/>
        </w:numPr>
        <w:tabs>
          <w:tab w:val="left" w:pos="1440"/>
        </w:tabs>
        <w:spacing w:before="120" w:after="120" w:line="276" w:lineRule="auto"/>
        <w:jc w:val="both"/>
      </w:pPr>
      <w:r>
        <w:t>Para a comprovação do número mínimo de postos exigido, será aceito o somatório de atestados que comprovem que o licitante gerencia ou gerenciou serviços de terceirização compatíveis com o objeto licitado, nos termos do item 10.7 do Anexo VII-A da IN SEGES/MP n. 5/2017.</w:t>
      </w:r>
    </w:p>
    <w:p>
      <w:pPr>
        <w:pStyle w:val="4"/>
        <w:numPr>
          <w:ilvl w:val="2"/>
          <w:numId w:val="19"/>
        </w:numPr>
        <w:tabs>
          <w:tab w:val="left" w:pos="1440"/>
        </w:tabs>
        <w:spacing w:before="120" w:after="120" w:line="276" w:lineRule="auto"/>
        <w:ind w:left="1134" w:firstLine="0"/>
        <w:jc w:val="both"/>
      </w:pPr>
      <w:r>
        <w:t xml:space="preserve">As empresas deverão apresentar atestado de vistoria assinado pelo servidor responsável, </w:t>
      </w:r>
      <w:r>
        <w:rPr>
          <w:b/>
        </w:rPr>
        <w:t>caso exigida</w:t>
      </w:r>
      <w:r>
        <w:t xml:space="preserve"> no Termo de Referência. </w:t>
      </w:r>
    </w:p>
    <w:p>
      <w:pPr>
        <w:pStyle w:val="4"/>
        <w:spacing w:before="120" w:line="276" w:lineRule="auto"/>
        <w:ind w:left="2421"/>
        <w:jc w:val="both"/>
      </w:pPr>
    </w:p>
    <w:p>
      <w:pPr>
        <w:pStyle w:val="4"/>
        <w:numPr>
          <w:ilvl w:val="3"/>
          <w:numId w:val="19"/>
        </w:numPr>
        <w:spacing w:after="120" w:line="276" w:lineRule="auto"/>
        <w:jc w:val="both"/>
      </w:pPr>
      <w:bookmarkStart w:id="8" w:name="_heading=h.2s8eyo1"/>
      <w:bookmarkEnd w:id="8"/>
      <w:r>
        <w:t>O atestado de vistoria poderá ser substituído por declaração emitida pelo licitante em que conste, alternativamente, que conhece as condições locais para execução do objeto</w:t>
      </w:r>
      <w:r>
        <w:rPr>
          <w:strike/>
        </w:rPr>
        <w:t>,</w:t>
      </w:r>
      <w:r>
        <w:t xml:space="preserve"> ou que tem pleno conhecimento das condições e peculiaridades inerentes à natureza do trabalho, assumindo total responsabilidade por este fato e que não utilizará deste para quaisquer questionamentos futuros que ensejem desavenças técnicas ou financeiras com a contratante.</w:t>
      </w:r>
    </w:p>
    <w:p>
      <w:pPr>
        <w:pStyle w:val="4"/>
        <w:numPr>
          <w:ilvl w:val="1"/>
          <w:numId w:val="19"/>
        </w:numPr>
        <w:spacing w:before="120" w:after="120" w:line="276" w:lineRule="auto"/>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4"/>
        <w:numPr>
          <w:ilvl w:val="2"/>
          <w:numId w:val="19"/>
        </w:numPr>
        <w:spacing w:before="120" w:after="120" w:line="276" w:lineRule="auto"/>
        <w:jc w:val="both"/>
        <w:rPr>
          <w:color w:val="000000"/>
        </w:rPr>
      </w:pPr>
      <w:r>
        <w:rPr>
          <w:color w:val="000000"/>
        </w:rPr>
        <w:t>A declaração do vencedor acontecerá no momento imediatamente posterior à fase de habilitação.</w:t>
      </w:r>
    </w:p>
    <w:p>
      <w:pPr>
        <w:pStyle w:val="4"/>
        <w:numPr>
          <w:ilvl w:val="1"/>
          <w:numId w:val="19"/>
        </w:numPr>
        <w:spacing w:before="120" w:after="120" w:line="276" w:lineRule="auto"/>
        <w:jc w:val="both"/>
        <w:rPr>
          <w:color w:val="000000"/>
        </w:rPr>
      </w:pPr>
      <w:r>
        <w:rPr>
          <w:color w:val="00000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pStyle w:val="4"/>
        <w:numPr>
          <w:ilvl w:val="1"/>
          <w:numId w:val="19"/>
        </w:numPr>
        <w:spacing w:before="120" w:after="120" w:line="276" w:lineRule="auto"/>
        <w:jc w:val="both"/>
        <w:rPr>
          <w:color w:val="000000"/>
        </w:rPr>
      </w:pPr>
      <w:r>
        <w:rPr>
          <w:color w:val="00000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pPr>
        <w:pStyle w:val="4"/>
        <w:numPr>
          <w:ilvl w:val="1"/>
          <w:numId w:val="19"/>
        </w:numPr>
        <w:spacing w:before="120" w:after="120" w:line="276" w:lineRule="auto"/>
        <w:jc w:val="both"/>
        <w:rPr>
          <w:color w:val="000000"/>
        </w:rPr>
      </w:pPr>
      <w:r>
        <w:rPr>
          <w:color w:val="000000"/>
        </w:rPr>
        <w:t>Havendo necessidade de analisar minuciosamente os documentos exigidos, o Pregoeiro suspenderá a sessão, informando no “chat” a nova data e horário para a continuidade da mesma.</w:t>
      </w:r>
    </w:p>
    <w:p>
      <w:pPr>
        <w:pStyle w:val="4"/>
        <w:numPr>
          <w:ilvl w:val="1"/>
          <w:numId w:val="19"/>
        </w:numPr>
        <w:spacing w:before="120" w:after="120" w:line="276" w:lineRule="auto"/>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pPr>
        <w:pStyle w:val="4"/>
        <w:numPr>
          <w:ilvl w:val="1"/>
          <w:numId w:val="19"/>
        </w:numPr>
        <w:spacing w:before="120" w:after="120" w:line="276" w:lineRule="auto"/>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pStyle w:val="4"/>
        <w:numPr>
          <w:ilvl w:val="1"/>
          <w:numId w:val="19"/>
        </w:numPr>
        <w:spacing w:before="120" w:after="120" w:line="276" w:lineRule="auto"/>
        <w:jc w:val="both"/>
        <w:rPr>
          <w:color w:val="000000"/>
        </w:rPr>
      </w:pPr>
      <w:r>
        <w:rPr>
          <w:color w:val="000000"/>
        </w:rPr>
        <w:t>Constatado o atendimento às exigências de habilitação fixadas no Edital, o licitante será declarado vencedor.</w:t>
      </w:r>
    </w:p>
    <w:p>
      <w:pPr>
        <w:pStyle w:val="4"/>
        <w:keepNext/>
        <w:keepLines/>
        <w:numPr>
          <w:ilvl w:val="0"/>
          <w:numId w:val="20"/>
        </w:numPr>
        <w:spacing w:before="480" w:after="120" w:line="276" w:lineRule="auto"/>
        <w:ind w:right="-15"/>
        <w:jc w:val="both"/>
        <w:rPr>
          <w:b/>
          <w:color w:val="000000"/>
        </w:rPr>
      </w:pPr>
      <w:r>
        <w:rPr>
          <w:b/>
          <w:color w:val="000000"/>
        </w:rPr>
        <w:t>DO ENCAMINHAMENTO DA PROPOSTA VENCEDORA</w:t>
      </w:r>
    </w:p>
    <w:p>
      <w:pPr>
        <w:pStyle w:val="4"/>
        <w:numPr>
          <w:ilvl w:val="1"/>
          <w:numId w:val="20"/>
        </w:numPr>
        <w:spacing w:before="120" w:after="120" w:line="276" w:lineRule="auto"/>
        <w:ind w:left="425" w:firstLine="0"/>
        <w:jc w:val="both"/>
      </w:pPr>
      <w:r>
        <w:t>A proposta final do licitante declarado vencedor deverá ser encaminhada no prazo de 4 (quatro) horas</w:t>
      </w:r>
      <w:r>
        <w:rPr>
          <w:b/>
        </w:rPr>
        <w:t xml:space="preserve">, </w:t>
      </w:r>
      <w:r>
        <w:t>a contar da solicitação do Pregoeiro no sistema eletrônico e deverá:</w:t>
      </w:r>
    </w:p>
    <w:p>
      <w:pPr>
        <w:pStyle w:val="4"/>
        <w:numPr>
          <w:ilvl w:val="2"/>
          <w:numId w:val="20"/>
        </w:numPr>
        <w:spacing w:before="120" w:line="276" w:lineRule="auto"/>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pPr>
        <w:pStyle w:val="4"/>
        <w:numPr>
          <w:ilvl w:val="2"/>
          <w:numId w:val="20"/>
        </w:numPr>
        <w:spacing w:line="276" w:lineRule="auto"/>
        <w:ind w:left="1134" w:firstLine="0"/>
        <w:jc w:val="both"/>
      </w:pPr>
      <w:r>
        <w:t>apresentar a planilha de custos e formação de preços, devidamente ajustada ao lance vencedor, em conformidade com o modelo anexo a este instrumento convocatório.</w:t>
      </w:r>
    </w:p>
    <w:p>
      <w:pPr>
        <w:pStyle w:val="4"/>
        <w:numPr>
          <w:ilvl w:val="2"/>
          <w:numId w:val="20"/>
        </w:numPr>
        <w:spacing w:after="120" w:line="276" w:lineRule="auto"/>
        <w:ind w:left="1134" w:firstLine="0"/>
        <w:jc w:val="both"/>
      </w:pPr>
      <w:r>
        <w:t>conter a indicação do banco, número da conta e agência do licitante vencedor, para fins de pagamento.</w:t>
      </w:r>
    </w:p>
    <w:p>
      <w:pPr>
        <w:pStyle w:val="4"/>
        <w:numPr>
          <w:ilvl w:val="1"/>
          <w:numId w:val="20"/>
        </w:numPr>
        <w:spacing w:before="120" w:after="120" w:line="276" w:lineRule="auto"/>
        <w:ind w:left="425" w:firstLine="0"/>
        <w:jc w:val="both"/>
      </w:pPr>
      <w:r>
        <w:t>A proposta final deverá ser documentada nos autos e será levada em consideração no decorrer da execução do contrato e aplicação de eventual sanção à Contratada, se for o caso.</w:t>
      </w:r>
    </w:p>
    <w:p>
      <w:pPr>
        <w:pStyle w:val="4"/>
        <w:numPr>
          <w:ilvl w:val="2"/>
          <w:numId w:val="20"/>
        </w:numPr>
        <w:spacing w:before="120" w:after="120" w:line="276" w:lineRule="auto"/>
        <w:ind w:left="1134" w:firstLine="0"/>
        <w:jc w:val="both"/>
      </w:pPr>
      <w:r>
        <w:t>Todas as especificações do objeto contidas na proposta vinculam a Contratada.</w:t>
      </w:r>
    </w:p>
    <w:p>
      <w:pPr>
        <w:pStyle w:val="4"/>
        <w:numPr>
          <w:ilvl w:val="1"/>
          <w:numId w:val="20"/>
        </w:numPr>
        <w:spacing w:before="120" w:after="120" w:line="276" w:lineRule="auto"/>
        <w:ind w:left="425" w:firstLine="0"/>
        <w:jc w:val="both"/>
      </w:pPr>
      <w:r>
        <w:t>Os preços deverão ser expressos em moeda corrente nacional, o valor unitário em algarismos e o valor global em algarismos e por extenso (art. 5º da Lei nº 8.666/93).</w:t>
      </w:r>
    </w:p>
    <w:p>
      <w:pPr>
        <w:pStyle w:val="4"/>
        <w:numPr>
          <w:ilvl w:val="2"/>
          <w:numId w:val="20"/>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pPr>
        <w:pStyle w:val="4"/>
        <w:numPr>
          <w:ilvl w:val="1"/>
          <w:numId w:val="20"/>
        </w:numPr>
        <w:spacing w:before="120" w:after="120" w:line="276" w:lineRule="auto"/>
        <w:ind w:left="425" w:firstLine="0"/>
        <w:jc w:val="both"/>
      </w:pPr>
      <w:r>
        <w:t xml:space="preserve"> </w:t>
      </w:r>
      <w:r>
        <w:tab/>
      </w:r>
      <w:r>
        <w:t>A oferta deverá ser firme e precisa, limitada, rigorosamente, ao objeto deste Edital, sem conter alternativas de preço ou de qualquer outra condição que induza o julgamento a mais de um resultado, sob pena de desclassificação.</w:t>
      </w:r>
    </w:p>
    <w:p>
      <w:pPr>
        <w:pStyle w:val="4"/>
        <w:numPr>
          <w:ilvl w:val="1"/>
          <w:numId w:val="20"/>
        </w:numPr>
        <w:spacing w:before="120" w:after="120" w:line="276" w:lineRule="auto"/>
        <w:ind w:left="425" w:firstLine="0"/>
        <w:jc w:val="both"/>
      </w:pPr>
      <w:r>
        <w:t xml:space="preserve"> </w:t>
      </w:r>
      <w:r>
        <w:tab/>
      </w:r>
      <w:r>
        <w:t>A proposta deverá obedecer aos termos deste Edital e seus Anexos, não sendo considerada aquela que não corresponda às especificações ali contidas ou que estabeleça vínculo à proposta de outro licitante.</w:t>
      </w:r>
    </w:p>
    <w:p>
      <w:pPr>
        <w:pStyle w:val="4"/>
        <w:numPr>
          <w:ilvl w:val="1"/>
          <w:numId w:val="20"/>
        </w:numPr>
        <w:spacing w:before="120" w:after="120" w:line="276" w:lineRule="auto"/>
        <w:ind w:left="425" w:firstLine="0"/>
        <w:jc w:val="both"/>
      </w:pPr>
      <w:r>
        <w:rPr>
          <w:color w:val="000000"/>
        </w:rPr>
        <w:t>As propostas que contenham a descrição do objeto, o valor e os documentos complementares estarão disponíveis na internet, após a homologação.</w:t>
      </w:r>
    </w:p>
    <w:p>
      <w:pPr>
        <w:pStyle w:val="4"/>
        <w:keepNext/>
        <w:keepLines/>
        <w:numPr>
          <w:ilvl w:val="0"/>
          <w:numId w:val="20"/>
        </w:numPr>
        <w:spacing w:before="480" w:after="120" w:line="276" w:lineRule="auto"/>
        <w:ind w:right="-15"/>
        <w:jc w:val="both"/>
        <w:rPr>
          <w:b/>
          <w:color w:val="000000"/>
        </w:rPr>
      </w:pPr>
      <w:r>
        <w:rPr>
          <w:b/>
          <w:color w:val="000000"/>
        </w:rPr>
        <w:t>DOS RECURSOS</w:t>
      </w:r>
    </w:p>
    <w:p>
      <w:pPr>
        <w:pStyle w:val="4"/>
        <w:numPr>
          <w:ilvl w:val="1"/>
          <w:numId w:val="20"/>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qual(is) decisão(ões) pretende recorrer e por quais motivos, em campo próprio do sistema.</w:t>
      </w:r>
    </w:p>
    <w:p>
      <w:pPr>
        <w:pStyle w:val="4"/>
        <w:numPr>
          <w:ilvl w:val="1"/>
          <w:numId w:val="20"/>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pPr>
        <w:pStyle w:val="4"/>
        <w:numPr>
          <w:ilvl w:val="2"/>
          <w:numId w:val="20"/>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pPr>
        <w:pStyle w:val="4"/>
        <w:numPr>
          <w:ilvl w:val="2"/>
          <w:numId w:val="20"/>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pPr>
        <w:pStyle w:val="4"/>
        <w:numPr>
          <w:ilvl w:val="2"/>
          <w:numId w:val="20"/>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pStyle w:val="4"/>
        <w:numPr>
          <w:ilvl w:val="1"/>
          <w:numId w:val="20"/>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pPr>
        <w:pStyle w:val="4"/>
        <w:numPr>
          <w:ilvl w:val="1"/>
          <w:numId w:val="20"/>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pPr>
        <w:pStyle w:val="4"/>
        <w:keepNext/>
        <w:keepLines/>
        <w:numPr>
          <w:ilvl w:val="0"/>
          <w:numId w:val="20"/>
        </w:numPr>
        <w:spacing w:before="480" w:after="120" w:line="276" w:lineRule="auto"/>
        <w:ind w:right="-15"/>
        <w:jc w:val="both"/>
        <w:rPr>
          <w:b/>
          <w:color w:val="000000"/>
        </w:rPr>
      </w:pPr>
      <w:r>
        <w:rPr>
          <w:b/>
          <w:color w:val="000000"/>
        </w:rPr>
        <w:t>DA REABERTURA DA SESSÃO PÚBLICA</w:t>
      </w:r>
    </w:p>
    <w:p>
      <w:pPr>
        <w:pStyle w:val="4"/>
        <w:numPr>
          <w:ilvl w:val="1"/>
          <w:numId w:val="20"/>
        </w:numPr>
        <w:tabs>
          <w:tab w:val="left" w:pos="567"/>
        </w:tabs>
        <w:spacing w:before="120" w:after="120" w:line="276" w:lineRule="auto"/>
        <w:jc w:val="both"/>
        <w:rPr>
          <w:color w:val="000000"/>
        </w:rPr>
      </w:pPr>
      <w:r>
        <w:rPr>
          <w:color w:val="000000"/>
        </w:rPr>
        <w:t>A sessão pública poderá ser reaberta:</w:t>
      </w:r>
    </w:p>
    <w:p>
      <w:pPr>
        <w:pStyle w:val="4"/>
        <w:numPr>
          <w:ilvl w:val="2"/>
          <w:numId w:val="20"/>
        </w:numPr>
        <w:tabs>
          <w:tab w:val="left" w:pos="567"/>
        </w:tabs>
        <w:spacing w:before="120" w:after="120" w:line="276" w:lineRule="auto"/>
        <w:ind w:left="1134" w:firstLine="0"/>
        <w:jc w:val="both"/>
        <w:rPr>
          <w:color w:val="000000"/>
        </w:rPr>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pStyle w:val="4"/>
        <w:numPr>
          <w:ilvl w:val="2"/>
          <w:numId w:val="20"/>
        </w:numPr>
        <w:tabs>
          <w:tab w:val="left" w:pos="567"/>
        </w:tabs>
        <w:spacing w:before="120" w:after="120" w:line="276" w:lineRule="auto"/>
        <w:ind w:left="1134" w:firstLine="0"/>
        <w:jc w:val="both"/>
        <w:rPr>
          <w:color w:val="000000"/>
        </w:rPr>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pPr>
        <w:pStyle w:val="4"/>
        <w:numPr>
          <w:ilvl w:val="1"/>
          <w:numId w:val="20"/>
        </w:numPr>
        <w:tabs>
          <w:tab w:val="left" w:pos="567"/>
        </w:tabs>
        <w:spacing w:before="120" w:after="120" w:line="276" w:lineRule="auto"/>
        <w:ind w:left="425" w:firstLine="0"/>
        <w:jc w:val="both"/>
        <w:rPr>
          <w:color w:val="000000"/>
        </w:rPr>
      </w:pPr>
      <w:r>
        <w:rPr>
          <w:color w:val="000000"/>
        </w:rPr>
        <w:t>Todos os licitantes remanescentes deverão ser convocados para acompanhar a sessão reaberta.</w:t>
      </w:r>
    </w:p>
    <w:p>
      <w:pPr>
        <w:pStyle w:val="4"/>
        <w:numPr>
          <w:ilvl w:val="2"/>
          <w:numId w:val="20"/>
        </w:numPr>
        <w:tabs>
          <w:tab w:val="left" w:pos="567"/>
        </w:tabs>
        <w:spacing w:before="120" w:after="120" w:line="276" w:lineRule="auto"/>
        <w:ind w:left="1134" w:firstLine="0"/>
        <w:jc w:val="both"/>
        <w:rPr>
          <w:color w:val="000000"/>
        </w:rPr>
      </w:pPr>
      <w:r>
        <w:rPr>
          <w:color w:val="000000"/>
        </w:rPr>
        <w:t>A convocação se dará por meio do sistema eletrônico (“chat”) ou e-mail, de acordo com a fase do procedimento licitatório.</w:t>
      </w:r>
    </w:p>
    <w:p>
      <w:pPr>
        <w:pStyle w:val="4"/>
        <w:numPr>
          <w:ilvl w:val="2"/>
          <w:numId w:val="20"/>
        </w:numPr>
        <w:tabs>
          <w:tab w:val="left" w:pos="567"/>
        </w:tabs>
        <w:spacing w:before="120" w:after="120" w:line="276" w:lineRule="auto"/>
        <w:ind w:left="1134" w:firstLine="0"/>
        <w:jc w:val="both"/>
        <w:rPr>
          <w:color w:val="000000"/>
        </w:rPr>
      </w:pPr>
      <w:r>
        <w:rPr>
          <w:color w:val="000000"/>
        </w:rPr>
        <w:t>A convocação feita por e-mail dar-se-á de acordo com os dados contidos no SICAF, sendo responsabilidade do licitante manter seus dados cadastrais atualizados.</w:t>
      </w:r>
    </w:p>
    <w:p>
      <w:pPr>
        <w:pStyle w:val="4"/>
        <w:keepNext/>
        <w:keepLines/>
        <w:numPr>
          <w:ilvl w:val="0"/>
          <w:numId w:val="20"/>
        </w:numPr>
        <w:spacing w:before="480" w:after="120" w:line="276" w:lineRule="auto"/>
        <w:ind w:right="-15"/>
        <w:jc w:val="both"/>
        <w:rPr>
          <w:b/>
          <w:color w:val="000000"/>
        </w:rPr>
      </w:pPr>
      <w:r>
        <w:rPr>
          <w:b/>
          <w:color w:val="000000"/>
        </w:rPr>
        <w:t>DA ADJUDICAÇÃO E HOMOLOGAÇÃO</w:t>
      </w:r>
    </w:p>
    <w:p>
      <w:pPr>
        <w:pStyle w:val="4"/>
        <w:numPr>
          <w:ilvl w:val="1"/>
          <w:numId w:val="20"/>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pPr>
        <w:pStyle w:val="4"/>
        <w:numPr>
          <w:ilvl w:val="1"/>
          <w:numId w:val="20"/>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pPr>
        <w:pStyle w:val="4"/>
        <w:keepNext/>
        <w:keepLines/>
        <w:numPr>
          <w:ilvl w:val="0"/>
          <w:numId w:val="20"/>
        </w:numPr>
        <w:spacing w:before="480" w:after="120" w:line="276" w:lineRule="auto"/>
        <w:ind w:right="-15"/>
        <w:jc w:val="both"/>
        <w:rPr>
          <w:b/>
          <w:color w:val="000000"/>
        </w:rPr>
      </w:pPr>
      <w:r>
        <w:rPr>
          <w:b/>
          <w:color w:val="000000"/>
        </w:rPr>
        <w:t>DA GARANTIA DE EXECUÇÃO</w:t>
      </w:r>
    </w:p>
    <w:p>
      <w:pPr>
        <w:pStyle w:val="4"/>
        <w:numPr>
          <w:ilvl w:val="1"/>
          <w:numId w:val="20"/>
        </w:numPr>
        <w:spacing w:before="120" w:after="120" w:line="276" w:lineRule="auto"/>
        <w:ind w:left="425" w:firstLine="0"/>
        <w:jc w:val="both"/>
      </w:pPr>
      <w:r>
        <w:rPr>
          <w:color w:val="000000"/>
        </w:rPr>
        <w:t>Será</w:t>
      </w:r>
      <w:r>
        <w:t xml:space="preserve"> exigida a prestação de garantia na presente contratação, conforme regras constantes do Termo de Referência. </w:t>
      </w:r>
    </w:p>
    <w:p>
      <w:pPr>
        <w:pStyle w:val="4"/>
        <w:keepNext/>
        <w:keepLines/>
        <w:numPr>
          <w:ilvl w:val="0"/>
          <w:numId w:val="21"/>
        </w:numPr>
        <w:spacing w:before="480" w:after="120" w:line="276" w:lineRule="auto"/>
        <w:ind w:right="-15"/>
        <w:jc w:val="both"/>
        <w:rPr>
          <w:b/>
        </w:rPr>
      </w:pPr>
      <w:r>
        <w:rPr>
          <w:b/>
          <w:color w:val="000000"/>
        </w:rPr>
        <w:t>DO TERMO DE CONTRATO</w:t>
      </w:r>
    </w:p>
    <w:p>
      <w:pPr>
        <w:pStyle w:val="4"/>
        <w:numPr>
          <w:ilvl w:val="1"/>
          <w:numId w:val="21"/>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pPr>
        <w:pStyle w:val="4"/>
        <w:numPr>
          <w:ilvl w:val="1"/>
          <w:numId w:val="21"/>
        </w:numPr>
        <w:spacing w:before="120" w:after="120" w:line="276" w:lineRule="auto"/>
        <w:ind w:left="425" w:firstLine="0"/>
        <w:jc w:val="both"/>
        <w:rPr>
          <w:color w:val="000000"/>
        </w:rPr>
      </w:pPr>
      <w:r>
        <w:rPr>
          <w:color w:val="000000"/>
        </w:rPr>
        <w:t>O adjudicatário terá o prazo de</w:t>
      </w:r>
      <w:r>
        <w:rPr>
          <w:color w:val="000000"/>
          <w:shd w:val="clear" w:color="auto" w:fill="B7B7B7"/>
        </w:rPr>
        <w:t xml:space="preserve"> </w:t>
      </w:r>
      <w:r>
        <w:rPr>
          <w:shd w:val="clear" w:color="auto" w:fill="B7B7B7"/>
        </w:rPr>
        <w:t>5 (cinco) 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pPr>
        <w:pStyle w:val="4"/>
        <w:numPr>
          <w:ilvl w:val="2"/>
          <w:numId w:val="21"/>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Pr>
          <w:shd w:val="clear" w:color="auto" w:fill="B7B7B7"/>
        </w:rPr>
        <w:t>3 (três) dias</w:t>
      </w:r>
      <w:r>
        <w:rPr>
          <w:color w:val="000000"/>
        </w:rPr>
        <w:t xml:space="preserve">, a contar da data de seu recebimento. </w:t>
      </w:r>
    </w:p>
    <w:p>
      <w:pPr>
        <w:pStyle w:val="4"/>
        <w:numPr>
          <w:ilvl w:val="2"/>
          <w:numId w:val="21"/>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pPr>
        <w:pStyle w:val="4"/>
        <w:numPr>
          <w:ilvl w:val="1"/>
          <w:numId w:val="21"/>
        </w:numPr>
        <w:spacing w:before="120" w:after="120" w:line="276" w:lineRule="auto"/>
        <w:ind w:left="425" w:firstLine="0"/>
        <w:jc w:val="both"/>
        <w:rPr>
          <w:color w:val="000000"/>
        </w:rPr>
      </w:pPr>
      <w:r>
        <w:rPr>
          <w:color w:val="000000"/>
        </w:rPr>
        <w:t xml:space="preserve">O prazo de vigência da contratação é de </w:t>
      </w:r>
      <w:r>
        <w:t>12 (doze) meses</w:t>
      </w:r>
      <w:r>
        <w:rPr>
          <w:color w:val="000000"/>
        </w:rPr>
        <w:t xml:space="preserve"> prorrogável conforme </w:t>
      </w:r>
      <w:r>
        <w:t>previsão no instrumento contratual.</w:t>
      </w:r>
    </w:p>
    <w:p>
      <w:pPr>
        <w:pStyle w:val="4"/>
        <w:numPr>
          <w:ilvl w:val="1"/>
          <w:numId w:val="21"/>
        </w:numPr>
        <w:spacing w:before="120" w:after="120" w:line="276" w:lineRule="auto"/>
        <w:ind w:left="425" w:firstLine="0"/>
        <w:jc w:val="both"/>
        <w:rPr>
          <w:color w:val="000000"/>
        </w:rPr>
      </w:pPr>
      <w:r>
        <w:rPr>
          <w:color w:val="00000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pPr>
        <w:pStyle w:val="4"/>
        <w:numPr>
          <w:ilvl w:val="2"/>
          <w:numId w:val="21"/>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pPr>
        <w:pStyle w:val="4"/>
        <w:numPr>
          <w:ilvl w:val="2"/>
          <w:numId w:val="21"/>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pPr>
        <w:pStyle w:val="4"/>
        <w:numPr>
          <w:ilvl w:val="1"/>
          <w:numId w:val="21"/>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pPr>
        <w:pStyle w:val="4"/>
        <w:numPr>
          <w:ilvl w:val="1"/>
          <w:numId w:val="21"/>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pPr>
        <w:pStyle w:val="4"/>
        <w:keepNext/>
        <w:keepLines/>
        <w:numPr>
          <w:ilvl w:val="0"/>
          <w:numId w:val="21"/>
        </w:numPr>
        <w:spacing w:before="480" w:after="120" w:line="276" w:lineRule="auto"/>
        <w:ind w:right="-15"/>
        <w:jc w:val="both"/>
        <w:rPr>
          <w:b/>
        </w:rPr>
      </w:pPr>
      <w:r>
        <w:rPr>
          <w:b/>
          <w:color w:val="000000"/>
          <w:highlight w:val="white"/>
        </w:rPr>
        <w:t>DO REAJUSTAMENTO EM SENTIDO GERAL</w:t>
      </w:r>
    </w:p>
    <w:p>
      <w:pPr>
        <w:pStyle w:val="4"/>
        <w:keepNext/>
        <w:keepLines/>
        <w:numPr>
          <w:ilvl w:val="1"/>
          <w:numId w:val="21"/>
        </w:numPr>
        <w:spacing w:before="120" w:after="360" w:line="276" w:lineRule="auto"/>
        <w:ind w:right="-15"/>
        <w:jc w:val="both"/>
        <w:rPr>
          <w:color w:val="000000"/>
        </w:rPr>
      </w:pPr>
      <w:r>
        <w:rPr>
          <w:color w:val="000000"/>
        </w:rPr>
        <w:t>As</w:t>
      </w:r>
      <w:r>
        <w:rPr>
          <w:b/>
          <w:color w:val="000000"/>
        </w:rPr>
        <w:t xml:space="preserve"> </w:t>
      </w:r>
      <w:r>
        <w:rPr>
          <w:color w:val="000000"/>
        </w:rPr>
        <w:t>regras</w:t>
      </w:r>
      <w:r>
        <w:rPr>
          <w:b/>
          <w:color w:val="000000"/>
        </w:rPr>
        <w:t xml:space="preserve"> </w:t>
      </w:r>
      <w:r>
        <w:rPr>
          <w:color w:val="000000"/>
        </w:rPr>
        <w:t>acerca do reajustamento em sentido geral do valor contratual são as estabelecidas no Termo de Referência, anexo a este Edital.</w:t>
      </w:r>
    </w:p>
    <w:p>
      <w:pPr>
        <w:pStyle w:val="4"/>
        <w:keepNext/>
        <w:keepLines/>
        <w:numPr>
          <w:ilvl w:val="0"/>
          <w:numId w:val="21"/>
        </w:numPr>
        <w:spacing w:before="360" w:after="120" w:line="276" w:lineRule="auto"/>
        <w:ind w:right="-15"/>
        <w:jc w:val="both"/>
        <w:rPr>
          <w:b/>
        </w:rPr>
      </w:pPr>
      <w:r>
        <w:rPr>
          <w:b/>
          <w:color w:val="000000"/>
        </w:rPr>
        <w:t>DA ACEITAÇÃO DO OBJETO E DA FISCALIZAÇÃO</w:t>
      </w:r>
    </w:p>
    <w:p>
      <w:pPr>
        <w:pStyle w:val="4"/>
        <w:numPr>
          <w:ilvl w:val="1"/>
          <w:numId w:val="21"/>
        </w:numPr>
        <w:spacing w:before="120" w:after="120" w:line="276" w:lineRule="auto"/>
        <w:ind w:left="425" w:firstLine="0"/>
        <w:jc w:val="both"/>
      </w:pPr>
      <w:r>
        <w:t>Os critérios de aceitação do objeto e de fiscalização estão previstos no Termo de Referência.</w:t>
      </w:r>
    </w:p>
    <w:p>
      <w:pPr>
        <w:pStyle w:val="4"/>
        <w:keepNext/>
        <w:keepLines/>
        <w:numPr>
          <w:ilvl w:val="0"/>
          <w:numId w:val="21"/>
        </w:numPr>
        <w:spacing w:before="480" w:after="120" w:line="276" w:lineRule="auto"/>
        <w:ind w:right="-15"/>
        <w:jc w:val="both"/>
        <w:rPr>
          <w:b/>
        </w:rPr>
      </w:pPr>
      <w:r>
        <w:rPr>
          <w:b/>
          <w:color w:val="000000"/>
        </w:rPr>
        <w:t>DAS OBRIGAÇÕES DA CONTRATANTE E DA CONTRATADA</w:t>
      </w:r>
    </w:p>
    <w:p>
      <w:pPr>
        <w:pStyle w:val="4"/>
        <w:numPr>
          <w:ilvl w:val="1"/>
          <w:numId w:val="21"/>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pPr>
        <w:pStyle w:val="4"/>
        <w:keepNext/>
        <w:keepLines/>
        <w:numPr>
          <w:ilvl w:val="0"/>
          <w:numId w:val="21"/>
        </w:numPr>
        <w:spacing w:before="480" w:after="120" w:line="276" w:lineRule="auto"/>
        <w:ind w:right="-15"/>
        <w:jc w:val="both"/>
        <w:rPr>
          <w:b/>
        </w:rPr>
      </w:pPr>
      <w:r>
        <w:rPr>
          <w:b/>
          <w:color w:val="000000"/>
        </w:rPr>
        <w:t>DO PAGAMENTO</w:t>
      </w:r>
    </w:p>
    <w:p>
      <w:pPr>
        <w:pStyle w:val="4"/>
        <w:numPr>
          <w:ilvl w:val="1"/>
          <w:numId w:val="21"/>
        </w:numPr>
        <w:spacing w:before="120" w:after="120" w:line="276" w:lineRule="auto"/>
        <w:jc w:val="both"/>
        <w:rPr>
          <w:color w:val="000000"/>
        </w:rPr>
      </w:pPr>
      <w:r>
        <w:rPr>
          <w:color w:val="000000"/>
        </w:rPr>
        <w:t>As regras acerca do pagamento são as estabelecidas no Termo de Referência, anexo a este Edital.</w:t>
      </w:r>
    </w:p>
    <w:p>
      <w:pPr>
        <w:pStyle w:val="4"/>
        <w:keepNext/>
        <w:keepLines/>
        <w:numPr>
          <w:ilvl w:val="0"/>
          <w:numId w:val="21"/>
        </w:numPr>
        <w:spacing w:before="480" w:after="120" w:line="276" w:lineRule="auto"/>
        <w:ind w:right="-15"/>
        <w:jc w:val="both"/>
        <w:rPr>
          <w:b/>
        </w:rPr>
      </w:pPr>
      <w:r>
        <w:rPr>
          <w:b/>
        </w:rPr>
        <w:t>DA CONTA-DEPÓSITO VINCULADA</w:t>
      </w:r>
      <w:r>
        <w:rPr>
          <w:b/>
          <w:highlight w:val="white"/>
        </w:rPr>
        <w:t>― BLOQUEADA PARA MOVIMENTAÇÃO</w:t>
      </w:r>
    </w:p>
    <w:p>
      <w:pPr>
        <w:pStyle w:val="4"/>
        <w:numPr>
          <w:ilvl w:val="1"/>
          <w:numId w:val="21"/>
        </w:numPr>
        <w:spacing w:before="120" w:after="120" w:line="276" w:lineRule="auto"/>
        <w:ind w:left="425" w:firstLine="0"/>
        <w:jc w:val="both"/>
      </w:pPr>
      <w:r>
        <w:rPr>
          <w:highlight w:val="white"/>
        </w:rPr>
        <w:t xml:space="preserve">Para atendimento ao disposto no art. 18 da IN SEGES/MP N. 5/2017, as regras acerca da Conta-Depósito Vinculada – bloqueada para movimentação a que se refere o Anexo XII da IN SEGES/MP n. 5/2017 são as estabelecidas </w:t>
      </w:r>
      <w:r>
        <w:t>no Termo de Referência, anexo a este Edital.</w:t>
      </w:r>
    </w:p>
    <w:p>
      <w:pPr>
        <w:pStyle w:val="4"/>
        <w:keepNext/>
        <w:keepLines/>
        <w:numPr>
          <w:ilvl w:val="0"/>
          <w:numId w:val="22"/>
        </w:numPr>
        <w:spacing w:before="480" w:after="120" w:line="276" w:lineRule="auto"/>
        <w:ind w:right="-15"/>
        <w:jc w:val="both"/>
        <w:rPr>
          <w:b/>
          <w:i/>
        </w:rPr>
      </w:pPr>
      <w:r>
        <w:rPr>
          <w:i/>
          <w:color w:val="FF0000"/>
        </w:rPr>
        <w:t xml:space="preserve"> </w:t>
      </w:r>
      <w:r>
        <w:rPr>
          <w:b/>
          <w:color w:val="000000"/>
        </w:rPr>
        <w:t>DAS SANÇÕES ADMINISTRATIVAS.</w:t>
      </w:r>
    </w:p>
    <w:p>
      <w:pPr>
        <w:pStyle w:val="4"/>
        <w:numPr>
          <w:ilvl w:val="1"/>
          <w:numId w:val="2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pPr>
        <w:pStyle w:val="4"/>
        <w:numPr>
          <w:ilvl w:val="2"/>
          <w:numId w:val="23"/>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pPr>
        <w:pStyle w:val="4"/>
        <w:numPr>
          <w:ilvl w:val="2"/>
          <w:numId w:val="23"/>
        </w:numPr>
        <w:spacing w:before="120" w:after="120" w:line="276" w:lineRule="auto"/>
        <w:jc w:val="both"/>
        <w:rPr>
          <w:color w:val="000000"/>
        </w:rPr>
      </w:pPr>
      <w:r>
        <w:rPr>
          <w:color w:val="000000"/>
        </w:rPr>
        <w:t>não assinar a ata de registro de preços, quando cabível;</w:t>
      </w:r>
    </w:p>
    <w:p>
      <w:pPr>
        <w:pStyle w:val="4"/>
        <w:numPr>
          <w:ilvl w:val="2"/>
          <w:numId w:val="23"/>
        </w:numPr>
        <w:spacing w:before="120" w:after="120" w:line="276" w:lineRule="auto"/>
        <w:jc w:val="both"/>
        <w:rPr>
          <w:color w:val="000000"/>
        </w:rPr>
      </w:pPr>
      <w:r>
        <w:rPr>
          <w:color w:val="000000"/>
        </w:rPr>
        <w:t>apresentar documentação falsa;</w:t>
      </w:r>
    </w:p>
    <w:p>
      <w:pPr>
        <w:pStyle w:val="4"/>
        <w:numPr>
          <w:ilvl w:val="2"/>
          <w:numId w:val="23"/>
        </w:numPr>
        <w:spacing w:before="120" w:after="120" w:line="276" w:lineRule="auto"/>
        <w:jc w:val="both"/>
        <w:rPr>
          <w:color w:val="000000"/>
        </w:rPr>
      </w:pPr>
      <w:r>
        <w:rPr>
          <w:color w:val="000000"/>
        </w:rPr>
        <w:t>deixar de entregar os documentos exigidos no certame;</w:t>
      </w:r>
    </w:p>
    <w:p>
      <w:pPr>
        <w:pStyle w:val="4"/>
        <w:numPr>
          <w:ilvl w:val="2"/>
          <w:numId w:val="23"/>
        </w:numPr>
        <w:spacing w:before="120" w:after="120" w:line="276" w:lineRule="auto"/>
        <w:jc w:val="both"/>
        <w:rPr>
          <w:color w:val="000000"/>
        </w:rPr>
      </w:pPr>
      <w:r>
        <w:rPr>
          <w:color w:val="000000"/>
        </w:rPr>
        <w:t>ensejar o retardamento da execução do objeto;</w:t>
      </w:r>
    </w:p>
    <w:p>
      <w:pPr>
        <w:pStyle w:val="4"/>
        <w:numPr>
          <w:ilvl w:val="2"/>
          <w:numId w:val="23"/>
        </w:numPr>
        <w:spacing w:before="120" w:after="120" w:line="276" w:lineRule="auto"/>
        <w:jc w:val="both"/>
        <w:rPr>
          <w:color w:val="000000"/>
        </w:rPr>
      </w:pPr>
      <w:r>
        <w:rPr>
          <w:color w:val="000000"/>
        </w:rPr>
        <w:t>não mantiver a proposta;</w:t>
      </w:r>
    </w:p>
    <w:p>
      <w:pPr>
        <w:pStyle w:val="4"/>
        <w:numPr>
          <w:ilvl w:val="2"/>
          <w:numId w:val="23"/>
        </w:numPr>
        <w:spacing w:before="120" w:after="120" w:line="276" w:lineRule="auto"/>
        <w:jc w:val="both"/>
        <w:rPr>
          <w:color w:val="000000"/>
        </w:rPr>
      </w:pPr>
      <w:r>
        <w:rPr>
          <w:color w:val="000000"/>
        </w:rPr>
        <w:t>cometer fraude fiscal;</w:t>
      </w:r>
    </w:p>
    <w:p>
      <w:pPr>
        <w:pStyle w:val="4"/>
        <w:numPr>
          <w:ilvl w:val="2"/>
          <w:numId w:val="23"/>
        </w:numPr>
        <w:spacing w:before="120" w:after="120" w:line="276" w:lineRule="auto"/>
        <w:jc w:val="both"/>
        <w:rPr>
          <w:color w:val="000000"/>
        </w:rPr>
      </w:pPr>
      <w:r>
        <w:rPr>
          <w:color w:val="000000"/>
        </w:rPr>
        <w:t>comportar-se de modo inidôneo;</w:t>
      </w:r>
    </w:p>
    <w:p>
      <w:pPr>
        <w:pStyle w:val="4"/>
        <w:numPr>
          <w:ilvl w:val="1"/>
          <w:numId w:val="23"/>
        </w:numPr>
        <w:spacing w:before="120" w:after="120" w:line="276" w:lineRule="auto"/>
        <w:ind w:left="425" w:firstLine="0"/>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pPr>
        <w:pStyle w:val="4"/>
        <w:numPr>
          <w:ilvl w:val="1"/>
          <w:numId w:val="2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pStyle w:val="4"/>
        <w:numPr>
          <w:ilvl w:val="1"/>
          <w:numId w:val="23"/>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pPr>
        <w:pStyle w:val="4"/>
        <w:numPr>
          <w:ilvl w:val="2"/>
          <w:numId w:val="2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pPr>
        <w:pStyle w:val="4"/>
        <w:numPr>
          <w:ilvl w:val="2"/>
          <w:numId w:val="23"/>
        </w:numPr>
        <w:spacing w:before="120" w:after="120" w:line="276" w:lineRule="auto"/>
        <w:jc w:val="both"/>
        <w:rPr>
          <w:color w:val="000000"/>
        </w:rPr>
      </w:pPr>
      <w:r>
        <w:rPr>
          <w:color w:val="000000"/>
        </w:rPr>
        <w:t xml:space="preserve">Multa de </w:t>
      </w:r>
      <w:r>
        <w:t>5</w:t>
      </w:r>
      <w:r>
        <w:rPr>
          <w:color w:val="000000"/>
        </w:rPr>
        <w:t>% (</w:t>
      </w:r>
      <w:r>
        <w:t>cinco</w:t>
      </w:r>
      <w:r>
        <w:rPr>
          <w:color w:val="000000"/>
        </w:rPr>
        <w:t xml:space="preserve"> por cento) sobre o valor estimado do(s) item(s) prejudicado(s) pela conduta do licitante;</w:t>
      </w:r>
    </w:p>
    <w:p>
      <w:pPr>
        <w:pStyle w:val="4"/>
        <w:numPr>
          <w:ilvl w:val="2"/>
          <w:numId w:val="23"/>
        </w:numPr>
        <w:spacing w:before="120" w:after="120" w:line="276" w:lineRule="auto"/>
        <w:ind w:right="-30"/>
        <w:jc w:val="both"/>
        <w:rPr>
          <w:color w:val="000000"/>
        </w:rPr>
      </w:pPr>
      <w:r>
        <w:rPr>
          <w:color w:val="000000"/>
        </w:rPr>
        <w:t>Suspensão de licitar e impedimento de contratar com o órgão, entidade ou unidade administrativa pela qual a Administração Pública opera e atua concretamente, pelo prazo de até dois anos;</w:t>
      </w:r>
    </w:p>
    <w:p>
      <w:pPr>
        <w:pStyle w:val="4"/>
        <w:numPr>
          <w:ilvl w:val="2"/>
          <w:numId w:val="23"/>
        </w:numPr>
        <w:spacing w:before="120" w:after="120" w:line="276" w:lineRule="auto"/>
        <w:jc w:val="both"/>
        <w:rPr>
          <w:color w:val="000000"/>
        </w:rPr>
      </w:pPr>
      <w:r>
        <w:rPr>
          <w:color w:val="000000"/>
        </w:rPr>
        <w:t>Impedimento de licitar e de contratar com a União e descredenciamento no SICAF, pelo prazo de até cinco anos;</w:t>
      </w:r>
    </w:p>
    <w:p>
      <w:pPr>
        <w:pStyle w:val="4"/>
        <w:numPr>
          <w:ilvl w:val="2"/>
          <w:numId w:val="23"/>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pStyle w:val="4"/>
        <w:numPr>
          <w:ilvl w:val="1"/>
          <w:numId w:val="23"/>
        </w:numPr>
        <w:spacing w:before="120" w:after="120" w:line="276" w:lineRule="auto"/>
        <w:ind w:left="425" w:firstLine="0"/>
        <w:jc w:val="both"/>
        <w:rPr>
          <w:color w:val="000000"/>
        </w:rPr>
      </w:pPr>
      <w:r>
        <w:rPr>
          <w:color w:val="000000"/>
        </w:rPr>
        <w:t>A penalidade de multa pode ser aplicada cumulativamente com as demais sanções.</w:t>
      </w:r>
    </w:p>
    <w:p>
      <w:pPr>
        <w:pStyle w:val="4"/>
        <w:numPr>
          <w:ilvl w:val="1"/>
          <w:numId w:val="23"/>
        </w:numPr>
        <w:spacing w:before="120" w:after="120" w:line="276" w:lineRule="auto"/>
        <w:ind w:left="425" w:firstLine="0"/>
        <w:jc w:val="both"/>
        <w:rPr>
          <w:color w:val="000000"/>
        </w:rPr>
      </w:pPr>
      <w:r>
        <w:rPr>
          <w:color w:val="00000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pStyle w:val="4"/>
        <w:numPr>
          <w:ilvl w:val="1"/>
          <w:numId w:val="2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pStyle w:val="4"/>
        <w:numPr>
          <w:ilvl w:val="1"/>
          <w:numId w:val="2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pStyle w:val="4"/>
        <w:numPr>
          <w:ilvl w:val="1"/>
          <w:numId w:val="2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pPr>
        <w:pStyle w:val="4"/>
        <w:numPr>
          <w:ilvl w:val="1"/>
          <w:numId w:val="2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pStyle w:val="4"/>
        <w:numPr>
          <w:ilvl w:val="1"/>
          <w:numId w:val="2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pPr>
        <w:pStyle w:val="4"/>
        <w:numPr>
          <w:ilvl w:val="1"/>
          <w:numId w:val="23"/>
        </w:numPr>
        <w:spacing w:before="120" w:after="120" w:line="276" w:lineRule="auto"/>
        <w:ind w:left="425" w:firstLine="0"/>
        <w:jc w:val="both"/>
        <w:rPr>
          <w:color w:val="000000"/>
        </w:rPr>
      </w:pPr>
      <w:r>
        <w:rPr>
          <w:color w:val="000000"/>
        </w:rPr>
        <w:t>As penalidades serão obrigatoriamente registradas no SICAF.</w:t>
      </w:r>
    </w:p>
    <w:p>
      <w:pPr>
        <w:pStyle w:val="4"/>
        <w:numPr>
          <w:ilvl w:val="1"/>
          <w:numId w:val="2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pPr>
        <w:pStyle w:val="4"/>
        <w:keepNext/>
        <w:keepLines/>
        <w:numPr>
          <w:ilvl w:val="0"/>
          <w:numId w:val="23"/>
        </w:numPr>
        <w:spacing w:before="480" w:after="120" w:line="276" w:lineRule="auto"/>
        <w:ind w:right="-15"/>
        <w:jc w:val="both"/>
        <w:rPr>
          <w:b/>
          <w:i/>
        </w:rPr>
      </w:pPr>
      <w:r>
        <w:rPr>
          <w:b/>
          <w:color w:val="000000"/>
        </w:rPr>
        <w:t>DA IMPUGNAÇÃO AO EDITAL E DO PEDIDO DE ESCLARECIMENTO</w:t>
      </w:r>
    </w:p>
    <w:p>
      <w:pPr>
        <w:pStyle w:val="4"/>
        <w:numPr>
          <w:ilvl w:val="1"/>
          <w:numId w:val="23"/>
        </w:numPr>
        <w:spacing w:before="120" w:after="120" w:line="276" w:lineRule="auto"/>
        <w:ind w:left="425" w:firstLine="0"/>
        <w:jc w:val="both"/>
        <w:rPr>
          <w:color w:val="000000"/>
        </w:rPr>
      </w:pPr>
      <w:r>
        <w:t xml:space="preserve">Até </w:t>
      </w:r>
      <w:r>
        <w:rPr>
          <w:color w:val="000000"/>
        </w:rPr>
        <w:t>03 (três) dias úteis antes da data designada para a abertura da sessão pública, qualquer pessoa poderá impugnar este Edital.</w:t>
      </w:r>
    </w:p>
    <w:p>
      <w:pPr>
        <w:pStyle w:val="4"/>
        <w:numPr>
          <w:ilvl w:val="1"/>
          <w:numId w:val="23"/>
        </w:numPr>
        <w:spacing w:before="120" w:after="120" w:line="276" w:lineRule="auto"/>
        <w:ind w:left="425" w:firstLine="0"/>
        <w:jc w:val="both"/>
      </w:pPr>
      <w:r>
        <w:rPr>
          <w:color w:val="000000"/>
        </w:rPr>
        <w:t xml:space="preserve">A impugnação poderá ser realizada por forma eletrônica, pelo e-mail </w:t>
      </w:r>
      <w:r>
        <w:fldChar w:fldCharType="begin"/>
      </w:r>
      <w:r>
        <w:instrText xml:space="preserve"> HYPERLINK "mailto:cpl@id.uff.br" \h </w:instrText>
      </w:r>
      <w:r>
        <w:fldChar w:fldCharType="separate"/>
      </w:r>
      <w:r>
        <w:rPr>
          <w:rStyle w:val="178"/>
        </w:rPr>
        <w:t>cpl@id.uff.br</w:t>
      </w:r>
      <w:r>
        <w:rPr>
          <w:rStyle w:val="178"/>
        </w:rPr>
        <w:fldChar w:fldCharType="end"/>
      </w:r>
      <w:r>
        <w:t>.</w:t>
      </w:r>
    </w:p>
    <w:p>
      <w:pPr>
        <w:pStyle w:val="4"/>
        <w:numPr>
          <w:ilvl w:val="1"/>
          <w:numId w:val="23"/>
        </w:numPr>
        <w:spacing w:before="120" w:after="120" w:line="276" w:lineRule="auto"/>
        <w:ind w:left="425" w:firstLine="0"/>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pPr>
        <w:pStyle w:val="4"/>
        <w:numPr>
          <w:ilvl w:val="1"/>
          <w:numId w:val="23"/>
        </w:numPr>
        <w:spacing w:before="120" w:after="120" w:line="276" w:lineRule="auto"/>
        <w:ind w:left="425" w:firstLine="0"/>
        <w:jc w:val="both"/>
        <w:rPr>
          <w:color w:val="000000"/>
        </w:rPr>
      </w:pPr>
      <w:r>
        <w:rPr>
          <w:color w:val="000000"/>
        </w:rPr>
        <w:t>Acolhida a impugnação, será definida e publicada nova data para a realização do certame.</w:t>
      </w:r>
    </w:p>
    <w:p>
      <w:pPr>
        <w:pStyle w:val="4"/>
        <w:numPr>
          <w:ilvl w:val="1"/>
          <w:numId w:val="2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pPr>
        <w:pStyle w:val="4"/>
        <w:numPr>
          <w:ilvl w:val="1"/>
          <w:numId w:val="23"/>
        </w:numPr>
        <w:spacing w:before="120" w:after="120" w:line="276" w:lineRule="auto"/>
        <w:ind w:left="425" w:firstLine="0"/>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pPr>
        <w:pStyle w:val="4"/>
        <w:numPr>
          <w:ilvl w:val="1"/>
          <w:numId w:val="23"/>
        </w:numPr>
        <w:spacing w:before="120" w:after="120" w:line="276" w:lineRule="auto"/>
        <w:ind w:left="425" w:firstLine="0"/>
        <w:jc w:val="both"/>
        <w:rPr>
          <w:color w:val="000000"/>
        </w:rPr>
      </w:pPr>
      <w:r>
        <w:rPr>
          <w:color w:val="000000"/>
        </w:rPr>
        <w:t>As impugnações e pedidos de esclarecimentos não suspendem os prazos previstos no certame.</w:t>
      </w:r>
    </w:p>
    <w:p>
      <w:pPr>
        <w:pStyle w:val="4"/>
        <w:numPr>
          <w:ilvl w:val="2"/>
          <w:numId w:val="2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pPr>
        <w:pStyle w:val="4"/>
        <w:numPr>
          <w:ilvl w:val="1"/>
          <w:numId w:val="23"/>
        </w:numPr>
        <w:spacing w:before="120" w:after="120" w:line="276" w:lineRule="auto"/>
        <w:jc w:val="both"/>
        <w:rPr>
          <w:color w:val="000000"/>
        </w:rPr>
      </w:pPr>
      <w:r>
        <w:rPr>
          <w:color w:val="000000"/>
        </w:rPr>
        <w:t>As respostas aos pedidos de esclarecimentos serão divulgadas pelo sistema e vincularão os participantes e a Administração.</w:t>
      </w:r>
    </w:p>
    <w:p>
      <w:pPr>
        <w:pStyle w:val="4"/>
        <w:keepNext/>
        <w:keepLines/>
        <w:numPr>
          <w:ilvl w:val="0"/>
          <w:numId w:val="23"/>
        </w:numPr>
        <w:spacing w:before="480" w:after="120" w:line="276" w:lineRule="auto"/>
        <w:ind w:right="-15"/>
        <w:jc w:val="both"/>
        <w:rPr>
          <w:b/>
        </w:rPr>
      </w:pPr>
      <w:r>
        <w:rPr>
          <w:b/>
          <w:color w:val="000000"/>
        </w:rPr>
        <w:t>DAS DISPOSIÇÕES GERAIS</w:t>
      </w:r>
    </w:p>
    <w:p>
      <w:pPr>
        <w:pStyle w:val="4"/>
        <w:numPr>
          <w:ilvl w:val="1"/>
          <w:numId w:val="23"/>
        </w:numPr>
        <w:spacing w:before="120" w:after="120" w:line="276" w:lineRule="auto"/>
        <w:ind w:left="425" w:firstLine="0"/>
        <w:jc w:val="both"/>
        <w:rPr>
          <w:color w:val="000000"/>
        </w:rPr>
      </w:pPr>
      <w:r>
        <w:rPr>
          <w:color w:val="000000"/>
        </w:rPr>
        <w:t>Da sessão pública do Pregão divulgar-se-á Ata no sistema eletrônico.</w:t>
      </w:r>
    </w:p>
    <w:p>
      <w:pPr>
        <w:pStyle w:val="4"/>
        <w:numPr>
          <w:ilvl w:val="1"/>
          <w:numId w:val="2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pStyle w:val="4"/>
        <w:numPr>
          <w:ilvl w:val="1"/>
          <w:numId w:val="2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pPr>
        <w:pStyle w:val="4"/>
        <w:numPr>
          <w:ilvl w:val="1"/>
          <w:numId w:val="23"/>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4"/>
        <w:numPr>
          <w:ilvl w:val="1"/>
          <w:numId w:val="23"/>
        </w:numPr>
        <w:spacing w:before="120" w:after="120" w:line="276" w:lineRule="auto"/>
        <w:ind w:left="425" w:firstLine="0"/>
        <w:jc w:val="both"/>
        <w:rPr>
          <w:color w:val="000000"/>
        </w:rPr>
      </w:pPr>
      <w:r>
        <w:rPr>
          <w:color w:val="000000"/>
        </w:rPr>
        <w:t>A homologação do resultado desta licitação não implicará direito à contratação.</w:t>
      </w:r>
    </w:p>
    <w:p>
      <w:pPr>
        <w:pStyle w:val="4"/>
        <w:numPr>
          <w:ilvl w:val="1"/>
          <w:numId w:val="2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pPr>
        <w:pStyle w:val="4"/>
        <w:numPr>
          <w:ilvl w:val="1"/>
          <w:numId w:val="2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pPr>
        <w:pStyle w:val="4"/>
        <w:numPr>
          <w:ilvl w:val="1"/>
          <w:numId w:val="2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pPr>
        <w:pStyle w:val="4"/>
        <w:numPr>
          <w:ilvl w:val="1"/>
          <w:numId w:val="23"/>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pPr>
        <w:pStyle w:val="4"/>
        <w:numPr>
          <w:ilvl w:val="1"/>
          <w:numId w:val="2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pPr>
        <w:pStyle w:val="4"/>
        <w:numPr>
          <w:ilvl w:val="1"/>
          <w:numId w:val="23"/>
        </w:numPr>
        <w:spacing w:before="120" w:after="120" w:line="276" w:lineRule="auto"/>
        <w:ind w:left="425" w:firstLine="0"/>
        <w:jc w:val="both"/>
      </w:pPr>
      <w:r>
        <w:rPr>
          <w:color w:val="000000"/>
        </w:rPr>
        <w:t xml:space="preserve">O Edital está disponibilizado, na íntegra, no endereço eletrônico </w:t>
      </w:r>
      <w:r>
        <w:rPr>
          <w:rFonts w:ascii="SimSun" w:hAnsi="SimSun" w:eastAsia="SimSun" w:cs="SimSun"/>
          <w:b w:val="0"/>
          <w:bCs w:val="0"/>
          <w:sz w:val="24"/>
          <w:szCs w:val="24"/>
          <w:u w:val="none"/>
        </w:rPr>
        <w:fldChar w:fldCharType="begin"/>
      </w:r>
      <w:r>
        <w:rPr>
          <w:rFonts w:ascii="SimSun" w:hAnsi="SimSun" w:eastAsia="SimSun" w:cs="SimSun"/>
          <w:b w:val="0"/>
          <w:bCs w:val="0"/>
          <w:sz w:val="24"/>
          <w:szCs w:val="24"/>
          <w:u w:val="none"/>
        </w:rPr>
        <w:instrText xml:space="preserve"> HYPERLINK "http://www.gov.br/compras" </w:instrText>
      </w:r>
      <w:r>
        <w:rPr>
          <w:rFonts w:ascii="SimSun" w:hAnsi="SimSun" w:eastAsia="SimSun" w:cs="SimSun"/>
          <w:b w:val="0"/>
          <w:bCs w:val="0"/>
          <w:sz w:val="24"/>
          <w:szCs w:val="24"/>
          <w:u w:val="none"/>
        </w:rPr>
        <w:fldChar w:fldCharType="separate"/>
      </w:r>
      <w:r>
        <w:rPr>
          <w:rStyle w:val="15"/>
          <w:rFonts w:ascii="Calibri" w:hAnsi="Calibri" w:eastAsia="SimSun" w:cs="Calibri"/>
          <w:b/>
          <w:bCs/>
          <w:i w:val="0"/>
          <w:iCs w:val="0"/>
          <w:color w:val="0000FF"/>
          <w:sz w:val="22"/>
          <w:szCs w:val="22"/>
          <w:u w:val="single"/>
          <w:vertAlign w:val="baseline"/>
        </w:rPr>
        <w:t>www.gov.br/compras</w:t>
      </w:r>
      <w:r>
        <w:rPr>
          <w:rFonts w:ascii="SimSun" w:hAnsi="SimSun" w:eastAsia="SimSun" w:cs="SimSun"/>
          <w:b w:val="0"/>
          <w:bCs w:val="0"/>
          <w:sz w:val="24"/>
          <w:szCs w:val="24"/>
          <w:u w:val="none"/>
        </w:rPr>
        <w:fldChar w:fldCharType="end"/>
      </w:r>
      <w:r>
        <w:rPr>
          <w:rFonts w:hint="default" w:ascii="Calibri" w:hAnsi="Calibri" w:eastAsia="SimSun" w:cs="Calibri"/>
          <w:i w:val="0"/>
          <w:iCs w:val="0"/>
          <w:color w:val="000000"/>
          <w:sz w:val="22"/>
          <w:szCs w:val="22"/>
          <w:u w:val="none"/>
          <w:vertAlign w:val="baseline"/>
        </w:rPr>
        <w:t xml:space="preserve"> e</w:t>
      </w:r>
      <w:r>
        <w:rPr>
          <w:rFonts w:ascii="SimSun" w:hAnsi="SimSun" w:eastAsia="SimSun" w:cs="SimSun"/>
          <w:b w:val="0"/>
          <w:bCs w:val="0"/>
          <w:sz w:val="24"/>
          <w:szCs w:val="24"/>
          <w:u w:val="none"/>
        </w:rPr>
        <w:fldChar w:fldCharType="begin"/>
      </w:r>
      <w:r>
        <w:rPr>
          <w:rFonts w:ascii="SimSun" w:hAnsi="SimSun" w:eastAsia="SimSun" w:cs="SimSun"/>
          <w:b w:val="0"/>
          <w:bCs w:val="0"/>
          <w:sz w:val="24"/>
          <w:szCs w:val="24"/>
          <w:u w:val="none"/>
        </w:rPr>
        <w:instrText xml:space="preserve"> HYPERLINK "http://www.uff.br/licitacoes" </w:instrText>
      </w:r>
      <w:r>
        <w:rPr>
          <w:rFonts w:ascii="SimSun" w:hAnsi="SimSun" w:eastAsia="SimSun" w:cs="SimSun"/>
          <w:b w:val="0"/>
          <w:bCs w:val="0"/>
          <w:sz w:val="24"/>
          <w:szCs w:val="24"/>
          <w:u w:val="none"/>
        </w:rPr>
        <w:fldChar w:fldCharType="separate"/>
      </w:r>
      <w:r>
        <w:rPr>
          <w:rStyle w:val="15"/>
          <w:rFonts w:hint="default" w:ascii="Calibri" w:hAnsi="Calibri" w:eastAsia="SimSun" w:cs="Calibri"/>
          <w:i w:val="0"/>
          <w:iCs w:val="0"/>
          <w:color w:val="000000"/>
          <w:sz w:val="22"/>
          <w:szCs w:val="22"/>
          <w:u w:val="none"/>
          <w:vertAlign w:val="baseline"/>
        </w:rPr>
        <w:t xml:space="preserve"> </w:t>
      </w:r>
      <w:r>
        <w:rPr>
          <w:rStyle w:val="15"/>
          <w:rFonts w:hint="default" w:ascii="Calibri" w:hAnsi="Calibri" w:eastAsia="SimSun" w:cs="Calibri"/>
          <w:b/>
          <w:bCs/>
          <w:i w:val="0"/>
          <w:iCs w:val="0"/>
          <w:color w:val="0000FF"/>
          <w:sz w:val="22"/>
          <w:szCs w:val="22"/>
          <w:u w:val="single"/>
          <w:vertAlign w:val="baseline"/>
        </w:rPr>
        <w:t>www.uff.br/licitacoes</w:t>
      </w:r>
      <w:r>
        <w:rPr>
          <w:rFonts w:ascii="SimSun" w:hAnsi="SimSun" w:eastAsia="SimSun" w:cs="SimSun"/>
          <w:b w:val="0"/>
          <w:bCs w:val="0"/>
          <w:sz w:val="24"/>
          <w:szCs w:val="24"/>
          <w:u w:val="none"/>
        </w:rPr>
        <w:fldChar w:fldCharType="end"/>
      </w:r>
      <w:r>
        <w:rPr>
          <w:rFonts w:hint="default" w:ascii="Calibri" w:hAnsi="Calibri" w:eastAsia="SimSun" w:cs="Calibri"/>
          <w:i w:val="0"/>
          <w:iCs w:val="0"/>
          <w:color w:val="000000"/>
          <w:sz w:val="22"/>
          <w:szCs w:val="22"/>
          <w:u w:val="none"/>
          <w:vertAlign w:val="baseline"/>
        </w:rPr>
        <w:t xml:space="preserve">. Os autos do processo administrativo são digitais e podem ser consultados, por qualquer interessado, por meio do clique no nº do processo, constante também do endereço eletrônico </w:t>
      </w:r>
      <w:r>
        <w:rPr>
          <w:rFonts w:hint="default" w:ascii="Calibri" w:hAnsi="Calibri" w:eastAsia="SimSun" w:cs="Calibri"/>
          <w:b/>
          <w:bCs/>
          <w:i w:val="0"/>
          <w:iCs w:val="0"/>
          <w:color w:val="000000"/>
          <w:sz w:val="22"/>
          <w:szCs w:val="22"/>
          <w:u w:val="none"/>
          <w:vertAlign w:val="baseline"/>
        </w:rPr>
        <w:t>&lt;</w:t>
      </w:r>
      <w:r>
        <w:rPr>
          <w:rFonts w:ascii="SimSun" w:hAnsi="SimSun" w:eastAsia="SimSun" w:cs="SimSun"/>
          <w:b w:val="0"/>
          <w:bCs w:val="0"/>
          <w:sz w:val="24"/>
          <w:szCs w:val="24"/>
          <w:u w:val="none"/>
        </w:rPr>
        <w:fldChar w:fldCharType="begin"/>
      </w:r>
      <w:r>
        <w:rPr>
          <w:rFonts w:ascii="SimSun" w:hAnsi="SimSun" w:eastAsia="SimSun" w:cs="SimSun"/>
          <w:b w:val="0"/>
          <w:bCs w:val="0"/>
          <w:sz w:val="24"/>
          <w:szCs w:val="24"/>
          <w:u w:val="none"/>
        </w:rPr>
        <w:instrText xml:space="preserve"> HYPERLINK "http://www.uff.br/licitacoes" </w:instrText>
      </w:r>
      <w:r>
        <w:rPr>
          <w:rFonts w:ascii="SimSun" w:hAnsi="SimSun" w:eastAsia="SimSun" w:cs="SimSun"/>
          <w:b w:val="0"/>
          <w:bCs w:val="0"/>
          <w:sz w:val="24"/>
          <w:szCs w:val="24"/>
          <w:u w:val="none"/>
        </w:rPr>
        <w:fldChar w:fldCharType="separate"/>
      </w:r>
      <w:r>
        <w:rPr>
          <w:rStyle w:val="15"/>
          <w:rFonts w:hint="default" w:ascii="Calibri" w:hAnsi="Calibri" w:eastAsia="SimSun" w:cs="Calibri"/>
          <w:b/>
          <w:bCs/>
          <w:i w:val="0"/>
          <w:iCs w:val="0"/>
          <w:color w:val="000000"/>
          <w:sz w:val="22"/>
          <w:szCs w:val="22"/>
          <w:u w:val="none"/>
          <w:vertAlign w:val="baseline"/>
        </w:rPr>
        <w:t xml:space="preserve"> </w:t>
      </w:r>
      <w:r>
        <w:rPr>
          <w:rStyle w:val="15"/>
          <w:rFonts w:hint="default" w:ascii="Calibri" w:hAnsi="Calibri" w:eastAsia="SimSun" w:cs="Calibri"/>
          <w:b/>
          <w:bCs/>
          <w:i w:val="0"/>
          <w:iCs w:val="0"/>
          <w:color w:val="0000FF"/>
          <w:sz w:val="22"/>
          <w:szCs w:val="22"/>
          <w:u w:val="single"/>
          <w:vertAlign w:val="baseline"/>
        </w:rPr>
        <w:t>www.uff.br/licitacoes</w:t>
      </w:r>
      <w:r>
        <w:rPr>
          <w:rFonts w:ascii="SimSun" w:hAnsi="SimSun" w:eastAsia="SimSun" w:cs="SimSun"/>
          <w:b w:val="0"/>
          <w:bCs w:val="0"/>
          <w:sz w:val="24"/>
          <w:szCs w:val="24"/>
          <w:u w:val="none"/>
        </w:rPr>
        <w:fldChar w:fldCharType="end"/>
      </w:r>
      <w:r>
        <w:rPr>
          <w:rFonts w:hint="default" w:ascii="Calibri" w:hAnsi="Calibri" w:eastAsia="SimSun" w:cs="Calibri"/>
          <w:b/>
          <w:bCs/>
          <w:i w:val="0"/>
          <w:iCs w:val="0"/>
          <w:color w:val="000000"/>
          <w:sz w:val="22"/>
          <w:szCs w:val="22"/>
          <w:u w:val="none"/>
          <w:vertAlign w:val="baseline"/>
        </w:rPr>
        <w:t xml:space="preserve"> &gt;</w:t>
      </w:r>
      <w:r>
        <w:rPr>
          <w:color w:val="000000"/>
        </w:rPr>
        <w:t>.</w:t>
      </w:r>
    </w:p>
    <w:p>
      <w:pPr>
        <w:pStyle w:val="4"/>
        <w:numPr>
          <w:ilvl w:val="1"/>
          <w:numId w:val="23"/>
        </w:numPr>
        <w:spacing w:before="120" w:after="120" w:line="276" w:lineRule="auto"/>
        <w:ind w:left="425" w:firstLine="0"/>
        <w:jc w:val="both"/>
        <w:rPr>
          <w:color w:val="000000"/>
        </w:rPr>
      </w:pPr>
      <w:r>
        <w:rPr>
          <w:color w:val="000000"/>
        </w:rPr>
        <w:t>Integram este Edital, para todos os fins e efeitos, os seguintes anexos:</w:t>
      </w:r>
    </w:p>
    <w:p>
      <w:pPr>
        <w:pStyle w:val="4"/>
        <w:numPr>
          <w:ilvl w:val="2"/>
          <w:numId w:val="23"/>
        </w:numPr>
        <w:spacing w:before="120" w:after="120" w:line="276" w:lineRule="auto"/>
        <w:jc w:val="both"/>
        <w:rPr>
          <w:color w:val="000000"/>
        </w:rPr>
      </w:pPr>
      <w:r>
        <w:rPr>
          <w:color w:val="000000"/>
        </w:rPr>
        <w:t>ANEXO I - Termo de Referência;</w:t>
      </w:r>
    </w:p>
    <w:p>
      <w:pPr>
        <w:pStyle w:val="4"/>
        <w:numPr>
          <w:ilvl w:val="2"/>
          <w:numId w:val="23"/>
        </w:numPr>
        <w:spacing w:before="120" w:after="120" w:line="276" w:lineRule="auto"/>
        <w:jc w:val="both"/>
      </w:pPr>
      <w:r>
        <w:t xml:space="preserve">ANEXO II - </w:t>
      </w:r>
      <w:r>
        <w:rPr>
          <w:rFonts w:hint="default"/>
          <w:lang w:val="pt-BR"/>
        </w:rPr>
        <w:t>Relação de Postos, Equipamentos, Materiais e Uniformes</w:t>
      </w:r>
      <w:r>
        <w:t>;</w:t>
      </w:r>
    </w:p>
    <w:p>
      <w:pPr>
        <w:pStyle w:val="4"/>
        <w:numPr>
          <w:ilvl w:val="2"/>
          <w:numId w:val="23"/>
        </w:numPr>
        <w:spacing w:before="120" w:after="120" w:line="276" w:lineRule="auto"/>
        <w:jc w:val="both"/>
      </w:pPr>
      <w:r>
        <w:t xml:space="preserve">ANEXO III </w:t>
      </w:r>
      <w:r>
        <w:rPr>
          <w:rFonts w:hint="default"/>
          <w:lang w:val="pt-BR"/>
        </w:rPr>
        <w:t>e IV - Planilha de Formação de Custos;</w:t>
      </w:r>
    </w:p>
    <w:p>
      <w:pPr>
        <w:pStyle w:val="4"/>
        <w:numPr>
          <w:ilvl w:val="2"/>
          <w:numId w:val="23"/>
        </w:numPr>
        <w:spacing w:before="120" w:after="120" w:line="276" w:lineRule="auto"/>
        <w:jc w:val="both"/>
      </w:pPr>
      <w:r>
        <w:t xml:space="preserve">ANEXO V-A - Modelo </w:t>
      </w:r>
      <w:r>
        <w:rPr>
          <w:rFonts w:hint="default"/>
          <w:lang w:val="pt-BR"/>
        </w:rPr>
        <w:t xml:space="preserve">de </w:t>
      </w:r>
      <w:r>
        <w:t>Proposta Comercial</w:t>
      </w:r>
      <w:r>
        <w:rPr>
          <w:rFonts w:hint="default"/>
          <w:lang w:val="pt-BR"/>
        </w:rPr>
        <w:t xml:space="preserve"> e Declarações</w:t>
      </w:r>
      <w:r>
        <w:t>;</w:t>
      </w:r>
    </w:p>
    <w:p>
      <w:pPr>
        <w:pStyle w:val="4"/>
        <w:numPr>
          <w:ilvl w:val="2"/>
          <w:numId w:val="23"/>
        </w:numPr>
        <w:spacing w:before="120" w:after="120" w:line="276" w:lineRule="auto"/>
        <w:ind w:left="1700" w:hanging="850"/>
        <w:jc w:val="both"/>
        <w:rPr>
          <w:color w:val="000000"/>
        </w:rPr>
      </w:pPr>
      <w:r>
        <w:t>ANEXO V-B - Modelo de Declaração de Vistoria;</w:t>
      </w:r>
    </w:p>
    <w:p>
      <w:pPr>
        <w:pStyle w:val="4"/>
        <w:numPr>
          <w:ilvl w:val="2"/>
          <w:numId w:val="23"/>
        </w:numPr>
        <w:spacing w:before="120" w:after="120" w:line="276" w:lineRule="auto"/>
        <w:ind w:left="1700" w:hanging="850"/>
        <w:jc w:val="both"/>
        <w:rPr>
          <w:color w:val="000000"/>
        </w:rPr>
      </w:pPr>
      <w:r>
        <w:rPr>
          <w:rFonts w:hint="default"/>
          <w:lang w:val="pt-BR"/>
        </w:rPr>
        <w:t>ANEXO VI - Termo de Conciliação Judicial;</w:t>
      </w:r>
    </w:p>
    <w:p>
      <w:pPr>
        <w:pStyle w:val="4"/>
        <w:numPr>
          <w:ilvl w:val="2"/>
          <w:numId w:val="23"/>
        </w:numPr>
        <w:spacing w:before="120" w:after="120" w:line="276" w:lineRule="auto"/>
        <w:ind w:left="1700" w:hanging="850"/>
        <w:jc w:val="both"/>
      </w:pPr>
      <w:r>
        <w:t>ANEXO V</w:t>
      </w:r>
      <w:r>
        <w:rPr>
          <w:rFonts w:hint="default"/>
          <w:lang w:val="pt-BR"/>
        </w:rPr>
        <w:t>I</w:t>
      </w:r>
      <w:r>
        <w:t>I - Minuta do Termo de Contrato;</w:t>
      </w:r>
    </w:p>
    <w:p>
      <w:pPr>
        <w:pStyle w:val="4"/>
        <w:numPr>
          <w:ilvl w:val="2"/>
          <w:numId w:val="23"/>
        </w:numPr>
        <w:spacing w:before="120" w:after="120" w:line="276" w:lineRule="auto"/>
        <w:ind w:left="1700" w:hanging="850"/>
        <w:jc w:val="both"/>
      </w:pPr>
      <w:r>
        <w:t>ANEXO VIII - Índice de Medição de Resultado;</w:t>
      </w:r>
    </w:p>
    <w:p>
      <w:pPr>
        <w:pStyle w:val="4"/>
        <w:numPr>
          <w:ilvl w:val="2"/>
          <w:numId w:val="23"/>
        </w:numPr>
        <w:spacing w:before="120" w:after="120" w:line="276" w:lineRule="auto"/>
        <w:ind w:left="1700" w:hanging="850"/>
        <w:jc w:val="both"/>
      </w:pPr>
      <w:r>
        <w:t xml:space="preserve">ANEXO IX - </w:t>
      </w:r>
      <w:r>
        <w:rPr>
          <w:rFonts w:hint="default"/>
          <w:lang w:val="pt-BR"/>
        </w:rPr>
        <w:t>Memória de Cálculo</w:t>
      </w:r>
      <w:r>
        <w:t>;</w:t>
      </w:r>
    </w:p>
    <w:p>
      <w:pPr>
        <w:pStyle w:val="4"/>
        <w:numPr>
          <w:ilvl w:val="2"/>
          <w:numId w:val="23"/>
        </w:numPr>
        <w:spacing w:before="120" w:after="120" w:line="276" w:lineRule="auto"/>
        <w:ind w:left="1700" w:hanging="850"/>
        <w:jc w:val="both"/>
      </w:pPr>
      <w:r>
        <w:t xml:space="preserve">ANEXO X - CCT </w:t>
      </w:r>
      <w:r>
        <w:rPr>
          <w:rFonts w:hint="default"/>
          <w:lang w:val="pt-BR"/>
        </w:rPr>
        <w:t>RJ</w:t>
      </w:r>
      <w:r>
        <w:t xml:space="preserve"> </w:t>
      </w:r>
      <w:r>
        <w:rPr>
          <w:rFonts w:hint="default"/>
          <w:lang w:val="pt-BR"/>
        </w:rPr>
        <w:t>000597/2022;</w:t>
      </w:r>
    </w:p>
    <w:p>
      <w:pPr>
        <w:pStyle w:val="4"/>
        <w:numPr>
          <w:ilvl w:val="2"/>
          <w:numId w:val="23"/>
        </w:numPr>
        <w:spacing w:before="120" w:after="120" w:line="276" w:lineRule="auto"/>
        <w:ind w:left="1700" w:hanging="850"/>
        <w:jc w:val="both"/>
      </w:pPr>
      <w:r>
        <w:t>ANEXO XI - Termo de Cooperação Técnica e anexos</w:t>
      </w:r>
    </w:p>
    <w:p>
      <w:pPr>
        <w:pStyle w:val="4"/>
        <w:spacing w:after="120" w:line="276" w:lineRule="auto"/>
        <w:ind w:left="1570"/>
        <w:jc w:val="both"/>
        <w:rPr>
          <w:color w:val="FF0000"/>
        </w:rPr>
      </w:pPr>
    </w:p>
    <w:p>
      <w:pPr>
        <w:pStyle w:val="4"/>
        <w:spacing w:before="120" w:after="120" w:line="276" w:lineRule="auto"/>
        <w:jc w:val="both"/>
        <w:rPr>
          <w:color w:val="000000"/>
        </w:rPr>
      </w:pPr>
    </w:p>
    <w:p>
      <w:pPr>
        <w:pStyle w:val="4"/>
        <w:spacing w:before="120" w:after="120" w:line="276" w:lineRule="auto"/>
        <w:jc w:val="center"/>
        <w:rPr>
          <w:rFonts w:hint="default"/>
          <w:lang w:val="pt-BR"/>
        </w:rPr>
      </w:pPr>
      <w:r>
        <w:t xml:space="preserve">Niterói, </w:t>
      </w:r>
      <w:r>
        <w:rPr>
          <w:rFonts w:hint="default"/>
          <w:lang w:val="pt-BR"/>
        </w:rPr>
        <w:t>04 de maio de 2022.</w:t>
      </w:r>
    </w:p>
    <w:p>
      <w:pPr>
        <w:pStyle w:val="4"/>
        <w:spacing w:before="120" w:after="120" w:line="276" w:lineRule="auto"/>
        <w:jc w:val="center"/>
      </w:pPr>
      <w:r>
        <w:t>CLI/PROAD/UFF</w:t>
      </w:r>
    </w:p>
    <w:sectPr>
      <w:headerReference r:id="rId3" w:type="default"/>
      <w:footerReference r:id="rId4" w:type="default"/>
      <w:pgSz w:w="11906" w:h="16838"/>
      <w:pgMar w:top="1418" w:right="1134" w:bottom="1418" w:left="1701" w:header="709" w:footer="709" w:gutter="0"/>
      <w:pgNumType w:start="1"/>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Georgia">
    <w:panose1 w:val="02040502050405020303"/>
    <w:charset w:val="00"/>
    <w:family w:val="roman"/>
    <w:pitch w:val="default"/>
    <w:sig w:usb0="00000287" w:usb1="00000000" w:usb2="00000000" w:usb3="00000000" w:csb0="2000009F" w:csb1="00000000"/>
  </w:font>
  <w:font w:name="Ecofont_Spranq_eco_Sans">
    <w:altName w:val="Times New Roman"/>
    <w:panose1 w:val="00000000000000000000"/>
    <w:charset w:val="00"/>
    <w:family w:val="roman"/>
    <w:pitch w:val="default"/>
    <w:sig w:usb0="00000000" w:usb1="00000000" w:usb2="00000000" w:usb3="00000000" w:csb0="00000000" w:csb1="00000000"/>
  </w:font>
  <w:font w:name="MS Gothic">
    <w:panose1 w:val="020B0609070205080204"/>
    <w:charset w:val="80"/>
    <w:family w:val="modern"/>
    <w:pitch w:val="default"/>
    <w:sig w:usb0="E00002FF" w:usb1="6AC7FDFB" w:usb2="08000012" w:usb3="00000000" w:csb0="4002009F" w:csb1="DFD70000"/>
  </w:font>
  <w:font w:name="Cambria">
    <w:panose1 w:val="02040503050406030204"/>
    <w:charset w:val="00"/>
    <w:family w:val="roman"/>
    <w:pitch w:val="default"/>
    <w:sig w:usb0="E00006FF" w:usb1="420024FF" w:usb2="02000000" w:usb3="00000000" w:csb0="2000019F" w:csb1="00000000"/>
  </w:font>
  <w:font w:name="WenQuanYi Micro Hei">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Lohit Hindi">
    <w:altName w:val="Segoe Print"/>
    <w:panose1 w:val="00000000000000000000"/>
    <w:charset w:val="00"/>
    <w:family w:val="roman"/>
    <w:pitch w:val="default"/>
    <w:sig w:usb0="00000000" w:usb1="00000000" w:usb2="00000000" w:usb3="00000000" w:csb0="00000000"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4252"/>
        <w:tab w:val="right" w:pos="8504"/>
      </w:tabs>
      <w:rPr>
        <w:rFonts w:ascii="Times New Roman" w:hAnsi="Times New Roman" w:eastAsia="Times New Roman" w:cs="Times New Roman"/>
        <w:color w:val="000000"/>
      </w:rPr>
    </w:pPr>
    <w:r>
      <w:rPr>
        <w:rFonts w:ascii="Times New Roman" w:hAnsi="Times New Roman" w:eastAsia="Times New Roman" w:cs="Times New Roman"/>
        <w:color w:val="000000"/>
      </w:rPr>
      <w:t>____________________________________________________________________</w:t>
    </w:r>
  </w:p>
  <w:p>
    <w:pPr>
      <w:pStyle w:val="4"/>
      <w:tabs>
        <w:tab w:val="center" w:pos="4252"/>
        <w:tab w:val="right" w:pos="8504"/>
      </w:tabs>
      <w:rPr>
        <w:color w:val="000000"/>
        <w:sz w:val="12"/>
        <w:szCs w:val="12"/>
      </w:rPr>
    </w:pPr>
    <w:r>
      <w:rPr>
        <w:color w:val="000000"/>
        <w:sz w:val="12"/>
        <w:szCs w:val="12"/>
      </w:rPr>
      <w:t>Comissão Permanente de Modelos de Licitações e Contratos Administrativos da Consultoria-Geral da União</w:t>
    </w:r>
  </w:p>
  <w:p>
    <w:pPr>
      <w:pStyle w:val="4"/>
      <w:tabs>
        <w:tab w:val="center" w:pos="4252"/>
        <w:tab w:val="right" w:pos="8504"/>
      </w:tabs>
      <w:rPr>
        <w:color w:val="000000"/>
        <w:sz w:val="12"/>
        <w:szCs w:val="12"/>
      </w:rPr>
    </w:pPr>
    <w:r>
      <w:rPr>
        <w:color w:val="000000"/>
        <w:sz w:val="12"/>
        <w:szCs w:val="12"/>
      </w:rPr>
      <w:t>Edital modelo para Pregão Eletrônico: Serviços Continuados com Dedicação Exclusiva de Mão de Obra</w:t>
    </w:r>
  </w:p>
  <w:p>
    <w:pPr>
      <w:pStyle w:val="4"/>
      <w:tabs>
        <w:tab w:val="center" w:pos="4252"/>
        <w:tab w:val="right" w:pos="8504"/>
      </w:tabs>
      <w:rPr>
        <w:color w:val="000000"/>
      </w:rPr>
    </w:pPr>
    <w:r>
      <w:rPr>
        <w:color w:val="000000"/>
        <w:sz w:val="12"/>
        <w:szCs w:val="12"/>
      </w:rPr>
      <w:t>Atualização: Dezembro/2019</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4252"/>
        <w:tab w:val="right" w:pos="8504"/>
      </w:tabs>
      <w:jc w:val="right"/>
      <w:rPr>
        <w:rFonts w:hint="default"/>
        <w:color w:val="000000"/>
        <w:lang w:val="pt-BR"/>
      </w:rPr>
    </w:pPr>
    <w:r>
      <w:rPr>
        <w:lang w:eastAsia="pt-BR" w:bidi="ar-SA"/>
      </w:rPr>
      <w:drawing>
        <wp:inline distT="0" distB="0" distL="0" distR="0">
          <wp:extent cx="289560" cy="157480"/>
          <wp:effectExtent l="0" t="0" r="0" b="0"/>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a:picLocks noChangeAspect="1" noChangeArrowheads="1"/>
                  </pic:cNvPicPr>
                </pic:nvPicPr>
                <pic:blipFill>
                  <a:blip r:embed="rId1"/>
                  <a:stretch>
                    <a:fillRect/>
                  </a:stretch>
                </pic:blipFill>
                <pic:spPr>
                  <a:xfrm>
                    <a:off x="0" y="0"/>
                    <a:ext cx="289560" cy="157480"/>
                  </a:xfrm>
                  <a:prstGeom prst="rect">
                    <a:avLst/>
                  </a:prstGeom>
                </pic:spPr>
              </pic:pic>
            </a:graphicData>
          </a:graphic>
        </wp:inline>
      </w:drawing>
    </w:r>
    <w:r>
      <w:rPr>
        <w:rFonts w:ascii="Verdana" w:hAnsi="Verdana" w:eastAsia="Verdana" w:cs="Verdana"/>
        <w:color w:val="000000"/>
        <w:sz w:val="16"/>
        <w:szCs w:val="16"/>
      </w:rPr>
      <w:t xml:space="preserve">Processo n.º </w:t>
    </w:r>
    <w:r>
      <w:rPr>
        <w:rFonts w:ascii="Verdana" w:hAnsi="Verdana" w:eastAsia="Verdana" w:cs="Verdana"/>
        <w:color w:val="000000"/>
        <w:sz w:val="16"/>
        <w:szCs w:val="16"/>
        <w:lang w:val="pt-BR"/>
      </w:rPr>
      <w:t xml:space="preserve">23069.154035/2022-92 </w:t>
    </w:r>
  </w:p>
  <w:p>
    <w:pPr>
      <w:pStyle w:val="4"/>
      <w:tabs>
        <w:tab w:val="center" w:pos="4252"/>
        <w:tab w:val="right" w:pos="8504"/>
      </w:tabs>
      <w:jc w:val="right"/>
      <w:rPr>
        <w:rFonts w:ascii="Verdana" w:hAnsi="Verdana" w:eastAsia="Verdana" w:cs="Verdana"/>
        <w:color w:val="000000"/>
        <w:sz w:val="16"/>
        <w:szCs w:val="16"/>
      </w:rPr>
    </w:pPr>
  </w:p>
  <w:p>
    <w:pPr>
      <w:pStyle w:val="4"/>
      <w:tabs>
        <w:tab w:val="left" w:pos="4735"/>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064B41"/>
    <w:multiLevelType w:val="multilevel"/>
    <w:tmpl w:val="02064B41"/>
    <w:lvl w:ilvl="0" w:tentative="0">
      <w:start w:val="1"/>
      <w:numFmt w:val="decimal"/>
      <w:lvlText w:val="%1."/>
      <w:lvlJc w:val="left"/>
      <w:pPr>
        <w:ind w:left="360" w:hanging="360"/>
      </w:pPr>
      <w:rPr>
        <w:b/>
      </w:rPr>
    </w:lvl>
    <w:lvl w:ilvl="1" w:tentative="0">
      <w:start w:val="1"/>
      <w:numFmt w:val="decimal"/>
      <w:lvlText w:val="%1.%2."/>
      <w:lvlJc w:val="left"/>
      <w:pPr>
        <w:ind w:left="1141" w:hanging="432"/>
      </w:pPr>
      <w:rPr>
        <w:rFonts w:ascii="Arial" w:hAnsi="Arial" w:eastAsia="Arial" w:cs="Arial"/>
        <w:b w:val="0"/>
        <w:sz w:val="20"/>
      </w:rPr>
    </w:lvl>
    <w:lvl w:ilvl="2" w:tentative="0">
      <w:start w:val="1"/>
      <w:numFmt w:val="decimal"/>
      <w:lvlText w:val="%1.%2.%3"/>
      <w:lvlJc w:val="left"/>
      <w:pPr>
        <w:ind w:left="1922" w:hanging="504"/>
      </w:pPr>
      <w:rPr>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
    <w:nsid w:val="07974BC8"/>
    <w:multiLevelType w:val="multilevel"/>
    <w:tmpl w:val="07974BC8"/>
    <w:lvl w:ilvl="0" w:tentative="0">
      <w:start w:val="10"/>
      <w:numFmt w:val="decimal"/>
      <w:lvlText w:val="%1"/>
      <w:lvlJc w:val="left"/>
      <w:pPr>
        <w:ind w:left="360" w:hanging="360"/>
      </w:pPr>
    </w:lvl>
    <w:lvl w:ilvl="1" w:tentative="0">
      <w:start w:val="1"/>
      <w:numFmt w:val="decimal"/>
      <w:lvlText w:val="%1.%2"/>
      <w:lvlJc w:val="left"/>
      <w:pPr>
        <w:ind w:left="785" w:hanging="360"/>
      </w:pPr>
      <w:rPr>
        <w:rFonts w:eastAsia="Arial" w:cs="Arial"/>
        <w:b/>
        <w:color w:val="000000"/>
        <w:sz w:val="20"/>
      </w:r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2">
    <w:nsid w:val="0A120F3E"/>
    <w:multiLevelType w:val="multilevel"/>
    <w:tmpl w:val="0A120F3E"/>
    <w:lvl w:ilvl="0" w:tentative="0">
      <w:start w:val="9"/>
      <w:numFmt w:val="decimal"/>
      <w:lvlText w:val="%1"/>
      <w:lvlJc w:val="left"/>
      <w:pPr>
        <w:ind w:left="360" w:hanging="360"/>
      </w:pPr>
    </w:lvl>
    <w:lvl w:ilvl="1" w:tentative="0">
      <w:start w:val="1"/>
      <w:numFmt w:val="decimal"/>
      <w:lvlText w:val="%1.%2"/>
      <w:lvlJc w:val="left"/>
      <w:pPr>
        <w:ind w:left="927" w:hanging="360"/>
      </w:pPr>
    </w:lvl>
    <w:lvl w:ilvl="2" w:tentative="0">
      <w:start w:val="1"/>
      <w:numFmt w:val="decimal"/>
      <w:lvlText w:val="%1.%2.%3"/>
      <w:lvlJc w:val="left"/>
      <w:pPr>
        <w:ind w:left="2280" w:hanging="720"/>
      </w:pPr>
      <w:rPr>
        <w:rFonts w:ascii="Arial" w:hAnsi="Arial"/>
        <w:b w:val="0"/>
        <w:color w:val="000000"/>
        <w:sz w:val="20"/>
      </w:rPr>
    </w:lvl>
    <w:lvl w:ilvl="3" w:tentative="0">
      <w:start w:val="1"/>
      <w:numFmt w:val="decimal"/>
      <w:lvlText w:val="%1.%2.%3.%4"/>
      <w:lvlJc w:val="left"/>
      <w:pPr>
        <w:ind w:left="2422"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3">
    <w:nsid w:val="0AD37F6B"/>
    <w:multiLevelType w:val="multilevel"/>
    <w:tmpl w:val="0AD37F6B"/>
    <w:lvl w:ilvl="0" w:tentative="0">
      <w:start w:val="21"/>
      <w:numFmt w:val="decimal"/>
      <w:lvlText w:val="%1"/>
      <w:lvlJc w:val="left"/>
      <w:pPr>
        <w:ind w:left="375" w:hanging="375"/>
      </w:pPr>
      <w:rPr>
        <w:rFonts w:ascii="Arial" w:hAnsi="Arial"/>
        <w:b/>
        <w:color w:val="000000"/>
        <w:sz w:val="20"/>
      </w:rPr>
    </w:lvl>
    <w:lvl w:ilvl="1" w:tentative="0">
      <w:start w:val="1"/>
      <w:numFmt w:val="decimal"/>
      <w:lvlText w:val="%1.%2"/>
      <w:lvlJc w:val="left"/>
      <w:pPr>
        <w:ind w:left="800" w:hanging="375"/>
      </w:pPr>
    </w:lvl>
    <w:lvl w:ilvl="2" w:tentative="0">
      <w:start w:val="1"/>
      <w:numFmt w:val="decimal"/>
      <w:lvlText w:val="%1.%2.%3"/>
      <w:lvlJc w:val="left"/>
      <w:pPr>
        <w:ind w:left="1570" w:hanging="720"/>
      </w:pPr>
    </w:lvl>
    <w:lvl w:ilvl="3" w:tentative="0">
      <w:start w:val="1"/>
      <w:numFmt w:val="decimal"/>
      <w:lvlText w:val="%1.%2.%3.%4"/>
      <w:lvlJc w:val="left"/>
      <w:pPr>
        <w:ind w:left="1995" w:hanging="720"/>
      </w:pPr>
    </w:lvl>
    <w:lvl w:ilvl="4" w:tentative="0">
      <w:start w:val="1"/>
      <w:numFmt w:val="decimal"/>
      <w:lvlText w:val="%1.%2.%3.%4.%5"/>
      <w:lvlJc w:val="left"/>
      <w:pPr>
        <w:ind w:left="2780" w:hanging="1080"/>
      </w:pPr>
    </w:lvl>
    <w:lvl w:ilvl="5" w:tentative="0">
      <w:start w:val="1"/>
      <w:numFmt w:val="decimal"/>
      <w:lvlText w:val="%1.%2.%3.%4.%5.%6"/>
      <w:lvlJc w:val="left"/>
      <w:pPr>
        <w:ind w:left="3205" w:hanging="1080"/>
      </w:pPr>
    </w:lvl>
    <w:lvl w:ilvl="6" w:tentative="0">
      <w:start w:val="1"/>
      <w:numFmt w:val="decimal"/>
      <w:lvlText w:val="%1.%2.%3.%4.%5.%6.%7"/>
      <w:lvlJc w:val="left"/>
      <w:pPr>
        <w:ind w:left="3990" w:hanging="1440"/>
      </w:pPr>
    </w:lvl>
    <w:lvl w:ilvl="7" w:tentative="0">
      <w:start w:val="1"/>
      <w:numFmt w:val="decimal"/>
      <w:lvlText w:val="%1.%2.%3.%4.%5.%6.%7.%8"/>
      <w:lvlJc w:val="left"/>
      <w:pPr>
        <w:ind w:left="4415" w:hanging="1440"/>
      </w:pPr>
    </w:lvl>
    <w:lvl w:ilvl="8" w:tentative="0">
      <w:start w:val="1"/>
      <w:numFmt w:val="decimal"/>
      <w:lvlText w:val="%1.%2.%3.%4.%5.%6.%7.%8.%9"/>
      <w:lvlJc w:val="left"/>
      <w:pPr>
        <w:ind w:left="5200" w:hanging="1800"/>
      </w:pPr>
    </w:lvl>
  </w:abstractNum>
  <w:abstractNum w:abstractNumId="4">
    <w:nsid w:val="0FC076E5"/>
    <w:multiLevelType w:val="multilevel"/>
    <w:tmpl w:val="0FC076E5"/>
    <w:lvl w:ilvl="0" w:tentative="0">
      <w:start w:val="21"/>
      <w:numFmt w:val="decimal"/>
      <w:lvlText w:val="%1"/>
      <w:lvlJc w:val="left"/>
      <w:pPr>
        <w:ind w:left="360" w:hanging="360"/>
      </w:pPr>
      <w:rPr>
        <w:rFonts w:ascii="Arial" w:hAnsi="Arial"/>
        <w:b/>
        <w:color w:val="000000"/>
        <w:sz w:val="20"/>
      </w:rPr>
    </w:lvl>
    <w:lvl w:ilvl="1" w:tentative="0">
      <w:start w:val="1"/>
      <w:numFmt w:val="decimal"/>
      <w:lvlText w:val="%1.%2"/>
      <w:lvlJc w:val="left"/>
      <w:pPr>
        <w:ind w:left="785" w:hanging="360"/>
      </w:pPr>
      <w:rPr>
        <w:b w:val="0"/>
      </w:r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5">
    <w:nsid w:val="0FD4741C"/>
    <w:multiLevelType w:val="multilevel"/>
    <w:tmpl w:val="0FD4741C"/>
    <w:lvl w:ilvl="0" w:tentative="0">
      <w:start w:val="1"/>
      <w:numFmt w:val="decimal"/>
      <w:lvlText w:val="%1."/>
      <w:lvlJc w:val="left"/>
      <w:pPr>
        <w:ind w:left="360" w:hanging="360"/>
      </w:pPr>
      <w:rPr>
        <w:rFonts w:ascii="Arial" w:hAnsi="Arial"/>
        <w:b/>
        <w:sz w:val="20"/>
      </w:rPr>
    </w:lvl>
    <w:lvl w:ilvl="1" w:tentative="0">
      <w:start w:val="1"/>
      <w:numFmt w:val="decimal"/>
      <w:lvlText w:val="%1.%2."/>
      <w:lvlJc w:val="left"/>
      <w:pPr>
        <w:ind w:left="1141" w:hanging="432"/>
      </w:pPr>
      <w:rPr>
        <w:rFonts w:eastAsia="Arial" w:cs="Arial"/>
        <w:b w:val="0"/>
      </w:rPr>
    </w:lvl>
    <w:lvl w:ilvl="2" w:tentative="0">
      <w:start w:val="1"/>
      <w:numFmt w:val="decimal"/>
      <w:lvlText w:val="%1.%2.%3"/>
      <w:lvlJc w:val="left"/>
      <w:pPr>
        <w:ind w:left="1922" w:hanging="504"/>
      </w:pPr>
      <w:rPr>
        <w:rFonts w:ascii="Arial" w:hAnsi="Arial"/>
        <w:b w:val="0"/>
        <w:color w:val="000000"/>
        <w:sz w:val="2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123534A9"/>
    <w:multiLevelType w:val="multilevel"/>
    <w:tmpl w:val="123534A9"/>
    <w:lvl w:ilvl="0" w:tentative="0">
      <w:start w:val="8"/>
      <w:numFmt w:val="decimal"/>
      <w:lvlText w:val="%1"/>
      <w:lvlJc w:val="left"/>
      <w:pPr>
        <w:ind w:left="540" w:hanging="540"/>
      </w:pPr>
    </w:lvl>
    <w:lvl w:ilvl="1" w:tentative="0">
      <w:start w:val="9"/>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7">
    <w:nsid w:val="14855EA1"/>
    <w:multiLevelType w:val="multilevel"/>
    <w:tmpl w:val="14855EA1"/>
    <w:lvl w:ilvl="0" w:tentative="0">
      <w:start w:val="7"/>
      <w:numFmt w:val="decimal"/>
      <w:lvlText w:val="%1"/>
      <w:lvlJc w:val="left"/>
      <w:pPr>
        <w:ind w:left="360" w:hanging="360"/>
      </w:pPr>
    </w:lvl>
    <w:lvl w:ilvl="1" w:tentative="0">
      <w:start w:val="1"/>
      <w:numFmt w:val="decimal"/>
      <w:lvlText w:val="%1.%2"/>
      <w:lvlJc w:val="left"/>
      <w:pPr>
        <w:ind w:left="785" w:hanging="36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8">
    <w:nsid w:val="1F9552A4"/>
    <w:multiLevelType w:val="multilevel"/>
    <w:tmpl w:val="1F9552A4"/>
    <w:lvl w:ilvl="0" w:tentative="0">
      <w:start w:val="4"/>
      <w:numFmt w:val="decimal"/>
      <w:lvlText w:val="%1"/>
      <w:lvlJc w:val="left"/>
      <w:pPr>
        <w:ind w:left="405" w:hanging="405"/>
      </w:pPr>
    </w:lvl>
    <w:lvl w:ilvl="1" w:tentative="0">
      <w:start w:val="2"/>
      <w:numFmt w:val="decimal"/>
      <w:lvlText w:val="%1.%2"/>
      <w:lvlJc w:val="left"/>
      <w:pPr>
        <w:ind w:left="1114" w:hanging="405"/>
      </w:pPr>
    </w:lvl>
    <w:lvl w:ilvl="2" w:tentative="0">
      <w:start w:val="1"/>
      <w:numFmt w:val="decimal"/>
      <w:lvlText w:val="%1.%2.%3"/>
      <w:lvlJc w:val="left"/>
      <w:pPr>
        <w:ind w:left="2216" w:hanging="720"/>
      </w:pPr>
      <w:rPr>
        <w:rFonts w:ascii="Arial" w:hAnsi="Arial" w:eastAsia="Arial" w:cs="Arial"/>
        <w:b w:val="0"/>
        <w:i w:val="0"/>
        <w:color w:val="000000"/>
        <w:sz w:val="20"/>
      </w:rPr>
    </w:lvl>
    <w:lvl w:ilvl="3" w:tentative="0">
      <w:start w:val="1"/>
      <w:numFmt w:val="decimal"/>
      <w:lvlText w:val="%1.%2.%3.%4"/>
      <w:lvlJc w:val="left"/>
      <w:pPr>
        <w:ind w:left="2964" w:hanging="720"/>
      </w:pPr>
    </w:lvl>
    <w:lvl w:ilvl="4" w:tentative="0">
      <w:start w:val="1"/>
      <w:numFmt w:val="decimal"/>
      <w:lvlText w:val="%1.%2.%3.%4.%5"/>
      <w:lvlJc w:val="left"/>
      <w:pPr>
        <w:ind w:left="3712" w:hanging="720"/>
      </w:pPr>
    </w:lvl>
    <w:lvl w:ilvl="5" w:tentative="0">
      <w:start w:val="1"/>
      <w:numFmt w:val="decimal"/>
      <w:lvlText w:val="%1.%2.%3.%4.%5.%6"/>
      <w:lvlJc w:val="left"/>
      <w:pPr>
        <w:ind w:left="4820" w:hanging="1080"/>
      </w:pPr>
    </w:lvl>
    <w:lvl w:ilvl="6" w:tentative="0">
      <w:start w:val="1"/>
      <w:numFmt w:val="decimal"/>
      <w:lvlText w:val="%1.%2.%3.%4.%5.%6.%7"/>
      <w:lvlJc w:val="left"/>
      <w:pPr>
        <w:ind w:left="5568" w:hanging="1080"/>
      </w:pPr>
    </w:lvl>
    <w:lvl w:ilvl="7" w:tentative="0">
      <w:start w:val="1"/>
      <w:numFmt w:val="decimal"/>
      <w:lvlText w:val="%1.%2.%3.%4.%5.%6.%7.%8"/>
      <w:lvlJc w:val="left"/>
      <w:pPr>
        <w:ind w:left="6676" w:hanging="1440"/>
      </w:pPr>
    </w:lvl>
    <w:lvl w:ilvl="8" w:tentative="0">
      <w:start w:val="1"/>
      <w:numFmt w:val="decimal"/>
      <w:lvlText w:val="%1.%2.%3.%4.%5.%6.%7.%8.%9"/>
      <w:lvlJc w:val="left"/>
      <w:pPr>
        <w:ind w:left="7424" w:hanging="1440"/>
      </w:pPr>
    </w:lvl>
  </w:abstractNum>
  <w:abstractNum w:abstractNumId="9">
    <w:nsid w:val="285B6211"/>
    <w:multiLevelType w:val="multilevel"/>
    <w:tmpl w:val="285B6211"/>
    <w:lvl w:ilvl="0" w:tentative="0">
      <w:start w:val="4"/>
      <w:numFmt w:val="decimal"/>
      <w:lvlText w:val="%1."/>
      <w:lvlJc w:val="left"/>
      <w:pPr>
        <w:ind w:left="360" w:hanging="360"/>
      </w:pPr>
      <w:rPr>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287B1FB5"/>
    <w:multiLevelType w:val="multilevel"/>
    <w:tmpl w:val="287B1FB5"/>
    <w:lvl w:ilvl="0" w:tentative="0">
      <w:start w:val="7"/>
      <w:numFmt w:val="decimal"/>
      <w:lvlText w:val="%1"/>
      <w:lvlJc w:val="left"/>
      <w:pPr>
        <w:ind w:left="360" w:hanging="360"/>
      </w:pPr>
    </w:lvl>
    <w:lvl w:ilvl="1" w:tentative="0">
      <w:start w:val="1"/>
      <w:numFmt w:val="decimal"/>
      <w:lvlText w:val="%1.%2"/>
      <w:lvlJc w:val="left"/>
      <w:pPr>
        <w:ind w:left="785" w:hanging="36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11">
    <w:nsid w:val="2FC43298"/>
    <w:multiLevelType w:val="multilevel"/>
    <w:tmpl w:val="2FC43298"/>
    <w:lvl w:ilvl="0" w:tentative="0">
      <w:start w:val="8"/>
      <w:numFmt w:val="decimal"/>
      <w:lvlText w:val="%1"/>
      <w:lvlJc w:val="left"/>
      <w:pPr>
        <w:ind w:left="540" w:hanging="540"/>
      </w:pPr>
    </w:lvl>
    <w:lvl w:ilvl="1" w:tentative="0">
      <w:start w:val="11"/>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12">
    <w:nsid w:val="3A7B354F"/>
    <w:multiLevelType w:val="multilevel"/>
    <w:tmpl w:val="3A7B354F"/>
    <w:lvl w:ilvl="0" w:tentative="0">
      <w:start w:val="9"/>
      <w:numFmt w:val="decimal"/>
      <w:lvlText w:val="%1"/>
      <w:lvlJc w:val="left"/>
      <w:pPr>
        <w:ind w:left="360" w:hanging="360"/>
      </w:pPr>
    </w:lvl>
    <w:lvl w:ilvl="1" w:tentative="0">
      <w:start w:val="8"/>
      <w:numFmt w:val="decimal"/>
      <w:lvlText w:val="%1.%2"/>
      <w:lvlJc w:val="left"/>
      <w:pPr>
        <w:ind w:left="927" w:hanging="360"/>
      </w:pPr>
      <w:rPr>
        <w:b/>
      </w:rPr>
    </w:lvl>
    <w:lvl w:ilvl="2" w:tentative="0">
      <w:start w:val="1"/>
      <w:numFmt w:val="decimal"/>
      <w:lvlText w:val="%1.%2.%3"/>
      <w:lvlJc w:val="left"/>
      <w:pPr>
        <w:ind w:left="2280" w:hanging="720"/>
      </w:pPr>
      <w:rPr>
        <w:rFonts w:ascii="Arial" w:hAnsi="Arial"/>
        <w:b w:val="0"/>
        <w:i w:val="0"/>
        <w:color w:val="000000"/>
        <w:sz w:val="20"/>
      </w:rPr>
    </w:lvl>
    <w:lvl w:ilvl="3" w:tentative="0">
      <w:start w:val="1"/>
      <w:numFmt w:val="decimal"/>
      <w:lvlText w:val="%1.%2.%3.%4"/>
      <w:lvlJc w:val="left"/>
      <w:pPr>
        <w:ind w:left="2422" w:hanging="720"/>
      </w:pPr>
    </w:lvl>
    <w:lvl w:ilvl="4" w:tentative="0">
      <w:start w:val="1"/>
      <w:numFmt w:val="decimal"/>
      <w:lvlText w:val="%1.%2.%3.%4.%5"/>
      <w:lvlJc w:val="left"/>
      <w:pPr>
        <w:ind w:left="3348" w:hanging="1080"/>
      </w:pPr>
      <w:rPr>
        <w:sz w:val="20"/>
        <w:szCs w:val="20"/>
      </w:r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3">
    <w:nsid w:val="455E7CB9"/>
    <w:multiLevelType w:val="multilevel"/>
    <w:tmpl w:val="455E7CB9"/>
    <w:lvl w:ilvl="0" w:tentative="0">
      <w:start w:val="3"/>
      <w:numFmt w:val="decimal"/>
      <w:lvlText w:val="%1."/>
      <w:lvlJc w:val="left"/>
      <w:pPr>
        <w:ind w:left="360" w:hanging="360"/>
      </w:pPr>
      <w:rPr>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4">
    <w:nsid w:val="4E240FD0"/>
    <w:multiLevelType w:val="multilevel"/>
    <w:tmpl w:val="4E240FD0"/>
    <w:lvl w:ilvl="0" w:tentative="0">
      <w:start w:val="15"/>
      <w:numFmt w:val="decimal"/>
      <w:lvlText w:val="%1"/>
      <w:lvlJc w:val="left"/>
      <w:pPr>
        <w:ind w:left="360" w:hanging="360"/>
      </w:pPr>
      <w:rPr>
        <w:rFonts w:ascii="Arial" w:hAnsi="Arial"/>
        <w:b/>
        <w:color w:val="000000"/>
        <w:sz w:val="20"/>
      </w:rPr>
    </w:lvl>
    <w:lvl w:ilvl="1" w:tentative="0">
      <w:start w:val="1"/>
      <w:numFmt w:val="decimal"/>
      <w:lvlText w:val="%1.%2"/>
      <w:lvlJc w:val="left"/>
      <w:pPr>
        <w:ind w:left="785" w:hanging="360"/>
      </w:pPr>
      <w:rPr>
        <w:rFonts w:ascii="Arial" w:hAnsi="Arial"/>
        <w:b w:val="0"/>
        <w:sz w:val="20"/>
      </w:r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5">
    <w:nsid w:val="4F6929BF"/>
    <w:multiLevelType w:val="multilevel"/>
    <w:tmpl w:val="4F6929BF"/>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
    <w:nsid w:val="503A79EA"/>
    <w:multiLevelType w:val="multilevel"/>
    <w:tmpl w:val="503A79EA"/>
    <w:lvl w:ilvl="0" w:tentative="0">
      <w:start w:val="8"/>
      <w:numFmt w:val="decimal"/>
      <w:lvlText w:val="%1"/>
      <w:lvlJc w:val="left"/>
      <w:pPr>
        <w:ind w:left="435" w:hanging="435"/>
      </w:pPr>
      <w:rPr>
        <w:color w:val="000000"/>
      </w:rPr>
    </w:lvl>
    <w:lvl w:ilvl="1" w:tentative="0">
      <w:start w:val="4"/>
      <w:numFmt w:val="decimal"/>
      <w:lvlText w:val="%1.%2"/>
      <w:lvlJc w:val="left"/>
      <w:pPr>
        <w:ind w:left="931" w:hanging="435"/>
      </w:pPr>
      <w:rPr>
        <w:color w:val="000000"/>
      </w:rPr>
    </w:lvl>
    <w:lvl w:ilvl="2" w:tentative="0">
      <w:start w:val="1"/>
      <w:numFmt w:val="decimal"/>
      <w:lvlText w:val="%1.%2.%3"/>
      <w:lvlJc w:val="left"/>
      <w:pPr>
        <w:ind w:left="1712" w:hanging="720"/>
      </w:pPr>
      <w:rPr>
        <w:rFonts w:ascii="Arial" w:hAnsi="Arial"/>
        <w:b w:val="0"/>
        <w:color w:val="000000"/>
        <w:sz w:val="20"/>
      </w:rPr>
    </w:lvl>
    <w:lvl w:ilvl="3" w:tentative="0">
      <w:start w:val="1"/>
      <w:numFmt w:val="decimal"/>
      <w:lvlText w:val="%1.%2.%3.%4"/>
      <w:lvlJc w:val="left"/>
      <w:pPr>
        <w:ind w:left="2208" w:hanging="720"/>
      </w:pPr>
      <w:rPr>
        <w:rFonts w:ascii="Arial" w:hAnsi="Arial"/>
        <w:b w:val="0"/>
        <w:i w:val="0"/>
        <w:color w:val="000000"/>
        <w:sz w:val="20"/>
      </w:rPr>
    </w:lvl>
    <w:lvl w:ilvl="4" w:tentative="0">
      <w:start w:val="1"/>
      <w:numFmt w:val="decimal"/>
      <w:lvlText w:val="%1.%2.%3.%4.%5"/>
      <w:lvlJc w:val="left"/>
      <w:pPr>
        <w:ind w:left="3064" w:hanging="1080"/>
      </w:pPr>
      <w:rPr>
        <w:rFonts w:ascii="Arial" w:hAnsi="Arial"/>
        <w:b w:val="0"/>
        <w:color w:val="000000"/>
        <w:sz w:val="20"/>
      </w:rPr>
    </w:lvl>
    <w:lvl w:ilvl="5" w:tentative="0">
      <w:start w:val="1"/>
      <w:numFmt w:val="decimal"/>
      <w:lvlText w:val="%1.%2.%3.%4.%5.%6"/>
      <w:lvlJc w:val="left"/>
      <w:pPr>
        <w:ind w:left="3560" w:hanging="1080"/>
      </w:pPr>
      <w:rPr>
        <w:color w:val="000000"/>
      </w:rPr>
    </w:lvl>
    <w:lvl w:ilvl="6" w:tentative="0">
      <w:start w:val="1"/>
      <w:numFmt w:val="decimal"/>
      <w:lvlText w:val="%1.%2.%3.%4.%5.%6.%7"/>
      <w:lvlJc w:val="left"/>
      <w:pPr>
        <w:ind w:left="4416" w:hanging="1440"/>
      </w:pPr>
      <w:rPr>
        <w:color w:val="000000"/>
      </w:rPr>
    </w:lvl>
    <w:lvl w:ilvl="7" w:tentative="0">
      <w:start w:val="1"/>
      <w:numFmt w:val="decimal"/>
      <w:lvlText w:val="%1.%2.%3.%4.%5.%6.%7.%8"/>
      <w:lvlJc w:val="left"/>
      <w:pPr>
        <w:ind w:left="4912" w:hanging="1440"/>
      </w:pPr>
      <w:rPr>
        <w:color w:val="000000"/>
      </w:rPr>
    </w:lvl>
    <w:lvl w:ilvl="8" w:tentative="0">
      <w:start w:val="1"/>
      <w:numFmt w:val="decimal"/>
      <w:lvlText w:val="%1.%2.%3.%4.%5.%6.%7.%8.%9"/>
      <w:lvlJc w:val="left"/>
      <w:pPr>
        <w:ind w:left="5768" w:hanging="1800"/>
      </w:pPr>
      <w:rPr>
        <w:color w:val="000000"/>
      </w:rPr>
    </w:lvl>
  </w:abstractNum>
  <w:abstractNum w:abstractNumId="17">
    <w:nsid w:val="52235A3C"/>
    <w:multiLevelType w:val="multilevel"/>
    <w:tmpl w:val="52235A3C"/>
    <w:lvl w:ilvl="0" w:tentative="0">
      <w:start w:val="9"/>
      <w:numFmt w:val="decimal"/>
      <w:lvlText w:val="%1"/>
      <w:lvlJc w:val="left"/>
      <w:pPr>
        <w:ind w:left="375" w:hanging="375"/>
      </w:pPr>
    </w:lvl>
    <w:lvl w:ilvl="1" w:tentative="0">
      <w:start w:val="11"/>
      <w:numFmt w:val="decimal"/>
      <w:lvlText w:val="%1.%2"/>
      <w:lvlJc w:val="left"/>
      <w:pPr>
        <w:ind w:left="942" w:hanging="375"/>
      </w:p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8">
    <w:nsid w:val="54C0188D"/>
    <w:multiLevelType w:val="multilevel"/>
    <w:tmpl w:val="54C0188D"/>
    <w:lvl w:ilvl="0" w:tentative="0">
      <w:start w:val="1"/>
      <w:numFmt w:val="decimal"/>
      <w:lvlText w:val=""/>
      <w:lvlJc w:val="left"/>
      <w:pPr>
        <w:ind w:left="0" w:firstLine="0"/>
      </w:pPr>
    </w:lvl>
    <w:lvl w:ilvl="1" w:tentative="0">
      <w:start w:val="1"/>
      <w:numFmt w:val="decimal"/>
      <w:lvlText w:val=""/>
      <w:lvlJc w:val="left"/>
      <w:pPr>
        <w:ind w:left="0" w:firstLine="0"/>
      </w:pPr>
    </w:lvl>
    <w:lvl w:ilvl="2" w:tentative="0">
      <w:start w:val="1"/>
      <w:numFmt w:val="decimal"/>
      <w:lvlText w:val=""/>
      <w:lvlJc w:val="left"/>
      <w:pPr>
        <w:ind w:left="0" w:firstLine="0"/>
      </w:pPr>
    </w:lvl>
    <w:lvl w:ilvl="3" w:tentative="0">
      <w:start w:val="1"/>
      <w:numFmt w:val="decimal"/>
      <w:lvlText w:val=""/>
      <w:lvlJc w:val="left"/>
      <w:pPr>
        <w:ind w:left="0" w:firstLine="0"/>
      </w:pPr>
    </w:lvl>
    <w:lvl w:ilvl="4" w:tentative="0">
      <w:start w:val="1"/>
      <w:numFmt w:val="decimal"/>
      <w:lvlText w:val=""/>
      <w:lvlJc w:val="left"/>
      <w:pPr>
        <w:ind w:left="0" w:firstLine="0"/>
      </w:pPr>
    </w:lvl>
    <w:lvl w:ilvl="5" w:tentative="0">
      <w:start w:val="1"/>
      <w:numFmt w:val="decimal"/>
      <w:lvlText w:val=""/>
      <w:lvlJc w:val="left"/>
      <w:pPr>
        <w:ind w:left="0" w:firstLine="0"/>
      </w:pPr>
    </w:lvl>
    <w:lvl w:ilvl="6" w:tentative="0">
      <w:start w:val="1"/>
      <w:numFmt w:val="decimal"/>
      <w:lvlText w:val=""/>
      <w:lvlJc w:val="left"/>
      <w:pPr>
        <w:ind w:left="0" w:firstLine="0"/>
      </w:pPr>
    </w:lvl>
    <w:lvl w:ilvl="7" w:tentative="0">
      <w:start w:val="1"/>
      <w:numFmt w:val="decimal"/>
      <w:lvlText w:val=""/>
      <w:lvlJc w:val="left"/>
      <w:pPr>
        <w:ind w:left="0" w:firstLine="0"/>
      </w:pPr>
    </w:lvl>
    <w:lvl w:ilvl="8" w:tentative="0">
      <w:start w:val="1"/>
      <w:numFmt w:val="decimal"/>
      <w:lvlText w:val=""/>
      <w:lvlJc w:val="left"/>
      <w:pPr>
        <w:ind w:left="0" w:firstLine="0"/>
      </w:pPr>
    </w:lvl>
  </w:abstractNum>
  <w:abstractNum w:abstractNumId="19">
    <w:nsid w:val="56C179D0"/>
    <w:multiLevelType w:val="multilevel"/>
    <w:tmpl w:val="56C179D0"/>
    <w:lvl w:ilvl="0" w:tentative="0">
      <w:start w:val="4"/>
      <w:numFmt w:val="decimal"/>
      <w:lvlText w:val="%1"/>
      <w:lvlJc w:val="left"/>
      <w:pPr>
        <w:ind w:left="435" w:hanging="435"/>
      </w:pPr>
      <w:rPr>
        <w:color w:val="000000"/>
        <w:sz w:val="20"/>
        <w:szCs w:val="20"/>
      </w:rPr>
    </w:lvl>
    <w:lvl w:ilvl="1" w:tentative="0">
      <w:start w:val="3"/>
      <w:numFmt w:val="decimal"/>
      <w:lvlText w:val="%1.%2"/>
      <w:lvlJc w:val="left"/>
      <w:pPr>
        <w:ind w:left="1145" w:hanging="435"/>
      </w:pPr>
      <w:rPr>
        <w:color w:val="000000"/>
        <w:sz w:val="20"/>
        <w:szCs w:val="20"/>
      </w:rPr>
    </w:lvl>
    <w:lvl w:ilvl="2" w:tentative="0">
      <w:start w:val="1"/>
      <w:numFmt w:val="decimal"/>
      <w:lvlText w:val="%1.%2.%3"/>
      <w:lvlJc w:val="left"/>
      <w:pPr>
        <w:ind w:left="2140" w:hanging="720"/>
      </w:pPr>
      <w:rPr>
        <w:rFonts w:ascii="Arial" w:hAnsi="Arial" w:eastAsia="Arial" w:cs="Arial"/>
        <w:b w:val="0"/>
        <w:color w:val="000000"/>
        <w:sz w:val="20"/>
        <w:szCs w:val="20"/>
      </w:rPr>
    </w:lvl>
    <w:lvl w:ilvl="3" w:tentative="0">
      <w:start w:val="1"/>
      <w:numFmt w:val="decimal"/>
      <w:lvlText w:val="%1.%2.%3.%4"/>
      <w:lvlJc w:val="left"/>
      <w:pPr>
        <w:ind w:left="2850" w:hanging="720"/>
      </w:pPr>
      <w:rPr>
        <w:color w:val="000000"/>
        <w:sz w:val="20"/>
        <w:szCs w:val="20"/>
      </w:rPr>
    </w:lvl>
    <w:lvl w:ilvl="4" w:tentative="0">
      <w:start w:val="1"/>
      <w:numFmt w:val="decimal"/>
      <w:lvlText w:val="%1.%2.%3.%4.%5"/>
      <w:lvlJc w:val="left"/>
      <w:pPr>
        <w:ind w:left="3560" w:hanging="720"/>
      </w:pPr>
      <w:rPr>
        <w:color w:val="000000"/>
        <w:sz w:val="20"/>
        <w:szCs w:val="20"/>
      </w:rPr>
    </w:lvl>
    <w:lvl w:ilvl="5" w:tentative="0">
      <w:start w:val="1"/>
      <w:numFmt w:val="decimal"/>
      <w:lvlText w:val="%1.%2.%3.%4.%5.%6"/>
      <w:lvlJc w:val="left"/>
      <w:pPr>
        <w:ind w:left="4630" w:hanging="1080"/>
      </w:pPr>
      <w:rPr>
        <w:color w:val="000000"/>
        <w:sz w:val="20"/>
        <w:szCs w:val="20"/>
      </w:rPr>
    </w:lvl>
    <w:lvl w:ilvl="6" w:tentative="0">
      <w:start w:val="1"/>
      <w:numFmt w:val="decimal"/>
      <w:lvlText w:val="%1.%2.%3.%4.%5.%6.%7"/>
      <w:lvlJc w:val="left"/>
      <w:pPr>
        <w:ind w:left="5340" w:hanging="1080"/>
      </w:pPr>
      <w:rPr>
        <w:color w:val="000000"/>
        <w:sz w:val="20"/>
        <w:szCs w:val="20"/>
      </w:rPr>
    </w:lvl>
    <w:lvl w:ilvl="7" w:tentative="0">
      <w:start w:val="1"/>
      <w:numFmt w:val="decimal"/>
      <w:lvlText w:val="%1.%2.%3.%4.%5.%6.%7.%8"/>
      <w:lvlJc w:val="left"/>
      <w:pPr>
        <w:ind w:left="6410" w:hanging="1440"/>
      </w:pPr>
      <w:rPr>
        <w:color w:val="000000"/>
        <w:sz w:val="20"/>
        <w:szCs w:val="20"/>
      </w:rPr>
    </w:lvl>
    <w:lvl w:ilvl="8" w:tentative="0">
      <w:start w:val="1"/>
      <w:numFmt w:val="decimal"/>
      <w:lvlText w:val="%1.%2.%3.%4.%5.%6.%7.%8.%9"/>
      <w:lvlJc w:val="left"/>
      <w:pPr>
        <w:ind w:left="7120" w:hanging="1440"/>
      </w:pPr>
      <w:rPr>
        <w:color w:val="000000"/>
        <w:sz w:val="20"/>
        <w:szCs w:val="20"/>
      </w:rPr>
    </w:lvl>
  </w:abstractNum>
  <w:abstractNum w:abstractNumId="20">
    <w:nsid w:val="59567E9B"/>
    <w:multiLevelType w:val="multilevel"/>
    <w:tmpl w:val="59567E9B"/>
    <w:lvl w:ilvl="0" w:tentative="0">
      <w:start w:val="8"/>
      <w:numFmt w:val="decimal"/>
      <w:lvlText w:val="%1"/>
      <w:lvlJc w:val="left"/>
      <w:pPr>
        <w:ind w:left="435" w:hanging="435"/>
      </w:pPr>
    </w:lvl>
    <w:lvl w:ilvl="1" w:tentative="0">
      <w:start w:val="5"/>
      <w:numFmt w:val="decimal"/>
      <w:lvlText w:val="%1.%2"/>
      <w:lvlJc w:val="left"/>
      <w:pPr>
        <w:ind w:left="860" w:hanging="435"/>
      </w:pPr>
    </w:lvl>
    <w:lvl w:ilvl="2" w:tentative="0">
      <w:start w:val="1"/>
      <w:numFmt w:val="decimal"/>
      <w:lvlText w:val="%1.%2.%3"/>
      <w:lvlJc w:val="left"/>
      <w:pPr>
        <w:ind w:left="1570" w:hanging="720"/>
      </w:pPr>
    </w:lvl>
    <w:lvl w:ilvl="3" w:tentative="0">
      <w:start w:val="1"/>
      <w:numFmt w:val="decimal"/>
      <w:lvlText w:val="%1.%2.%3.%4"/>
      <w:lvlJc w:val="left"/>
      <w:pPr>
        <w:ind w:left="1995" w:hanging="720"/>
      </w:pPr>
    </w:lvl>
    <w:lvl w:ilvl="4" w:tentative="0">
      <w:start w:val="1"/>
      <w:numFmt w:val="decimal"/>
      <w:lvlText w:val="%1.%2.%3.%4.%5"/>
      <w:lvlJc w:val="left"/>
      <w:pPr>
        <w:ind w:left="2780" w:hanging="1080"/>
      </w:pPr>
    </w:lvl>
    <w:lvl w:ilvl="5" w:tentative="0">
      <w:start w:val="1"/>
      <w:numFmt w:val="decimal"/>
      <w:lvlText w:val="%1.%2.%3.%4.%5.%6"/>
      <w:lvlJc w:val="left"/>
      <w:pPr>
        <w:ind w:left="3205" w:hanging="1080"/>
      </w:pPr>
    </w:lvl>
    <w:lvl w:ilvl="6" w:tentative="0">
      <w:start w:val="1"/>
      <w:numFmt w:val="decimal"/>
      <w:lvlText w:val="%1.%2.%3.%4.%5.%6.%7"/>
      <w:lvlJc w:val="left"/>
      <w:pPr>
        <w:ind w:left="3990" w:hanging="1440"/>
      </w:pPr>
    </w:lvl>
    <w:lvl w:ilvl="7" w:tentative="0">
      <w:start w:val="1"/>
      <w:numFmt w:val="decimal"/>
      <w:lvlText w:val="%1.%2.%3.%4.%5.%6.%7.%8"/>
      <w:lvlJc w:val="left"/>
      <w:pPr>
        <w:ind w:left="4415" w:hanging="1440"/>
      </w:pPr>
    </w:lvl>
    <w:lvl w:ilvl="8" w:tentative="0">
      <w:start w:val="1"/>
      <w:numFmt w:val="decimal"/>
      <w:lvlText w:val="%1.%2.%3.%4.%5.%6.%7.%8.%9"/>
      <w:lvlJc w:val="left"/>
      <w:pPr>
        <w:ind w:left="5200" w:hanging="1800"/>
      </w:pPr>
    </w:lvl>
  </w:abstractNum>
  <w:abstractNum w:abstractNumId="21">
    <w:nsid w:val="65AB1F7C"/>
    <w:multiLevelType w:val="multilevel"/>
    <w:tmpl w:val="65AB1F7C"/>
    <w:lvl w:ilvl="0" w:tentative="0">
      <w:start w:val="8"/>
      <w:numFmt w:val="decimal"/>
      <w:lvlText w:val="%1"/>
      <w:lvlJc w:val="left"/>
      <w:pPr>
        <w:ind w:left="540" w:hanging="540"/>
      </w:pPr>
    </w:lvl>
    <w:lvl w:ilvl="1" w:tentative="0">
      <w:start w:val="7"/>
      <w:numFmt w:val="decimal"/>
      <w:lvlText w:val="%1.%2"/>
      <w:lvlJc w:val="left"/>
      <w:pPr>
        <w:ind w:left="1036" w:hanging="540"/>
      </w:pPr>
      <w:rPr>
        <w:i w:val="0"/>
        <w:color w:val="000000"/>
      </w:r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2">
    <w:nsid w:val="7B3D1798"/>
    <w:multiLevelType w:val="multilevel"/>
    <w:tmpl w:val="7B3D1798"/>
    <w:lvl w:ilvl="0" w:tentative="0">
      <w:start w:val="6"/>
      <w:numFmt w:val="decimal"/>
      <w:lvlText w:val="%1."/>
      <w:lvlJc w:val="left"/>
      <w:pPr>
        <w:ind w:left="360" w:hanging="360"/>
      </w:pPr>
      <w:rPr>
        <w:rFonts w:ascii="Arial" w:hAnsi="Arial"/>
        <w:b/>
        <w:sz w:val="20"/>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18"/>
  </w:num>
  <w:num w:numId="2">
    <w:abstractNumId w:val="5"/>
  </w:num>
  <w:num w:numId="3">
    <w:abstractNumId w:val="0"/>
  </w:num>
  <w:num w:numId="4">
    <w:abstractNumId w:val="13"/>
  </w:num>
  <w:num w:numId="5">
    <w:abstractNumId w:val="9"/>
  </w:num>
  <w:num w:numId="6">
    <w:abstractNumId w:val="8"/>
  </w:num>
  <w:num w:numId="7">
    <w:abstractNumId w:val="15"/>
  </w:num>
  <w:num w:numId="8">
    <w:abstractNumId w:val="19"/>
  </w:num>
  <w:num w:numId="9">
    <w:abstractNumId w:val="22"/>
  </w:num>
  <w:num w:numId="10">
    <w:abstractNumId w:val="7"/>
  </w:num>
  <w:num w:numId="11">
    <w:abstractNumId w:val="10"/>
  </w:num>
  <w:num w:numId="12">
    <w:abstractNumId w:val="16"/>
  </w:num>
  <w:num w:numId="13">
    <w:abstractNumId w:val="20"/>
  </w:num>
  <w:num w:numId="14">
    <w:abstractNumId w:val="21"/>
  </w:num>
  <w:num w:numId="15">
    <w:abstractNumId w:val="6"/>
  </w:num>
  <w:num w:numId="16">
    <w:abstractNumId w:val="11"/>
  </w:num>
  <w:num w:numId="17">
    <w:abstractNumId w:val="17"/>
  </w:num>
  <w:num w:numId="18">
    <w:abstractNumId w:val="2"/>
  </w:num>
  <w:num w:numId="19">
    <w:abstractNumId w:val="12"/>
  </w:num>
  <w:num w:numId="20">
    <w:abstractNumId w:val="1"/>
  </w:num>
  <w:num w:numId="21">
    <w:abstractNumId w:val="14"/>
  </w:num>
  <w:num w:numId="22">
    <w:abstractNumId w:val="4"/>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4"/>
  </w:compat>
  <w:rsids>
    <w:rsidRoot w:val="00AC10F5"/>
    <w:rsid w:val="006174AE"/>
    <w:rsid w:val="007E5DEC"/>
    <w:rsid w:val="00884891"/>
    <w:rsid w:val="00AC10F5"/>
    <w:rsid w:val="0A2F0D58"/>
    <w:rsid w:val="0BD95914"/>
    <w:rsid w:val="166F484D"/>
    <w:rsid w:val="180D6C2E"/>
    <w:rsid w:val="1CC347AA"/>
    <w:rsid w:val="21430A23"/>
    <w:rsid w:val="214F227D"/>
    <w:rsid w:val="2DCD6B9A"/>
    <w:rsid w:val="33072028"/>
    <w:rsid w:val="332B38B5"/>
    <w:rsid w:val="3AF24635"/>
    <w:rsid w:val="42497A16"/>
    <w:rsid w:val="43EC7F1E"/>
    <w:rsid w:val="45217FC9"/>
    <w:rsid w:val="485E592A"/>
    <w:rsid w:val="538A76AA"/>
    <w:rsid w:val="561D5D92"/>
    <w:rsid w:val="5C42640C"/>
    <w:rsid w:val="6C771318"/>
    <w:rsid w:val="72B0266E"/>
    <w:rsid w:val="76F0071D"/>
    <w:rsid w:val="777017AF"/>
    <w:rsid w:val="7C5C2305"/>
    <w:rsid w:val="7EB60640"/>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qFormat="1" w:unhideWhenUsed="0" w:uiPriority="34" w:semiHidden="0" w:name="List Paragraph"/>
    <w:lsdException w:qFormat="1" w:unhideWhenUsed="0" w:uiPriority="0" w:semiHidden="0" w:name="Quote"/>
  </w:latentStyles>
  <w:style w:type="paragraph" w:default="1" w:styleId="1">
    <w:name w:val="Normal"/>
    <w:qFormat/>
    <w:uiPriority w:val="0"/>
    <w:rPr>
      <w:rFonts w:ascii="Arial" w:hAnsi="Arial" w:eastAsia="Times New Roman" w:cs="Tahoma"/>
      <w:szCs w:val="24"/>
      <w:lang w:val="pt-BR" w:eastAsia="pt-BR" w:bidi="ar-SA"/>
    </w:rPr>
  </w:style>
  <w:style w:type="paragraph" w:styleId="2">
    <w:name w:val="heading 1"/>
    <w:basedOn w:val="1"/>
    <w:next w:val="1"/>
    <w:link w:val="44"/>
    <w:qFormat/>
    <w:uiPriority w:val="0"/>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4"/>
    <w:next w:val="4"/>
    <w:link w:val="31"/>
    <w:qFormat/>
    <w:uiPriority w:val="0"/>
    <w:pPr>
      <w:keepNext/>
      <w:tabs>
        <w:tab w:val="left" w:pos="1701"/>
      </w:tabs>
      <w:ind w:right="-1"/>
      <w:jc w:val="center"/>
      <w:outlineLvl w:val="1"/>
    </w:pPr>
    <w:rPr>
      <w:rFonts w:ascii="Times New Roman" w:hAnsi="Times New Roman" w:cs="Times New Roman"/>
      <w:b/>
      <w:color w:val="000000"/>
    </w:rPr>
  </w:style>
  <w:style w:type="paragraph" w:styleId="5">
    <w:name w:val="heading 3"/>
    <w:basedOn w:val="4"/>
    <w:next w:val="4"/>
    <w:qFormat/>
    <w:uiPriority w:val="0"/>
    <w:pPr>
      <w:keepNext/>
      <w:keepLines/>
      <w:spacing w:before="280" w:after="80"/>
      <w:outlineLvl w:val="2"/>
    </w:pPr>
    <w:rPr>
      <w:b/>
      <w:sz w:val="28"/>
      <w:szCs w:val="28"/>
    </w:rPr>
  </w:style>
  <w:style w:type="paragraph" w:styleId="6">
    <w:name w:val="heading 4"/>
    <w:basedOn w:val="4"/>
    <w:next w:val="4"/>
    <w:qFormat/>
    <w:uiPriority w:val="0"/>
    <w:pPr>
      <w:keepNext/>
      <w:keepLines/>
      <w:spacing w:before="240" w:after="40"/>
      <w:outlineLvl w:val="3"/>
    </w:pPr>
    <w:rPr>
      <w:b/>
      <w:sz w:val="24"/>
      <w:szCs w:val="24"/>
    </w:rPr>
  </w:style>
  <w:style w:type="paragraph" w:styleId="7">
    <w:name w:val="heading 5"/>
    <w:basedOn w:val="4"/>
    <w:next w:val="4"/>
    <w:qFormat/>
    <w:uiPriority w:val="0"/>
    <w:pPr>
      <w:keepNext/>
      <w:keepLines/>
      <w:spacing w:before="220" w:after="40"/>
      <w:outlineLvl w:val="4"/>
    </w:pPr>
    <w:rPr>
      <w:b/>
      <w:sz w:val="22"/>
      <w:szCs w:val="22"/>
    </w:rPr>
  </w:style>
  <w:style w:type="paragraph" w:styleId="8">
    <w:name w:val="heading 6"/>
    <w:basedOn w:val="4"/>
    <w:next w:val="4"/>
    <w:qFormat/>
    <w:uiPriority w:val="0"/>
    <w:pPr>
      <w:keepNext/>
      <w:keepLines/>
      <w:spacing w:before="200" w:after="40"/>
      <w:outlineLvl w:val="5"/>
    </w:pPr>
    <w:rPr>
      <w:b/>
    </w:rPr>
  </w:style>
  <w:style w:type="paragraph" w:styleId="9">
    <w:name w:val="heading 9"/>
    <w:basedOn w:val="4"/>
    <w:next w:val="4"/>
    <w:link w:val="59"/>
    <w:semiHidden/>
    <w:unhideWhenUsed/>
    <w:qFormat/>
    <w:uiPriority w:val="0"/>
    <w:pPr>
      <w:keepNext/>
      <w:keepLines/>
      <w:spacing w:before="40"/>
      <w:outlineLvl w:val="8"/>
    </w:pPr>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character" w:default="1" w:styleId="10">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4">
    <w:name w:val="LO-normal"/>
    <w:qFormat/>
    <w:uiPriority w:val="0"/>
    <w:rPr>
      <w:rFonts w:ascii="Arial" w:hAnsi="Arial" w:eastAsia="Arial" w:cs="Arial"/>
      <w:lang w:val="pt-BR" w:eastAsia="zh-CN" w:bidi="hi-IN"/>
    </w:rPr>
  </w:style>
  <w:style w:type="character" w:styleId="12">
    <w:name w:val="Strong"/>
    <w:basedOn w:val="10"/>
    <w:qFormat/>
    <w:uiPriority w:val="22"/>
    <w:rPr>
      <w:b/>
      <w:bCs/>
    </w:rPr>
  </w:style>
  <w:style w:type="character" w:styleId="13">
    <w:name w:val="annotation reference"/>
    <w:basedOn w:val="10"/>
    <w:unhideWhenUsed/>
    <w:qFormat/>
    <w:uiPriority w:val="99"/>
    <w:rPr>
      <w:sz w:val="16"/>
      <w:szCs w:val="16"/>
    </w:rPr>
  </w:style>
  <w:style w:type="character" w:styleId="14">
    <w:name w:val="Emphasis"/>
    <w:basedOn w:val="10"/>
    <w:qFormat/>
    <w:uiPriority w:val="20"/>
    <w:rPr>
      <w:i/>
      <w:iCs/>
    </w:rPr>
  </w:style>
  <w:style w:type="character" w:styleId="15">
    <w:name w:val="Hyperlink"/>
    <w:basedOn w:val="10"/>
    <w:semiHidden/>
    <w:unhideWhenUsed/>
    <w:qFormat/>
    <w:uiPriority w:val="99"/>
    <w:rPr>
      <w:color w:val="0000FF"/>
      <w:u w:val="single"/>
    </w:rPr>
  </w:style>
  <w:style w:type="paragraph" w:styleId="16">
    <w:name w:val="List"/>
    <w:basedOn w:val="17"/>
    <w:qFormat/>
    <w:uiPriority w:val="0"/>
    <w:rPr>
      <w:rFonts w:cs="Arial"/>
    </w:rPr>
  </w:style>
  <w:style w:type="paragraph" w:styleId="17">
    <w:name w:val="Body Text"/>
    <w:basedOn w:val="4"/>
    <w:link w:val="55"/>
    <w:unhideWhenUsed/>
    <w:qFormat/>
    <w:uiPriority w:val="99"/>
    <w:pPr>
      <w:spacing w:beforeAutospacing="1" w:afterAutospacing="1"/>
    </w:pPr>
    <w:rPr>
      <w:rFonts w:ascii="Times New Roman" w:hAnsi="Times New Roman" w:cs="Times New Roman"/>
      <w:sz w:val="24"/>
    </w:rPr>
  </w:style>
  <w:style w:type="paragraph" w:styleId="18">
    <w:name w:val="annotation text"/>
    <w:basedOn w:val="4"/>
    <w:link w:val="42"/>
    <w:unhideWhenUsed/>
    <w:qFormat/>
    <w:uiPriority w:val="99"/>
  </w:style>
  <w:style w:type="paragraph" w:styleId="19">
    <w:name w:val="Body Text Indent 2"/>
    <w:basedOn w:val="4"/>
    <w:link w:val="60"/>
    <w:unhideWhenUsed/>
    <w:qFormat/>
    <w:uiPriority w:val="99"/>
    <w:pPr>
      <w:spacing w:after="120" w:line="480" w:lineRule="auto"/>
      <w:ind w:left="283"/>
    </w:pPr>
    <w:rPr>
      <w:rFonts w:asciiTheme="minorHAnsi" w:hAnsiTheme="minorHAnsi" w:eastAsiaTheme="minorHAnsi" w:cstheme="minorBidi"/>
      <w:sz w:val="22"/>
      <w:szCs w:val="22"/>
      <w:lang w:eastAsia="en-US"/>
    </w:rPr>
  </w:style>
  <w:style w:type="paragraph" w:styleId="20">
    <w:name w:val="Title"/>
    <w:basedOn w:val="4"/>
    <w:next w:val="17"/>
    <w:qFormat/>
    <w:uiPriority w:val="0"/>
    <w:pPr>
      <w:keepNext/>
      <w:keepLines/>
      <w:spacing w:before="480" w:after="120"/>
    </w:pPr>
    <w:rPr>
      <w:b/>
      <w:sz w:val="72"/>
      <w:szCs w:val="72"/>
    </w:rPr>
  </w:style>
  <w:style w:type="paragraph" w:styleId="21">
    <w:name w:val="List Bullet 5"/>
    <w:basedOn w:val="4"/>
    <w:qFormat/>
    <w:uiPriority w:val="0"/>
    <w:pPr>
      <w:contextualSpacing/>
    </w:pPr>
  </w:style>
  <w:style w:type="paragraph" w:styleId="22">
    <w:name w:val="Normal (Web)"/>
    <w:basedOn w:val="4"/>
    <w:qFormat/>
    <w:uiPriority w:val="99"/>
    <w:pPr>
      <w:spacing w:beforeAutospacing="1" w:afterAutospacing="1"/>
    </w:pPr>
    <w:rPr>
      <w:rFonts w:ascii="Times New Roman" w:hAnsi="Times New Roman" w:cs="Times New Roman"/>
    </w:rPr>
  </w:style>
  <w:style w:type="paragraph" w:styleId="23">
    <w:name w:val="header"/>
    <w:basedOn w:val="4"/>
    <w:link w:val="38"/>
    <w:qFormat/>
    <w:uiPriority w:val="99"/>
    <w:pPr>
      <w:tabs>
        <w:tab w:val="center" w:pos="4252"/>
        <w:tab w:val="right" w:pos="8504"/>
      </w:tabs>
    </w:pPr>
  </w:style>
  <w:style w:type="paragraph" w:styleId="24">
    <w:name w:val="annotation subject"/>
    <w:basedOn w:val="18"/>
    <w:next w:val="18"/>
    <w:link w:val="43"/>
    <w:semiHidden/>
    <w:unhideWhenUsed/>
    <w:qFormat/>
    <w:uiPriority w:val="0"/>
    <w:rPr>
      <w:b/>
      <w:bCs/>
    </w:rPr>
  </w:style>
  <w:style w:type="paragraph" w:styleId="25">
    <w:name w:val="footer"/>
    <w:basedOn w:val="4"/>
    <w:link w:val="39"/>
    <w:qFormat/>
    <w:uiPriority w:val="99"/>
    <w:pPr>
      <w:tabs>
        <w:tab w:val="center" w:pos="4252"/>
        <w:tab w:val="right" w:pos="8504"/>
      </w:tabs>
    </w:pPr>
  </w:style>
  <w:style w:type="paragraph" w:styleId="26">
    <w:name w:val="caption"/>
    <w:basedOn w:val="4"/>
    <w:next w:val="1"/>
    <w:qFormat/>
    <w:uiPriority w:val="0"/>
    <w:pPr>
      <w:suppressLineNumbers/>
      <w:spacing w:before="120" w:after="120"/>
    </w:pPr>
    <w:rPr>
      <w:i/>
      <w:iCs/>
      <w:sz w:val="24"/>
      <w:szCs w:val="24"/>
    </w:rPr>
  </w:style>
  <w:style w:type="paragraph" w:styleId="27">
    <w:name w:val="Balloon Text"/>
    <w:basedOn w:val="4"/>
    <w:link w:val="30"/>
    <w:qFormat/>
    <w:uiPriority w:val="99"/>
    <w:rPr>
      <w:rFonts w:ascii="Tahoma" w:hAnsi="Tahoma"/>
      <w:sz w:val="16"/>
      <w:szCs w:val="16"/>
    </w:rPr>
  </w:style>
  <w:style w:type="paragraph" w:styleId="28">
    <w:name w:val="Subtitle"/>
    <w:basedOn w:val="4"/>
    <w:next w:val="4"/>
    <w:qFormat/>
    <w:uiPriority w:val="0"/>
    <w:pPr>
      <w:keepNext/>
      <w:keepLines/>
      <w:spacing w:before="360" w:after="80"/>
    </w:pPr>
    <w:rPr>
      <w:rFonts w:ascii="Georgia" w:hAnsi="Georgia" w:eastAsia="Georgia" w:cs="Georgia"/>
      <w:i/>
      <w:color w:val="666666"/>
      <w:sz w:val="48"/>
      <w:szCs w:val="48"/>
    </w:rPr>
  </w:style>
  <w:style w:type="table" w:styleId="29">
    <w:name w:val="Table Grid"/>
    <w:basedOn w:val="11"/>
    <w:qFormat/>
    <w:uiPriority w:val="0"/>
    <w:rPr>
      <w:rFonts w:eastAsiaTheme="minorEastAsia"/>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0">
    <w:name w:val="Texto de balão Carácter"/>
    <w:link w:val="27"/>
    <w:qFormat/>
    <w:uiPriority w:val="99"/>
    <w:rPr>
      <w:rFonts w:ascii="Tahoma" w:hAnsi="Tahoma" w:cs="Tahoma"/>
      <w:sz w:val="16"/>
      <w:szCs w:val="16"/>
    </w:rPr>
  </w:style>
  <w:style w:type="character" w:customStyle="1" w:styleId="31">
    <w:name w:val="Cabeçalho 2 Carácter"/>
    <w:link w:val="3"/>
    <w:qFormat/>
    <w:uiPriority w:val="0"/>
    <w:rPr>
      <w:b/>
      <w:color w:val="000000"/>
      <w:sz w:val="24"/>
    </w:rPr>
  </w:style>
  <w:style w:type="character" w:customStyle="1" w:styleId="32">
    <w:name w:val="normal__char1"/>
    <w:qFormat/>
    <w:uiPriority w:val="0"/>
    <w:rPr>
      <w:rFonts w:ascii="Arial" w:hAnsi="Arial" w:cs="Arial"/>
      <w:sz w:val="24"/>
      <w:szCs w:val="24"/>
      <w:u w:val="none"/>
    </w:rPr>
  </w:style>
  <w:style w:type="character" w:customStyle="1" w:styleId="33">
    <w:name w:val="apple-style-span"/>
    <w:basedOn w:val="10"/>
    <w:qFormat/>
    <w:uiPriority w:val="0"/>
  </w:style>
  <w:style w:type="character" w:customStyle="1" w:styleId="34">
    <w:name w:val="Link da Internet"/>
    <w:qFormat/>
    <w:uiPriority w:val="0"/>
    <w:rPr>
      <w:color w:val="000080"/>
      <w:u w:val="single"/>
    </w:rPr>
  </w:style>
  <w:style w:type="character" w:customStyle="1" w:styleId="35">
    <w:name w:val="Citação Carácter"/>
    <w:link w:val="36"/>
    <w:qFormat/>
    <w:uiPriority w:val="0"/>
    <w:rPr>
      <w:rFonts w:ascii="Arial" w:hAnsi="Arial" w:eastAsia="Calibri" w:cs="Tahoma"/>
      <w:i/>
      <w:iCs/>
      <w:color w:val="000000"/>
      <w:szCs w:val="24"/>
      <w:shd w:val="clear" w:color="auto" w:fill="FFFFCC"/>
      <w:lang w:eastAsia="en-US"/>
    </w:rPr>
  </w:style>
  <w:style w:type="paragraph" w:styleId="36">
    <w:name w:val="Quote"/>
    <w:basedOn w:val="4"/>
    <w:next w:val="4"/>
    <w:link w:val="3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i/>
      <w:iCs/>
      <w:color w:val="000000"/>
      <w:lang w:eastAsia="en-US"/>
    </w:rPr>
  </w:style>
  <w:style w:type="character" w:customStyle="1" w:styleId="37">
    <w:name w:val="citação 2 Char"/>
    <w:basedOn w:val="35"/>
    <w:qFormat/>
    <w:uiPriority w:val="0"/>
    <w:rPr>
      <w:rFonts w:ascii="Arial" w:hAnsi="Arial" w:eastAsia="Calibri" w:cs="Tahoma"/>
      <w:color w:val="000000"/>
      <w:szCs w:val="24"/>
      <w:shd w:val="clear" w:color="auto" w:fill="FFFFCC"/>
      <w:lang w:eastAsia="en-US"/>
    </w:rPr>
  </w:style>
  <w:style w:type="character" w:customStyle="1" w:styleId="38">
    <w:name w:val="Cabeçalho Carácter"/>
    <w:link w:val="23"/>
    <w:qFormat/>
    <w:uiPriority w:val="99"/>
    <w:rPr>
      <w:rFonts w:ascii="Ecofont_Spranq_eco_Sans" w:hAnsi="Ecofont_Spranq_eco_Sans" w:cs="Tahoma"/>
      <w:sz w:val="24"/>
      <w:szCs w:val="24"/>
    </w:rPr>
  </w:style>
  <w:style w:type="character" w:customStyle="1" w:styleId="39">
    <w:name w:val="Rodapé Carácter"/>
    <w:link w:val="25"/>
    <w:qFormat/>
    <w:uiPriority w:val="99"/>
    <w:rPr>
      <w:rFonts w:ascii="Ecofont_Spranq_eco_Sans" w:hAnsi="Ecofont_Spranq_eco_Sans" w:cs="Tahoma"/>
      <w:sz w:val="24"/>
      <w:szCs w:val="24"/>
    </w:rPr>
  </w:style>
  <w:style w:type="character" w:customStyle="1" w:styleId="40">
    <w:name w:val="cp_0020corpodespacho__char1"/>
    <w:qFormat/>
    <w:uiPriority w:val="0"/>
    <w:rPr>
      <w:rFonts w:ascii="Times New Roman" w:hAnsi="Times New Roman" w:cs="Times New Roman"/>
      <w:sz w:val="26"/>
      <w:szCs w:val="26"/>
      <w:u w:val="none"/>
    </w:rPr>
  </w:style>
  <w:style w:type="character" w:customStyle="1" w:styleId="41">
    <w:name w:val="em_0020ementa__char1"/>
    <w:qFormat/>
    <w:uiPriority w:val="0"/>
    <w:rPr>
      <w:rFonts w:ascii="Times New Roman" w:hAnsi="Times New Roman" w:cs="Times New Roman"/>
      <w:sz w:val="28"/>
      <w:szCs w:val="28"/>
      <w:u w:val="none"/>
    </w:rPr>
  </w:style>
  <w:style w:type="character" w:customStyle="1" w:styleId="42">
    <w:name w:val="Texto de comentário Carácter"/>
    <w:basedOn w:val="10"/>
    <w:link w:val="18"/>
    <w:qFormat/>
    <w:uiPriority w:val="99"/>
    <w:rPr>
      <w:rFonts w:ascii="Ecofont_Spranq_eco_Sans" w:hAnsi="Ecofont_Spranq_eco_Sans" w:cs="Tahoma"/>
    </w:rPr>
  </w:style>
  <w:style w:type="character" w:customStyle="1" w:styleId="43">
    <w:name w:val="Assunto de comentário Carácter"/>
    <w:basedOn w:val="42"/>
    <w:link w:val="24"/>
    <w:semiHidden/>
    <w:qFormat/>
    <w:uiPriority w:val="0"/>
    <w:rPr>
      <w:rFonts w:ascii="Ecofont_Spranq_eco_Sans" w:hAnsi="Ecofont_Spranq_eco_Sans" w:cs="Tahoma"/>
      <w:b/>
      <w:bCs/>
    </w:rPr>
  </w:style>
  <w:style w:type="character" w:customStyle="1" w:styleId="44">
    <w:name w:val="Cabeçalho 1 Carácter"/>
    <w:basedOn w:val="10"/>
    <w:link w:val="2"/>
    <w:qFormat/>
    <w:uiPriority w:val="0"/>
    <w:rPr>
      <w:rFonts w:asciiTheme="majorHAnsi" w:hAnsiTheme="majorHAnsi" w:eastAsiaTheme="majorEastAsia" w:cstheme="majorBidi"/>
      <w:b/>
      <w:bCs/>
      <w:color w:val="376092" w:themeColor="accent1" w:themeShade="BF"/>
      <w:sz w:val="28"/>
      <w:szCs w:val="28"/>
    </w:rPr>
  </w:style>
  <w:style w:type="character" w:customStyle="1" w:styleId="45">
    <w:name w:val="Nivel 01 Char"/>
    <w:basedOn w:val="44"/>
    <w:link w:val="46"/>
    <w:qFormat/>
    <w:uiPriority w:val="0"/>
    <w:rPr>
      <w:rFonts w:ascii="Arial" w:hAnsi="Arial" w:eastAsiaTheme="majorEastAsia" w:cstheme="majorBidi"/>
      <w:color w:val="000000"/>
      <w:sz w:val="28"/>
      <w:szCs w:val="28"/>
    </w:rPr>
  </w:style>
  <w:style w:type="paragraph" w:customStyle="1" w:styleId="46">
    <w:name w:val="Nivel 01"/>
    <w:basedOn w:val="2"/>
    <w:next w:val="4"/>
    <w:link w:val="45"/>
    <w:qFormat/>
    <w:uiPriority w:val="0"/>
    <w:pPr>
      <w:spacing w:after="120" w:line="276" w:lineRule="auto"/>
      <w:ind w:right="-15"/>
      <w:jc w:val="both"/>
    </w:pPr>
    <w:rPr>
      <w:rFonts w:ascii="Arial" w:hAnsi="Arial" w:cs="Times New Roman"/>
      <w:color w:val="000000"/>
      <w:sz w:val="20"/>
      <w:szCs w:val="20"/>
    </w:rPr>
  </w:style>
  <w:style w:type="character" w:customStyle="1" w:styleId="47">
    <w:name w:val="normaltextrun"/>
    <w:basedOn w:val="10"/>
    <w:qFormat/>
    <w:uiPriority w:val="0"/>
  </w:style>
  <w:style w:type="character" w:customStyle="1" w:styleId="48">
    <w:name w:val="eop"/>
    <w:basedOn w:val="10"/>
    <w:qFormat/>
    <w:uiPriority w:val="0"/>
  </w:style>
  <w:style w:type="character" w:customStyle="1" w:styleId="49">
    <w:name w:val="spellingerror"/>
    <w:basedOn w:val="10"/>
    <w:qFormat/>
    <w:uiPriority w:val="0"/>
  </w:style>
  <w:style w:type="character" w:customStyle="1" w:styleId="50">
    <w:name w:val="Quote Char"/>
    <w:basedOn w:val="10"/>
    <w:link w:val="51"/>
    <w:qFormat/>
    <w:uiPriority w:val="0"/>
    <w:rPr>
      <w:rFonts w:ascii="Ecofont_Spranq_eco_Sans" w:hAnsi="Ecofont_Spranq_eco_Sans" w:eastAsia="Calibri" w:cs="Tahoma"/>
      <w:i/>
      <w:iCs/>
      <w:color w:val="000000"/>
      <w:shd w:val="clear" w:color="auto" w:fill="FFFFCC"/>
      <w:lang w:eastAsia="en-US"/>
    </w:rPr>
  </w:style>
  <w:style w:type="paragraph" w:customStyle="1" w:styleId="51">
    <w:name w:val="Citação1"/>
    <w:basedOn w:val="4"/>
    <w:next w:val="4"/>
    <w:link w:val="50"/>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i/>
      <w:iCs/>
      <w:color w:val="000000"/>
      <w:lang w:eastAsia="en-US"/>
    </w:rPr>
  </w:style>
  <w:style w:type="character" w:customStyle="1" w:styleId="52">
    <w:name w:val="Manoel"/>
    <w:qFormat/>
    <w:uiPriority w:val="0"/>
    <w:rPr>
      <w:rFonts w:ascii="Arial" w:hAnsi="Arial" w:cs="Arial"/>
      <w:color w:val="7030A0"/>
      <w:sz w:val="20"/>
    </w:rPr>
  </w:style>
  <w:style w:type="character" w:customStyle="1" w:styleId="53">
    <w:name w:val="ListLabel 12"/>
    <w:qFormat/>
    <w:uiPriority w:val="0"/>
    <w:rPr>
      <w:b/>
    </w:rPr>
  </w:style>
  <w:style w:type="character" w:customStyle="1" w:styleId="54">
    <w:name w:val="Grade Colorida - Ênfase 1 Char"/>
    <w:qFormat/>
    <w:uiPriority w:val="29"/>
    <w:rPr>
      <w:rFonts w:ascii="Arial" w:hAnsi="Arial" w:eastAsia="Calibri"/>
      <w:i/>
      <w:iCs/>
      <w:color w:val="000000"/>
      <w:szCs w:val="24"/>
      <w:shd w:val="clear" w:color="auto" w:fill="FFFFCC"/>
      <w:lang w:eastAsia="en-US"/>
    </w:rPr>
  </w:style>
  <w:style w:type="character" w:customStyle="1" w:styleId="55">
    <w:name w:val="Corpo de texto Carácter"/>
    <w:basedOn w:val="10"/>
    <w:link w:val="17"/>
    <w:qFormat/>
    <w:uiPriority w:val="99"/>
    <w:rPr>
      <w:sz w:val="24"/>
      <w:szCs w:val="24"/>
    </w:rPr>
  </w:style>
  <w:style w:type="character" w:customStyle="1" w:styleId="56">
    <w:name w:val="highlight"/>
    <w:basedOn w:val="10"/>
    <w:qFormat/>
    <w:uiPriority w:val="0"/>
  </w:style>
  <w:style w:type="character" w:customStyle="1" w:styleId="57">
    <w:name w:val="Nivel1 Char"/>
    <w:basedOn w:val="44"/>
    <w:link w:val="58"/>
    <w:qFormat/>
    <w:uiPriority w:val="0"/>
    <w:rPr>
      <w:rFonts w:ascii="Arial" w:hAnsi="Arial" w:cs="Arial" w:eastAsiaTheme="majorEastAsia"/>
      <w:bCs w:val="0"/>
      <w:color w:val="000000"/>
      <w:sz w:val="28"/>
      <w:szCs w:val="28"/>
    </w:rPr>
  </w:style>
  <w:style w:type="paragraph" w:customStyle="1" w:styleId="58">
    <w:name w:val="Nivel1"/>
    <w:basedOn w:val="2"/>
    <w:link w:val="57"/>
    <w:qFormat/>
    <w:uiPriority w:val="0"/>
    <w:pPr>
      <w:spacing w:line="276" w:lineRule="auto"/>
      <w:ind w:left="357" w:hanging="357"/>
      <w:jc w:val="both"/>
    </w:pPr>
    <w:rPr>
      <w:rFonts w:ascii="Arial" w:hAnsi="Arial" w:cs="Arial"/>
      <w:bCs w:val="0"/>
      <w:color w:val="000000"/>
      <w:sz w:val="20"/>
      <w:szCs w:val="20"/>
    </w:rPr>
  </w:style>
  <w:style w:type="character" w:customStyle="1" w:styleId="59">
    <w:name w:val="Cabeçalho 9 Carácter"/>
    <w:basedOn w:val="10"/>
    <w:link w:val="9"/>
    <w:semiHidden/>
    <w:qFormat/>
    <w:uiPriority w:val="0"/>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character" w:customStyle="1" w:styleId="60">
    <w:name w:val="Avanço de corpo de texto 2 Carácter"/>
    <w:basedOn w:val="10"/>
    <w:link w:val="19"/>
    <w:qFormat/>
    <w:uiPriority w:val="99"/>
    <w:rPr>
      <w:rFonts w:asciiTheme="minorHAnsi" w:hAnsiTheme="minorHAnsi" w:eastAsiaTheme="minorHAnsi" w:cstheme="minorBidi"/>
      <w:sz w:val="22"/>
      <w:szCs w:val="22"/>
      <w:lang w:eastAsia="en-US"/>
    </w:rPr>
  </w:style>
  <w:style w:type="character" w:customStyle="1" w:styleId="61">
    <w:name w:val="ListLabel 13"/>
    <w:qFormat/>
    <w:uiPriority w:val="0"/>
    <w:rPr>
      <w:rFonts w:eastAsia="MS Gothic" w:cs="Arial"/>
      <w:b/>
    </w:rPr>
  </w:style>
  <w:style w:type="character" w:customStyle="1" w:styleId="62">
    <w:name w:val="ListLabel 14"/>
    <w:qFormat/>
    <w:uiPriority w:val="0"/>
    <w:rPr>
      <w:rFonts w:ascii="Arial" w:hAnsi="Arial"/>
    </w:rPr>
  </w:style>
  <w:style w:type="character" w:customStyle="1" w:styleId="63">
    <w:name w:val="ListLabel 15"/>
    <w:qFormat/>
    <w:uiPriority w:val="0"/>
    <w:rPr>
      <w:rFonts w:eastAsia="Times New Roman" w:cs="Arial"/>
      <w:color w:val="auto"/>
    </w:rPr>
  </w:style>
  <w:style w:type="character" w:customStyle="1" w:styleId="64">
    <w:name w:val="ListLabel 16"/>
    <w:qFormat/>
    <w:uiPriority w:val="0"/>
    <w:rPr>
      <w:color w:val="auto"/>
    </w:rPr>
  </w:style>
  <w:style w:type="character" w:customStyle="1" w:styleId="65">
    <w:name w:val="ListLabel 17"/>
    <w:qFormat/>
    <w:uiPriority w:val="0"/>
    <w:rPr>
      <w:color w:val="auto"/>
    </w:rPr>
  </w:style>
  <w:style w:type="character" w:customStyle="1" w:styleId="66">
    <w:name w:val="ListLabel 18"/>
    <w:qFormat/>
    <w:uiPriority w:val="0"/>
    <w:rPr>
      <w:rFonts w:ascii="Arial" w:hAnsi="Arial" w:cs="Arial"/>
      <w:color w:val="000000"/>
    </w:rPr>
  </w:style>
  <w:style w:type="character" w:customStyle="1" w:styleId="67">
    <w:name w:val="ListLabel 19"/>
    <w:qFormat/>
    <w:uiPriority w:val="0"/>
  </w:style>
  <w:style w:type="character" w:customStyle="1" w:styleId="68">
    <w:name w:val="ListLabel 20"/>
    <w:qFormat/>
    <w:uiPriority w:val="0"/>
    <w:rPr>
      <w:color w:val="000000"/>
      <w:sz w:val="20"/>
    </w:rPr>
  </w:style>
  <w:style w:type="character" w:customStyle="1" w:styleId="69">
    <w:name w:val="ListLabel 21"/>
    <w:qFormat/>
    <w:uiPriority w:val="0"/>
    <w:rPr>
      <w:color w:val="000000"/>
      <w:sz w:val="20"/>
    </w:rPr>
  </w:style>
  <w:style w:type="character" w:customStyle="1" w:styleId="70">
    <w:name w:val="ListLabel 22"/>
    <w:qFormat/>
    <w:uiPriority w:val="0"/>
    <w:rPr>
      <w:rFonts w:ascii="Arial" w:hAnsi="Arial"/>
      <w:color w:val="000000"/>
      <w:sz w:val="20"/>
    </w:rPr>
  </w:style>
  <w:style w:type="character" w:customStyle="1" w:styleId="71">
    <w:name w:val="ListLabel 23"/>
    <w:qFormat/>
    <w:uiPriority w:val="0"/>
    <w:rPr>
      <w:color w:val="000000"/>
      <w:sz w:val="20"/>
    </w:rPr>
  </w:style>
  <w:style w:type="character" w:customStyle="1" w:styleId="72">
    <w:name w:val="ListLabel 24"/>
    <w:qFormat/>
    <w:uiPriority w:val="0"/>
    <w:rPr>
      <w:color w:val="000000"/>
      <w:sz w:val="20"/>
    </w:rPr>
  </w:style>
  <w:style w:type="character" w:customStyle="1" w:styleId="73">
    <w:name w:val="ListLabel 25"/>
    <w:qFormat/>
    <w:uiPriority w:val="0"/>
    <w:rPr>
      <w:color w:val="000000"/>
      <w:sz w:val="20"/>
    </w:rPr>
  </w:style>
  <w:style w:type="character" w:customStyle="1" w:styleId="74">
    <w:name w:val="ListLabel 26"/>
    <w:qFormat/>
    <w:uiPriority w:val="0"/>
    <w:rPr>
      <w:color w:val="000000"/>
      <w:sz w:val="20"/>
    </w:rPr>
  </w:style>
  <w:style w:type="character" w:customStyle="1" w:styleId="75">
    <w:name w:val="ListLabel 27"/>
    <w:qFormat/>
    <w:uiPriority w:val="0"/>
    <w:rPr>
      <w:color w:val="000000"/>
      <w:sz w:val="20"/>
    </w:rPr>
  </w:style>
  <w:style w:type="character" w:customStyle="1" w:styleId="76">
    <w:name w:val="ListLabel 28"/>
    <w:qFormat/>
    <w:uiPriority w:val="0"/>
    <w:rPr>
      <w:color w:val="000000"/>
      <w:sz w:val="20"/>
    </w:rPr>
  </w:style>
  <w:style w:type="character" w:customStyle="1" w:styleId="77">
    <w:name w:val="ListLabel 29"/>
    <w:qFormat/>
    <w:uiPriority w:val="0"/>
    <w:rPr>
      <w:rFonts w:eastAsia="MS Gothic" w:cs="Arial"/>
      <w:b/>
    </w:rPr>
  </w:style>
  <w:style w:type="character" w:customStyle="1" w:styleId="78">
    <w:name w:val="ListLabel 30"/>
    <w:qFormat/>
    <w:uiPriority w:val="0"/>
  </w:style>
  <w:style w:type="character" w:customStyle="1" w:styleId="79">
    <w:name w:val="ListLabel 31"/>
    <w:qFormat/>
    <w:uiPriority w:val="0"/>
    <w:rPr>
      <w:rFonts w:eastAsia="Times New Roman" w:cs="Arial"/>
      <w:color w:val="auto"/>
    </w:rPr>
  </w:style>
  <w:style w:type="character" w:customStyle="1" w:styleId="80">
    <w:name w:val="ListLabel 32"/>
    <w:qFormat/>
    <w:uiPriority w:val="0"/>
    <w:rPr>
      <w:b/>
    </w:rPr>
  </w:style>
  <w:style w:type="character" w:customStyle="1" w:styleId="81">
    <w:name w:val="ListLabel 33"/>
    <w:qFormat/>
    <w:uiPriority w:val="0"/>
  </w:style>
  <w:style w:type="character" w:customStyle="1" w:styleId="82">
    <w:name w:val="ListLabel 34"/>
    <w:qFormat/>
    <w:uiPriority w:val="0"/>
    <w:rPr>
      <w:color w:val="auto"/>
    </w:rPr>
  </w:style>
  <w:style w:type="character" w:customStyle="1" w:styleId="83">
    <w:name w:val="ListLabel 35"/>
    <w:qFormat/>
    <w:uiPriority w:val="0"/>
    <w:rPr>
      <w:color w:val="auto"/>
    </w:rPr>
  </w:style>
  <w:style w:type="character" w:customStyle="1" w:styleId="84">
    <w:name w:val="ListLabel 36"/>
    <w:qFormat/>
    <w:uiPriority w:val="0"/>
    <w:rPr>
      <w:color w:val="auto"/>
    </w:rPr>
  </w:style>
  <w:style w:type="character" w:customStyle="1" w:styleId="85">
    <w:name w:val="ListLabel 37"/>
    <w:qFormat/>
    <w:uiPriority w:val="0"/>
    <w:rPr>
      <w:color w:val="auto"/>
    </w:rPr>
  </w:style>
  <w:style w:type="character" w:customStyle="1" w:styleId="86">
    <w:name w:val="ListLabel 38"/>
    <w:qFormat/>
    <w:uiPriority w:val="0"/>
    <w:rPr>
      <w:color w:val="auto"/>
    </w:rPr>
  </w:style>
  <w:style w:type="character" w:customStyle="1" w:styleId="87">
    <w:name w:val="ListLabel 39"/>
    <w:qFormat/>
    <w:uiPriority w:val="0"/>
    <w:rPr>
      <w:color w:val="auto"/>
    </w:rPr>
  </w:style>
  <w:style w:type="character" w:customStyle="1" w:styleId="88">
    <w:name w:val="ListLabel 40"/>
    <w:qFormat/>
    <w:uiPriority w:val="0"/>
    <w:rPr>
      <w:color w:val="auto"/>
    </w:rPr>
  </w:style>
  <w:style w:type="character" w:customStyle="1" w:styleId="89">
    <w:name w:val="ListLabel 41"/>
    <w:qFormat/>
    <w:uiPriority w:val="0"/>
    <w:rPr>
      <w:color w:val="auto"/>
    </w:rPr>
  </w:style>
  <w:style w:type="character" w:customStyle="1" w:styleId="90">
    <w:name w:val="ListLabel 42"/>
    <w:qFormat/>
    <w:uiPriority w:val="0"/>
    <w:rPr>
      <w:color w:val="auto"/>
    </w:rPr>
  </w:style>
  <w:style w:type="character" w:customStyle="1" w:styleId="91">
    <w:name w:val="ListLabel 43"/>
    <w:qFormat/>
    <w:uiPriority w:val="0"/>
    <w:rPr>
      <w:rFonts w:eastAsia="MS Gothic" w:cs="Arial"/>
      <w:b/>
    </w:rPr>
  </w:style>
  <w:style w:type="character" w:customStyle="1" w:styleId="92">
    <w:name w:val="ListLabel 44"/>
    <w:qFormat/>
    <w:uiPriority w:val="0"/>
  </w:style>
  <w:style w:type="character" w:customStyle="1" w:styleId="93">
    <w:name w:val="ListLabel 45"/>
    <w:qFormat/>
    <w:uiPriority w:val="0"/>
    <w:rPr>
      <w:rFonts w:eastAsia="Times New Roman" w:cs="Arial"/>
      <w:color w:val="auto"/>
    </w:rPr>
  </w:style>
  <w:style w:type="character" w:customStyle="1" w:styleId="94">
    <w:name w:val="ListLabel 46"/>
    <w:qFormat/>
    <w:uiPriority w:val="0"/>
    <w:rPr>
      <w:rFonts w:eastAsia="MS Gothic" w:cs="Arial"/>
      <w:b/>
    </w:rPr>
  </w:style>
  <w:style w:type="character" w:customStyle="1" w:styleId="95">
    <w:name w:val="ListLabel 47"/>
    <w:qFormat/>
    <w:uiPriority w:val="0"/>
  </w:style>
  <w:style w:type="character" w:customStyle="1" w:styleId="96">
    <w:name w:val="ListLabel 48"/>
    <w:qFormat/>
    <w:uiPriority w:val="0"/>
    <w:rPr>
      <w:rFonts w:eastAsia="Times New Roman" w:cs="Arial"/>
      <w:color w:val="auto"/>
    </w:rPr>
  </w:style>
  <w:style w:type="character" w:customStyle="1" w:styleId="97">
    <w:name w:val="ListLabel 49"/>
    <w:qFormat/>
    <w:uiPriority w:val="0"/>
    <w:rPr>
      <w:b/>
    </w:rPr>
  </w:style>
  <w:style w:type="character" w:customStyle="1" w:styleId="98">
    <w:name w:val="ListLabel 50"/>
    <w:qFormat/>
    <w:uiPriority w:val="0"/>
    <w:rPr>
      <w:b/>
      <w:color w:val="auto"/>
    </w:rPr>
  </w:style>
  <w:style w:type="character" w:customStyle="1" w:styleId="99">
    <w:name w:val="ListLabel 51"/>
    <w:qFormat/>
    <w:uiPriority w:val="0"/>
    <w:rPr>
      <w:rFonts w:eastAsia="MS Gothic" w:cs="Arial"/>
      <w:b/>
    </w:rPr>
  </w:style>
  <w:style w:type="character" w:customStyle="1" w:styleId="100">
    <w:name w:val="ListLabel 52"/>
    <w:qFormat/>
    <w:uiPriority w:val="0"/>
  </w:style>
  <w:style w:type="character" w:customStyle="1" w:styleId="101">
    <w:name w:val="ListLabel 53"/>
    <w:qFormat/>
    <w:uiPriority w:val="0"/>
    <w:rPr>
      <w:rFonts w:eastAsia="Times New Roman" w:cs="Arial"/>
      <w:color w:val="auto"/>
    </w:rPr>
  </w:style>
  <w:style w:type="character" w:customStyle="1" w:styleId="102">
    <w:name w:val="ListLabel 54"/>
    <w:qFormat/>
    <w:uiPriority w:val="0"/>
    <w:rPr>
      <w:rFonts w:eastAsia="MS Gothic" w:cs="Arial"/>
      <w:b/>
    </w:rPr>
  </w:style>
  <w:style w:type="character" w:customStyle="1" w:styleId="103">
    <w:name w:val="ListLabel 55"/>
    <w:qFormat/>
    <w:uiPriority w:val="0"/>
  </w:style>
  <w:style w:type="character" w:customStyle="1" w:styleId="104">
    <w:name w:val="ListLabel 56"/>
    <w:qFormat/>
    <w:uiPriority w:val="0"/>
    <w:rPr>
      <w:rFonts w:eastAsia="Times New Roman" w:cs="Arial"/>
      <w:color w:val="auto"/>
    </w:rPr>
  </w:style>
  <w:style w:type="character" w:customStyle="1" w:styleId="105">
    <w:name w:val="ListLabel 57"/>
    <w:qFormat/>
    <w:uiPriority w:val="0"/>
    <w:rPr>
      <w:rFonts w:eastAsia="MS Gothic" w:cs="Arial"/>
      <w:b/>
    </w:rPr>
  </w:style>
  <w:style w:type="character" w:customStyle="1" w:styleId="106">
    <w:name w:val="ListLabel 58"/>
    <w:qFormat/>
    <w:uiPriority w:val="0"/>
  </w:style>
  <w:style w:type="character" w:customStyle="1" w:styleId="107">
    <w:name w:val="ListLabel 59"/>
    <w:qFormat/>
    <w:uiPriority w:val="0"/>
    <w:rPr>
      <w:rFonts w:eastAsia="Times New Roman" w:cs="Arial"/>
      <w:color w:val="auto"/>
    </w:rPr>
  </w:style>
  <w:style w:type="character" w:customStyle="1" w:styleId="108">
    <w:name w:val="ListLabel 60"/>
    <w:qFormat/>
    <w:uiPriority w:val="0"/>
    <w:rPr>
      <w:rFonts w:eastAsia="MS Gothic" w:cs="Arial"/>
      <w:b/>
    </w:rPr>
  </w:style>
  <w:style w:type="character" w:customStyle="1" w:styleId="109">
    <w:name w:val="ListLabel 61"/>
    <w:qFormat/>
    <w:uiPriority w:val="0"/>
    <w:rPr>
      <w:rFonts w:ascii="Arial" w:hAnsi="Arial"/>
    </w:rPr>
  </w:style>
  <w:style w:type="character" w:customStyle="1" w:styleId="110">
    <w:name w:val="ListLabel 62"/>
    <w:qFormat/>
    <w:uiPriority w:val="0"/>
    <w:rPr>
      <w:rFonts w:eastAsia="Times New Roman" w:cs="Arial"/>
      <w:color w:val="auto"/>
    </w:rPr>
  </w:style>
  <w:style w:type="character" w:customStyle="1" w:styleId="111">
    <w:name w:val="ListLabel 63"/>
    <w:qFormat/>
    <w:uiPriority w:val="0"/>
    <w:rPr>
      <w:rFonts w:eastAsia="MS Gothic" w:cs="Arial"/>
      <w:b/>
    </w:rPr>
  </w:style>
  <w:style w:type="character" w:customStyle="1" w:styleId="112">
    <w:name w:val="ListLabel 64"/>
    <w:qFormat/>
    <w:uiPriority w:val="0"/>
  </w:style>
  <w:style w:type="character" w:customStyle="1" w:styleId="113">
    <w:name w:val="ListLabel 65"/>
    <w:qFormat/>
    <w:uiPriority w:val="0"/>
    <w:rPr>
      <w:rFonts w:eastAsia="Times New Roman" w:cs="Arial"/>
      <w:color w:val="auto"/>
    </w:rPr>
  </w:style>
  <w:style w:type="character" w:customStyle="1" w:styleId="114">
    <w:name w:val="ListLabel 66"/>
    <w:qFormat/>
    <w:uiPriority w:val="0"/>
    <w:rPr>
      <w:rFonts w:eastAsia="MS Gothic" w:cs="Arial"/>
      <w:b/>
    </w:rPr>
  </w:style>
  <w:style w:type="character" w:customStyle="1" w:styleId="115">
    <w:name w:val="ListLabel 67"/>
    <w:qFormat/>
    <w:uiPriority w:val="0"/>
  </w:style>
  <w:style w:type="character" w:customStyle="1" w:styleId="116">
    <w:name w:val="ListLabel 68"/>
    <w:qFormat/>
    <w:uiPriority w:val="0"/>
    <w:rPr>
      <w:rFonts w:eastAsia="Times New Roman" w:cs="Arial"/>
      <w:color w:val="auto"/>
    </w:rPr>
  </w:style>
  <w:style w:type="character" w:customStyle="1" w:styleId="117">
    <w:name w:val="ListLabel 69"/>
    <w:qFormat/>
    <w:uiPriority w:val="0"/>
    <w:rPr>
      <w:rFonts w:eastAsia="MS Gothic" w:cs="Arial"/>
      <w:b/>
    </w:rPr>
  </w:style>
  <w:style w:type="character" w:customStyle="1" w:styleId="118">
    <w:name w:val="ListLabel 70"/>
    <w:qFormat/>
    <w:uiPriority w:val="0"/>
  </w:style>
  <w:style w:type="character" w:customStyle="1" w:styleId="119">
    <w:name w:val="ListLabel 71"/>
    <w:qFormat/>
    <w:uiPriority w:val="0"/>
    <w:rPr>
      <w:rFonts w:eastAsia="Times New Roman" w:cs="Arial"/>
      <w:color w:val="auto"/>
    </w:rPr>
  </w:style>
  <w:style w:type="character" w:customStyle="1" w:styleId="120">
    <w:name w:val="ListLabel 72"/>
    <w:qFormat/>
    <w:uiPriority w:val="0"/>
    <w:rPr>
      <w:rFonts w:eastAsia="MS Gothic" w:cs="Arial"/>
      <w:b/>
    </w:rPr>
  </w:style>
  <w:style w:type="character" w:customStyle="1" w:styleId="121">
    <w:name w:val="ListLabel 73"/>
    <w:qFormat/>
    <w:uiPriority w:val="0"/>
  </w:style>
  <w:style w:type="character" w:customStyle="1" w:styleId="122">
    <w:name w:val="ListLabel 74"/>
    <w:qFormat/>
    <w:uiPriority w:val="0"/>
    <w:rPr>
      <w:rFonts w:eastAsia="Times New Roman" w:cs="Arial"/>
      <w:color w:val="auto"/>
    </w:rPr>
  </w:style>
  <w:style w:type="character" w:customStyle="1" w:styleId="123">
    <w:name w:val="ListLabel 75"/>
    <w:qFormat/>
    <w:uiPriority w:val="0"/>
    <w:rPr>
      <w:rFonts w:ascii="Arial" w:hAnsi="Arial" w:cs="Arial"/>
      <w:color w:val="auto"/>
      <w:u w:val="single"/>
    </w:rPr>
  </w:style>
  <w:style w:type="character" w:customStyle="1" w:styleId="124">
    <w:name w:val="ListLabel 76"/>
    <w:qFormat/>
    <w:uiPriority w:val="0"/>
    <w:rPr>
      <w:b/>
      <w:szCs w:val="20"/>
    </w:rPr>
  </w:style>
  <w:style w:type="character" w:customStyle="1" w:styleId="125">
    <w:name w:val="ListLabel 77"/>
    <w:qFormat/>
    <w:uiPriority w:val="0"/>
    <w:rPr>
      <w:b/>
    </w:rPr>
  </w:style>
  <w:style w:type="character" w:customStyle="1" w:styleId="126">
    <w:name w:val="ListLabel 78"/>
    <w:qFormat/>
    <w:uiPriority w:val="0"/>
    <w:rPr>
      <w:rFonts w:cs="Arial"/>
      <w:szCs w:val="20"/>
    </w:rPr>
  </w:style>
  <w:style w:type="character" w:customStyle="1" w:styleId="127">
    <w:name w:val="ListLabel 79"/>
    <w:qFormat/>
    <w:uiPriority w:val="0"/>
    <w:rPr>
      <w:rFonts w:ascii="Arial" w:hAnsi="Arial" w:eastAsia="Arial" w:cs="Arial"/>
      <w:color w:val="000000"/>
      <w:sz w:val="20"/>
    </w:rPr>
  </w:style>
  <w:style w:type="character" w:customStyle="1" w:styleId="128">
    <w:name w:val="ListLabel 80"/>
    <w:qFormat/>
    <w:uiPriority w:val="0"/>
    <w:rPr>
      <w:b/>
    </w:rPr>
  </w:style>
  <w:style w:type="character" w:customStyle="1" w:styleId="129">
    <w:name w:val="ListLabel 81"/>
    <w:qFormat/>
    <w:uiPriority w:val="0"/>
    <w:rPr>
      <w:rFonts w:ascii="Arial" w:hAnsi="Arial" w:eastAsia="Arial" w:cs="Arial"/>
      <w:sz w:val="20"/>
    </w:rPr>
  </w:style>
  <w:style w:type="character" w:customStyle="1" w:styleId="130">
    <w:name w:val="ListLabel 82"/>
    <w:qFormat/>
    <w:uiPriority w:val="0"/>
    <w:rPr>
      <w:color w:val="000000"/>
    </w:rPr>
  </w:style>
  <w:style w:type="character" w:customStyle="1" w:styleId="131">
    <w:name w:val="ListLabel 83"/>
    <w:qFormat/>
    <w:uiPriority w:val="0"/>
    <w:rPr>
      <w:b/>
    </w:rPr>
  </w:style>
  <w:style w:type="character" w:customStyle="1" w:styleId="132">
    <w:name w:val="ListLabel 84"/>
    <w:qFormat/>
    <w:uiPriority w:val="0"/>
  </w:style>
  <w:style w:type="character" w:customStyle="1" w:styleId="133">
    <w:name w:val="ListLabel 85"/>
    <w:qFormat/>
    <w:uiPriority w:val="0"/>
    <w:rPr>
      <w:color w:val="000000"/>
    </w:rPr>
  </w:style>
  <w:style w:type="character" w:customStyle="1" w:styleId="134">
    <w:name w:val="ListLabel 86"/>
    <w:qFormat/>
    <w:uiPriority w:val="0"/>
    <w:rPr>
      <w:color w:val="000000"/>
      <w:sz w:val="20"/>
      <w:szCs w:val="20"/>
    </w:rPr>
  </w:style>
  <w:style w:type="character" w:customStyle="1" w:styleId="135">
    <w:name w:val="ListLabel 87"/>
    <w:qFormat/>
    <w:uiPriority w:val="0"/>
    <w:rPr>
      <w:color w:val="000000"/>
      <w:sz w:val="20"/>
      <w:szCs w:val="20"/>
    </w:rPr>
  </w:style>
  <w:style w:type="character" w:customStyle="1" w:styleId="136">
    <w:name w:val="ListLabel 88"/>
    <w:qFormat/>
    <w:uiPriority w:val="0"/>
    <w:rPr>
      <w:rFonts w:ascii="Arial" w:hAnsi="Arial" w:eastAsia="Arial" w:cs="Arial"/>
      <w:color w:val="000000"/>
      <w:sz w:val="20"/>
      <w:szCs w:val="20"/>
    </w:rPr>
  </w:style>
  <w:style w:type="character" w:customStyle="1" w:styleId="137">
    <w:name w:val="ListLabel 89"/>
    <w:qFormat/>
    <w:uiPriority w:val="0"/>
    <w:rPr>
      <w:color w:val="000000"/>
      <w:sz w:val="20"/>
      <w:szCs w:val="20"/>
    </w:rPr>
  </w:style>
  <w:style w:type="character" w:customStyle="1" w:styleId="138">
    <w:name w:val="ListLabel 90"/>
    <w:qFormat/>
    <w:uiPriority w:val="0"/>
    <w:rPr>
      <w:color w:val="000000"/>
      <w:sz w:val="20"/>
      <w:szCs w:val="20"/>
    </w:rPr>
  </w:style>
  <w:style w:type="character" w:customStyle="1" w:styleId="139">
    <w:name w:val="ListLabel 91"/>
    <w:qFormat/>
    <w:uiPriority w:val="0"/>
    <w:rPr>
      <w:color w:val="000000"/>
      <w:sz w:val="20"/>
      <w:szCs w:val="20"/>
    </w:rPr>
  </w:style>
  <w:style w:type="character" w:customStyle="1" w:styleId="140">
    <w:name w:val="ListLabel 92"/>
    <w:qFormat/>
    <w:uiPriority w:val="0"/>
    <w:rPr>
      <w:color w:val="000000"/>
      <w:sz w:val="20"/>
      <w:szCs w:val="20"/>
    </w:rPr>
  </w:style>
  <w:style w:type="character" w:customStyle="1" w:styleId="141">
    <w:name w:val="ListLabel 93"/>
    <w:qFormat/>
    <w:uiPriority w:val="0"/>
    <w:rPr>
      <w:color w:val="000000"/>
      <w:sz w:val="20"/>
      <w:szCs w:val="20"/>
    </w:rPr>
  </w:style>
  <w:style w:type="character" w:customStyle="1" w:styleId="142">
    <w:name w:val="ListLabel 94"/>
    <w:qFormat/>
    <w:uiPriority w:val="0"/>
    <w:rPr>
      <w:color w:val="000000"/>
      <w:sz w:val="20"/>
      <w:szCs w:val="20"/>
    </w:rPr>
  </w:style>
  <w:style w:type="character" w:customStyle="1" w:styleId="143">
    <w:name w:val="ListLabel 95"/>
    <w:qFormat/>
    <w:uiPriority w:val="0"/>
    <w:rPr>
      <w:rFonts w:ascii="Arial" w:hAnsi="Arial"/>
      <w:color w:val="000000"/>
      <w:sz w:val="20"/>
    </w:rPr>
  </w:style>
  <w:style w:type="character" w:customStyle="1" w:styleId="144">
    <w:name w:val="ListLabel 96"/>
    <w:qFormat/>
    <w:uiPriority w:val="0"/>
    <w:rPr>
      <w:rFonts w:ascii="Arial" w:hAnsi="Arial"/>
      <w:b/>
      <w:color w:val="000000"/>
      <w:sz w:val="20"/>
    </w:rPr>
  </w:style>
  <w:style w:type="character" w:customStyle="1" w:styleId="145">
    <w:name w:val="ListLabel 97"/>
    <w:qFormat/>
    <w:uiPriority w:val="0"/>
  </w:style>
  <w:style w:type="character" w:customStyle="1" w:styleId="146">
    <w:name w:val="ListLabel 98"/>
    <w:qFormat/>
    <w:uiPriority w:val="0"/>
    <w:rPr>
      <w:b/>
    </w:rPr>
  </w:style>
  <w:style w:type="character" w:customStyle="1" w:styleId="147">
    <w:name w:val="ListLabel 99"/>
    <w:qFormat/>
    <w:uiPriority w:val="0"/>
  </w:style>
  <w:style w:type="character" w:customStyle="1" w:styleId="148">
    <w:name w:val="ListLabel 100"/>
    <w:qFormat/>
    <w:uiPriority w:val="0"/>
    <w:rPr>
      <w:color w:val="000000"/>
    </w:rPr>
  </w:style>
  <w:style w:type="character" w:customStyle="1" w:styleId="149">
    <w:name w:val="ListLabel 101"/>
    <w:qFormat/>
    <w:uiPriority w:val="0"/>
    <w:rPr>
      <w:b/>
    </w:rPr>
  </w:style>
  <w:style w:type="character" w:customStyle="1" w:styleId="150">
    <w:name w:val="ListLabel 102"/>
    <w:qFormat/>
    <w:uiPriority w:val="0"/>
    <w:rPr>
      <w:rFonts w:ascii="Arial" w:hAnsi="Arial"/>
      <w:color w:val="000000"/>
      <w:sz w:val="20"/>
    </w:rPr>
  </w:style>
  <w:style w:type="character" w:customStyle="1" w:styleId="151">
    <w:name w:val="ListLabel 103"/>
    <w:qFormat/>
    <w:uiPriority w:val="0"/>
    <w:rPr>
      <w:sz w:val="20"/>
      <w:szCs w:val="20"/>
    </w:rPr>
  </w:style>
  <w:style w:type="character" w:customStyle="1" w:styleId="152">
    <w:name w:val="ListLabel 104"/>
    <w:qFormat/>
    <w:uiPriority w:val="0"/>
    <w:rPr>
      <w:rFonts w:eastAsia="Arial" w:cs="Arial"/>
      <w:b/>
      <w:color w:val="000000"/>
      <w:sz w:val="20"/>
    </w:rPr>
  </w:style>
  <w:style w:type="character" w:customStyle="1" w:styleId="153">
    <w:name w:val="ListLabel 105"/>
    <w:qFormat/>
    <w:uiPriority w:val="0"/>
    <w:rPr>
      <w:rFonts w:ascii="Arial" w:hAnsi="Arial"/>
      <w:b/>
      <w:color w:val="000000"/>
      <w:sz w:val="20"/>
    </w:rPr>
  </w:style>
  <w:style w:type="character" w:customStyle="1" w:styleId="154">
    <w:name w:val="ListLabel 106"/>
    <w:qFormat/>
    <w:uiPriority w:val="0"/>
    <w:rPr>
      <w:rFonts w:ascii="Arial" w:hAnsi="Arial"/>
      <w:sz w:val="20"/>
    </w:rPr>
  </w:style>
  <w:style w:type="character" w:customStyle="1" w:styleId="155">
    <w:name w:val="ListLabel 107"/>
    <w:qFormat/>
    <w:uiPriority w:val="0"/>
    <w:rPr>
      <w:rFonts w:ascii="Arial" w:hAnsi="Arial"/>
      <w:b/>
      <w:sz w:val="20"/>
    </w:rPr>
  </w:style>
  <w:style w:type="character" w:customStyle="1" w:styleId="156">
    <w:name w:val="ListLabel 108"/>
    <w:qFormat/>
    <w:uiPriority w:val="0"/>
    <w:rPr>
      <w:rFonts w:eastAsia="Arial" w:cs="Arial"/>
    </w:rPr>
  </w:style>
  <w:style w:type="character" w:customStyle="1" w:styleId="157">
    <w:name w:val="ListLabel 109"/>
    <w:qFormat/>
    <w:uiPriority w:val="0"/>
    <w:rPr>
      <w:rFonts w:ascii="Arial" w:hAnsi="Arial"/>
      <w:color w:val="000000"/>
      <w:sz w:val="20"/>
    </w:rPr>
  </w:style>
  <w:style w:type="character" w:customStyle="1" w:styleId="158">
    <w:name w:val="ListLabel 110"/>
    <w:qFormat/>
    <w:uiPriority w:val="0"/>
    <w:rPr>
      <w:rFonts w:ascii="Arial" w:hAnsi="Arial"/>
      <w:b/>
      <w:color w:val="000000"/>
      <w:sz w:val="20"/>
    </w:rPr>
  </w:style>
  <w:style w:type="character" w:customStyle="1" w:styleId="159">
    <w:name w:val="ListLabel 111"/>
    <w:qFormat/>
    <w:uiPriority w:val="0"/>
    <w:rPr>
      <w:rFonts w:ascii="Arial" w:hAnsi="Arial"/>
      <w:b/>
      <w:sz w:val="20"/>
    </w:rPr>
  </w:style>
  <w:style w:type="character" w:customStyle="1" w:styleId="160">
    <w:name w:val="ListLabel 112"/>
    <w:qFormat/>
    <w:uiPriority w:val="0"/>
  </w:style>
  <w:style w:type="character" w:customStyle="1" w:styleId="161">
    <w:name w:val="ListLabel 113"/>
    <w:qFormat/>
    <w:uiPriority w:val="0"/>
    <w:rPr>
      <w:color w:val="000000"/>
    </w:rPr>
  </w:style>
  <w:style w:type="character" w:customStyle="1" w:styleId="162">
    <w:name w:val="ListLabel 114"/>
    <w:qFormat/>
    <w:uiPriority w:val="0"/>
    <w:rPr>
      <w:color w:val="000000"/>
    </w:rPr>
  </w:style>
  <w:style w:type="character" w:customStyle="1" w:styleId="163">
    <w:name w:val="ListLabel 115"/>
    <w:qFormat/>
    <w:uiPriority w:val="0"/>
    <w:rPr>
      <w:color w:val="000000"/>
    </w:rPr>
  </w:style>
  <w:style w:type="character" w:customStyle="1" w:styleId="164">
    <w:name w:val="ListLabel 116"/>
    <w:qFormat/>
    <w:uiPriority w:val="0"/>
    <w:rPr>
      <w:rFonts w:ascii="Arial" w:hAnsi="Arial"/>
      <w:color w:val="000000"/>
      <w:sz w:val="20"/>
    </w:rPr>
  </w:style>
  <w:style w:type="character" w:customStyle="1" w:styleId="165">
    <w:name w:val="ListLabel 117"/>
    <w:qFormat/>
    <w:uiPriority w:val="0"/>
    <w:rPr>
      <w:rFonts w:ascii="Arial" w:hAnsi="Arial"/>
      <w:color w:val="000000"/>
      <w:sz w:val="20"/>
    </w:rPr>
  </w:style>
  <w:style w:type="character" w:customStyle="1" w:styleId="166">
    <w:name w:val="ListLabel 118"/>
    <w:qFormat/>
    <w:uiPriority w:val="0"/>
    <w:rPr>
      <w:rFonts w:ascii="Arial" w:hAnsi="Arial"/>
      <w:color w:val="000000"/>
      <w:sz w:val="20"/>
    </w:rPr>
  </w:style>
  <w:style w:type="character" w:customStyle="1" w:styleId="167">
    <w:name w:val="ListLabel 119"/>
    <w:qFormat/>
    <w:uiPriority w:val="0"/>
    <w:rPr>
      <w:color w:val="000000"/>
    </w:rPr>
  </w:style>
  <w:style w:type="character" w:customStyle="1" w:styleId="168">
    <w:name w:val="ListLabel 120"/>
    <w:qFormat/>
    <w:uiPriority w:val="0"/>
    <w:rPr>
      <w:color w:val="000000"/>
    </w:rPr>
  </w:style>
  <w:style w:type="character" w:customStyle="1" w:styleId="169">
    <w:name w:val="ListLabel 121"/>
    <w:qFormat/>
    <w:uiPriority w:val="0"/>
    <w:rPr>
      <w:color w:val="000000"/>
    </w:rPr>
  </w:style>
  <w:style w:type="character" w:customStyle="1" w:styleId="170">
    <w:name w:val="ListLabel 122"/>
    <w:qFormat/>
    <w:uiPriority w:val="0"/>
    <w:rPr>
      <w:color w:val="000000"/>
    </w:rPr>
  </w:style>
  <w:style w:type="character" w:customStyle="1" w:styleId="171">
    <w:name w:val="ListLabel 123"/>
    <w:qFormat/>
    <w:uiPriority w:val="0"/>
  </w:style>
  <w:style w:type="character" w:customStyle="1" w:styleId="172">
    <w:name w:val="ListLabel 124"/>
    <w:qFormat/>
    <w:uiPriority w:val="0"/>
    <w:rPr>
      <w:color w:val="000000"/>
    </w:rPr>
  </w:style>
  <w:style w:type="character" w:customStyle="1" w:styleId="173">
    <w:name w:val="ListLabel 125"/>
    <w:qFormat/>
    <w:uiPriority w:val="0"/>
    <w:rPr>
      <w:rFonts w:ascii="Arial" w:hAnsi="Arial" w:eastAsia="Arial" w:cs="Arial"/>
      <w:i/>
      <w:color w:val="000000"/>
      <w:position w:val="0"/>
      <w:sz w:val="21"/>
      <w:szCs w:val="21"/>
      <w:u w:val="single"/>
      <w:shd w:val="clear" w:color="auto" w:fill="auto"/>
      <w:vertAlign w:val="baseline"/>
    </w:rPr>
  </w:style>
  <w:style w:type="character" w:customStyle="1" w:styleId="174">
    <w:name w:val="ListLabel 126"/>
    <w:qFormat/>
    <w:uiPriority w:val="0"/>
    <w:rPr>
      <w:b/>
      <w:color w:val="000080"/>
      <w:u w:val="single"/>
    </w:rPr>
  </w:style>
  <w:style w:type="character" w:customStyle="1" w:styleId="175">
    <w:name w:val="ListLabel 127"/>
    <w:qFormat/>
    <w:uiPriority w:val="0"/>
    <w:rPr>
      <w:rFonts w:ascii="Cambria" w:hAnsi="Cambria" w:eastAsia="Cambria" w:cs="Cambria"/>
      <w:b/>
      <w:i/>
      <w:color w:val="000080"/>
      <w:position w:val="0"/>
      <w:sz w:val="21"/>
      <w:szCs w:val="21"/>
      <w:u w:val="single"/>
      <w:shd w:val="clear" w:color="auto" w:fill="auto"/>
      <w:vertAlign w:val="baseline"/>
    </w:rPr>
  </w:style>
  <w:style w:type="character" w:customStyle="1" w:styleId="176">
    <w:name w:val="ListLabel 128"/>
    <w:qFormat/>
    <w:uiPriority w:val="0"/>
    <w:rPr>
      <w:color w:val="000080"/>
      <w:u w:val="single"/>
    </w:rPr>
  </w:style>
  <w:style w:type="character" w:customStyle="1" w:styleId="177">
    <w:name w:val="ListLabel 129"/>
    <w:qFormat/>
    <w:uiPriority w:val="0"/>
    <w:rPr>
      <w:rFonts w:ascii="Arial" w:hAnsi="Arial" w:eastAsia="Arial" w:cs="Arial"/>
      <w:color w:val="000080"/>
      <w:position w:val="0"/>
      <w:sz w:val="20"/>
      <w:szCs w:val="20"/>
      <w:u w:val="single"/>
      <w:shd w:val="clear" w:color="auto" w:fill="auto"/>
      <w:vertAlign w:val="baseline"/>
    </w:rPr>
  </w:style>
  <w:style w:type="character" w:customStyle="1" w:styleId="178">
    <w:name w:val="ListLabel 130"/>
    <w:qFormat/>
    <w:uiPriority w:val="0"/>
    <w:rPr>
      <w:color w:val="1155CC"/>
      <w:u w:val="single"/>
    </w:rPr>
  </w:style>
  <w:style w:type="paragraph" w:customStyle="1" w:styleId="179">
    <w:name w:val="Índice"/>
    <w:basedOn w:val="4"/>
    <w:qFormat/>
    <w:uiPriority w:val="0"/>
    <w:pPr>
      <w:suppressLineNumbers/>
    </w:pPr>
  </w:style>
  <w:style w:type="paragraph" w:styleId="180">
    <w:name w:val="List Paragraph"/>
    <w:basedOn w:val="4"/>
    <w:qFormat/>
    <w:uiPriority w:val="34"/>
    <w:pPr>
      <w:ind w:left="720"/>
      <w:contextualSpacing/>
    </w:pPr>
  </w:style>
  <w:style w:type="paragraph" w:customStyle="1" w:styleId="181">
    <w:name w:val="Nível 2"/>
    <w:basedOn w:val="4"/>
    <w:next w:val="4"/>
    <w:qFormat/>
    <w:uiPriority w:val="0"/>
    <w:pPr>
      <w:spacing w:after="120"/>
      <w:jc w:val="both"/>
    </w:pPr>
    <w:rPr>
      <w:rFonts w:cs="Times New Roman"/>
      <w:b/>
    </w:rPr>
  </w:style>
  <w:style w:type="paragraph" w:customStyle="1" w:styleId="182">
    <w:name w:val="citação 2"/>
    <w:basedOn w:val="36"/>
    <w:qFormat/>
    <w:uiPriority w:val="0"/>
  </w:style>
  <w:style w:type="paragraph" w:customStyle="1" w:styleId="183">
    <w:name w:val="em_0020ementa"/>
    <w:basedOn w:val="4"/>
    <w:qFormat/>
    <w:uiPriority w:val="0"/>
    <w:pPr>
      <w:ind w:left="4160"/>
      <w:jc w:val="both"/>
    </w:pPr>
    <w:rPr>
      <w:rFonts w:ascii="Times New Roman" w:hAnsi="Times New Roman" w:cs="Times New Roman"/>
      <w:sz w:val="28"/>
      <w:szCs w:val="28"/>
    </w:rPr>
  </w:style>
  <w:style w:type="paragraph" w:customStyle="1" w:styleId="184">
    <w:name w:val="Revision"/>
    <w:semiHidden/>
    <w:qFormat/>
    <w:uiPriority w:val="99"/>
    <w:rPr>
      <w:rFonts w:ascii="Ecofont_Spranq_eco_Sans" w:hAnsi="Ecofont_Spranq_eco_Sans" w:eastAsia="Times New Roman" w:cs="Tahoma"/>
      <w:sz w:val="24"/>
      <w:szCs w:val="24"/>
      <w:lang w:val="pt-BR" w:eastAsia="pt-BR" w:bidi="ar-SA"/>
    </w:rPr>
  </w:style>
  <w:style w:type="paragraph" w:customStyle="1" w:styleId="185">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186">
    <w:name w:val="paragraph"/>
    <w:basedOn w:val="4"/>
    <w:qFormat/>
    <w:uiPriority w:val="0"/>
    <w:pPr>
      <w:spacing w:beforeAutospacing="1" w:afterAutospacing="1"/>
    </w:pPr>
    <w:rPr>
      <w:rFonts w:ascii="Times New Roman" w:hAnsi="Times New Roman" w:cs="Times New Roman"/>
      <w:sz w:val="24"/>
    </w:rPr>
  </w:style>
  <w:style w:type="paragraph" w:customStyle="1" w:styleId="187">
    <w:name w:val="texto1"/>
    <w:basedOn w:val="4"/>
    <w:qFormat/>
    <w:uiPriority w:val="0"/>
    <w:pPr>
      <w:spacing w:beforeAutospacing="1" w:afterAutospacing="1"/>
    </w:pPr>
    <w:rPr>
      <w:rFonts w:ascii="Times New Roman" w:hAnsi="Times New Roman" w:cs="Times New Roman"/>
      <w:sz w:val="24"/>
    </w:rPr>
  </w:style>
  <w:style w:type="paragraph" w:customStyle="1" w:styleId="188">
    <w:name w:val="Grade Colorida - Ênfase 11"/>
    <w:basedOn w:val="4"/>
    <w:next w:val="4"/>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cs="Times New Roman"/>
      <w:i/>
      <w:iCs/>
      <w:color w:val="000000"/>
      <w:lang w:eastAsia="en-US"/>
    </w:rPr>
  </w:style>
  <w:style w:type="paragraph" w:customStyle="1" w:styleId="189">
    <w:name w:val="x_western"/>
    <w:basedOn w:val="4"/>
    <w:qFormat/>
    <w:uiPriority w:val="0"/>
    <w:pPr>
      <w:spacing w:beforeAutospacing="1" w:afterAutospacing="1"/>
    </w:pPr>
    <w:rPr>
      <w:rFonts w:ascii="Times New Roman" w:hAnsi="Times New Roman" w:cs="Times New Roman"/>
      <w:sz w:val="24"/>
    </w:rPr>
  </w:style>
  <w:style w:type="paragraph" w:customStyle="1" w:styleId="190">
    <w:name w:val="TCU - Ac - item 9 - §§_0"/>
    <w:basedOn w:val="4"/>
    <w:qFormat/>
    <w:uiPriority w:val="0"/>
    <w:pPr>
      <w:ind w:firstLine="1134"/>
      <w:jc w:val="both"/>
    </w:pPr>
    <w:rPr>
      <w:rFonts w:ascii="Times New Roman" w:hAnsi="Times New Roman" w:cs="Times New Roman"/>
      <w:sz w:val="24"/>
      <w:szCs w:val="22"/>
      <w:lang w:eastAsia="en-US"/>
    </w:rPr>
  </w:style>
  <w:style w:type="paragraph" w:customStyle="1" w:styleId="191">
    <w:name w:val="Normal_1"/>
    <w:qFormat/>
    <w:uiPriority w:val="0"/>
    <w:rPr>
      <w:rFonts w:ascii="Times New Roman" w:hAnsi="Times New Roman" w:eastAsia="Times New Roman" w:cs="Times New Roman"/>
      <w:sz w:val="24"/>
      <w:szCs w:val="22"/>
      <w:lang w:val="pt-BR" w:eastAsia="en-US" w:bidi="ar-SA"/>
    </w:rPr>
  </w:style>
  <w:style w:type="paragraph" w:customStyle="1" w:styleId="192">
    <w:name w:val="tcu_-__ac_-_item_9_-_1ª_linha"/>
    <w:basedOn w:val="4"/>
    <w:qFormat/>
    <w:uiPriority w:val="0"/>
    <w:pPr>
      <w:spacing w:beforeAutospacing="1" w:afterAutospacing="1"/>
    </w:pPr>
    <w:rPr>
      <w:rFonts w:ascii="Times New Roman" w:hAnsi="Times New Roman" w:cs="Times New Roman"/>
      <w:sz w:val="24"/>
    </w:rPr>
  </w:style>
  <w:style w:type="paragraph" w:customStyle="1" w:styleId="193">
    <w:name w:val="texto_justificado_recuo_primeira_linha"/>
    <w:basedOn w:val="4"/>
    <w:qFormat/>
    <w:uiPriority w:val="0"/>
    <w:pPr>
      <w:spacing w:beforeAutospacing="1" w:afterAutospacing="1"/>
    </w:pPr>
    <w:rPr>
      <w:rFonts w:ascii="Times New Roman" w:hAnsi="Times New Roman" w:cs="Times New Roman"/>
      <w:sz w:val="24"/>
    </w:rPr>
  </w:style>
  <w:style w:type="paragraph" w:customStyle="1" w:styleId="194">
    <w:name w:val="texto_justificado"/>
    <w:basedOn w:val="4"/>
    <w:qFormat/>
    <w:uiPriority w:val="0"/>
    <w:pPr>
      <w:spacing w:beforeAutospacing="1" w:afterAutospacing="1"/>
    </w:pPr>
    <w:rPr>
      <w:rFonts w:ascii="Times New Roman" w:hAnsi="Times New Roman" w:cs="Times New Roman"/>
      <w:sz w:val="24"/>
    </w:rPr>
  </w:style>
  <w:style w:type="paragraph" w:customStyle="1" w:styleId="195">
    <w:name w:val="Parágrafo da Lista1"/>
    <w:basedOn w:val="4"/>
    <w:qFormat/>
    <w:uiPriority w:val="0"/>
    <w:pPr>
      <w:ind w:left="720"/>
    </w:pPr>
    <w:rPr>
      <w:rFonts w:ascii="Ecofont_Spranq_eco_Sans" w:hAnsi="Ecofont_Spranq_eco_Sans" w:cs="Ecofont_Spranq_eco_Sans"/>
      <w:sz w:val="24"/>
    </w:rPr>
  </w:style>
  <w:style w:type="paragraph" w:customStyle="1" w:styleId="196">
    <w:name w:val="textbody"/>
    <w:basedOn w:val="4"/>
    <w:qFormat/>
    <w:uiPriority w:val="0"/>
    <w:pPr>
      <w:spacing w:beforeAutospacing="1" w:afterAutospacing="1"/>
    </w:pPr>
    <w:rPr>
      <w:rFonts w:ascii="Times New Roman" w:hAnsi="Times New Roman" w:cs="Times New Roman"/>
      <w:sz w:val="24"/>
    </w:rPr>
  </w:style>
  <w:style w:type="table" w:customStyle="1" w:styleId="197">
    <w:name w:val="Table Normal"/>
    <w:qFormat/>
    <w:uiPriority w:val="0"/>
    <w:tblPr>
      <w:tblCellMar>
        <w:top w:w="0" w:type="dxa"/>
        <w:left w:w="0" w:type="dxa"/>
        <w:bottom w:w="0" w:type="dxa"/>
        <w:right w:w="0" w:type="dxa"/>
      </w:tblCellMar>
    </w:tblPr>
  </w:style>
  <w:style w:type="table" w:customStyle="1" w:styleId="198">
    <w:name w:val="_Style 481"/>
    <w:basedOn w:val="197"/>
    <w:qFormat/>
    <w:uiPriority w:val="0"/>
    <w:tblPr>
      <w:tblCellMar>
        <w:left w:w="115" w:type="dxa"/>
        <w:right w:w="115"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roundtripDataSignature="AMtx7mgUklz1naNQO0xLuydZilF6VWqGIQ==">AMUW2mV1Lv/OYFbVyTUl/OmBMBxumniXEv2I1CK6H7aWP8dvk57sboEbpZMFV+O6gE57nOLuyNbGkKWaWoFiBpNC8lkpzYqyt1lyDdfHX/BaYPd4BHBzZd7xNP6bFLGybmzregrUpZ/VBzYd8hVk9O1UJafZWCmKgMkAPeqTy1hsV1G5oitoaAQiMnMZ67r9ArKCJt6uQm2fH30tqsL8eV9uUrH3szuZgYmfiPzfNcWHS/iEVmu+9x0=</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Company>AGU/CGU</Company>
  <Pages>26</Pages>
  <Words>10959</Words>
  <Characters>59179</Characters>
  <Lines>493</Lines>
  <Paragraphs>139</Paragraphs>
  <TotalTime>10</TotalTime>
  <ScaleCrop>false</ScaleCrop>
  <LinksUpToDate>false</LinksUpToDate>
  <CharactersWithSpaces>69999</CharactersWithSpaces>
  <Application>WPS Office_11.2.0.11130_F1E327BC-269C-435d-A152-05C5408002CA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2019-11-04T16:38:00Z</dcterms:created>
  <dc:creator>Manoel Paz e Silva Filho</dc:creator>
  <cp:lastModifiedBy>Larissa Carvalho</cp:lastModifiedBy>
  <dcterms:modified xsi:type="dcterms:W3CDTF">2022-05-13T18:04:21Z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AGU/CGU</vt:lpwstr>
  </property>
  <property fmtid="{D5CDD505-2E9C-101B-9397-08002B2CF9AE}" pid="4" name="ContentTypeId">
    <vt:lpwstr>0x01010012A2765E7DFD38469B2E626874CD0041</vt:lpwstr>
  </property>
  <property fmtid="{D5CDD505-2E9C-101B-9397-08002B2CF9AE}" pid="5" name="DocSecurity">
    <vt:i4>0</vt:i4>
  </property>
  <property fmtid="{D5CDD505-2E9C-101B-9397-08002B2CF9AE}" pid="6" name="HyperlinksChanged">
    <vt:bool>false</vt:bool>
  </property>
  <property fmtid="{D5CDD505-2E9C-101B-9397-08002B2CF9AE}" pid="7" name="LinksUpToDate">
    <vt:bool>false</vt:bool>
  </property>
  <property fmtid="{D5CDD505-2E9C-101B-9397-08002B2CF9AE}" pid="8" name="ScaleCrop">
    <vt:bool>false</vt:bool>
  </property>
  <property fmtid="{D5CDD505-2E9C-101B-9397-08002B2CF9AE}" pid="9" name="ShareDoc">
    <vt:bool>false</vt:bool>
  </property>
  <property fmtid="{D5CDD505-2E9C-101B-9397-08002B2CF9AE}" pid="10" name="KSOProductBuildVer">
    <vt:lpwstr>1046-11.2.0.11130</vt:lpwstr>
  </property>
  <property fmtid="{D5CDD505-2E9C-101B-9397-08002B2CF9AE}" pid="11" name="ICV">
    <vt:lpwstr>FA1E7539439748D8AA575873AF6BD655</vt:lpwstr>
  </property>
</Properties>
</file>