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spacing w:before="240" w:after="120" w:line="276" w:lineRule="auto"/>
        <w:ind w:right="-15"/>
        <w:jc w:val="center"/>
        <w:rPr>
          <w:rFonts w:ascii="Verdana" w:hAnsi="Verdana" w:cs="Arial"/>
          <w:b/>
          <w:bCs/>
          <w:color w:val="000000"/>
          <w:sz w:val="18"/>
          <w:szCs w:val="18"/>
        </w:rPr>
      </w:pPr>
      <w:r>
        <w:rPr>
          <w:rFonts w:ascii="Verdana" w:hAnsi="Verdana" w:cs="Arial"/>
          <w:b/>
          <w:bCs/>
          <w:color w:val="000000"/>
          <w:sz w:val="18"/>
          <w:szCs w:val="18"/>
        </w:rPr>
        <w:drawing>
          <wp:anchor distT="0" distB="0" distL="114300" distR="114300" simplePos="0" relativeHeight="251659264" behindDoc="0" locked="0" layoutInCell="1" allowOverlap="1">
            <wp:simplePos x="0" y="0"/>
            <wp:positionH relativeFrom="column">
              <wp:posOffset>4916170</wp:posOffset>
            </wp:positionH>
            <wp:positionV relativeFrom="paragraph">
              <wp:posOffset>127000</wp:posOffset>
            </wp:positionV>
            <wp:extent cx="638175" cy="687070"/>
            <wp:effectExtent l="19050" t="0" r="0" b="0"/>
            <wp:wrapNone/>
            <wp:docPr id="2" name="Figura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ura 4"/>
                    <pic:cNvPicPr>
                      <a:picLocks noChangeAspect="1" noChangeArrowheads="1"/>
                    </pic:cNvPicPr>
                  </pic:nvPicPr>
                  <pic:blipFill>
                    <a:blip r:embed="rId6" cstate="print"/>
                    <a:srcRect/>
                    <a:stretch>
                      <a:fillRect/>
                    </a:stretch>
                  </pic:blipFill>
                  <pic:spPr>
                    <a:xfrm>
                      <a:off x="0" y="0"/>
                      <a:ext cx="638175" cy="687070"/>
                    </a:xfrm>
                    <a:prstGeom prst="rect">
                      <a:avLst/>
                    </a:prstGeom>
                    <a:solidFill>
                      <a:srgbClr val="FFFFFF"/>
                    </a:solidFill>
                    <a:ln w="1">
                      <a:miter lim="800000"/>
                      <a:headEnd/>
                      <a:tailEnd/>
                    </a:ln>
                  </pic:spPr>
                </pic:pic>
              </a:graphicData>
            </a:graphic>
          </wp:anchor>
        </w:drawing>
      </w:r>
    </w:p>
    <w:p>
      <w:pPr>
        <w:keepNext w:val="0"/>
        <w:spacing w:after="120"/>
        <w:ind w:right="-17"/>
        <w:jc w:val="center"/>
        <w:rPr>
          <w:rFonts w:ascii="Verdana" w:hAnsi="Verdana" w:cs="Arial"/>
          <w:b/>
          <w:bCs/>
          <w:color w:val="auto"/>
          <w:sz w:val="18"/>
          <w:szCs w:val="18"/>
        </w:rPr>
      </w:pPr>
    </w:p>
    <w:p>
      <w:pPr>
        <w:keepNext w:val="0"/>
        <w:spacing w:after="120"/>
        <w:ind w:right="-17"/>
        <w:jc w:val="center"/>
        <w:rPr>
          <w:rFonts w:ascii="Verdana" w:hAnsi="Verdana" w:cs="Arial"/>
          <w:b/>
          <w:bCs/>
          <w:color w:val="auto"/>
          <w:sz w:val="18"/>
          <w:szCs w:val="18"/>
        </w:rPr>
      </w:pPr>
    </w:p>
    <w:p>
      <w:pPr>
        <w:keepNext w:val="0"/>
        <w:spacing w:after="120"/>
        <w:ind w:right="-17"/>
        <w:jc w:val="center"/>
        <w:rPr>
          <w:rFonts w:ascii="Verdana" w:hAnsi="Verdana" w:cs="Arial"/>
          <w:b/>
          <w:bCs/>
          <w:color w:val="auto"/>
        </w:rPr>
      </w:pPr>
      <w:r>
        <w:rPr>
          <w:rFonts w:ascii="Verdana" w:hAnsi="Verdana" w:cs="Arial"/>
          <w:b/>
          <w:bCs/>
          <w:color w:val="auto"/>
        </w:rPr>
        <w:t>MINISTÉRIO DA EDUCAÇÃO</w:t>
      </w:r>
    </w:p>
    <w:p>
      <w:pPr>
        <w:keepNext w:val="0"/>
        <w:spacing w:after="120"/>
        <w:ind w:right="-17"/>
        <w:jc w:val="center"/>
        <w:rPr>
          <w:rFonts w:ascii="Verdana" w:hAnsi="Verdana" w:cs="Arial"/>
          <w:b/>
          <w:bCs/>
          <w:color w:val="auto"/>
        </w:rPr>
      </w:pPr>
      <w:r>
        <w:rPr>
          <w:rFonts w:ascii="Verdana" w:hAnsi="Verdana" w:cs="Arial"/>
          <w:b/>
          <w:bCs/>
          <w:color w:val="auto"/>
        </w:rPr>
        <w:t>UNIVERSIDADE FEDERAL FLUMINENSE</w:t>
      </w:r>
    </w:p>
    <w:p>
      <w:pPr>
        <w:keepNext w:val="0"/>
        <w:spacing w:after="120"/>
        <w:ind w:right="-17"/>
        <w:jc w:val="center"/>
        <w:rPr>
          <w:rFonts w:ascii="Verdana" w:hAnsi="Verdana" w:cs="Arial"/>
          <w:b/>
          <w:bCs/>
          <w:color w:val="auto"/>
        </w:rPr>
      </w:pPr>
      <w:r>
        <w:rPr>
          <w:rFonts w:ascii="Verdana" w:hAnsi="Verdana" w:cs="Arial"/>
          <w:b/>
          <w:bCs/>
          <w:color w:val="auto"/>
        </w:rPr>
        <w:t>PRÓ-REITORIA DE ADMINISTRAÇÃO</w:t>
      </w:r>
    </w:p>
    <w:p>
      <w:pPr>
        <w:keepNext w:val="0"/>
        <w:spacing w:after="120"/>
        <w:ind w:right="-17"/>
        <w:jc w:val="center"/>
        <w:rPr>
          <w:rFonts w:ascii="Verdana" w:hAnsi="Verdana" w:cs="Arial"/>
          <w:color w:val="auto"/>
        </w:rPr>
      </w:pPr>
      <w:r>
        <w:rPr>
          <w:rFonts w:ascii="Verdana" w:hAnsi="Verdana" w:cs="Arial"/>
          <w:b/>
          <w:bCs/>
          <w:color w:val="auto"/>
        </w:rPr>
        <w:t>COORDENAÇÃO DE LICITAÇÃO</w:t>
      </w:r>
    </w:p>
    <w:p>
      <w:pPr>
        <w:keepNext w:val="0"/>
        <w:spacing w:before="240" w:after="120" w:line="276" w:lineRule="auto"/>
        <w:ind w:right="-15"/>
        <w:jc w:val="center"/>
        <w:rPr>
          <w:rFonts w:ascii="Verdana" w:hAnsi="Verdana" w:cs="Arial"/>
          <w:sz w:val="18"/>
          <w:szCs w:val="18"/>
        </w:rPr>
      </w:pPr>
      <w:r>
        <w:rPr>
          <w:rFonts w:ascii="Verdana" w:hAnsi="Verdana" w:cs="Arial"/>
          <w:b/>
          <w:bCs/>
          <w:color w:val="000000"/>
          <w:sz w:val="18"/>
          <w:szCs w:val="18"/>
        </w:rPr>
        <w:t>REGIME DIFERENCIADO DE CONTRATAÇÃO - RDC</w:t>
      </w:r>
    </w:p>
    <w:p>
      <w:pPr>
        <w:keepNext w:val="0"/>
        <w:spacing w:after="120"/>
        <w:ind w:right="-17"/>
        <w:jc w:val="center"/>
        <w:rPr>
          <w:rFonts w:ascii="Verdana" w:hAnsi="Verdana" w:cs="Arial"/>
          <w:b/>
          <w:bCs/>
          <w:color w:val="000000" w:themeColor="text1"/>
          <w:sz w:val="18"/>
          <w:szCs w:val="18"/>
          <w14:textFill>
            <w14:solidFill>
              <w14:schemeClr w14:val="tx1"/>
            </w14:solidFill>
          </w14:textFill>
        </w:rPr>
      </w:pPr>
      <w:r>
        <w:rPr>
          <w:rFonts w:ascii="Verdana" w:hAnsi="Verdana" w:cs="Arial"/>
          <w:b/>
          <w:bCs/>
          <w:color w:val="FF0000"/>
          <w:sz w:val="18"/>
          <w:szCs w:val="18"/>
        </w:rPr>
        <w:t xml:space="preserve">  </w:t>
      </w:r>
      <w:r>
        <w:rPr>
          <w:rFonts w:ascii="Verdana" w:hAnsi="Verdana" w:cs="Arial"/>
          <w:b/>
          <w:bCs/>
          <w:color w:val="000000" w:themeColor="text1"/>
          <w:sz w:val="18"/>
          <w:szCs w:val="18"/>
          <w14:textFill>
            <w14:solidFill>
              <w14:schemeClr w14:val="tx1"/>
            </w14:solidFill>
          </w14:textFill>
        </w:rPr>
        <w:t>EDITAL DE LICITAÇÃO</w:t>
      </w:r>
    </w:p>
    <w:p>
      <w:pPr>
        <w:keepNext w:val="0"/>
        <w:spacing w:after="120"/>
        <w:ind w:right="-17"/>
        <w:jc w:val="center"/>
        <w:rPr>
          <w:rFonts w:ascii="Verdana" w:hAnsi="Verdana" w:cs="Arial"/>
          <w:color w:val="000000" w:themeColor="text1"/>
          <w:sz w:val="18"/>
          <w:szCs w:val="18"/>
          <w14:textFill>
            <w14:solidFill>
              <w14:schemeClr w14:val="tx1"/>
            </w14:solidFill>
          </w14:textFill>
        </w:rPr>
      </w:pPr>
      <w:r>
        <w:rPr>
          <w:rFonts w:ascii="Verdana" w:hAnsi="Verdana" w:cs="Arial"/>
          <w:b/>
          <w:bCs/>
          <w:color w:val="000000" w:themeColor="text1"/>
          <w:sz w:val="18"/>
          <w:szCs w:val="18"/>
          <w14:textFill>
            <w14:solidFill>
              <w14:schemeClr w14:val="tx1"/>
            </w14:solidFill>
          </w14:textFill>
        </w:rPr>
        <w:t>EDITAL DO RDC ELETRÔNICO Nº 05/2022</w:t>
      </w:r>
    </w:p>
    <w:p>
      <w:pPr>
        <w:keepNext w:val="0"/>
        <w:spacing w:after="120"/>
        <w:ind w:right="-17"/>
        <w:jc w:val="center"/>
        <w:rPr>
          <w:rFonts w:ascii="Verdana" w:hAnsi="Verdana" w:cs="Arial"/>
          <w:color w:val="000000" w:themeColor="text1"/>
          <w:sz w:val="18"/>
          <w:szCs w:val="18"/>
          <w14:textFill>
            <w14:solidFill>
              <w14:schemeClr w14:val="tx1"/>
            </w14:solidFill>
          </w14:textFill>
        </w:rPr>
      </w:pPr>
      <w:r>
        <w:rPr>
          <w:rFonts w:ascii="Verdana" w:hAnsi="Verdana" w:cs="Arial"/>
          <w:b/>
          <w:bCs/>
          <w:color w:val="000000" w:themeColor="text1"/>
          <w:sz w:val="18"/>
          <w:szCs w:val="18"/>
          <w14:textFill>
            <w14:solidFill>
              <w14:schemeClr w14:val="tx1"/>
            </w14:solidFill>
          </w14:textFill>
        </w:rPr>
        <w:t>(Processo Administrativo n.° 23069.190357/2022-03)</w:t>
      </w:r>
    </w:p>
    <w:p>
      <w:pPr>
        <w:keepNext w:val="0"/>
        <w:spacing w:after="120" w:line="276" w:lineRule="auto"/>
        <w:ind w:right="-30"/>
        <w:jc w:val="both"/>
        <w:rPr>
          <w:rFonts w:ascii="Verdana" w:hAnsi="Verdana" w:cs="Arial"/>
          <w:sz w:val="18"/>
          <w:szCs w:val="18"/>
        </w:rPr>
      </w:pPr>
    </w:p>
    <w:p>
      <w:pPr>
        <w:pStyle w:val="81"/>
        <w:keepNext w:val="0"/>
        <w:shd w:val="clear" w:color="auto" w:fill="auto"/>
        <w:rPr>
          <w:rFonts w:ascii="Verdana" w:hAnsi="Verdana" w:cs="Arial"/>
          <w:color w:val="000000"/>
          <w:szCs w:val="20"/>
        </w:rPr>
      </w:pPr>
      <w:r>
        <w:rPr>
          <w:rFonts w:ascii="Verdana" w:hAnsi="Verdana" w:cs="Arial"/>
          <w:color w:val="000000"/>
          <w:szCs w:val="20"/>
        </w:rPr>
        <w:t xml:space="preserve">Torna-se público que a Universidade Federal Fluminense, por meio da sua Coordenação de Licitação da Pró-Reitoria de Administração, </w:t>
      </w:r>
      <w:r>
        <w:rPr>
          <w:rFonts w:ascii="Verdana" w:hAnsi="Verdana"/>
          <w:szCs w:val="20"/>
        </w:rPr>
        <w:t>instituída pela Portaria n.º 68.335 de 19 de abril de 2022</w:t>
      </w:r>
      <w:r>
        <w:rPr>
          <w:rFonts w:ascii="Verdana" w:hAnsi="Verdana" w:cs="Arial"/>
          <w:color w:val="000000"/>
          <w:szCs w:val="20"/>
        </w:rPr>
        <w:t xml:space="preserve">, sediada à Rua Miguel de Frias n.º 09, bairro de Icaraí, Niterói, Estado do Rio de Janeiro, CEP 24220-900, realizará licitação, na modalidade </w:t>
      </w:r>
      <w:r>
        <w:rPr>
          <w:rFonts w:ascii="Verdana" w:hAnsi="Verdana" w:cs="Arial"/>
          <w:bCs/>
          <w:color w:val="000000"/>
          <w:szCs w:val="20"/>
        </w:rPr>
        <w:t xml:space="preserve">RDC, </w:t>
      </w:r>
      <w:r>
        <w:rPr>
          <w:rFonts w:ascii="Verdana" w:hAnsi="Verdana" w:cs="Arial"/>
          <w:color w:val="000000"/>
          <w:szCs w:val="20"/>
        </w:rPr>
        <w:t>na forma</w:t>
      </w:r>
      <w:r>
        <w:rPr>
          <w:rFonts w:ascii="Verdana" w:hAnsi="Verdana" w:cs="Arial"/>
          <w:bCs/>
          <w:color w:val="000000"/>
          <w:szCs w:val="20"/>
        </w:rPr>
        <w:t xml:space="preserve"> ELETRÔNICA, </w:t>
      </w:r>
      <w:r>
        <w:rPr>
          <w:rFonts w:ascii="Verdana" w:hAnsi="Verdana"/>
          <w:szCs w:val="20"/>
        </w:rPr>
        <w:t>em modo de disputa ABERTO</w:t>
      </w:r>
      <w:r>
        <w:rPr>
          <w:rFonts w:ascii="Verdana" w:hAnsi="Verdana" w:cs="Arial"/>
          <w:bCs/>
          <w:color w:val="000000"/>
          <w:szCs w:val="20"/>
        </w:rPr>
        <w:t xml:space="preserve">, </w:t>
      </w:r>
      <w:r>
        <w:rPr>
          <w:rFonts w:ascii="Verdana" w:hAnsi="Verdana" w:cs="Arial"/>
          <w:b/>
          <w:color w:val="000000"/>
          <w:szCs w:val="20"/>
        </w:rPr>
        <w:t>com critério de julgamento por m</w:t>
      </w:r>
      <w:r>
        <w:rPr>
          <w:rFonts w:ascii="Verdana" w:hAnsi="Verdana" w:cs="Arial"/>
          <w:b/>
          <w:i/>
          <w:szCs w:val="20"/>
        </w:rPr>
        <w:t>enor preço</w:t>
      </w:r>
      <w:r>
        <w:rPr>
          <w:rFonts w:ascii="Verdana" w:hAnsi="Verdana" w:cs="Arial"/>
          <w:bCs/>
          <w:szCs w:val="20"/>
        </w:rPr>
        <w:t xml:space="preserve">, no regime de empreitada </w:t>
      </w:r>
      <w:r>
        <w:rPr>
          <w:rFonts w:ascii="Verdana" w:hAnsi="Verdana" w:cs="Arial"/>
          <w:b/>
          <w:i/>
          <w:iCs/>
          <w:szCs w:val="20"/>
        </w:rPr>
        <w:t>por preço unitário</w:t>
      </w:r>
      <w:r>
        <w:rPr>
          <w:rFonts w:ascii="Verdana" w:hAnsi="Verdana" w:cs="Arial"/>
          <w:bCs/>
          <w:i/>
          <w:iCs/>
          <w:szCs w:val="20"/>
        </w:rPr>
        <w:t>,</w:t>
      </w:r>
      <w:r>
        <w:rPr>
          <w:rFonts w:ascii="Verdana" w:hAnsi="Verdana" w:cs="Arial"/>
          <w:bCs/>
          <w:i/>
          <w:iCs/>
          <w:color w:val="FF0000"/>
          <w:szCs w:val="20"/>
        </w:rPr>
        <w:t xml:space="preserve"> </w:t>
      </w:r>
      <w:r>
        <w:rPr>
          <w:rFonts w:ascii="Verdana" w:hAnsi="Verdana" w:cs="Arial"/>
          <w:color w:val="000000"/>
          <w:szCs w:val="20"/>
        </w:rPr>
        <w:t>nos termos da Lei nº 12.462, de 4 de agosto de 2011, do Decreto nº 7.581, de 11 de outubro de 2011</w:t>
      </w:r>
      <w:r>
        <w:rPr>
          <w:rFonts w:ascii="Verdana" w:hAnsi="Verdana" w:cs="Arial"/>
          <w:szCs w:val="20"/>
        </w:rPr>
        <w:t xml:space="preserve">, </w:t>
      </w:r>
      <w:r>
        <w:rPr>
          <w:rFonts w:ascii="Verdana" w:hAnsi="Verdana" w:cs="Arial"/>
          <w:color w:val="000000" w:themeColor="text1"/>
          <w:szCs w:val="20"/>
          <w14:textFill>
            <w14:solidFill>
              <w14:schemeClr w14:val="tx1"/>
            </w14:solidFill>
          </w14:textFill>
        </w:rPr>
        <w:t xml:space="preserve">da Lei Complementar n° 123, de 14 de dezembro de 2006, da Lei nº 11.488, de 15 de junho de 2007, do Decreto n° </w:t>
      </w:r>
      <w:r>
        <w:rPr>
          <w:rFonts w:ascii="Verdana" w:hAnsi="Verdana" w:cs="Arial"/>
          <w:szCs w:val="20"/>
        </w:rPr>
        <w:t>8.538, de 06 de outubro de 2015, aplicando-se, subsidiariamente, no que couber, a</w:t>
      </w:r>
      <w:r>
        <w:rPr>
          <w:rFonts w:ascii="Verdana" w:hAnsi="Verdana" w:cs="Arial"/>
          <w:color w:val="000000"/>
          <w:szCs w:val="20"/>
        </w:rPr>
        <w:t xml:space="preserve"> Lei nº 8.666, de 21 de junho de 1993, e as exigências estabelecidas neste Edital e seus anexos.</w:t>
      </w:r>
    </w:p>
    <w:p>
      <w:pPr>
        <w:spacing w:before="120" w:after="120"/>
        <w:ind w:firstLine="1800"/>
        <w:jc w:val="both"/>
        <w:rPr>
          <w:rFonts w:ascii="Verdana" w:hAnsi="Verdana" w:cs="Times New Roman"/>
          <w:color w:val="auto"/>
          <w:sz w:val="20"/>
          <w:szCs w:val="20"/>
        </w:rPr>
      </w:pPr>
      <w:r>
        <w:rPr>
          <w:rFonts w:ascii="Verdana" w:hAnsi="Verdana"/>
          <w:sz w:val="20"/>
          <w:szCs w:val="20"/>
        </w:rPr>
        <w:t>A opção pela utilização do Regime Diferenciado de Contratação Pública – RDC, é justificável tendo em vista a necessidade de agilização dos processos licitatórios, para a contratação dos Serviços de Engenharia, objetivando a economicidade, diminuição dos volumes processuais, redução da ocupação de mão de obra em todas as fases das licitações, tornando-as desta forma mais racionais.</w:t>
      </w:r>
    </w:p>
    <w:p>
      <w:pPr>
        <w:pStyle w:val="81"/>
        <w:keepNext w:val="0"/>
        <w:widowControl/>
        <w:shd w:val="clear" w:color="auto" w:fill="auto"/>
        <w:spacing w:before="120" w:after="120"/>
        <w:ind w:firstLine="0"/>
        <w:jc w:val="center"/>
        <w:rPr>
          <w:rFonts w:ascii="Verdana" w:hAnsi="Verdana" w:cs="Arial"/>
          <w:szCs w:val="20"/>
        </w:rPr>
      </w:pPr>
      <w:r>
        <w:rPr>
          <w:rFonts w:ascii="Verdana" w:hAnsi="Verdana" w:cs="Arial"/>
          <w:szCs w:val="20"/>
        </w:rPr>
        <w:t xml:space="preserve">Data da sessão: </w:t>
      </w:r>
      <w:r>
        <w:rPr>
          <w:rFonts w:hint="default" w:ascii="Verdana" w:hAnsi="Verdana" w:cs="Arial"/>
          <w:b/>
          <w:bCs/>
          <w:color w:val="000000" w:themeColor="text1"/>
          <w:szCs w:val="20"/>
          <w:lang w:val="pt-BR"/>
          <w14:textFill>
            <w14:solidFill>
              <w14:schemeClr w14:val="tx1"/>
            </w14:solidFill>
          </w14:textFill>
        </w:rPr>
        <w:t>28</w:t>
      </w:r>
      <w:r>
        <w:rPr>
          <w:rFonts w:ascii="Verdana" w:hAnsi="Verdana" w:cs="Arial"/>
          <w:b/>
          <w:bCs/>
          <w:color w:val="000000" w:themeColor="text1"/>
          <w:szCs w:val="20"/>
          <w14:textFill>
            <w14:solidFill>
              <w14:schemeClr w14:val="tx1"/>
            </w14:solidFill>
          </w14:textFill>
        </w:rPr>
        <w:t>/DEZ/2022</w:t>
      </w:r>
    </w:p>
    <w:p>
      <w:pPr>
        <w:pStyle w:val="81"/>
        <w:keepNext w:val="0"/>
        <w:widowControl/>
        <w:shd w:val="clear" w:color="auto" w:fill="auto"/>
        <w:spacing w:before="120" w:after="120"/>
        <w:ind w:firstLine="0"/>
        <w:jc w:val="center"/>
        <w:rPr>
          <w:rFonts w:hint="default" w:ascii="Verdana" w:hAnsi="Verdana" w:cs="Arial"/>
          <w:szCs w:val="20"/>
          <w:lang w:val="pt-BR"/>
        </w:rPr>
      </w:pPr>
      <w:r>
        <w:rPr>
          <w:rFonts w:ascii="Verdana" w:hAnsi="Verdana" w:cs="Arial"/>
          <w:szCs w:val="20"/>
        </w:rPr>
        <w:t xml:space="preserve">Horário: </w:t>
      </w:r>
      <w:r>
        <w:rPr>
          <w:rFonts w:hint="default" w:ascii="Verdana" w:hAnsi="Verdana" w:cs="Arial"/>
          <w:b/>
          <w:bCs/>
          <w:color w:val="000000" w:themeColor="text1"/>
          <w:szCs w:val="20"/>
          <w:lang w:val="pt-BR"/>
          <w14:textFill>
            <w14:solidFill>
              <w14:schemeClr w14:val="tx1"/>
            </w14:solidFill>
          </w14:textFill>
        </w:rPr>
        <w:t>09h</w:t>
      </w:r>
    </w:p>
    <w:p>
      <w:pPr>
        <w:pStyle w:val="81"/>
        <w:keepNext w:val="0"/>
        <w:widowControl/>
        <w:shd w:val="clear" w:color="auto" w:fill="auto"/>
        <w:spacing w:before="120" w:after="120"/>
        <w:ind w:firstLine="0"/>
        <w:jc w:val="center"/>
        <w:rPr>
          <w:rFonts w:ascii="Verdana" w:hAnsi="Verdana" w:cs="Arial"/>
          <w:szCs w:val="20"/>
        </w:rPr>
      </w:pPr>
      <w:r>
        <w:rPr>
          <w:rFonts w:ascii="Verdana" w:hAnsi="Verdana" w:cs="Arial"/>
          <w:szCs w:val="20"/>
        </w:rPr>
        <w:t xml:space="preserve">Local: Portal de Compras do Governo Federal – </w:t>
      </w:r>
      <w:r>
        <w:fldChar w:fldCharType="begin"/>
      </w:r>
      <w:r>
        <w:instrText xml:space="preserve"> HYPERLINK "http://www.gov.br/compras" </w:instrText>
      </w:r>
      <w:r>
        <w:fldChar w:fldCharType="separate"/>
      </w:r>
      <w:r>
        <w:rPr>
          <w:rStyle w:val="13"/>
          <w:rFonts w:ascii="Verdana" w:hAnsi="Verdana" w:cs="Arial"/>
          <w:szCs w:val="20"/>
        </w:rPr>
        <w:t>www.gov.br/compras</w:t>
      </w:r>
      <w:r>
        <w:rPr>
          <w:rStyle w:val="13"/>
          <w:rFonts w:ascii="Verdana" w:hAnsi="Verdana" w:cs="Arial"/>
          <w:szCs w:val="20"/>
        </w:rPr>
        <w:fldChar w:fldCharType="end"/>
      </w:r>
      <w:r>
        <w:rPr>
          <w:rFonts w:ascii="Verdana" w:hAnsi="Verdana" w:cs="Arial"/>
          <w:szCs w:val="20"/>
        </w:rPr>
        <w:t xml:space="preserve"> </w:t>
      </w:r>
    </w:p>
    <w:p>
      <w:pPr>
        <w:keepNext w:val="0"/>
        <w:shd w:val="clear" w:color="auto" w:fill="auto"/>
        <w:rPr>
          <w:rFonts w:ascii="Verdana" w:hAnsi="Verdana" w:cs="Arial"/>
          <w:sz w:val="20"/>
          <w:szCs w:val="20"/>
        </w:rPr>
      </w:pPr>
    </w:p>
    <w:p>
      <w:pPr>
        <w:pStyle w:val="81"/>
        <w:keepNext w:val="0"/>
        <w:widowControl/>
        <w:numPr>
          <w:ilvl w:val="0"/>
          <w:numId w:val="3"/>
        </w:numPr>
        <w:shd w:val="clear" w:color="auto" w:fill="auto"/>
        <w:spacing w:before="120" w:after="120"/>
        <w:ind w:left="284" w:hanging="284"/>
        <w:rPr>
          <w:rFonts w:ascii="Verdana" w:hAnsi="Verdana" w:cs="Arial"/>
          <w:szCs w:val="20"/>
        </w:rPr>
      </w:pPr>
      <w:r>
        <w:rPr>
          <w:rFonts w:ascii="Verdana" w:hAnsi="Verdana" w:cs="Arial"/>
          <w:b/>
          <w:color w:val="000000"/>
          <w:szCs w:val="20"/>
        </w:rPr>
        <w:t>DO OBJETO</w:t>
      </w:r>
      <w:bookmarkStart w:id="0" w:name="__DdeLink__1377_1703696864"/>
    </w:p>
    <w:p>
      <w:pPr>
        <w:pStyle w:val="81"/>
        <w:keepNext w:val="0"/>
        <w:widowControl/>
        <w:numPr>
          <w:ilvl w:val="1"/>
          <w:numId w:val="3"/>
        </w:numPr>
        <w:shd w:val="clear" w:color="auto" w:fill="auto"/>
        <w:spacing w:before="120" w:after="120"/>
        <w:rPr>
          <w:rFonts w:ascii="Verdana" w:hAnsi="Verdana" w:cs="Arial"/>
          <w:color w:val="auto"/>
          <w:szCs w:val="20"/>
        </w:rPr>
      </w:pPr>
      <w:r>
        <w:rPr>
          <w:rFonts w:ascii="Verdana" w:hAnsi="Verdana" w:cs="Arial"/>
          <w:color w:val="auto"/>
          <w:szCs w:val="20"/>
        </w:rPr>
        <w:t xml:space="preserve">O objeto da presente licitação é a escolha da proposta mais vantajosa para a </w:t>
      </w:r>
      <w:r>
        <w:rPr>
          <w:rFonts w:ascii="Verdana" w:hAnsi="Verdana"/>
          <w:color w:val="auto"/>
        </w:rPr>
        <w:t xml:space="preserve">Contratação de </w:t>
      </w:r>
      <w:bookmarkStart w:id="1" w:name="_Hlk120740756"/>
      <w:r>
        <w:rPr>
          <w:rFonts w:ascii="Verdana" w:hAnsi="Verdana"/>
          <w:color w:val="auto"/>
        </w:rPr>
        <w:t>serviços de engenharia, com fornecimento de materiais e projeto executivo, para implantação de edificação visando ampliação de unidade em Volta Redonda - Campus do Aterrado da Universidade Federal Fluminense (PUVRCA/UFF)</w:t>
      </w:r>
      <w:bookmarkEnd w:id="1"/>
      <w:r>
        <w:rPr>
          <w:rFonts w:ascii="Verdana" w:hAnsi="Verdana" w:cs="Calibri" w:eastAsiaTheme="minorHAnsi"/>
          <w:color w:val="auto"/>
          <w:szCs w:val="20"/>
          <w:lang w:eastAsia="en-US"/>
        </w:rPr>
        <w:t xml:space="preserve">, </w:t>
      </w:r>
      <w:r>
        <w:rPr>
          <w:rFonts w:ascii="Verdana" w:hAnsi="Verdana" w:cs="Arial"/>
          <w:color w:val="auto"/>
          <w:szCs w:val="20"/>
        </w:rPr>
        <w:t>conforme condições, quantidades e exigências estabelecidas neste Edital e seus anexos.</w:t>
      </w:r>
    </w:p>
    <w:p>
      <w:pPr>
        <w:pStyle w:val="81"/>
        <w:keepNext w:val="0"/>
        <w:widowControl/>
        <w:numPr>
          <w:ilvl w:val="2"/>
          <w:numId w:val="3"/>
        </w:numPr>
        <w:shd w:val="clear" w:color="auto" w:fill="auto"/>
        <w:spacing w:before="120" w:after="120"/>
        <w:ind w:hanging="283"/>
        <w:rPr>
          <w:rFonts w:ascii="Verdana" w:hAnsi="Verdana" w:cs="Arial"/>
          <w:color w:val="auto"/>
          <w:szCs w:val="20"/>
        </w:rPr>
      </w:pPr>
      <w:r>
        <w:rPr>
          <w:rFonts w:ascii="Verdana" w:hAnsi="Verdana"/>
          <w:color w:val="auto"/>
          <w:szCs w:val="20"/>
        </w:rPr>
        <w:t xml:space="preserve">– Localização da obra: Rua Desembargador Ellis Hermydio Figueira, Aterrado, Volta Redonda/RJ - CEP 27213-145 – Aterrado – Volta Redonda/RJ Estado do Rio de Janeiro. </w:t>
      </w:r>
    </w:p>
    <w:p>
      <w:pPr>
        <w:pStyle w:val="81"/>
        <w:keepNext w:val="0"/>
        <w:widowControl/>
        <w:numPr>
          <w:ilvl w:val="1"/>
          <w:numId w:val="3"/>
        </w:numPr>
        <w:shd w:val="clear" w:color="auto" w:fill="auto"/>
        <w:spacing w:before="120" w:after="120"/>
        <w:ind w:left="851" w:hanging="284"/>
        <w:rPr>
          <w:rFonts w:ascii="Verdana" w:hAnsi="Verdana" w:cs="Arial"/>
          <w:color w:val="auto"/>
          <w:szCs w:val="20"/>
        </w:rPr>
      </w:pPr>
      <w:r>
        <w:rPr>
          <w:rFonts w:ascii="Verdana" w:hAnsi="Verdana" w:cs="Times-Roman"/>
          <w:color w:val="auto"/>
          <w:szCs w:val="20"/>
        </w:rPr>
        <w:t xml:space="preserve">Esta licitação será realizada na forma </w:t>
      </w:r>
      <w:r>
        <w:rPr>
          <w:rFonts w:ascii="Verdana" w:hAnsi="Verdana" w:cs="Times-Bold"/>
          <w:bCs/>
          <w:color w:val="auto"/>
          <w:szCs w:val="20"/>
        </w:rPr>
        <w:t>eletrônica</w:t>
      </w:r>
      <w:r>
        <w:rPr>
          <w:rFonts w:ascii="Verdana" w:hAnsi="Verdana" w:cs="Times-Bold"/>
          <w:b/>
          <w:bCs/>
          <w:color w:val="auto"/>
          <w:szCs w:val="20"/>
        </w:rPr>
        <w:t xml:space="preserve"> </w:t>
      </w:r>
      <w:r>
        <w:rPr>
          <w:rFonts w:ascii="Verdana" w:hAnsi="Verdana" w:cs="Times-Roman"/>
          <w:color w:val="auto"/>
          <w:szCs w:val="20"/>
        </w:rPr>
        <w:t xml:space="preserve">e em modo de disputa </w:t>
      </w:r>
      <w:r>
        <w:rPr>
          <w:rFonts w:ascii="Verdana" w:hAnsi="Verdana" w:cs="Times-Bold"/>
          <w:bCs/>
          <w:color w:val="auto"/>
          <w:szCs w:val="20"/>
        </w:rPr>
        <w:t>aberto</w:t>
      </w:r>
      <w:r>
        <w:rPr>
          <w:rFonts w:ascii="Verdana" w:hAnsi="Verdana" w:cs="Times-Roman"/>
          <w:color w:val="auto"/>
          <w:szCs w:val="20"/>
        </w:rPr>
        <w:t>, conforme disposto nos artigos 18, 20 e 21 do Decreto nº 7.581/11.</w:t>
      </w:r>
      <w:bookmarkEnd w:id="0"/>
    </w:p>
    <w:p>
      <w:pPr>
        <w:pStyle w:val="81"/>
        <w:keepNext w:val="0"/>
        <w:widowControl/>
        <w:numPr>
          <w:ilvl w:val="1"/>
          <w:numId w:val="3"/>
        </w:numPr>
        <w:shd w:val="clear" w:color="auto" w:fill="auto"/>
        <w:spacing w:before="120" w:after="120"/>
        <w:ind w:left="851" w:hanging="284"/>
        <w:rPr>
          <w:rFonts w:ascii="Verdana" w:hAnsi="Verdana" w:cs="Arial"/>
          <w:color w:val="auto"/>
          <w:szCs w:val="20"/>
        </w:rPr>
      </w:pPr>
      <w:r>
        <w:rPr>
          <w:rFonts w:ascii="Verdana" w:hAnsi="Verdana" w:cs="Arial"/>
          <w:color w:val="auto"/>
          <w:szCs w:val="20"/>
        </w:rPr>
        <w:t>A licitação será efetuada pelo seu preço global fixado, formado por vários itens</w:t>
      </w:r>
      <w:r>
        <w:rPr>
          <w:rFonts w:ascii="Verdana" w:hAnsi="Verdana" w:cs="Arial"/>
          <w:b/>
          <w:color w:val="auto"/>
          <w:szCs w:val="20"/>
        </w:rPr>
        <w:t>,</w:t>
      </w:r>
      <w:r>
        <w:rPr>
          <w:rFonts w:ascii="Verdana" w:hAnsi="Verdana" w:cs="Arial"/>
          <w:color w:val="auto"/>
          <w:szCs w:val="20"/>
        </w:rPr>
        <w:t xml:space="preserve"> conforme planilha de custos e formação de preços constante no Anexo II-B;</w:t>
      </w:r>
    </w:p>
    <w:p>
      <w:pPr>
        <w:pStyle w:val="81"/>
        <w:keepNext w:val="0"/>
        <w:widowControl/>
        <w:numPr>
          <w:ilvl w:val="1"/>
          <w:numId w:val="3"/>
        </w:numPr>
        <w:shd w:val="clear" w:color="auto" w:fill="auto"/>
        <w:spacing w:before="120" w:after="120"/>
        <w:rPr>
          <w:rFonts w:ascii="Verdana" w:hAnsi="Verdana" w:cs="Arial"/>
          <w:szCs w:val="20"/>
        </w:rPr>
      </w:pPr>
      <w:bookmarkStart w:id="2" w:name="_Hlk97023055"/>
      <w:r>
        <w:rPr>
          <w:rFonts w:ascii="Verdana" w:hAnsi="Verdana" w:cs="Arial"/>
          <w:szCs w:val="20"/>
        </w:rPr>
        <w:t xml:space="preserve">O critério de julgamento a ser adotado será o de </w:t>
      </w:r>
      <w:r>
        <w:rPr>
          <w:rFonts w:ascii="Verdana" w:hAnsi="Verdana" w:cs="Arial"/>
          <w:i/>
          <w:iCs/>
          <w:szCs w:val="20"/>
          <w:u w:val="single"/>
        </w:rPr>
        <w:t>menor preço total</w:t>
      </w:r>
      <w:r>
        <w:rPr>
          <w:rFonts w:ascii="Verdana" w:hAnsi="Verdana" w:cs="Arial"/>
          <w:szCs w:val="20"/>
        </w:rPr>
        <w:t xml:space="preserve">, observadas as exigências contidas neste Edital e seus Anexos quanto às especificações do objeto, sagrando-se vencedora a licitante que ofertar o </w:t>
      </w:r>
      <w:r>
        <w:rPr>
          <w:rFonts w:ascii="Verdana" w:hAnsi="Verdana" w:cs="Arial"/>
          <w:szCs w:val="20"/>
          <w:u w:val="single"/>
        </w:rPr>
        <w:t>menor preço total</w:t>
      </w:r>
      <w:r>
        <w:rPr>
          <w:rFonts w:ascii="Verdana" w:hAnsi="Verdana" w:cs="Arial"/>
          <w:szCs w:val="20"/>
        </w:rPr>
        <w:t xml:space="preserve"> para a execução dos serviços.</w:t>
      </w:r>
    </w:p>
    <w:p>
      <w:pPr>
        <w:pStyle w:val="81"/>
        <w:keepNext w:val="0"/>
        <w:widowControl/>
        <w:numPr>
          <w:ilvl w:val="2"/>
          <w:numId w:val="3"/>
        </w:numPr>
        <w:shd w:val="clear" w:color="auto" w:fill="auto"/>
        <w:spacing w:before="120" w:after="120"/>
        <w:rPr>
          <w:rFonts w:ascii="Verdana" w:hAnsi="Verdana" w:cs="Arial"/>
          <w:sz w:val="18"/>
          <w:szCs w:val="18"/>
        </w:rPr>
      </w:pPr>
      <w:r>
        <w:rPr>
          <w:rFonts w:ascii="Verdana" w:hAnsi="Verdana" w:cs="Arial"/>
          <w:sz w:val="18"/>
          <w:szCs w:val="18"/>
          <w:u w:val="single"/>
        </w:rPr>
        <w:t>O menor preço total proposto</w:t>
      </w:r>
      <w:r>
        <w:rPr>
          <w:rFonts w:ascii="Verdana" w:hAnsi="Verdana" w:cs="Arial"/>
          <w:sz w:val="18"/>
          <w:szCs w:val="18"/>
        </w:rPr>
        <w:t xml:space="preserve">, resultado da fase de lances, </w:t>
      </w:r>
      <w:r>
        <w:rPr>
          <w:rFonts w:ascii="Verdana" w:hAnsi="Verdana" w:cs="Arial"/>
          <w:sz w:val="18"/>
          <w:szCs w:val="18"/>
          <w:u w:val="single"/>
        </w:rPr>
        <w:t>deverá refletir sobre todos os preços unitários constantes da planilha de orçamento</w:t>
      </w:r>
      <w:r>
        <w:rPr>
          <w:rFonts w:ascii="Verdana" w:hAnsi="Verdana" w:cs="Arial"/>
          <w:sz w:val="18"/>
          <w:szCs w:val="18"/>
        </w:rPr>
        <w:t xml:space="preserve"> </w:t>
      </w:r>
      <w:r>
        <w:rPr>
          <w:rFonts w:ascii="Verdana" w:hAnsi="Verdana" w:cs="Arial"/>
          <w:color w:val="FF0000"/>
          <w:sz w:val="18"/>
          <w:szCs w:val="18"/>
        </w:rPr>
        <w:t>(Anexo II-B)</w:t>
      </w:r>
      <w:r>
        <w:rPr>
          <w:rFonts w:ascii="Verdana" w:hAnsi="Verdana" w:cs="Arial"/>
          <w:sz w:val="18"/>
          <w:szCs w:val="18"/>
        </w:rPr>
        <w:t>, que deverão ser ajustados, de forma que o valor total da planilha resulte no valor total proposto.</w:t>
      </w:r>
      <w:bookmarkEnd w:id="2"/>
    </w:p>
    <w:p>
      <w:pPr>
        <w:pStyle w:val="81"/>
        <w:keepNext w:val="0"/>
        <w:widowControl/>
        <w:numPr>
          <w:ilvl w:val="1"/>
          <w:numId w:val="3"/>
        </w:numPr>
        <w:shd w:val="clear" w:color="auto" w:fill="auto"/>
        <w:spacing w:before="120" w:after="120"/>
        <w:rPr>
          <w:rFonts w:ascii="Verdana" w:hAnsi="Verdana" w:cs="Arial"/>
          <w:sz w:val="18"/>
          <w:szCs w:val="18"/>
        </w:rPr>
      </w:pPr>
      <w:r>
        <w:rPr>
          <w:rFonts w:ascii="Verdana" w:hAnsi="Verdana" w:cs="Arial"/>
          <w:szCs w:val="20"/>
        </w:rPr>
        <w:t xml:space="preserve">Sendo o </w:t>
      </w:r>
      <w:r>
        <w:rPr>
          <w:rFonts w:ascii="Verdana" w:hAnsi="Verdana" w:cs="Arial"/>
          <w:szCs w:val="20"/>
          <w:u w:val="single"/>
        </w:rPr>
        <w:t>critério de julgamento o de menor preço total</w:t>
      </w:r>
      <w:r>
        <w:rPr>
          <w:rFonts w:ascii="Verdana" w:hAnsi="Verdana" w:cs="Arial"/>
          <w:szCs w:val="20"/>
        </w:rPr>
        <w:t xml:space="preserve">, sob o Regime Diferenciado </w:t>
      </w:r>
      <w:bookmarkStart w:id="3" w:name="_Hlk99550115"/>
      <w:r>
        <w:rPr>
          <w:rFonts w:ascii="Verdana" w:hAnsi="Verdana" w:cs="Arial"/>
          <w:szCs w:val="20"/>
        </w:rPr>
        <w:t xml:space="preserve">de Contratações (RDC), </w:t>
      </w:r>
      <w:bookmarkEnd w:id="3"/>
      <w:r>
        <w:rPr>
          <w:rFonts w:ascii="Verdana" w:hAnsi="Verdana" w:cs="Arial" w:eastAsiaTheme="minorHAnsi"/>
          <w:szCs w:val="20"/>
          <w:lang w:eastAsia="en-US" w:bidi="ar-SA"/>
        </w:rPr>
        <w:t>considerado o menor dispêndio para administração pública, mas desde que atendidos os parâmetros mínimos de qualidade definidos no instrumento convocatório</w:t>
      </w:r>
      <w:r>
        <w:rPr>
          <w:rFonts w:ascii="Verdana" w:hAnsi="Verdana" w:cs="Arial"/>
          <w:szCs w:val="20"/>
        </w:rPr>
        <w:t>, por força do que dispõe o art. 19 da Lei nº 12.462/2011.</w:t>
      </w:r>
      <w:bookmarkStart w:id="4" w:name="_Hlk97023143"/>
    </w:p>
    <w:p>
      <w:pPr>
        <w:pStyle w:val="81"/>
        <w:keepNext w:val="0"/>
        <w:widowControl/>
        <w:numPr>
          <w:ilvl w:val="1"/>
          <w:numId w:val="3"/>
        </w:numPr>
        <w:shd w:val="clear" w:color="auto" w:fill="auto"/>
        <w:spacing w:before="120" w:after="120"/>
        <w:rPr>
          <w:rFonts w:ascii="Verdana" w:hAnsi="Verdana" w:cs="Arial"/>
          <w:sz w:val="18"/>
          <w:szCs w:val="18"/>
        </w:rPr>
      </w:pPr>
      <w:r>
        <w:rPr>
          <w:rFonts w:ascii="Verdana" w:hAnsi="Verdana" w:cs="Arial"/>
          <w:szCs w:val="20"/>
        </w:rPr>
        <w:t>A execução dos serviços será efetuada pelo regime de empreitada por preço unitário,</w:t>
      </w:r>
      <w:r>
        <w:rPr>
          <w:rFonts w:ascii="Verdana" w:hAnsi="Verdana"/>
          <w:szCs w:val="20"/>
        </w:rPr>
        <w:t xml:space="preserve"> em razão da liquidação de despesas envolver, necessariamente, a medição unitária dos quantitativos de cada serviço na planilha orçamentária, nos termos do art. 6º, inciso VIII, alínea “b”, da Lei nº 8.666/1993 e</w:t>
      </w:r>
      <w:r>
        <w:rPr>
          <w:rFonts w:ascii="Verdana" w:hAnsi="Verdana" w:cs="Arial"/>
          <w:szCs w:val="20"/>
        </w:rPr>
        <w:t xml:space="preserve"> </w:t>
      </w:r>
      <w:bookmarkStart w:id="5" w:name="_Hlk83456378"/>
      <w:r>
        <w:rPr>
          <w:rFonts w:ascii="Verdana" w:hAnsi="Verdana" w:cs="Arial"/>
          <w:szCs w:val="20"/>
        </w:rPr>
        <w:t>conforme previsto no Termo de Referência ou Projeto Básico – Anexo I.</w:t>
      </w:r>
      <w:bookmarkEnd w:id="4"/>
      <w:bookmarkEnd w:id="5"/>
    </w:p>
    <w:p>
      <w:pPr>
        <w:pStyle w:val="81"/>
        <w:keepNext w:val="0"/>
        <w:widowControl/>
        <w:shd w:val="clear" w:color="auto" w:fill="auto"/>
        <w:spacing w:before="120" w:after="120"/>
        <w:ind w:left="1276" w:hanging="850"/>
        <w:rPr>
          <w:rFonts w:ascii="Verdana" w:hAnsi="Verdana" w:cs="Arial"/>
          <w:sz w:val="18"/>
          <w:szCs w:val="18"/>
        </w:rPr>
      </w:pPr>
    </w:p>
    <w:p>
      <w:pPr>
        <w:pStyle w:val="81"/>
        <w:keepNext w:val="0"/>
        <w:widowControl/>
        <w:numPr>
          <w:ilvl w:val="0"/>
          <w:numId w:val="4"/>
        </w:numPr>
        <w:spacing w:before="120" w:after="120"/>
        <w:rPr>
          <w:rFonts w:ascii="Verdana" w:hAnsi="Verdana" w:cs="Arial"/>
          <w:szCs w:val="20"/>
        </w:rPr>
      </w:pPr>
      <w:r>
        <w:rPr>
          <w:rFonts w:ascii="Verdana" w:hAnsi="Verdana" w:cs="Arial"/>
          <w:b/>
          <w:color w:val="000000"/>
          <w:szCs w:val="20"/>
        </w:rPr>
        <w:t>DOS RECURSOS ORÇAMENTÁRIOS</w:t>
      </w:r>
    </w:p>
    <w:p>
      <w:pPr>
        <w:pStyle w:val="81"/>
        <w:keepNext w:val="0"/>
        <w:widowControl/>
        <w:numPr>
          <w:ilvl w:val="1"/>
          <w:numId w:val="4"/>
        </w:numPr>
        <w:spacing w:before="120" w:after="120"/>
        <w:ind w:left="851" w:hanging="284"/>
        <w:jc w:val="left"/>
        <w:rPr>
          <w:rFonts w:ascii="Verdana" w:hAnsi="Verdana" w:cs="Arial"/>
          <w:color w:val="auto"/>
          <w:szCs w:val="20"/>
        </w:rPr>
      </w:pPr>
      <w:r>
        <w:rPr>
          <w:rFonts w:ascii="Verdana" w:hAnsi="Verdana" w:cs="Arial"/>
          <w:color w:val="222222"/>
          <w:shd w:val="clear" w:color="auto" w:fill="FFFFFF"/>
        </w:rPr>
        <w:t>As despesas para atender a esta licitação estão programadas em dotação orçamentária própria, prevista no orçamento da União para o exercício de 2022, conforme documento PLOR/PLAN (SEI nº</w:t>
      </w:r>
      <w:r>
        <w:rPr>
          <w:rFonts w:ascii="Verdana" w:hAnsi="Verdana" w:cs="Arial"/>
          <w:color w:val="auto"/>
          <w:shd w:val="clear" w:color="auto" w:fill="FFFFFF"/>
        </w:rPr>
        <w:t> 1166022   -https://sei.uff.br/sei/controlador.php?acao=procedimento_trabalhar&amp;acao_origem=protocolo_pesquisa_rapida&amp;id_protocolo=1264845&amp;infra_sistema=100000100&amp;infra_unidade_atual=110000809&amp;infra_hash=5f5fc1dbdef14c879a58fb96bd64d203e7896c6bcdb02ec5e3bcf7f8f2835ea3</w:t>
      </w:r>
    </w:p>
    <w:p>
      <w:pPr>
        <w:pStyle w:val="81"/>
        <w:keepNext w:val="0"/>
        <w:widowControl/>
        <w:spacing w:before="120" w:after="120"/>
        <w:ind w:left="1276" w:hanging="850"/>
        <w:rPr>
          <w:rFonts w:ascii="Verdana" w:hAnsi="Verdana" w:cs="Arial"/>
          <w:color w:val="000000"/>
          <w:szCs w:val="20"/>
          <w:lang w:eastAsia="en-US"/>
        </w:rPr>
      </w:pPr>
    </w:p>
    <w:p>
      <w:pPr>
        <w:pStyle w:val="81"/>
        <w:keepNext w:val="0"/>
        <w:numPr>
          <w:ilvl w:val="0"/>
          <w:numId w:val="5"/>
        </w:numPr>
        <w:rPr>
          <w:rFonts w:ascii="Verdana" w:hAnsi="Verdana" w:cs="Arial"/>
          <w:szCs w:val="20"/>
        </w:rPr>
      </w:pPr>
      <w:r>
        <w:rPr>
          <w:rFonts w:ascii="Verdana" w:hAnsi="Verdana" w:cs="Arial"/>
          <w:b/>
          <w:color w:val="000000"/>
          <w:szCs w:val="20"/>
        </w:rPr>
        <w:t>DO CREDENCIAMENTO</w:t>
      </w:r>
    </w:p>
    <w:p>
      <w:pPr>
        <w:pStyle w:val="81"/>
        <w:keepNext w:val="0"/>
        <w:widowControl/>
        <w:numPr>
          <w:ilvl w:val="1"/>
          <w:numId w:val="6"/>
        </w:numPr>
        <w:spacing w:before="120" w:after="120"/>
        <w:ind w:left="851" w:hanging="284"/>
        <w:rPr>
          <w:rFonts w:ascii="Verdana" w:hAnsi="Verdana" w:cs="Arial"/>
          <w:szCs w:val="20"/>
        </w:rPr>
      </w:pPr>
      <w:r>
        <w:rPr>
          <w:rFonts w:ascii="Verdana" w:hAnsi="Verdana" w:cs="Arial"/>
          <w:bCs/>
          <w:iCs/>
          <w:color w:val="000000"/>
          <w:szCs w:val="20"/>
        </w:rPr>
        <w:t xml:space="preserve">O Credenciamento é o nível básico do registro cadastral no </w:t>
      </w:r>
      <w:r>
        <w:rPr>
          <w:rFonts w:ascii="Verdana" w:hAnsi="Verdana" w:eastAsia="Times New Roman" w:cs="Arial"/>
          <w:color w:val="000000"/>
          <w:szCs w:val="20"/>
          <w:lang w:eastAsia="pt-BR"/>
        </w:rPr>
        <w:t>Sistema de Cadastramento Unificado de Forneced</w:t>
      </w:r>
      <w:r>
        <w:rPr>
          <w:rFonts w:ascii="Verdana" w:hAnsi="Verdana" w:cs="Arial"/>
          <w:bCs/>
          <w:iCs/>
          <w:color w:val="000000"/>
          <w:szCs w:val="20"/>
        </w:rPr>
        <w:t>ores - SICAF, conforme disposto no Decreto no 3.722, de 9 de janeiro de 2001. </w:t>
      </w:r>
    </w:p>
    <w:p>
      <w:pPr>
        <w:pStyle w:val="81"/>
        <w:keepNext w:val="0"/>
        <w:widowControl/>
        <w:numPr>
          <w:ilvl w:val="1"/>
          <w:numId w:val="6"/>
        </w:numPr>
        <w:spacing w:before="120" w:after="120"/>
        <w:ind w:left="851" w:hanging="284"/>
        <w:rPr>
          <w:rFonts w:ascii="Verdana" w:hAnsi="Verdana" w:cs="Arial"/>
          <w:szCs w:val="20"/>
        </w:rPr>
      </w:pPr>
      <w:r>
        <w:rPr>
          <w:rFonts w:ascii="Verdana" w:hAnsi="Verdana" w:cs="Arial"/>
          <w:bCs/>
          <w:iCs/>
          <w:color w:val="000000"/>
          <w:szCs w:val="20"/>
        </w:rPr>
        <w:t xml:space="preserve">O cadastro no SICAF poderá ser iniciado no Portal de Compras do Governo Federal, no sítio </w:t>
      </w:r>
      <w:r>
        <w:fldChar w:fldCharType="begin"/>
      </w:r>
      <w:r>
        <w:instrText xml:space="preserve"> HYPERLINK "http://www.gov.br/compras" </w:instrText>
      </w:r>
      <w:r>
        <w:fldChar w:fldCharType="separate"/>
      </w:r>
      <w:r>
        <w:rPr>
          <w:rStyle w:val="13"/>
          <w:rFonts w:ascii="Verdana" w:hAnsi="Verdana" w:cs="Arial"/>
          <w:bCs/>
          <w:iCs/>
          <w:szCs w:val="20"/>
        </w:rPr>
        <w:t>www.gov.br/compras</w:t>
      </w:r>
      <w:r>
        <w:rPr>
          <w:rStyle w:val="13"/>
          <w:rFonts w:ascii="Verdana" w:hAnsi="Verdana" w:cs="Arial"/>
          <w:bCs/>
          <w:iCs/>
          <w:szCs w:val="20"/>
        </w:rPr>
        <w:fldChar w:fldCharType="end"/>
      </w:r>
      <w:r>
        <w:rPr>
          <w:rFonts w:ascii="Verdana" w:hAnsi="Verdana" w:cs="Arial"/>
          <w:bCs/>
          <w:iCs/>
          <w:color w:val="000000"/>
          <w:szCs w:val="20"/>
        </w:rPr>
        <w:t>, por meio de certificado digital conferido pela Infraestrutura de Chaves Públicas Brasileira – ICP-Brasil.</w:t>
      </w:r>
    </w:p>
    <w:p>
      <w:pPr>
        <w:pStyle w:val="81"/>
        <w:keepNext w:val="0"/>
        <w:widowControl/>
        <w:numPr>
          <w:ilvl w:val="1"/>
          <w:numId w:val="6"/>
        </w:numPr>
        <w:spacing w:before="120" w:after="120"/>
        <w:ind w:left="851" w:hanging="284"/>
        <w:rPr>
          <w:rFonts w:ascii="Verdana" w:hAnsi="Verdana" w:cs="Arial"/>
          <w:szCs w:val="20"/>
        </w:rPr>
      </w:pPr>
      <w:r>
        <w:rPr>
          <w:rFonts w:ascii="Verdana" w:hAnsi="Verdana" w:cs="Arial"/>
          <w:color w:val="000000"/>
          <w:szCs w:val="20"/>
        </w:rPr>
        <w:t>O credenciamento junto ao provedor do sistema implica a responsabilidade da licitante ou de seu representante legal e a presunção de sua capacidade técnica para realização das transações inerentes a este RDC.</w:t>
      </w:r>
    </w:p>
    <w:p>
      <w:pPr>
        <w:pStyle w:val="81"/>
        <w:keepNext w:val="0"/>
        <w:widowControl/>
        <w:numPr>
          <w:ilvl w:val="1"/>
          <w:numId w:val="6"/>
        </w:numPr>
        <w:spacing w:before="120" w:after="120"/>
        <w:ind w:left="851" w:hanging="284"/>
        <w:rPr>
          <w:rFonts w:ascii="Verdana" w:hAnsi="Verdana" w:cs="Arial"/>
          <w:bCs/>
          <w:iCs/>
          <w:color w:val="000000"/>
          <w:szCs w:val="20"/>
        </w:rPr>
      </w:pPr>
      <w:r>
        <w:rPr>
          <w:rFonts w:ascii="Verdana" w:hAnsi="Verdana" w:cs="Arial"/>
          <w:bCs/>
          <w:iCs/>
          <w:color w:val="000000"/>
          <w:szCs w:val="20"/>
        </w:rPr>
        <w:t>A licitante responsabiliza-se exclusiva e formalmente pelas transações efetuadas em seu nome, assume como firmes e verdadeiras suas propostas e seus lances, inclusive os atos praticados diretamente ou por seu representante, excluída a responsabilidade do provedor do sistema ou do órgão ou entidade promotora da licitação por eventuais danos decorrentes de uso indevido das credenciais de acesso, ainda que por terceiros.</w:t>
      </w:r>
    </w:p>
    <w:p>
      <w:pPr>
        <w:pStyle w:val="81"/>
        <w:keepNext w:val="0"/>
        <w:widowControl/>
        <w:numPr>
          <w:ilvl w:val="1"/>
          <w:numId w:val="6"/>
        </w:numPr>
        <w:spacing w:before="120" w:after="120"/>
        <w:ind w:left="851" w:hanging="284"/>
        <w:rPr>
          <w:rFonts w:ascii="Verdana" w:hAnsi="Verdana" w:cs="Arial"/>
          <w:bCs/>
          <w:iCs/>
          <w:color w:val="000000"/>
          <w:szCs w:val="20"/>
        </w:rPr>
      </w:pPr>
      <w:r>
        <w:rPr>
          <w:rFonts w:ascii="Verdana" w:hAnsi="Verdana" w:cs="Arial"/>
          <w:bCs/>
          <w:iCs/>
          <w:color w:val="000000"/>
          <w:szCs w:val="20"/>
        </w:rPr>
        <w:t>É de responsabilidade do cadastrado conferir a exatidão dos seus dados cadastrais no SICAF e mantê-los atualizados junto aos órgãos responsáveis pela informação, devendo proceder, imediatamente, à correção ou à alteração dos registros tão logo identifique incorreção ou aqueles se tornem desatualizados.</w:t>
      </w:r>
    </w:p>
    <w:p>
      <w:pPr>
        <w:keepNext w:val="0"/>
        <w:numPr>
          <w:ilvl w:val="2"/>
          <w:numId w:val="6"/>
        </w:numPr>
        <w:shd w:val="clear" w:color="auto" w:fill="auto"/>
        <w:tabs>
          <w:tab w:val="clear" w:pos="708"/>
        </w:tabs>
        <w:suppressAutoHyphens w:val="0"/>
        <w:overflowPunct/>
        <w:spacing w:before="120" w:after="120" w:line="276" w:lineRule="auto"/>
        <w:ind w:left="1134" w:hanging="283"/>
        <w:jc w:val="both"/>
        <w:textAlignment w:val="auto"/>
        <w:rPr>
          <w:rFonts w:ascii="Verdana" w:hAnsi="Verdana" w:cs="Arial"/>
          <w:color w:val="000000" w:themeColor="text1"/>
          <w:sz w:val="18"/>
          <w:szCs w:val="18"/>
          <w14:textFill>
            <w14:solidFill>
              <w14:schemeClr w14:val="tx1"/>
            </w14:solidFill>
          </w14:textFill>
        </w:rPr>
      </w:pPr>
      <w:r>
        <w:rPr>
          <w:rFonts w:ascii="Verdana" w:hAnsi="Verdana" w:cs="Arial"/>
          <w:color w:val="000000" w:themeColor="text1"/>
          <w:sz w:val="18"/>
          <w:szCs w:val="18"/>
          <w:lang w:eastAsia="en-US"/>
          <w14:textFill>
            <w14:solidFill>
              <w14:schemeClr w14:val="tx1"/>
            </w14:solidFill>
          </w14:textFill>
        </w:rPr>
        <w:t>A não observância do disposto no subitem anterior poderá ensejar desclassificação no momento da habilitação, após implementadas diligências ordinárias.</w:t>
      </w:r>
    </w:p>
    <w:p>
      <w:pPr>
        <w:pStyle w:val="81"/>
        <w:keepNext w:val="0"/>
        <w:widowControl/>
        <w:numPr>
          <w:ilvl w:val="1"/>
          <w:numId w:val="6"/>
        </w:numPr>
        <w:spacing w:before="120" w:after="120"/>
        <w:ind w:left="851" w:hanging="284"/>
        <w:rPr>
          <w:rFonts w:ascii="Verdana" w:hAnsi="Verdana" w:cs="Arial"/>
          <w:szCs w:val="20"/>
        </w:rPr>
      </w:pPr>
      <w:r>
        <w:rPr>
          <w:rFonts w:ascii="Verdana" w:hAnsi="Verdana" w:cs="Arial"/>
          <w:bCs/>
          <w:iCs/>
          <w:color w:val="000000"/>
          <w:szCs w:val="20"/>
        </w:rPr>
        <w:t>No caso de participação de empresas em consórcio, o credenciamento e a operação do sistema eletrônico devem ser realizados pela empresa líder do consórcio.</w:t>
      </w:r>
    </w:p>
    <w:p>
      <w:pPr>
        <w:pStyle w:val="15"/>
        <w:widowControl/>
        <w:suppressAutoHyphens w:val="0"/>
        <w:spacing w:before="120"/>
        <w:ind w:left="284"/>
        <w:jc w:val="both"/>
        <w:rPr>
          <w:rFonts w:ascii="Verdana" w:hAnsi="Verdana"/>
          <w:b/>
          <w:sz w:val="20"/>
        </w:rPr>
      </w:pPr>
    </w:p>
    <w:p>
      <w:pPr>
        <w:pStyle w:val="15"/>
        <w:widowControl/>
        <w:numPr>
          <w:ilvl w:val="0"/>
          <w:numId w:val="7"/>
        </w:numPr>
        <w:suppressAutoHyphens w:val="0"/>
        <w:spacing w:before="120"/>
        <w:ind w:left="284" w:hanging="284"/>
        <w:jc w:val="both"/>
        <w:rPr>
          <w:rFonts w:ascii="Verdana" w:hAnsi="Verdana"/>
          <w:b/>
          <w:sz w:val="20"/>
        </w:rPr>
      </w:pPr>
      <w:r>
        <w:rPr>
          <w:rFonts w:ascii="Verdana" w:hAnsi="Verdana" w:cs="Arial"/>
          <w:b/>
          <w:bCs/>
          <w:color w:val="000000"/>
          <w:sz w:val="20"/>
        </w:rPr>
        <w:t>DA PARTICIPAÇÃO NO RDC</w:t>
      </w:r>
    </w:p>
    <w:p>
      <w:pPr>
        <w:pStyle w:val="15"/>
        <w:widowControl/>
        <w:numPr>
          <w:ilvl w:val="1"/>
          <w:numId w:val="7"/>
        </w:numPr>
        <w:suppressAutoHyphens w:val="0"/>
        <w:spacing w:before="120"/>
        <w:jc w:val="both"/>
        <w:rPr>
          <w:rFonts w:ascii="Verdana" w:hAnsi="Verdana"/>
          <w:b/>
          <w:sz w:val="20"/>
        </w:rPr>
      </w:pPr>
      <w:r>
        <w:rPr>
          <w:rFonts w:ascii="Verdana" w:hAnsi="Verdana" w:cs="Arial"/>
          <w:bCs/>
          <w:color w:val="000000"/>
          <w:sz w:val="20"/>
        </w:rPr>
        <w:t xml:space="preserve">Poderão participar deste procedimento </w:t>
      </w:r>
      <w:r>
        <w:rPr>
          <w:rFonts w:ascii="Verdana" w:hAnsi="Verdana" w:cs="Arial"/>
          <w:sz w:val="20"/>
        </w:rPr>
        <w:t>interessados</w:t>
      </w:r>
      <w:r>
        <w:rPr>
          <w:rFonts w:ascii="Verdana" w:hAnsi="Verdana" w:cs="Arial"/>
          <w:bCs/>
          <w:color w:val="000000"/>
          <w:sz w:val="20"/>
        </w:rPr>
        <w:t xml:space="preserve"> cujo ramo de atividade seja compatível com o objeto desta licitação, e que estejam com credenciamento regular no</w:t>
      </w:r>
      <w:r>
        <w:rPr>
          <w:rFonts w:ascii="Verdana" w:hAnsi="Verdana" w:cs="Arial"/>
          <w:color w:val="000000"/>
          <w:sz w:val="20"/>
        </w:rPr>
        <w:t xml:space="preserve"> Sistema de Cadastramento Unificado de Fornecedores – SICAF, conforme disposto no art. 9º da IN SEGES/MP nº 3, de 2018.</w:t>
      </w:r>
    </w:p>
    <w:p>
      <w:pPr>
        <w:pStyle w:val="68"/>
        <w:keepNext w:val="0"/>
        <w:numPr>
          <w:ilvl w:val="0"/>
          <w:numId w:val="6"/>
        </w:numPr>
        <w:tabs>
          <w:tab w:val="clear" w:pos="-12"/>
          <w:tab w:val="clear" w:pos="708"/>
        </w:tabs>
        <w:suppressAutoHyphens w:val="0"/>
        <w:overflowPunct/>
        <w:spacing w:before="120" w:after="120" w:line="276" w:lineRule="auto"/>
        <w:jc w:val="both"/>
        <w:rPr>
          <w:rFonts w:ascii="Verdana" w:hAnsi="Verdana" w:eastAsia="WenQuanYi Micro Hei" w:cs="Arial"/>
          <w:vanish/>
          <w:color w:val="auto"/>
          <w:sz w:val="20"/>
          <w:szCs w:val="20"/>
          <w:lang w:eastAsia="zh-CN" w:bidi="hi-IN"/>
        </w:rPr>
      </w:pPr>
    </w:p>
    <w:p>
      <w:pPr>
        <w:pStyle w:val="68"/>
        <w:keepNext w:val="0"/>
        <w:numPr>
          <w:ilvl w:val="1"/>
          <w:numId w:val="6"/>
        </w:numPr>
        <w:tabs>
          <w:tab w:val="clear" w:pos="-12"/>
          <w:tab w:val="clear" w:pos="708"/>
        </w:tabs>
        <w:suppressAutoHyphens w:val="0"/>
        <w:overflowPunct/>
        <w:spacing w:before="120" w:after="120" w:line="276" w:lineRule="auto"/>
        <w:jc w:val="both"/>
        <w:rPr>
          <w:rFonts w:ascii="Verdana" w:hAnsi="Verdana" w:eastAsia="WenQuanYi Micro Hei" w:cs="Arial"/>
          <w:vanish/>
          <w:color w:val="auto"/>
          <w:sz w:val="20"/>
          <w:szCs w:val="20"/>
          <w:lang w:eastAsia="zh-CN" w:bidi="hi-IN"/>
        </w:rPr>
      </w:pPr>
    </w:p>
    <w:p>
      <w:pPr>
        <w:pStyle w:val="68"/>
        <w:keepNext w:val="0"/>
        <w:numPr>
          <w:ilvl w:val="1"/>
          <w:numId w:val="6"/>
        </w:numPr>
        <w:tabs>
          <w:tab w:val="clear" w:pos="-12"/>
          <w:tab w:val="clear" w:pos="708"/>
        </w:tabs>
        <w:suppressAutoHyphens w:val="0"/>
        <w:overflowPunct/>
        <w:spacing w:before="120" w:after="120" w:line="276" w:lineRule="auto"/>
        <w:jc w:val="both"/>
        <w:rPr>
          <w:rFonts w:ascii="Verdana" w:hAnsi="Verdana" w:eastAsia="WenQuanYi Micro Hei" w:cs="Arial"/>
          <w:vanish/>
          <w:color w:val="auto"/>
          <w:sz w:val="20"/>
          <w:szCs w:val="20"/>
          <w:lang w:eastAsia="zh-CN" w:bidi="hi-IN"/>
        </w:rPr>
      </w:pPr>
    </w:p>
    <w:p>
      <w:pPr>
        <w:pStyle w:val="68"/>
        <w:keepNext w:val="0"/>
        <w:numPr>
          <w:ilvl w:val="1"/>
          <w:numId w:val="6"/>
        </w:numPr>
        <w:tabs>
          <w:tab w:val="clear" w:pos="-12"/>
          <w:tab w:val="clear" w:pos="708"/>
        </w:tabs>
        <w:suppressAutoHyphens w:val="0"/>
        <w:overflowPunct/>
        <w:spacing w:before="120" w:after="120" w:line="276" w:lineRule="auto"/>
        <w:jc w:val="both"/>
        <w:rPr>
          <w:rFonts w:ascii="Verdana" w:hAnsi="Verdana" w:eastAsia="WenQuanYi Micro Hei" w:cs="Arial"/>
          <w:vanish/>
          <w:color w:val="auto"/>
          <w:sz w:val="20"/>
          <w:szCs w:val="20"/>
          <w:lang w:eastAsia="zh-CN" w:bidi="hi-IN"/>
        </w:rPr>
      </w:pPr>
    </w:p>
    <w:p>
      <w:pPr>
        <w:pStyle w:val="68"/>
        <w:keepNext w:val="0"/>
        <w:numPr>
          <w:ilvl w:val="1"/>
          <w:numId w:val="6"/>
        </w:numPr>
        <w:tabs>
          <w:tab w:val="clear" w:pos="-12"/>
          <w:tab w:val="clear" w:pos="708"/>
        </w:tabs>
        <w:suppressAutoHyphens w:val="0"/>
        <w:overflowPunct/>
        <w:spacing w:before="120" w:after="120" w:line="276" w:lineRule="auto"/>
        <w:jc w:val="both"/>
        <w:rPr>
          <w:rFonts w:ascii="Verdana" w:hAnsi="Verdana" w:eastAsia="WenQuanYi Micro Hei" w:cs="Arial"/>
          <w:vanish/>
          <w:color w:val="auto"/>
          <w:sz w:val="20"/>
          <w:szCs w:val="20"/>
          <w:lang w:eastAsia="zh-CN" w:bidi="hi-IN"/>
        </w:rPr>
      </w:pPr>
    </w:p>
    <w:p>
      <w:pPr>
        <w:pStyle w:val="68"/>
        <w:keepNext w:val="0"/>
        <w:numPr>
          <w:ilvl w:val="1"/>
          <w:numId w:val="6"/>
        </w:numPr>
        <w:tabs>
          <w:tab w:val="clear" w:pos="-12"/>
          <w:tab w:val="clear" w:pos="708"/>
        </w:tabs>
        <w:suppressAutoHyphens w:val="0"/>
        <w:overflowPunct/>
        <w:spacing w:before="120" w:after="120" w:line="276" w:lineRule="auto"/>
        <w:jc w:val="both"/>
        <w:rPr>
          <w:rFonts w:ascii="Verdana" w:hAnsi="Verdana" w:eastAsia="WenQuanYi Micro Hei" w:cs="Arial"/>
          <w:vanish/>
          <w:color w:val="auto"/>
          <w:sz w:val="20"/>
          <w:szCs w:val="20"/>
          <w:lang w:eastAsia="zh-CN" w:bidi="hi-IN"/>
        </w:rPr>
      </w:pPr>
    </w:p>
    <w:p>
      <w:pPr>
        <w:pStyle w:val="68"/>
        <w:keepNext w:val="0"/>
        <w:numPr>
          <w:ilvl w:val="1"/>
          <w:numId w:val="6"/>
        </w:numPr>
        <w:tabs>
          <w:tab w:val="clear" w:pos="-12"/>
          <w:tab w:val="clear" w:pos="708"/>
        </w:tabs>
        <w:suppressAutoHyphens w:val="0"/>
        <w:overflowPunct/>
        <w:spacing w:before="120" w:after="120" w:line="276" w:lineRule="auto"/>
        <w:jc w:val="both"/>
        <w:rPr>
          <w:rFonts w:ascii="Verdana" w:hAnsi="Verdana" w:eastAsia="WenQuanYi Micro Hei" w:cs="Arial"/>
          <w:vanish/>
          <w:color w:val="auto"/>
          <w:sz w:val="20"/>
          <w:szCs w:val="20"/>
          <w:lang w:eastAsia="zh-CN" w:bidi="hi-IN"/>
        </w:rPr>
      </w:pPr>
    </w:p>
    <w:p>
      <w:pPr>
        <w:pStyle w:val="68"/>
        <w:keepNext w:val="0"/>
        <w:numPr>
          <w:ilvl w:val="2"/>
          <w:numId w:val="8"/>
        </w:numPr>
        <w:tabs>
          <w:tab w:val="clear" w:pos="708"/>
        </w:tabs>
        <w:suppressAutoHyphens w:val="0"/>
        <w:overflowPunct/>
        <w:spacing w:before="120" w:after="120" w:line="276" w:lineRule="auto"/>
        <w:jc w:val="both"/>
        <w:rPr>
          <w:rFonts w:ascii="Verdana" w:hAnsi="Verdana" w:cs="Arial"/>
          <w:sz w:val="20"/>
          <w:szCs w:val="20"/>
        </w:rPr>
      </w:pPr>
      <w:r>
        <w:rPr>
          <w:rFonts w:ascii="Verdana" w:hAnsi="Verdana" w:cs="Arial"/>
          <w:sz w:val="20"/>
          <w:szCs w:val="20"/>
        </w:rPr>
        <w:t>O objeto social incompatível com o objeto da licitação é impeditivo à contratação, a ser aferido na fase de habilitação jurídica.</w:t>
      </w:r>
    </w:p>
    <w:p>
      <w:pPr>
        <w:pStyle w:val="81"/>
        <w:keepNext w:val="0"/>
        <w:widowControl/>
        <w:numPr>
          <w:ilvl w:val="2"/>
          <w:numId w:val="8"/>
        </w:numPr>
        <w:spacing w:before="120" w:after="120"/>
        <w:ind w:left="1134" w:hanging="283"/>
        <w:rPr>
          <w:rFonts w:ascii="Verdana" w:hAnsi="Verdana" w:cs="Arial"/>
          <w:bCs/>
          <w:color w:val="000000"/>
          <w:szCs w:val="20"/>
        </w:rPr>
      </w:pPr>
      <w:r>
        <w:rPr>
          <w:rFonts w:ascii="Verdana" w:hAnsi="Verdana" w:cs="Arial"/>
          <w:bCs/>
          <w:color w:val="000000"/>
          <w:szCs w:val="20"/>
        </w:rPr>
        <w:t>As licitantes deverão utilizar o certificado digital para acesso ao Sistema.</w:t>
      </w:r>
    </w:p>
    <w:p>
      <w:pPr>
        <w:pStyle w:val="68"/>
        <w:keepNext w:val="0"/>
        <w:numPr>
          <w:ilvl w:val="0"/>
          <w:numId w:val="9"/>
        </w:numPr>
        <w:tabs>
          <w:tab w:val="clear" w:pos="-12"/>
          <w:tab w:val="clear" w:pos="708"/>
        </w:tabs>
        <w:suppressAutoHyphens w:val="0"/>
        <w:overflowPunct/>
        <w:spacing w:before="120" w:after="120" w:line="276" w:lineRule="auto"/>
        <w:jc w:val="both"/>
        <w:rPr>
          <w:rFonts w:ascii="Verdana" w:hAnsi="Verdana" w:eastAsia="WenQuanYi Micro Hei" w:cs="Arial"/>
          <w:bCs/>
          <w:vanish/>
          <w:color w:val="000000"/>
          <w:sz w:val="20"/>
          <w:szCs w:val="20"/>
          <w:lang w:eastAsia="zh-CN" w:bidi="hi-IN"/>
        </w:rPr>
      </w:pPr>
    </w:p>
    <w:p>
      <w:pPr>
        <w:pStyle w:val="68"/>
        <w:keepNext w:val="0"/>
        <w:numPr>
          <w:ilvl w:val="0"/>
          <w:numId w:val="9"/>
        </w:numPr>
        <w:tabs>
          <w:tab w:val="clear" w:pos="-12"/>
          <w:tab w:val="clear" w:pos="708"/>
        </w:tabs>
        <w:suppressAutoHyphens w:val="0"/>
        <w:overflowPunct/>
        <w:spacing w:before="120" w:after="120" w:line="276" w:lineRule="auto"/>
        <w:jc w:val="both"/>
        <w:rPr>
          <w:rFonts w:ascii="Verdana" w:hAnsi="Verdana" w:eastAsia="WenQuanYi Micro Hei" w:cs="Arial"/>
          <w:bCs/>
          <w:vanish/>
          <w:color w:val="000000"/>
          <w:sz w:val="20"/>
          <w:szCs w:val="20"/>
          <w:lang w:eastAsia="zh-CN" w:bidi="hi-IN"/>
        </w:rPr>
      </w:pPr>
    </w:p>
    <w:p>
      <w:pPr>
        <w:pStyle w:val="81"/>
        <w:keepNext w:val="0"/>
        <w:widowControl/>
        <w:numPr>
          <w:ilvl w:val="1"/>
          <w:numId w:val="9"/>
        </w:numPr>
        <w:spacing w:before="120" w:after="120"/>
        <w:rPr>
          <w:rFonts w:ascii="Verdana" w:hAnsi="Verdana" w:cs="Arial"/>
          <w:szCs w:val="20"/>
        </w:rPr>
      </w:pPr>
      <w:r>
        <w:rPr>
          <w:rFonts w:ascii="Verdana" w:hAnsi="Verdana" w:cs="Arial"/>
          <w:bCs/>
          <w:color w:val="000000"/>
          <w:szCs w:val="20"/>
        </w:rPr>
        <w:t xml:space="preserve">Não poderá participar desta licitação </w:t>
      </w:r>
      <w:r>
        <w:rPr>
          <w:rFonts w:ascii="Verdana" w:hAnsi="Verdana" w:cs="Arial"/>
          <w:szCs w:val="20"/>
        </w:rPr>
        <w:t>o interessado:</w:t>
      </w:r>
    </w:p>
    <w:p>
      <w:pPr>
        <w:pStyle w:val="81"/>
        <w:keepNext w:val="0"/>
        <w:widowControl/>
        <w:numPr>
          <w:ilvl w:val="2"/>
          <w:numId w:val="9"/>
        </w:numPr>
        <w:spacing w:before="120" w:after="120"/>
        <w:ind w:left="1134" w:hanging="283"/>
        <w:rPr>
          <w:rFonts w:ascii="Verdana" w:hAnsi="Verdana" w:cs="Arial"/>
          <w:szCs w:val="20"/>
        </w:rPr>
      </w:pPr>
      <w:r>
        <w:rPr>
          <w:rFonts w:ascii="Verdana" w:hAnsi="Verdana" w:cs="Arial"/>
          <w:bCs/>
          <w:color w:val="000000"/>
          <w:szCs w:val="20"/>
        </w:rPr>
        <w:t>- proibido de participar de licitações e celebrar contratos administrativos, na forma da legislação vigente;</w:t>
      </w:r>
    </w:p>
    <w:p>
      <w:pPr>
        <w:pStyle w:val="81"/>
        <w:keepNext w:val="0"/>
        <w:widowControl/>
        <w:numPr>
          <w:ilvl w:val="2"/>
          <w:numId w:val="9"/>
        </w:numPr>
        <w:spacing w:before="120" w:after="120"/>
        <w:ind w:left="1276" w:hanging="425"/>
        <w:rPr>
          <w:rFonts w:ascii="Verdana" w:hAnsi="Verdana" w:cs="Arial"/>
          <w:szCs w:val="20"/>
        </w:rPr>
      </w:pPr>
      <w:r>
        <w:rPr>
          <w:rFonts w:ascii="Verdana" w:hAnsi="Verdana" w:cs="Arial"/>
          <w:bCs/>
          <w:color w:val="000000"/>
          <w:szCs w:val="20"/>
        </w:rPr>
        <w:t xml:space="preserve">- que não atenda às condições deste Edital e seu(s) anexo(s). </w:t>
      </w:r>
    </w:p>
    <w:p>
      <w:pPr>
        <w:pStyle w:val="81"/>
        <w:keepNext w:val="0"/>
        <w:widowControl/>
        <w:numPr>
          <w:ilvl w:val="2"/>
          <w:numId w:val="9"/>
        </w:numPr>
        <w:spacing w:before="120" w:after="120"/>
        <w:ind w:left="1134" w:hanging="283"/>
        <w:rPr>
          <w:rFonts w:ascii="Verdana" w:hAnsi="Verdana" w:cs="Arial"/>
          <w:szCs w:val="20"/>
        </w:rPr>
      </w:pPr>
      <w:r>
        <w:rPr>
          <w:rFonts w:ascii="Verdana" w:hAnsi="Verdana" w:cs="Arial"/>
          <w:bCs/>
          <w:color w:val="000000"/>
          <w:szCs w:val="20"/>
        </w:rPr>
        <w:t>- pessoa jurídica estrangeira que não tenha representação legal no Brasil, com poderes expressos para receber citação e responder administrativa ou judicialmente;</w:t>
      </w:r>
    </w:p>
    <w:p>
      <w:pPr>
        <w:pStyle w:val="81"/>
        <w:keepNext w:val="0"/>
        <w:widowControl/>
        <w:numPr>
          <w:ilvl w:val="2"/>
          <w:numId w:val="9"/>
        </w:numPr>
        <w:spacing w:before="120" w:after="120"/>
        <w:ind w:left="1134" w:hanging="283"/>
        <w:rPr>
          <w:rFonts w:ascii="Verdana" w:hAnsi="Verdana" w:cs="Arial"/>
          <w:szCs w:val="20"/>
        </w:rPr>
      </w:pPr>
      <w:r>
        <w:rPr>
          <w:rFonts w:ascii="Verdana" w:hAnsi="Verdana" w:cs="Arial"/>
          <w:szCs w:val="20"/>
        </w:rPr>
        <w:t xml:space="preserve">– que seja servidor, empregado ou ocupante de cargo em comissão do órgão ou entidade contratante ou </w:t>
      </w:r>
      <w:r>
        <w:rPr>
          <w:rFonts w:ascii="Verdana" w:hAnsi="Verdana" w:cs="Arial"/>
          <w:bCs/>
          <w:color w:val="000000"/>
          <w:szCs w:val="20"/>
        </w:rPr>
        <w:t>responsável</w:t>
      </w:r>
      <w:r>
        <w:rPr>
          <w:rFonts w:ascii="Verdana" w:hAnsi="Verdana" w:cs="Arial"/>
          <w:szCs w:val="20"/>
        </w:rPr>
        <w:t xml:space="preserve"> pela licitação;</w:t>
      </w:r>
    </w:p>
    <w:p>
      <w:pPr>
        <w:pStyle w:val="81"/>
        <w:keepNext w:val="0"/>
        <w:widowControl/>
        <w:numPr>
          <w:ilvl w:val="2"/>
          <w:numId w:val="9"/>
        </w:numPr>
        <w:spacing w:before="120" w:after="120"/>
        <w:ind w:left="1134" w:hanging="283"/>
        <w:rPr>
          <w:rFonts w:ascii="Verdana" w:hAnsi="Verdana" w:cs="Arial"/>
          <w:szCs w:val="20"/>
        </w:rPr>
      </w:pPr>
      <w:r>
        <w:rPr>
          <w:rFonts w:ascii="Verdana" w:hAnsi="Verdana" w:cs="Arial"/>
          <w:color w:val="000000"/>
          <w:szCs w:val="20"/>
        </w:rPr>
        <w:t>- pessoa física ou jurídica, na forma do art. 36 da Lei nº 12.462/11, mediante participação direta ou indireta:</w:t>
      </w:r>
    </w:p>
    <w:p>
      <w:pPr>
        <w:pStyle w:val="81"/>
        <w:keepNext w:val="0"/>
        <w:widowControl/>
        <w:numPr>
          <w:ilvl w:val="3"/>
          <w:numId w:val="10"/>
        </w:numPr>
        <w:spacing w:before="120" w:after="120"/>
        <w:ind w:left="1985" w:hanging="284"/>
        <w:rPr>
          <w:rFonts w:ascii="Verdana" w:hAnsi="Verdana" w:cs="Arial"/>
          <w:color w:val="000000"/>
          <w:szCs w:val="20"/>
        </w:rPr>
      </w:pPr>
      <w:r>
        <w:rPr>
          <w:rFonts w:ascii="Verdana" w:hAnsi="Verdana" w:cs="Arial"/>
          <w:color w:val="000000"/>
          <w:szCs w:val="20"/>
        </w:rPr>
        <w:t>que tenha elaborado o Termo de Referência ou executivo correspondente;</w:t>
      </w:r>
    </w:p>
    <w:p>
      <w:pPr>
        <w:pStyle w:val="81"/>
        <w:keepNext w:val="0"/>
        <w:widowControl/>
        <w:numPr>
          <w:ilvl w:val="3"/>
          <w:numId w:val="10"/>
        </w:numPr>
        <w:spacing w:before="120" w:after="120"/>
        <w:ind w:left="1985" w:hanging="284"/>
        <w:rPr>
          <w:rFonts w:ascii="Verdana" w:hAnsi="Verdana" w:cs="Arial"/>
          <w:color w:val="000000"/>
          <w:szCs w:val="20"/>
        </w:rPr>
      </w:pPr>
      <w:r>
        <w:rPr>
          <w:rFonts w:ascii="Verdana" w:hAnsi="Verdana" w:cs="Arial"/>
          <w:color w:val="000000"/>
          <w:szCs w:val="20"/>
        </w:rPr>
        <w:t>que tenha participado de consórcio responsável pela elaboração do Termo de Referência ou executivo correspondente;</w:t>
      </w:r>
    </w:p>
    <w:p>
      <w:pPr>
        <w:pStyle w:val="81"/>
        <w:keepNext w:val="0"/>
        <w:widowControl/>
        <w:numPr>
          <w:ilvl w:val="3"/>
          <w:numId w:val="10"/>
        </w:numPr>
        <w:spacing w:before="120" w:after="120"/>
        <w:ind w:left="1985" w:hanging="284"/>
        <w:rPr>
          <w:rFonts w:ascii="Verdana" w:hAnsi="Verdana" w:cs="Arial"/>
          <w:color w:val="000000"/>
          <w:szCs w:val="20"/>
        </w:rPr>
      </w:pPr>
      <w:r>
        <w:rPr>
          <w:rFonts w:ascii="Verdana" w:hAnsi="Verdana" w:cs="Arial"/>
          <w:color w:val="000000"/>
          <w:szCs w:val="20"/>
        </w:rPr>
        <w:t>na qual o autor do Termo de Referência ou executivo seja administrador, sócio com mais de cinco por cento do capital votante, controlador, gerente, responsável técnico ou subcontratado.</w:t>
      </w:r>
    </w:p>
    <w:p>
      <w:pPr>
        <w:pStyle w:val="81"/>
        <w:keepNext w:val="0"/>
        <w:widowControl/>
        <w:numPr>
          <w:ilvl w:val="3"/>
          <w:numId w:val="9"/>
        </w:numPr>
        <w:spacing w:before="120" w:after="120"/>
        <w:ind w:left="1418" w:hanging="284"/>
        <w:rPr>
          <w:rFonts w:ascii="Verdana" w:hAnsi="Verdana" w:cs="Arial"/>
          <w:color w:val="000000"/>
          <w:szCs w:val="20"/>
        </w:rPr>
      </w:pPr>
      <w:r>
        <w:rPr>
          <w:rFonts w:ascii="Verdana" w:hAnsi="Verdana" w:cs="Arial"/>
          <w:color w:val="000000"/>
          <w:szCs w:val="20"/>
        </w:rPr>
        <w:t>Para fins do disposto neste item, considera-se participação indireta a existência de qualquer vínculo de natureza técnica, comercial, econômica, financeira ou trabalhista entre o autor do projeto, pessoa física ou jurídica, e a licitante ou responsável pelos serviços, fornecimentos e obras, incluindo-se o fornecimento de bens e serviços a estes necessários.</w:t>
      </w:r>
    </w:p>
    <w:p>
      <w:pPr>
        <w:pStyle w:val="81"/>
        <w:keepNext w:val="0"/>
        <w:widowControl/>
        <w:numPr>
          <w:ilvl w:val="4"/>
          <w:numId w:val="9"/>
        </w:numPr>
        <w:spacing w:before="120" w:after="120"/>
        <w:ind w:left="1701" w:hanging="283"/>
        <w:rPr>
          <w:rFonts w:ascii="Verdana" w:hAnsi="Verdana" w:cs="Arial"/>
          <w:color w:val="000000"/>
          <w:szCs w:val="20"/>
        </w:rPr>
      </w:pPr>
      <w:r>
        <w:rPr>
          <w:rFonts w:ascii="Verdana" w:hAnsi="Verdana" w:cs="Arial"/>
          <w:color w:val="000000"/>
          <w:szCs w:val="20"/>
        </w:rPr>
        <w:t>O disposto neste subitem se aplica aos membros da comissão de licitação.</w:t>
      </w:r>
    </w:p>
    <w:p>
      <w:pPr>
        <w:pStyle w:val="81"/>
        <w:keepNext w:val="0"/>
        <w:widowControl/>
        <w:numPr>
          <w:ilvl w:val="2"/>
          <w:numId w:val="9"/>
        </w:numPr>
        <w:spacing w:before="120" w:after="120"/>
        <w:ind w:left="1134" w:hanging="283"/>
        <w:rPr>
          <w:rFonts w:ascii="Verdana" w:hAnsi="Verdana" w:cs="Arial"/>
          <w:szCs w:val="20"/>
        </w:rPr>
      </w:pPr>
      <w:r>
        <w:rPr>
          <w:rFonts w:ascii="Verdana" w:hAnsi="Verdana" w:cs="Arial"/>
          <w:szCs w:val="20"/>
        </w:rPr>
        <w:t xml:space="preserve">- que esteja sob falência, recuperação judicial ou extrajudicial, ou concurso de credores ou insolvência, em processo de dissolução ou liquidação observado o disposto no item 13.1.1 deste Edital; </w:t>
      </w:r>
    </w:p>
    <w:p>
      <w:pPr>
        <w:pStyle w:val="81"/>
        <w:keepNext w:val="0"/>
        <w:widowControl/>
        <w:numPr>
          <w:ilvl w:val="2"/>
          <w:numId w:val="9"/>
        </w:numPr>
        <w:spacing w:before="120" w:after="120"/>
        <w:ind w:left="1134" w:hanging="283"/>
        <w:rPr>
          <w:rFonts w:ascii="Verdana" w:hAnsi="Verdana" w:cs="Arial"/>
          <w:szCs w:val="20"/>
        </w:rPr>
      </w:pPr>
      <w:r>
        <w:rPr>
          <w:rFonts w:ascii="Verdana" w:hAnsi="Verdana" w:cs="Arial"/>
          <w:iCs/>
          <w:szCs w:val="20"/>
        </w:rPr>
        <w:t>– que sejam entidades empresariais reunidas em consórcio;</w:t>
      </w:r>
    </w:p>
    <w:p>
      <w:pPr>
        <w:pStyle w:val="81"/>
        <w:keepNext w:val="0"/>
        <w:widowControl/>
        <w:numPr>
          <w:ilvl w:val="2"/>
          <w:numId w:val="9"/>
        </w:numPr>
        <w:spacing w:before="120" w:after="120"/>
        <w:ind w:left="1134" w:hanging="283"/>
        <w:rPr>
          <w:rFonts w:ascii="Verdana" w:hAnsi="Verdana" w:cs="Arial"/>
          <w:szCs w:val="20"/>
        </w:rPr>
      </w:pPr>
      <w:r>
        <w:rPr>
          <w:rFonts w:ascii="Verdana" w:hAnsi="Verdana" w:cs="Arial"/>
          <w:szCs w:val="20"/>
        </w:rPr>
        <w:t>– que tenha participação concomitante de Sociedades integrantes de um mesmo grupo econômico, assim entendidas aquelas que tenham diretores, sócios ou representantes legais comuns, ou que utilizem recursos, produtos tecnológicos ou humanos em comum, exceto se demonstrado que não agem representando interesse econômico em comum;</w:t>
      </w:r>
      <w:bookmarkStart w:id="6" w:name="_Hlk505081010"/>
    </w:p>
    <w:p>
      <w:pPr>
        <w:pStyle w:val="81"/>
        <w:keepNext w:val="0"/>
        <w:widowControl/>
        <w:numPr>
          <w:ilvl w:val="1"/>
          <w:numId w:val="9"/>
        </w:numPr>
        <w:spacing w:before="120" w:after="120"/>
        <w:ind w:left="851" w:hanging="284"/>
        <w:rPr>
          <w:rFonts w:ascii="Verdana" w:hAnsi="Verdana" w:cs="Arial"/>
          <w:szCs w:val="20"/>
        </w:rPr>
      </w:pPr>
      <w:r>
        <w:rPr>
          <w:rFonts w:ascii="Verdana" w:hAnsi="Verdana" w:cs="Arial"/>
          <w:szCs w:val="20"/>
        </w:rPr>
        <w:t xml:space="preserve">É vedada a contratação de uma mesma empresa para dois ou mais serviços licitados, quando, por sua natureza, esses serviços exigirem a segregação de funções, tais como serviços de execução e de assistência à fiscalização. </w:t>
      </w:r>
    </w:p>
    <w:p>
      <w:pPr>
        <w:pStyle w:val="81"/>
        <w:keepNext w:val="0"/>
        <w:widowControl/>
        <w:numPr>
          <w:ilvl w:val="1"/>
          <w:numId w:val="9"/>
        </w:numPr>
        <w:spacing w:before="120" w:after="120"/>
        <w:ind w:left="851" w:hanging="284"/>
        <w:rPr>
          <w:rFonts w:ascii="Verdana" w:hAnsi="Verdana" w:cs="Arial"/>
          <w:szCs w:val="20"/>
        </w:rPr>
      </w:pPr>
      <w:r>
        <w:rPr>
          <w:rFonts w:ascii="Verdana" w:hAnsi="Verdana" w:cs="Arial"/>
          <w:szCs w:val="20"/>
        </w:rPr>
        <w:t>É vedada a contratação de pessoa jurídica na qual haja administrador ou sócio com poder de direção, familiar de:</w:t>
      </w:r>
    </w:p>
    <w:p>
      <w:pPr>
        <w:pStyle w:val="101"/>
        <w:numPr>
          <w:ilvl w:val="0"/>
          <w:numId w:val="11"/>
        </w:numPr>
        <w:shd w:val="clear" w:color="auto" w:fill="FFFFFF" w:themeFill="background1"/>
        <w:spacing w:before="119" w:beforeAutospacing="0" w:after="119" w:afterAutospacing="0" w:line="276" w:lineRule="auto"/>
        <w:ind w:left="1276" w:hanging="425"/>
        <w:jc w:val="both"/>
        <w:rPr>
          <w:rFonts w:ascii="Verdana" w:hAnsi="Verdana" w:cs="Arial"/>
          <w:color w:val="003366"/>
          <w:sz w:val="20"/>
          <w:szCs w:val="20"/>
        </w:rPr>
      </w:pPr>
      <w:r>
        <w:rPr>
          <w:rFonts w:ascii="Verdana" w:hAnsi="Verdana" w:cs="Arial"/>
          <w:color w:val="000000"/>
          <w:sz w:val="20"/>
          <w:szCs w:val="20"/>
          <w:shd w:val="clear" w:color="auto" w:fill="FFFFFF"/>
        </w:rPr>
        <w:t>detentor de cargo em comissão ou função de confiança que atue na área responsável pela demanda ou contratação; ou</w:t>
      </w:r>
    </w:p>
    <w:p>
      <w:pPr>
        <w:pStyle w:val="101"/>
        <w:numPr>
          <w:ilvl w:val="0"/>
          <w:numId w:val="11"/>
        </w:numPr>
        <w:shd w:val="clear" w:color="auto" w:fill="FFFFFF" w:themeFill="background1"/>
        <w:spacing w:before="119" w:beforeAutospacing="0" w:after="119" w:afterAutospacing="0" w:line="276" w:lineRule="auto"/>
        <w:ind w:left="1276" w:hanging="425"/>
        <w:jc w:val="both"/>
        <w:rPr>
          <w:rFonts w:ascii="Verdana" w:hAnsi="Verdana" w:cs="Arial"/>
          <w:color w:val="003366"/>
          <w:sz w:val="20"/>
          <w:szCs w:val="20"/>
        </w:rPr>
      </w:pPr>
      <w:r>
        <w:rPr>
          <w:rFonts w:ascii="Verdana" w:hAnsi="Verdana" w:cs="Arial"/>
          <w:color w:val="000000"/>
          <w:sz w:val="20"/>
          <w:szCs w:val="20"/>
          <w:shd w:val="clear" w:color="auto" w:fill="FFFFFF"/>
        </w:rPr>
        <w:t>de autoridade hierarquicamente superior no âmbito do órgão contratante.</w:t>
      </w:r>
    </w:p>
    <w:p>
      <w:pPr>
        <w:pStyle w:val="68"/>
        <w:keepNext w:val="0"/>
        <w:numPr>
          <w:ilvl w:val="0"/>
          <w:numId w:val="12"/>
        </w:numPr>
        <w:tabs>
          <w:tab w:val="clear" w:pos="-12"/>
          <w:tab w:val="clear" w:pos="708"/>
        </w:tabs>
        <w:suppressAutoHyphens w:val="0"/>
        <w:overflowPunct/>
        <w:spacing w:before="120" w:after="120" w:line="276" w:lineRule="auto"/>
        <w:jc w:val="both"/>
        <w:rPr>
          <w:rFonts w:ascii="Verdana" w:hAnsi="Verdana" w:eastAsia="WenQuanYi Micro Hei" w:cs="Arial"/>
          <w:vanish/>
          <w:color w:val="auto"/>
          <w:sz w:val="20"/>
          <w:szCs w:val="20"/>
          <w:lang w:eastAsia="zh-CN" w:bidi="hi-IN"/>
        </w:rPr>
      </w:pPr>
    </w:p>
    <w:p>
      <w:pPr>
        <w:pStyle w:val="81"/>
        <w:keepNext w:val="0"/>
        <w:widowControl/>
        <w:numPr>
          <w:ilvl w:val="2"/>
          <w:numId w:val="12"/>
        </w:numPr>
        <w:spacing w:before="120" w:after="120"/>
        <w:ind w:left="1571"/>
        <w:rPr>
          <w:rFonts w:ascii="Verdana" w:hAnsi="Verdana" w:cs="Arial"/>
          <w:color w:val="003366"/>
          <w:szCs w:val="20"/>
        </w:rPr>
      </w:pPr>
      <w:r>
        <w:rPr>
          <w:rFonts w:ascii="Verdana" w:hAnsi="Verdana" w:cs="Arial"/>
          <w:szCs w:val="20"/>
        </w:rPr>
        <w:t>Para</w:t>
      </w:r>
      <w:r>
        <w:rPr>
          <w:rFonts w:ascii="Verdana" w:hAnsi="Verdana" w:cs="Arial"/>
          <w:color w:val="000000"/>
          <w:szCs w:val="20"/>
          <w:shd w:val="clear" w:color="auto" w:fill="FFFFFF"/>
        </w:rPr>
        <w:t xml:space="preserve"> os fins do disposto neste item</w:t>
      </w:r>
      <w:r>
        <w:rPr>
          <w:rFonts w:ascii="Verdana" w:hAnsi="Verdana" w:cs="Arial"/>
          <w:i/>
          <w:iCs/>
          <w:color w:val="000000"/>
          <w:szCs w:val="20"/>
          <w:shd w:val="clear" w:color="auto" w:fill="FFFFFF"/>
        </w:rPr>
        <w:t>,</w:t>
      </w:r>
      <w:r>
        <w:rPr>
          <w:rFonts w:ascii="Verdana" w:hAnsi="Verdana" w:cs="Arial"/>
          <w:color w:val="000000"/>
          <w:szCs w:val="20"/>
          <w:shd w:val="clear" w:color="auto" w:fill="FFFFFF"/>
        </w:rPr>
        <w:t xml:space="preserve"> considera-se familiar o cônjuge, o companheiro ou o parente em linha reta ou colateral, por consanguinidade ou afinidade, até o terceiro grau (Súmula Vinculante/STF nº 13, art. 5º, inciso V, da Lei nº 12.813, de 16 de maio de 2013 e art. 2º, inciso III, do Decreto n.º 7.203, de 04 de junho de 2010); </w:t>
      </w:r>
    </w:p>
    <w:p>
      <w:pPr>
        <w:pStyle w:val="81"/>
        <w:keepNext w:val="0"/>
        <w:widowControl/>
        <w:numPr>
          <w:ilvl w:val="1"/>
          <w:numId w:val="12"/>
        </w:numPr>
        <w:spacing w:before="120" w:after="120"/>
        <w:ind w:left="851" w:hanging="284"/>
        <w:rPr>
          <w:rFonts w:ascii="Verdana" w:hAnsi="Verdana" w:cs="Arial"/>
          <w:szCs w:val="20"/>
        </w:rPr>
      </w:pPr>
      <w:r>
        <w:rPr>
          <w:rFonts w:ascii="Verdana" w:hAnsi="Verdana" w:cs="Arial"/>
          <w:szCs w:val="20"/>
        </w:rPr>
        <w:t>Nenhuma licitante poderá participar desta licitação com mais de uma proposta de preços.</w:t>
      </w:r>
    </w:p>
    <w:p>
      <w:pPr>
        <w:pStyle w:val="81"/>
        <w:keepNext w:val="0"/>
        <w:widowControl/>
        <w:numPr>
          <w:ilvl w:val="1"/>
          <w:numId w:val="12"/>
        </w:numPr>
        <w:spacing w:before="120" w:after="120"/>
        <w:ind w:left="851" w:hanging="284"/>
        <w:rPr>
          <w:rFonts w:ascii="Verdana" w:hAnsi="Verdana" w:cs="Arial"/>
          <w:szCs w:val="20"/>
        </w:rPr>
      </w:pPr>
      <w:r>
        <w:rPr>
          <w:rFonts w:ascii="Verdana" w:hAnsi="Verdana" w:cs="Arial"/>
          <w:color w:val="000000"/>
          <w:szCs w:val="20"/>
        </w:rPr>
        <w:t>Como condição para participação no RDC, a licitante assinalará “sim” ou “não” em campo próprio do sistema eletrônico, relativo às seguintes declarações:</w:t>
      </w:r>
    </w:p>
    <w:p>
      <w:pPr>
        <w:pStyle w:val="81"/>
        <w:keepNext w:val="0"/>
        <w:widowControl/>
        <w:numPr>
          <w:ilvl w:val="2"/>
          <w:numId w:val="12"/>
        </w:numPr>
        <w:spacing w:before="120" w:after="120"/>
        <w:ind w:left="1134" w:hanging="283"/>
        <w:rPr>
          <w:rFonts w:ascii="Verdana" w:hAnsi="Verdana" w:cs="Arial"/>
          <w:color w:val="000000"/>
          <w:szCs w:val="20"/>
        </w:rPr>
      </w:pPr>
      <w:r>
        <w:rPr>
          <w:rFonts w:ascii="Verdana" w:hAnsi="Verdana" w:cs="Arial"/>
          <w:color w:val="000000"/>
          <w:szCs w:val="20"/>
        </w:rPr>
        <w:t>que cumpre os requisitos estabelecidos no artigo 3° da Lei Complementar nº 123, de 2006, estando apto a usufruir do tratamento favorecido estabelecido em seus arts. 42 a 49.</w:t>
      </w:r>
    </w:p>
    <w:p>
      <w:pPr>
        <w:pStyle w:val="68"/>
        <w:keepNext w:val="0"/>
        <w:numPr>
          <w:ilvl w:val="0"/>
          <w:numId w:val="13"/>
        </w:numPr>
        <w:tabs>
          <w:tab w:val="clear" w:pos="-12"/>
          <w:tab w:val="clear" w:pos="708"/>
        </w:tabs>
        <w:suppressAutoHyphens w:val="0"/>
        <w:overflowPunct/>
        <w:spacing w:before="120" w:after="120" w:line="276" w:lineRule="auto"/>
        <w:jc w:val="both"/>
        <w:rPr>
          <w:rFonts w:ascii="Verdana" w:hAnsi="Verdana" w:eastAsia="WenQuanYi Micro Hei" w:cs="Arial"/>
          <w:vanish/>
          <w:color w:val="000000"/>
          <w:sz w:val="20"/>
          <w:szCs w:val="20"/>
          <w:lang w:eastAsia="zh-CN" w:bidi="hi-IN"/>
        </w:rPr>
      </w:pPr>
    </w:p>
    <w:p>
      <w:pPr>
        <w:pStyle w:val="81"/>
        <w:keepNext w:val="0"/>
        <w:widowControl/>
        <w:numPr>
          <w:ilvl w:val="3"/>
          <w:numId w:val="13"/>
        </w:numPr>
        <w:spacing w:before="120" w:after="120"/>
        <w:rPr>
          <w:rFonts w:ascii="Verdana" w:hAnsi="Verdana" w:cs="Arial"/>
          <w:color w:val="000000"/>
          <w:szCs w:val="20"/>
        </w:rPr>
      </w:pPr>
      <w:r>
        <w:rPr>
          <w:rFonts w:ascii="Verdana" w:hAnsi="Verdana" w:cs="Arial"/>
          <w:color w:val="000000"/>
          <w:szCs w:val="20"/>
        </w:rPr>
        <w:t>nos itens exclusivos para participação de microempresas e empresas de pequeno porte, a assinalação do campo “não”, não impedirá o prosseguimento no certame;</w:t>
      </w:r>
    </w:p>
    <w:p>
      <w:pPr>
        <w:pStyle w:val="81"/>
        <w:keepNext w:val="0"/>
        <w:widowControl/>
        <w:numPr>
          <w:ilvl w:val="3"/>
          <w:numId w:val="13"/>
        </w:numPr>
        <w:spacing w:before="120" w:after="120"/>
        <w:ind w:left="1276" w:hanging="142"/>
        <w:rPr>
          <w:rFonts w:ascii="Verdana" w:hAnsi="Verdana" w:cs="Arial"/>
          <w:color w:val="000000"/>
          <w:szCs w:val="20"/>
        </w:rPr>
      </w:pPr>
      <w:r>
        <w:rPr>
          <w:rFonts w:ascii="Verdana" w:hAnsi="Verdana" w:cs="Arial"/>
          <w:color w:val="000000"/>
          <w:szCs w:val="20"/>
        </w:rPr>
        <w:t>a assinalação do campo “não” apenas produzirá o efeito de a licitante não ter direito ao tratamento favorecido previsto na Lei Complementar nº 123, de 2006, mesmo que microempresa, empresa de pequeno porte ou sociedade cooperativa;</w:t>
      </w:r>
    </w:p>
    <w:p>
      <w:pPr>
        <w:pStyle w:val="81"/>
        <w:keepNext w:val="0"/>
        <w:widowControl/>
        <w:numPr>
          <w:ilvl w:val="2"/>
          <w:numId w:val="13"/>
        </w:numPr>
        <w:spacing w:before="120" w:after="120"/>
        <w:ind w:left="1134" w:hanging="283"/>
        <w:rPr>
          <w:rFonts w:ascii="Verdana" w:hAnsi="Verdana" w:cs="Arial"/>
          <w:szCs w:val="20"/>
        </w:rPr>
      </w:pPr>
      <w:r>
        <w:rPr>
          <w:rFonts w:ascii="Verdana" w:hAnsi="Verdana" w:cs="Arial"/>
          <w:color w:val="000000"/>
          <w:szCs w:val="20"/>
        </w:rPr>
        <w:t>que está ciente e concorda com as condições contidas no Edital e seus anexos;</w:t>
      </w:r>
    </w:p>
    <w:p>
      <w:pPr>
        <w:pStyle w:val="81"/>
        <w:keepNext w:val="0"/>
        <w:widowControl/>
        <w:numPr>
          <w:ilvl w:val="2"/>
          <w:numId w:val="13"/>
        </w:numPr>
        <w:spacing w:before="120" w:after="120"/>
        <w:ind w:left="1134" w:hanging="283"/>
        <w:rPr>
          <w:rFonts w:ascii="Verdana" w:hAnsi="Verdana" w:cs="Arial"/>
          <w:szCs w:val="20"/>
        </w:rPr>
      </w:pPr>
      <w:r>
        <w:rPr>
          <w:rFonts w:ascii="Verdana" w:hAnsi="Verdana" w:cs="Arial"/>
          <w:color w:val="000000"/>
          <w:szCs w:val="20"/>
        </w:rPr>
        <w:t>que cumpre os requisitos de habilitação definidos no Edital e que a proposta apresentada está em conformidade com as exigências editalícias;</w:t>
      </w:r>
    </w:p>
    <w:p>
      <w:pPr>
        <w:pStyle w:val="81"/>
        <w:keepNext w:val="0"/>
        <w:widowControl/>
        <w:numPr>
          <w:ilvl w:val="2"/>
          <w:numId w:val="13"/>
        </w:numPr>
        <w:spacing w:before="120" w:after="120"/>
        <w:ind w:left="1134" w:hanging="283"/>
        <w:rPr>
          <w:rFonts w:ascii="Verdana" w:hAnsi="Verdana" w:cs="Arial"/>
          <w:szCs w:val="20"/>
        </w:rPr>
      </w:pPr>
      <w:r>
        <w:rPr>
          <w:rFonts w:ascii="Verdana" w:hAnsi="Verdana" w:cs="Arial"/>
          <w:color w:val="000000"/>
          <w:szCs w:val="20"/>
        </w:rPr>
        <w:t>que inexistem fatos impeditivos para sua habilitação no certame, ciente da obrigatoriedade de declarar ocorrências posteriores;</w:t>
      </w:r>
    </w:p>
    <w:p>
      <w:pPr>
        <w:pStyle w:val="81"/>
        <w:keepNext w:val="0"/>
        <w:widowControl/>
        <w:numPr>
          <w:ilvl w:val="2"/>
          <w:numId w:val="13"/>
        </w:numPr>
        <w:spacing w:before="120" w:after="120"/>
        <w:ind w:left="1134" w:hanging="283"/>
        <w:rPr>
          <w:rFonts w:ascii="Verdana" w:hAnsi="Verdana" w:cs="Arial"/>
          <w:szCs w:val="20"/>
        </w:rPr>
      </w:pPr>
      <w:r>
        <w:rPr>
          <w:rFonts w:ascii="Verdana" w:hAnsi="Verdana" w:cs="Arial"/>
          <w:color w:val="000000"/>
          <w:szCs w:val="20"/>
        </w:rPr>
        <w:t>que não emprega menor de 18 anos em trabalho noturno, perigoso ou insalubre e não emprega menor de 16 anos, salvo menor, a partir de 14 anos, na condição de aprendiz, nos termos do artigo 7°, XXXIII, da Constituição.</w:t>
      </w:r>
    </w:p>
    <w:p>
      <w:pPr>
        <w:pStyle w:val="81"/>
        <w:keepNext w:val="0"/>
        <w:widowControl/>
        <w:numPr>
          <w:ilvl w:val="2"/>
          <w:numId w:val="13"/>
        </w:numPr>
        <w:spacing w:before="120" w:after="120"/>
        <w:ind w:left="1134" w:hanging="283"/>
        <w:rPr>
          <w:rFonts w:ascii="Verdana" w:hAnsi="Verdana" w:cs="Arial"/>
          <w:szCs w:val="20"/>
        </w:rPr>
      </w:pPr>
      <w:r>
        <w:rPr>
          <w:rFonts w:ascii="Verdana" w:hAnsi="Verdana" w:eastAsia="Zurich BT" w:cs="Arial"/>
          <w:color w:val="000000"/>
          <w:szCs w:val="20"/>
        </w:rPr>
        <w:t>que a proposta foi elaborada de forma independente, nos termos d</w:t>
      </w:r>
      <w:r>
        <w:rPr>
          <w:rFonts w:ascii="Verdana" w:hAnsi="Verdana" w:cs="Arial"/>
          <w:color w:val="000000"/>
          <w:szCs w:val="20"/>
        </w:rPr>
        <w:t>a Instrução Normativa SLTI/MPOG nº 2, de 16 de setembro de 2009;</w:t>
      </w:r>
    </w:p>
    <w:p>
      <w:pPr>
        <w:pStyle w:val="81"/>
        <w:keepNext w:val="0"/>
        <w:widowControl/>
        <w:numPr>
          <w:ilvl w:val="2"/>
          <w:numId w:val="13"/>
        </w:numPr>
        <w:spacing w:before="120" w:after="120"/>
        <w:ind w:left="1134" w:hanging="283"/>
        <w:rPr>
          <w:rFonts w:ascii="Verdana" w:hAnsi="Verdana" w:cs="Arial"/>
          <w:szCs w:val="20"/>
        </w:rPr>
      </w:pPr>
      <w:r>
        <w:rPr>
          <w:rFonts w:ascii="Verdana" w:hAnsi="Verdana" w:cs="Arial"/>
          <w:szCs w:val="20"/>
        </w:rPr>
        <w:t>que não possui, em sua cadeia produtiva, empregados executando trabalho degradante ou forçado, observando o disposto nos incisos III e IV do art.1º e no inciso III do art. 5º da Constituição Federal.</w:t>
      </w:r>
      <w:bookmarkEnd w:id="6"/>
      <w:r>
        <w:rPr>
          <w:rFonts w:ascii="Verdana" w:hAnsi="Verdana" w:cs="Arial"/>
          <w:szCs w:val="20"/>
        </w:rPr>
        <w:t xml:space="preserve"> </w:t>
      </w:r>
    </w:p>
    <w:p>
      <w:pPr>
        <w:pStyle w:val="81"/>
        <w:keepNext w:val="0"/>
        <w:widowControl/>
        <w:numPr>
          <w:ilvl w:val="2"/>
          <w:numId w:val="13"/>
        </w:numPr>
        <w:spacing w:before="120" w:after="120"/>
        <w:ind w:left="1134" w:hanging="283"/>
        <w:rPr>
          <w:rFonts w:ascii="Verdana" w:hAnsi="Verdana" w:cs="Arial"/>
          <w:bCs/>
          <w:color w:val="FF0000"/>
          <w:szCs w:val="20"/>
        </w:rPr>
      </w:pPr>
      <w:r>
        <w:rPr>
          <w:rFonts w:ascii="Verdana" w:hAnsi="Verdana" w:cs="Arial"/>
          <w:bCs/>
          <w:color w:val="000000"/>
          <w:szCs w:val="20"/>
        </w:rPr>
        <w:t xml:space="preserve">que os </w:t>
      </w:r>
      <w:r>
        <w:rPr>
          <w:rFonts w:ascii="Verdana" w:hAnsi="Verdana" w:cs="Arial"/>
          <w:szCs w:val="20"/>
        </w:rPr>
        <w:t>serviços</w:t>
      </w:r>
      <w:r>
        <w:rPr>
          <w:rFonts w:ascii="Verdana" w:hAnsi="Verdana" w:cs="Arial"/>
          <w:bCs/>
          <w:color w:val="000000"/>
          <w:szCs w:val="20"/>
        </w:rPr>
        <w:t xml:space="preserve"> são prestados por empresas que comprovem cumprimento de     reserva de cargos prevista em lei para pessoa com deficiência ou para reabilitado da Previdência Social e que atendam às regras de acessibilidade previstas na legislação, conforme disposto no art. 93 da Lei nº 8.213, de 24 de julho de </w:t>
      </w:r>
      <w:r>
        <w:rPr>
          <w:rFonts w:ascii="Verdana" w:hAnsi="Verdana" w:cs="Arial"/>
          <w:bCs/>
          <w:szCs w:val="20"/>
        </w:rPr>
        <w:t>1991.</w:t>
      </w:r>
    </w:p>
    <w:p>
      <w:pPr>
        <w:pStyle w:val="81"/>
        <w:keepNext w:val="0"/>
        <w:widowControl/>
        <w:numPr>
          <w:ilvl w:val="1"/>
          <w:numId w:val="13"/>
        </w:numPr>
        <w:spacing w:before="120" w:after="120"/>
        <w:ind w:left="851" w:hanging="284"/>
        <w:rPr>
          <w:rFonts w:ascii="Verdana" w:hAnsi="Verdana" w:cs="Arial"/>
          <w:color w:val="000000"/>
          <w:szCs w:val="20"/>
        </w:rPr>
      </w:pPr>
      <w:bookmarkStart w:id="7" w:name="_Hlk95641759"/>
      <w:r>
        <w:rPr>
          <w:rFonts w:ascii="Verdana" w:hAnsi="Verdana" w:cs="Arial"/>
          <w:color w:val="000000"/>
          <w:szCs w:val="20"/>
        </w:rPr>
        <w:t>A licitante deve apresentar declaração de ciência da exigência de que o contratado deve conceder livre acesso aos seus documentos e registros contábeis, referentes ao objeto da licitação, para os servidores ou empregados do órgão ou entidade contratante e dos órgãos de controle interno e externo, nos termos do art. 8º, § 2º, III, do Decreto nº 7.581, de 2011.</w:t>
      </w:r>
      <w:bookmarkEnd w:id="7"/>
    </w:p>
    <w:p>
      <w:pPr>
        <w:pStyle w:val="81"/>
        <w:keepNext w:val="0"/>
        <w:widowControl/>
        <w:numPr>
          <w:ilvl w:val="1"/>
          <w:numId w:val="13"/>
        </w:numPr>
        <w:spacing w:before="120" w:after="120"/>
        <w:ind w:left="851" w:hanging="284"/>
        <w:rPr>
          <w:rFonts w:ascii="Verdana" w:hAnsi="Verdana" w:cs="Arial"/>
          <w:color w:val="000000"/>
          <w:szCs w:val="20"/>
        </w:rPr>
      </w:pPr>
      <w:r>
        <w:rPr>
          <w:rFonts w:ascii="Verdana" w:hAnsi="Verdana" w:cs="Arial"/>
          <w:color w:val="000000"/>
          <w:szCs w:val="20"/>
        </w:rPr>
        <w:t>A declaração falsa relativa ao cumprimento de qualquer condição sujeitará a licitante às sanções previstas em lei e neste Edital.</w:t>
      </w:r>
    </w:p>
    <w:p>
      <w:pPr>
        <w:keepNext w:val="0"/>
        <w:shd w:val="clear" w:color="auto" w:fill="auto"/>
        <w:tabs>
          <w:tab w:val="clear" w:pos="708"/>
        </w:tabs>
        <w:overflowPunct/>
        <w:autoSpaceDE w:val="0"/>
        <w:autoSpaceDN w:val="0"/>
        <w:adjustRightInd w:val="0"/>
        <w:spacing w:before="120" w:after="120"/>
        <w:ind w:left="284"/>
        <w:jc w:val="both"/>
        <w:textAlignment w:val="auto"/>
        <w:rPr>
          <w:rFonts w:ascii="Verdana" w:hAnsi="Verdana"/>
          <w:b/>
          <w:sz w:val="20"/>
          <w:szCs w:val="20"/>
        </w:rPr>
      </w:pPr>
    </w:p>
    <w:p>
      <w:pPr>
        <w:keepNext w:val="0"/>
        <w:numPr>
          <w:ilvl w:val="0"/>
          <w:numId w:val="7"/>
        </w:numPr>
        <w:shd w:val="clear" w:color="auto" w:fill="auto"/>
        <w:tabs>
          <w:tab w:val="clear" w:pos="708"/>
        </w:tabs>
        <w:overflowPunct/>
        <w:autoSpaceDE w:val="0"/>
        <w:autoSpaceDN w:val="0"/>
        <w:adjustRightInd w:val="0"/>
        <w:spacing w:before="120" w:after="120"/>
        <w:ind w:left="284" w:hanging="284"/>
        <w:jc w:val="both"/>
        <w:textAlignment w:val="auto"/>
        <w:rPr>
          <w:rFonts w:ascii="Verdana" w:hAnsi="Verdana"/>
          <w:b/>
          <w:sz w:val="20"/>
          <w:szCs w:val="20"/>
        </w:rPr>
      </w:pPr>
      <w:bookmarkStart w:id="8" w:name="_Hlk97024897"/>
      <w:r>
        <w:rPr>
          <w:rFonts w:ascii="Verdana" w:hAnsi="Verdana"/>
          <w:b/>
          <w:sz w:val="20"/>
          <w:szCs w:val="20"/>
        </w:rPr>
        <w:t>DA VISTORIA</w:t>
      </w:r>
    </w:p>
    <w:p>
      <w:pPr>
        <w:keepNext w:val="0"/>
        <w:numPr>
          <w:ilvl w:val="1"/>
          <w:numId w:val="7"/>
        </w:numPr>
        <w:shd w:val="clear" w:color="auto" w:fill="auto"/>
        <w:tabs>
          <w:tab w:val="left" w:pos="851"/>
          <w:tab w:val="clear" w:pos="1211"/>
        </w:tabs>
        <w:suppressAutoHyphens w:val="0"/>
        <w:overflowPunct/>
        <w:autoSpaceDE w:val="0"/>
        <w:autoSpaceDN w:val="0"/>
        <w:adjustRightInd w:val="0"/>
        <w:spacing w:before="120" w:after="120"/>
        <w:ind w:left="851" w:hanging="284"/>
        <w:jc w:val="both"/>
        <w:textAlignment w:val="auto"/>
        <w:rPr>
          <w:rFonts w:ascii="Verdana" w:hAnsi="Verdana" w:cs="TTE4E87780t00"/>
          <w:sz w:val="20"/>
          <w:szCs w:val="20"/>
        </w:rPr>
      </w:pPr>
      <w:r>
        <w:rPr>
          <w:rFonts w:ascii="Verdana" w:hAnsi="Verdana" w:cs="TTE4E87780t00"/>
          <w:sz w:val="20"/>
          <w:szCs w:val="20"/>
        </w:rPr>
        <w:t>A licitante</w:t>
      </w:r>
      <w:r>
        <w:rPr>
          <w:rFonts w:ascii="Verdana" w:hAnsi="Verdana" w:cs="TTE431A0A0t00"/>
          <w:sz w:val="20"/>
          <w:szCs w:val="20"/>
        </w:rPr>
        <w:t xml:space="preserve"> </w:t>
      </w:r>
      <w:r>
        <w:rPr>
          <w:rFonts w:ascii="Verdana" w:hAnsi="Verdana" w:cs="TTE4E87780t00"/>
          <w:sz w:val="20"/>
          <w:szCs w:val="20"/>
        </w:rPr>
        <w:t xml:space="preserve">poderá vistoriar o local onde serão executados os serviços, com o objetivo de se inteirar das condições e do grau de dificuldade existente, inclusive para </w:t>
      </w:r>
      <w:r>
        <w:rPr>
          <w:rFonts w:ascii="Verdana" w:hAnsi="Verdana"/>
          <w:sz w:val="20"/>
          <w:szCs w:val="20"/>
        </w:rPr>
        <w:t>ter conhecimento de todas as peculiaridades (acessos, redes de água, esgoto, energia elétrica etc.), e demais informações das condições locais para o cumprimento das obrigações objeto da Licitação;</w:t>
      </w:r>
    </w:p>
    <w:p>
      <w:pPr>
        <w:keepNext w:val="0"/>
        <w:numPr>
          <w:ilvl w:val="1"/>
          <w:numId w:val="7"/>
        </w:numPr>
        <w:shd w:val="clear" w:color="auto" w:fill="auto"/>
        <w:tabs>
          <w:tab w:val="left" w:pos="851"/>
          <w:tab w:val="clear" w:pos="1211"/>
        </w:tabs>
        <w:suppressAutoHyphens w:val="0"/>
        <w:overflowPunct/>
        <w:autoSpaceDE w:val="0"/>
        <w:autoSpaceDN w:val="0"/>
        <w:adjustRightInd w:val="0"/>
        <w:spacing w:before="120" w:after="120"/>
        <w:ind w:left="851" w:hanging="284"/>
        <w:jc w:val="both"/>
        <w:textAlignment w:val="auto"/>
        <w:rPr>
          <w:rFonts w:ascii="Verdana" w:hAnsi="Verdana" w:cs="TTE4E87780t00"/>
          <w:color w:val="auto"/>
          <w:sz w:val="20"/>
          <w:szCs w:val="20"/>
        </w:rPr>
      </w:pPr>
      <w:r>
        <w:rPr>
          <w:rFonts w:ascii="Verdana" w:hAnsi="Verdana" w:cs="TTE4E87780t00"/>
          <w:sz w:val="20"/>
          <w:szCs w:val="20"/>
        </w:rPr>
        <w:t xml:space="preserve">As condições para a realização da vistoria estão explicitadas no item </w:t>
      </w:r>
      <w:r>
        <w:rPr>
          <w:rFonts w:ascii="Verdana" w:hAnsi="Verdana" w:cs="TTE4E87780t00"/>
          <w:color w:val="auto"/>
          <w:sz w:val="20"/>
          <w:szCs w:val="20"/>
        </w:rPr>
        <w:t>“6 – VISTORIA PARA A LICITAÇÃO” do Termo de Referência anexo a este edital;</w:t>
      </w:r>
    </w:p>
    <w:p>
      <w:pPr>
        <w:keepNext w:val="0"/>
        <w:numPr>
          <w:ilvl w:val="1"/>
          <w:numId w:val="7"/>
        </w:numPr>
        <w:shd w:val="clear" w:color="auto" w:fill="auto"/>
        <w:tabs>
          <w:tab w:val="left" w:pos="851"/>
          <w:tab w:val="clear" w:pos="1211"/>
        </w:tabs>
        <w:suppressAutoHyphens w:val="0"/>
        <w:overflowPunct/>
        <w:autoSpaceDE w:val="0"/>
        <w:autoSpaceDN w:val="0"/>
        <w:adjustRightInd w:val="0"/>
        <w:spacing w:before="120" w:after="120"/>
        <w:ind w:left="851" w:hanging="284"/>
        <w:jc w:val="both"/>
        <w:textAlignment w:val="auto"/>
        <w:rPr>
          <w:rFonts w:ascii="Verdana" w:hAnsi="Verdana" w:cs="TTE4E87780t00"/>
          <w:sz w:val="20"/>
          <w:szCs w:val="20"/>
        </w:rPr>
      </w:pPr>
      <w:r>
        <w:rPr>
          <w:rFonts w:ascii="Verdana" w:hAnsi="Verdana" w:cs="Times-Bold"/>
          <w:bCs/>
          <w:sz w:val="20"/>
          <w:szCs w:val="20"/>
        </w:rPr>
        <w:t>A licitante deverá fornecer declaração de visita ao local da obra objeto deste RDC</w:t>
      </w:r>
      <w:r>
        <w:rPr>
          <w:rFonts w:ascii="Verdana" w:hAnsi="Verdana" w:cs="Times-Roman"/>
          <w:sz w:val="20"/>
          <w:szCs w:val="20"/>
        </w:rPr>
        <w:t>, realizada por</w:t>
      </w:r>
      <w:r>
        <w:rPr>
          <w:rFonts w:ascii="Verdana" w:hAnsi="Verdana" w:cs="TTE4E87780t00"/>
          <w:sz w:val="20"/>
          <w:szCs w:val="20"/>
        </w:rPr>
        <w:t xml:space="preserve"> </w:t>
      </w:r>
      <w:r>
        <w:rPr>
          <w:rFonts w:ascii="Verdana" w:hAnsi="Verdana" w:cs="Times-Roman"/>
          <w:sz w:val="20"/>
          <w:szCs w:val="20"/>
        </w:rPr>
        <w:t>intermédio de representante legal devidamente qualificado para esse fim, e de que se inteirou das condições e do grau de dificuldades existentes.</w:t>
      </w:r>
    </w:p>
    <w:p>
      <w:pPr>
        <w:keepNext w:val="0"/>
        <w:numPr>
          <w:ilvl w:val="2"/>
          <w:numId w:val="7"/>
        </w:numPr>
        <w:shd w:val="clear" w:color="auto" w:fill="auto"/>
        <w:tabs>
          <w:tab w:val="clear" w:pos="708"/>
        </w:tabs>
        <w:suppressAutoHyphens w:val="0"/>
        <w:overflowPunct/>
        <w:autoSpaceDE w:val="0"/>
        <w:autoSpaceDN w:val="0"/>
        <w:adjustRightInd w:val="0"/>
        <w:spacing w:before="120" w:after="120"/>
        <w:ind w:left="1134" w:hanging="283"/>
        <w:jc w:val="both"/>
        <w:textAlignment w:val="auto"/>
        <w:rPr>
          <w:rFonts w:ascii="Verdana" w:hAnsi="Verdana" w:cs="TTE4E87780t00"/>
          <w:sz w:val="20"/>
          <w:szCs w:val="20"/>
        </w:rPr>
      </w:pPr>
      <w:r>
        <w:rPr>
          <w:rFonts w:ascii="Verdana" w:hAnsi="Verdana" w:cs="Times-Roman"/>
          <w:sz w:val="20"/>
          <w:szCs w:val="20"/>
        </w:rPr>
        <w:t>A declaração de visita, conforme modelo anexo, deverão</w:t>
      </w:r>
      <w:r>
        <w:rPr>
          <w:rFonts w:ascii="Verdana" w:hAnsi="Verdana" w:cs="TTE4E87780t00"/>
          <w:sz w:val="20"/>
          <w:szCs w:val="20"/>
        </w:rPr>
        <w:t xml:space="preserve"> </w:t>
      </w:r>
      <w:r>
        <w:rPr>
          <w:rFonts w:ascii="Verdana" w:hAnsi="Verdana" w:cs="Times-Roman"/>
          <w:sz w:val="20"/>
          <w:szCs w:val="20"/>
        </w:rPr>
        <w:t>ser informados também, o objeto da licitação e o número deste RDC.</w:t>
      </w:r>
    </w:p>
    <w:p>
      <w:pPr>
        <w:keepNext w:val="0"/>
        <w:numPr>
          <w:ilvl w:val="1"/>
          <w:numId w:val="7"/>
        </w:numPr>
        <w:shd w:val="clear" w:color="auto" w:fill="auto"/>
        <w:tabs>
          <w:tab w:val="clear" w:pos="708"/>
        </w:tabs>
        <w:suppressAutoHyphens w:val="0"/>
        <w:overflowPunct/>
        <w:autoSpaceDE w:val="0"/>
        <w:autoSpaceDN w:val="0"/>
        <w:adjustRightInd w:val="0"/>
        <w:spacing w:before="120" w:after="120"/>
        <w:ind w:left="851" w:hanging="284"/>
        <w:jc w:val="both"/>
        <w:textAlignment w:val="auto"/>
        <w:rPr>
          <w:rFonts w:ascii="Verdana" w:hAnsi="Verdana" w:cs="TTE4E87780t00"/>
          <w:sz w:val="20"/>
          <w:szCs w:val="20"/>
        </w:rPr>
      </w:pPr>
      <w:r>
        <w:rPr>
          <w:rFonts w:ascii="Verdana" w:hAnsi="Verdana" w:cs="Times-Bold"/>
          <w:bCs/>
          <w:sz w:val="20"/>
          <w:szCs w:val="20"/>
        </w:rPr>
        <w:t>Caso a licitante opte por não realizar a vistoria,</w:t>
      </w:r>
      <w:r>
        <w:rPr>
          <w:rFonts w:ascii="Verdana" w:hAnsi="Verdana" w:cs="TTE4E87780t00"/>
          <w:sz w:val="20"/>
          <w:szCs w:val="20"/>
        </w:rPr>
        <w:t xml:space="preserve"> </w:t>
      </w:r>
      <w:r>
        <w:rPr>
          <w:rFonts w:ascii="Verdana" w:hAnsi="Verdana" w:cs="Times-Bold"/>
          <w:bCs/>
          <w:sz w:val="20"/>
          <w:szCs w:val="20"/>
        </w:rPr>
        <w:t>deverá apresentar declaração de que não efetuou a visita</w:t>
      </w:r>
      <w:r>
        <w:rPr>
          <w:rFonts w:ascii="Verdana" w:hAnsi="Verdana" w:cs="Times-Roman"/>
          <w:sz w:val="20"/>
          <w:szCs w:val="20"/>
        </w:rPr>
        <w:t>, sob pena de inabilitação, e que</w:t>
      </w:r>
      <w:r>
        <w:rPr>
          <w:rFonts w:ascii="Verdana" w:hAnsi="Verdana" w:cs="TTE4E87780t00"/>
          <w:sz w:val="20"/>
          <w:szCs w:val="20"/>
        </w:rPr>
        <w:t xml:space="preserve"> </w:t>
      </w:r>
      <w:r>
        <w:rPr>
          <w:rFonts w:ascii="Verdana" w:hAnsi="Verdana" w:cs="Times-Roman"/>
          <w:sz w:val="20"/>
          <w:szCs w:val="20"/>
        </w:rPr>
        <w:t>concorda com todas as condições estabelecidas no Edital e seus Anexos, devendo também</w:t>
      </w:r>
      <w:r>
        <w:rPr>
          <w:rFonts w:ascii="Verdana" w:hAnsi="Verdana" w:cs="TTE4E87780t00"/>
          <w:sz w:val="20"/>
          <w:szCs w:val="20"/>
        </w:rPr>
        <w:t xml:space="preserve"> </w:t>
      </w:r>
      <w:r>
        <w:rPr>
          <w:rFonts w:ascii="Verdana" w:hAnsi="Verdana" w:cs="Times-Roman"/>
          <w:sz w:val="20"/>
          <w:szCs w:val="20"/>
        </w:rPr>
        <w:t>informar o objeto da presente licitação e o número deste RDC, nos termos do modelo a</w:t>
      </w:r>
      <w:r>
        <w:rPr>
          <w:rFonts w:ascii="Verdana" w:hAnsi="Verdana" w:cs="Times-Bold"/>
          <w:bCs/>
          <w:sz w:val="20"/>
          <w:szCs w:val="20"/>
        </w:rPr>
        <w:t>nexo</w:t>
      </w:r>
      <w:r>
        <w:rPr>
          <w:rFonts w:ascii="Verdana" w:hAnsi="Verdana" w:cs="Times-Roman"/>
          <w:sz w:val="20"/>
          <w:szCs w:val="20"/>
        </w:rPr>
        <w:t>.</w:t>
      </w:r>
    </w:p>
    <w:p>
      <w:pPr>
        <w:keepNext w:val="0"/>
        <w:numPr>
          <w:ilvl w:val="1"/>
          <w:numId w:val="7"/>
        </w:numPr>
        <w:shd w:val="clear" w:color="auto" w:fill="auto"/>
        <w:tabs>
          <w:tab w:val="clear" w:pos="708"/>
        </w:tabs>
        <w:suppressAutoHyphens w:val="0"/>
        <w:overflowPunct/>
        <w:autoSpaceDE w:val="0"/>
        <w:autoSpaceDN w:val="0"/>
        <w:adjustRightInd w:val="0"/>
        <w:spacing w:before="120" w:after="120"/>
        <w:ind w:left="851" w:hanging="284"/>
        <w:jc w:val="both"/>
        <w:textAlignment w:val="auto"/>
        <w:rPr>
          <w:rFonts w:ascii="Verdana" w:hAnsi="Verdana" w:cs="TTE4E87780t00"/>
          <w:sz w:val="20"/>
          <w:szCs w:val="20"/>
        </w:rPr>
      </w:pPr>
      <w:r>
        <w:rPr>
          <w:rFonts w:ascii="Verdana" w:hAnsi="Verdana" w:cs="Times-Roman"/>
          <w:sz w:val="20"/>
          <w:szCs w:val="20"/>
        </w:rPr>
        <w:t>A declaração de que realizou a vistoria ou de que não a realizou, deverá ser fornecida junto com sua carta proposta comercial, após a fase de lances.</w:t>
      </w:r>
    </w:p>
    <w:p>
      <w:pPr>
        <w:pStyle w:val="15"/>
        <w:widowControl/>
        <w:numPr>
          <w:ilvl w:val="1"/>
          <w:numId w:val="7"/>
        </w:numPr>
        <w:tabs>
          <w:tab w:val="left" w:pos="851"/>
          <w:tab w:val="clear" w:pos="1211"/>
        </w:tabs>
        <w:suppressAutoHyphens w:val="0"/>
        <w:spacing w:before="120"/>
        <w:ind w:left="851" w:hanging="284"/>
        <w:jc w:val="both"/>
        <w:rPr>
          <w:rFonts w:ascii="Verdana" w:hAnsi="Verdana"/>
          <w:b/>
          <w:sz w:val="20"/>
        </w:rPr>
      </w:pPr>
      <w:r>
        <w:rPr>
          <w:rFonts w:ascii="Verdana" w:hAnsi="Verdana" w:cs="TTE4E87780t00"/>
          <w:sz w:val="20"/>
        </w:rPr>
        <w:t xml:space="preserve">Tendo em vista a faculdade da realização da vistoria, a </w:t>
      </w:r>
      <w:r>
        <w:rPr>
          <w:rFonts w:ascii="Verdana" w:hAnsi="Verdana" w:cs="TTE431A0A0t00"/>
          <w:sz w:val="20"/>
        </w:rPr>
        <w:t xml:space="preserve">licitante </w:t>
      </w:r>
      <w:r>
        <w:rPr>
          <w:rFonts w:ascii="Verdana" w:hAnsi="Verdana" w:cs="TTE4E87780t00"/>
          <w:sz w:val="20"/>
        </w:rPr>
        <w:t>não poderá alegar o desconhecimento das condições e do grau de dificuldades existentes no local dos serviços, como justificativa para se eximirem das obrigações assumidas em decorrência desta licitação.</w:t>
      </w:r>
    </w:p>
    <w:p>
      <w:pPr>
        <w:pStyle w:val="15"/>
        <w:widowControl/>
        <w:numPr>
          <w:ilvl w:val="1"/>
          <w:numId w:val="7"/>
        </w:numPr>
        <w:tabs>
          <w:tab w:val="left" w:pos="851"/>
          <w:tab w:val="clear" w:pos="1211"/>
        </w:tabs>
        <w:suppressAutoHyphens w:val="0"/>
        <w:spacing w:before="120"/>
        <w:ind w:left="851" w:hanging="284"/>
        <w:jc w:val="both"/>
        <w:rPr>
          <w:rFonts w:ascii="Verdana" w:hAnsi="Verdana"/>
          <w:b/>
          <w:sz w:val="20"/>
        </w:rPr>
      </w:pPr>
      <w:r>
        <w:rPr>
          <w:rFonts w:ascii="Verdana" w:hAnsi="Verdana"/>
          <w:sz w:val="20"/>
        </w:rPr>
        <w:t>Antes de apresentar sua proposta, a licitante deverá analisar o estudo preliminar anexo e todos os documentos do Edital, executando todos os levantamentos necessários ao desenvolvimento de seus trabalhos, de modo a não incorrer em omissões ou erros, os quais não poderão ser alegados em favor de eventuais pretensões de acréscimo de preços.</w:t>
      </w:r>
    </w:p>
    <w:bookmarkEnd w:id="8"/>
    <w:p>
      <w:pPr>
        <w:pStyle w:val="81"/>
        <w:keepNext w:val="0"/>
        <w:widowControl/>
        <w:spacing w:before="120" w:after="120"/>
        <w:ind w:left="375" w:firstLine="0"/>
        <w:rPr>
          <w:rFonts w:ascii="Verdana" w:hAnsi="Verdana" w:cs="Arial"/>
          <w:b/>
          <w:bCs/>
          <w:szCs w:val="20"/>
        </w:rPr>
      </w:pPr>
    </w:p>
    <w:p>
      <w:pPr>
        <w:pStyle w:val="68"/>
        <w:keepNext w:val="0"/>
        <w:numPr>
          <w:ilvl w:val="0"/>
          <w:numId w:val="9"/>
        </w:numPr>
        <w:tabs>
          <w:tab w:val="clear" w:pos="-12"/>
          <w:tab w:val="clear" w:pos="708"/>
        </w:tabs>
        <w:suppressAutoHyphens w:val="0"/>
        <w:overflowPunct/>
        <w:spacing w:before="120" w:after="120" w:line="276" w:lineRule="auto"/>
        <w:jc w:val="both"/>
        <w:rPr>
          <w:rFonts w:ascii="Verdana" w:hAnsi="Verdana" w:eastAsia="WenQuanYi Micro Hei" w:cs="Arial"/>
          <w:b/>
          <w:vanish/>
          <w:color w:val="000000"/>
          <w:sz w:val="20"/>
          <w:szCs w:val="20"/>
          <w:lang w:eastAsia="zh-CN" w:bidi="hi-IN"/>
        </w:rPr>
      </w:pPr>
    </w:p>
    <w:p>
      <w:pPr>
        <w:pStyle w:val="81"/>
        <w:keepNext w:val="0"/>
        <w:widowControl/>
        <w:numPr>
          <w:ilvl w:val="0"/>
          <w:numId w:val="9"/>
        </w:numPr>
        <w:spacing w:before="120" w:after="120"/>
        <w:rPr>
          <w:rFonts w:ascii="Verdana" w:hAnsi="Verdana" w:cs="Arial"/>
          <w:b/>
          <w:bCs/>
          <w:szCs w:val="20"/>
        </w:rPr>
      </w:pPr>
      <w:r>
        <w:rPr>
          <w:rFonts w:ascii="Verdana" w:hAnsi="Verdana" w:cs="Arial"/>
          <w:b/>
          <w:color w:val="000000"/>
          <w:szCs w:val="20"/>
        </w:rPr>
        <w:t>DO ENVIO DA PROPOSTA</w:t>
      </w:r>
    </w:p>
    <w:p>
      <w:pPr>
        <w:pStyle w:val="81"/>
        <w:keepNext w:val="0"/>
        <w:widowControl/>
        <w:numPr>
          <w:ilvl w:val="1"/>
          <w:numId w:val="9"/>
        </w:numPr>
        <w:spacing w:before="120" w:after="120"/>
        <w:rPr>
          <w:rStyle w:val="10"/>
          <w:rFonts w:ascii="Verdana" w:hAnsi="Verdana" w:cs="Arial"/>
          <w:b/>
          <w:bCs/>
          <w:sz w:val="20"/>
          <w:szCs w:val="20"/>
        </w:rPr>
      </w:pPr>
      <w:r>
        <w:rPr>
          <w:rFonts w:ascii="Verdana" w:hAnsi="Verdana" w:cs="Arial"/>
          <w:color w:val="000000"/>
          <w:szCs w:val="20"/>
        </w:rPr>
        <w:t>A licitante deverá encaminhar a proposta por meio do sistema eletrônico até a data e horário marcado para abertura da sessão, quando, então, encerrar-se-á automaticamente a fase de recebimento de propostas.</w:t>
      </w:r>
    </w:p>
    <w:p>
      <w:pPr>
        <w:pStyle w:val="81"/>
        <w:keepNext w:val="0"/>
        <w:widowControl/>
        <w:numPr>
          <w:ilvl w:val="1"/>
          <w:numId w:val="9"/>
        </w:numPr>
        <w:spacing w:before="120" w:after="120"/>
        <w:ind w:left="851" w:hanging="284"/>
        <w:rPr>
          <w:rFonts w:ascii="Verdana" w:hAnsi="Verdana" w:cs="Arial"/>
          <w:b/>
          <w:bCs/>
          <w:szCs w:val="20"/>
        </w:rPr>
      </w:pPr>
      <w:r>
        <w:rPr>
          <w:rFonts w:ascii="Verdana" w:hAnsi="Verdana" w:cs="Arial"/>
          <w:color w:val="000000"/>
          <w:szCs w:val="20"/>
        </w:rPr>
        <w:t>A licitante será responsável por todas as transações que forem efetuadas em seu nome no sistema eletrônico, assumindo como firmes e verdadeiras suas propostas e lances.</w:t>
      </w:r>
    </w:p>
    <w:p>
      <w:pPr>
        <w:pStyle w:val="81"/>
        <w:keepNext w:val="0"/>
        <w:widowControl/>
        <w:numPr>
          <w:ilvl w:val="1"/>
          <w:numId w:val="9"/>
        </w:numPr>
        <w:spacing w:before="120" w:after="120"/>
        <w:ind w:left="851" w:hanging="284"/>
        <w:rPr>
          <w:rFonts w:ascii="Verdana" w:hAnsi="Verdana" w:cs="Arial"/>
          <w:b/>
          <w:bCs/>
          <w:szCs w:val="20"/>
        </w:rPr>
      </w:pPr>
      <w:r>
        <w:rPr>
          <w:rFonts w:ascii="Verdana" w:hAnsi="Verdana" w:cs="Arial"/>
          <w:color w:val="000000"/>
          <w:szCs w:val="20"/>
        </w:rPr>
        <w:t>Incumbirá a licitante acompanhar as operações no sistema eletrônico durante a sessão pública da licitação, ficando responsável pelo ônus decorrente da perda de negócios, diante da inobservância de quaisquer mensagens emitidas pelo sistema ou de sua desconexão.</w:t>
      </w:r>
    </w:p>
    <w:p>
      <w:pPr>
        <w:pStyle w:val="81"/>
        <w:keepNext w:val="0"/>
        <w:widowControl/>
        <w:numPr>
          <w:ilvl w:val="1"/>
          <w:numId w:val="9"/>
        </w:numPr>
        <w:spacing w:before="120" w:after="120"/>
        <w:ind w:left="851" w:hanging="284"/>
        <w:rPr>
          <w:rFonts w:ascii="Verdana" w:hAnsi="Verdana" w:cs="Arial"/>
          <w:b/>
          <w:bCs/>
          <w:szCs w:val="20"/>
        </w:rPr>
      </w:pPr>
      <w:r>
        <w:rPr>
          <w:rFonts w:ascii="Verdana" w:hAnsi="Verdana" w:cs="Arial"/>
          <w:szCs w:val="20"/>
        </w:rPr>
        <w:t>Até a abertura da sessão, as licitantes poderão retirar ou substituir as propostas apresentadas. A licitante deverá enviar sua proposta mediante o preenchimento, no sistema eletrônico, dos seguintes campos:</w:t>
      </w:r>
    </w:p>
    <w:p>
      <w:pPr>
        <w:pStyle w:val="68"/>
        <w:keepNext w:val="0"/>
        <w:numPr>
          <w:ilvl w:val="0"/>
          <w:numId w:val="14"/>
        </w:numPr>
        <w:tabs>
          <w:tab w:val="clear" w:pos="-12"/>
          <w:tab w:val="clear" w:pos="708"/>
        </w:tabs>
        <w:suppressAutoHyphens w:val="0"/>
        <w:overflowPunct/>
        <w:spacing w:before="120" w:after="120" w:line="276" w:lineRule="auto"/>
        <w:ind w:left="1276" w:hanging="850"/>
        <w:jc w:val="both"/>
        <w:rPr>
          <w:rFonts w:ascii="Verdana" w:hAnsi="Verdana" w:cs="Arial"/>
          <w:vanish/>
          <w:sz w:val="18"/>
          <w:szCs w:val="18"/>
        </w:rPr>
      </w:pPr>
    </w:p>
    <w:p>
      <w:pPr>
        <w:pStyle w:val="68"/>
        <w:keepNext w:val="0"/>
        <w:numPr>
          <w:ilvl w:val="0"/>
          <w:numId w:val="14"/>
        </w:numPr>
        <w:tabs>
          <w:tab w:val="clear" w:pos="-12"/>
          <w:tab w:val="clear" w:pos="708"/>
        </w:tabs>
        <w:suppressAutoHyphens w:val="0"/>
        <w:overflowPunct/>
        <w:spacing w:before="120" w:after="120" w:line="276" w:lineRule="auto"/>
        <w:ind w:left="1276" w:hanging="850"/>
        <w:jc w:val="both"/>
        <w:rPr>
          <w:rFonts w:ascii="Verdana" w:hAnsi="Verdana" w:cs="Arial"/>
          <w:vanish/>
          <w:sz w:val="18"/>
          <w:szCs w:val="18"/>
        </w:rPr>
      </w:pPr>
    </w:p>
    <w:p>
      <w:pPr>
        <w:pStyle w:val="68"/>
        <w:keepNext w:val="0"/>
        <w:numPr>
          <w:ilvl w:val="0"/>
          <w:numId w:val="14"/>
        </w:numPr>
        <w:tabs>
          <w:tab w:val="clear" w:pos="-12"/>
          <w:tab w:val="clear" w:pos="708"/>
        </w:tabs>
        <w:suppressAutoHyphens w:val="0"/>
        <w:overflowPunct/>
        <w:spacing w:before="120" w:after="120" w:line="276" w:lineRule="auto"/>
        <w:ind w:left="1276" w:hanging="850"/>
        <w:jc w:val="both"/>
        <w:rPr>
          <w:rFonts w:ascii="Verdana" w:hAnsi="Verdana" w:cs="Arial"/>
          <w:vanish/>
          <w:sz w:val="18"/>
          <w:szCs w:val="18"/>
        </w:rPr>
      </w:pPr>
    </w:p>
    <w:p>
      <w:pPr>
        <w:pStyle w:val="68"/>
        <w:keepNext w:val="0"/>
        <w:numPr>
          <w:ilvl w:val="0"/>
          <w:numId w:val="14"/>
        </w:numPr>
        <w:tabs>
          <w:tab w:val="clear" w:pos="-12"/>
          <w:tab w:val="clear" w:pos="708"/>
        </w:tabs>
        <w:suppressAutoHyphens w:val="0"/>
        <w:overflowPunct/>
        <w:spacing w:before="120" w:after="120" w:line="276" w:lineRule="auto"/>
        <w:ind w:left="1276" w:hanging="850"/>
        <w:jc w:val="both"/>
        <w:rPr>
          <w:rFonts w:ascii="Verdana" w:hAnsi="Verdana" w:cs="Arial"/>
          <w:vanish/>
          <w:sz w:val="18"/>
          <w:szCs w:val="18"/>
        </w:rPr>
      </w:pPr>
    </w:p>
    <w:p>
      <w:pPr>
        <w:pStyle w:val="68"/>
        <w:keepNext w:val="0"/>
        <w:numPr>
          <w:ilvl w:val="0"/>
          <w:numId w:val="14"/>
        </w:numPr>
        <w:tabs>
          <w:tab w:val="clear" w:pos="-12"/>
          <w:tab w:val="clear" w:pos="708"/>
        </w:tabs>
        <w:suppressAutoHyphens w:val="0"/>
        <w:overflowPunct/>
        <w:spacing w:before="120" w:after="120" w:line="276" w:lineRule="auto"/>
        <w:ind w:left="1276" w:hanging="850"/>
        <w:jc w:val="both"/>
        <w:rPr>
          <w:rFonts w:ascii="Verdana" w:hAnsi="Verdana" w:cs="Arial"/>
          <w:vanish/>
          <w:sz w:val="18"/>
          <w:szCs w:val="18"/>
        </w:rPr>
      </w:pPr>
    </w:p>
    <w:p>
      <w:pPr>
        <w:pStyle w:val="68"/>
        <w:keepNext w:val="0"/>
        <w:numPr>
          <w:ilvl w:val="1"/>
          <w:numId w:val="14"/>
        </w:numPr>
        <w:tabs>
          <w:tab w:val="clear" w:pos="-12"/>
          <w:tab w:val="clear" w:pos="708"/>
        </w:tabs>
        <w:suppressAutoHyphens w:val="0"/>
        <w:overflowPunct/>
        <w:spacing w:before="120" w:after="120" w:line="276" w:lineRule="auto"/>
        <w:ind w:left="1276" w:hanging="850"/>
        <w:jc w:val="both"/>
        <w:rPr>
          <w:rFonts w:ascii="Verdana" w:hAnsi="Verdana" w:cs="Arial"/>
          <w:vanish/>
          <w:sz w:val="18"/>
          <w:szCs w:val="18"/>
        </w:rPr>
      </w:pPr>
    </w:p>
    <w:p>
      <w:pPr>
        <w:pStyle w:val="68"/>
        <w:keepNext w:val="0"/>
        <w:numPr>
          <w:ilvl w:val="1"/>
          <w:numId w:val="14"/>
        </w:numPr>
        <w:tabs>
          <w:tab w:val="clear" w:pos="-12"/>
          <w:tab w:val="clear" w:pos="708"/>
        </w:tabs>
        <w:suppressAutoHyphens w:val="0"/>
        <w:overflowPunct/>
        <w:spacing w:before="120" w:after="120" w:line="276" w:lineRule="auto"/>
        <w:ind w:left="1276" w:hanging="850"/>
        <w:jc w:val="both"/>
        <w:rPr>
          <w:rFonts w:ascii="Verdana" w:hAnsi="Verdana" w:cs="Arial"/>
          <w:vanish/>
          <w:sz w:val="18"/>
          <w:szCs w:val="18"/>
        </w:rPr>
      </w:pPr>
    </w:p>
    <w:p>
      <w:pPr>
        <w:pStyle w:val="68"/>
        <w:keepNext w:val="0"/>
        <w:numPr>
          <w:ilvl w:val="1"/>
          <w:numId w:val="14"/>
        </w:numPr>
        <w:tabs>
          <w:tab w:val="clear" w:pos="-12"/>
          <w:tab w:val="clear" w:pos="708"/>
        </w:tabs>
        <w:suppressAutoHyphens w:val="0"/>
        <w:overflowPunct/>
        <w:spacing w:before="120" w:after="120" w:line="276" w:lineRule="auto"/>
        <w:ind w:left="1276" w:hanging="850"/>
        <w:jc w:val="both"/>
        <w:rPr>
          <w:rFonts w:ascii="Verdana" w:hAnsi="Verdana" w:cs="Arial"/>
          <w:vanish/>
          <w:sz w:val="18"/>
          <w:szCs w:val="18"/>
        </w:rPr>
      </w:pPr>
    </w:p>
    <w:p>
      <w:pPr>
        <w:pStyle w:val="68"/>
        <w:keepNext w:val="0"/>
        <w:numPr>
          <w:ilvl w:val="1"/>
          <w:numId w:val="14"/>
        </w:numPr>
        <w:tabs>
          <w:tab w:val="clear" w:pos="-12"/>
          <w:tab w:val="clear" w:pos="708"/>
        </w:tabs>
        <w:suppressAutoHyphens w:val="0"/>
        <w:overflowPunct/>
        <w:spacing w:before="120" w:after="120" w:line="276" w:lineRule="auto"/>
        <w:ind w:left="1276" w:hanging="850"/>
        <w:jc w:val="both"/>
        <w:rPr>
          <w:rFonts w:ascii="Verdana" w:hAnsi="Verdana" w:cs="Arial"/>
          <w:vanish/>
          <w:sz w:val="18"/>
          <w:szCs w:val="18"/>
        </w:rPr>
      </w:pPr>
    </w:p>
    <w:p>
      <w:pPr>
        <w:pStyle w:val="81"/>
        <w:keepNext w:val="0"/>
        <w:widowControl/>
        <w:numPr>
          <w:ilvl w:val="2"/>
          <w:numId w:val="9"/>
        </w:numPr>
        <w:spacing w:before="120" w:after="120"/>
        <w:rPr>
          <w:rFonts w:ascii="Verdana" w:hAnsi="Verdana" w:cs="Arial"/>
          <w:b/>
          <w:bCs/>
          <w:szCs w:val="20"/>
        </w:rPr>
      </w:pPr>
      <w:r>
        <w:rPr>
          <w:rFonts w:ascii="Verdana" w:hAnsi="Verdana" w:cs="Arial"/>
          <w:sz w:val="18"/>
          <w:szCs w:val="18"/>
        </w:rPr>
        <w:t xml:space="preserve">- </w:t>
      </w:r>
      <w:r>
        <w:rPr>
          <w:rFonts w:ascii="Verdana" w:hAnsi="Verdana" w:cs="Arial"/>
          <w:szCs w:val="20"/>
        </w:rPr>
        <w:t xml:space="preserve">valor proposto para a execução de todos os itens de serviços constantes da planilha do </w:t>
      </w:r>
      <w:r>
        <w:rPr>
          <w:rFonts w:ascii="Verdana" w:hAnsi="Verdana" w:cs="Arial"/>
          <w:color w:val="FF0000"/>
          <w:szCs w:val="20"/>
        </w:rPr>
        <w:t>Anexo II-B</w:t>
      </w:r>
      <w:r>
        <w:rPr>
          <w:rFonts w:ascii="Verdana" w:hAnsi="Verdana" w:cs="Arial"/>
          <w:szCs w:val="20"/>
        </w:rPr>
        <w:t>, utilizando até 02 (duas) casas decimais para evitar correções futuras na PROPOSTA DE PREÇOS;</w:t>
      </w:r>
    </w:p>
    <w:p>
      <w:pPr>
        <w:pStyle w:val="81"/>
        <w:keepNext w:val="0"/>
        <w:widowControl/>
        <w:numPr>
          <w:ilvl w:val="2"/>
          <w:numId w:val="9"/>
        </w:numPr>
        <w:spacing w:before="120" w:after="120"/>
        <w:rPr>
          <w:rFonts w:ascii="Verdana" w:hAnsi="Verdana" w:cs="Arial"/>
          <w:b/>
          <w:bCs/>
          <w:szCs w:val="20"/>
        </w:rPr>
      </w:pPr>
      <w:r>
        <w:rPr>
          <w:rFonts w:ascii="Verdana" w:hAnsi="Verdana" w:cs="Arial"/>
          <w:szCs w:val="20"/>
        </w:rPr>
        <w:t>- descrição detalhada do objeto, conforme discriminado no preâmbulo deste edital;</w:t>
      </w:r>
    </w:p>
    <w:p>
      <w:pPr>
        <w:pStyle w:val="81"/>
        <w:keepNext w:val="0"/>
        <w:widowControl/>
        <w:numPr>
          <w:ilvl w:val="1"/>
          <w:numId w:val="9"/>
        </w:numPr>
        <w:spacing w:before="120" w:after="120"/>
        <w:rPr>
          <w:rFonts w:ascii="Verdana" w:hAnsi="Verdana" w:cs="Arial"/>
          <w:b/>
          <w:bCs/>
          <w:szCs w:val="20"/>
        </w:rPr>
      </w:pPr>
      <w:r>
        <w:rPr>
          <w:rFonts w:ascii="Verdana" w:hAnsi="Verdana" w:cs="Times-Roman"/>
          <w:szCs w:val="20"/>
        </w:rPr>
        <w:t>A licitante deverá encaminhar sua proposta comercial exclusivamente por meio do sistema eletrônico COMPRASNET, até a data e horário marcado para abertura da sessão, quando então encerrar-se-á automaticamente a fase de recebimento de propostas.</w:t>
      </w:r>
    </w:p>
    <w:p>
      <w:pPr>
        <w:pStyle w:val="81"/>
        <w:keepNext w:val="0"/>
        <w:widowControl/>
        <w:numPr>
          <w:ilvl w:val="1"/>
          <w:numId w:val="9"/>
        </w:numPr>
        <w:spacing w:before="120" w:after="120"/>
        <w:rPr>
          <w:rFonts w:ascii="Verdana" w:hAnsi="Verdana" w:cs="Arial"/>
          <w:b/>
          <w:bCs/>
          <w:szCs w:val="20"/>
        </w:rPr>
      </w:pPr>
      <w:r>
        <w:rPr>
          <w:rFonts w:ascii="Verdana" w:hAnsi="Verdana" w:cs="Times-Roman"/>
          <w:szCs w:val="20"/>
        </w:rPr>
        <w:t>Ao encaminhar sua proposta, a licitante pressupõe o pleno conhecimento e atendimento das exigências de habilitação e de todas as</w:t>
      </w:r>
      <w:r>
        <w:rPr>
          <w:rFonts w:ascii="Verdana" w:hAnsi="Verdana"/>
          <w:szCs w:val="20"/>
        </w:rPr>
        <w:t xml:space="preserve"> </w:t>
      </w:r>
      <w:r>
        <w:rPr>
          <w:rFonts w:ascii="Verdana" w:hAnsi="Verdana" w:cs="Times-Roman"/>
          <w:szCs w:val="20"/>
        </w:rPr>
        <w:t>condições estabelecidas previstas neste Edital e seus Anexos.</w:t>
      </w:r>
    </w:p>
    <w:p>
      <w:pPr>
        <w:pStyle w:val="81"/>
        <w:keepNext w:val="0"/>
        <w:widowControl/>
        <w:numPr>
          <w:ilvl w:val="1"/>
          <w:numId w:val="9"/>
        </w:numPr>
        <w:spacing w:before="120" w:after="120"/>
        <w:rPr>
          <w:rFonts w:ascii="Verdana" w:hAnsi="Verdana" w:cs="Arial"/>
          <w:b/>
          <w:bCs/>
          <w:szCs w:val="20"/>
        </w:rPr>
      </w:pPr>
      <w:r>
        <w:rPr>
          <w:rFonts w:ascii="Verdana" w:hAnsi="Verdana" w:cs="Times-Roman"/>
          <w:szCs w:val="20"/>
        </w:rPr>
        <w:t>A licitante deverá, para fins de elaboração da proposta, verificar e comparar todos os dados fornecidos nos anexos.</w:t>
      </w:r>
    </w:p>
    <w:p>
      <w:pPr>
        <w:pStyle w:val="81"/>
        <w:keepNext w:val="0"/>
        <w:widowControl/>
        <w:numPr>
          <w:ilvl w:val="1"/>
          <w:numId w:val="9"/>
        </w:numPr>
        <w:spacing w:before="120" w:after="120"/>
        <w:rPr>
          <w:rFonts w:ascii="Verdana" w:hAnsi="Verdana" w:cs="Arial"/>
          <w:b/>
          <w:bCs/>
          <w:szCs w:val="20"/>
        </w:rPr>
      </w:pPr>
      <w:r>
        <w:rPr>
          <w:rFonts w:ascii="Verdana" w:hAnsi="Verdana" w:cs="Times-Roman"/>
          <w:szCs w:val="20"/>
        </w:rPr>
        <w:t>No caso de falhas, erros, discrepâncias ou omissões, bem como transgressões às normas</w:t>
      </w:r>
      <w:r>
        <w:rPr>
          <w:rFonts w:ascii="Verdana" w:hAnsi="Verdana"/>
          <w:szCs w:val="20"/>
        </w:rPr>
        <w:t xml:space="preserve"> </w:t>
      </w:r>
      <w:r>
        <w:rPr>
          <w:rFonts w:ascii="Verdana" w:hAnsi="Verdana" w:cs="Times-Roman"/>
          <w:szCs w:val="20"/>
        </w:rPr>
        <w:t>técnicas, regulamentos ou posturas, caberá a licitante formular imediata comunicação escrita à COMISSÃO DO RDC,</w:t>
      </w:r>
      <w:r>
        <w:rPr>
          <w:rFonts w:ascii="Verdana" w:hAnsi="Verdana"/>
          <w:szCs w:val="20"/>
        </w:rPr>
        <w:t xml:space="preserve"> </w:t>
      </w:r>
      <w:r>
        <w:rPr>
          <w:rFonts w:ascii="Verdana" w:hAnsi="Verdana" w:cs="Times-Roman"/>
          <w:szCs w:val="20"/>
        </w:rPr>
        <w:t>no prazo e momento estabelecidos neste Edital.</w:t>
      </w:r>
    </w:p>
    <w:p>
      <w:pPr>
        <w:pStyle w:val="81"/>
        <w:keepNext w:val="0"/>
        <w:widowControl/>
        <w:numPr>
          <w:ilvl w:val="1"/>
          <w:numId w:val="9"/>
        </w:numPr>
        <w:spacing w:before="120" w:after="120"/>
        <w:rPr>
          <w:rFonts w:ascii="Verdana" w:hAnsi="Verdana" w:cs="Arial"/>
          <w:b/>
          <w:bCs/>
          <w:szCs w:val="20"/>
        </w:rPr>
      </w:pPr>
      <w:r>
        <w:rPr>
          <w:rFonts w:ascii="Verdana" w:hAnsi="Verdana" w:cs="Times-Roman"/>
          <w:szCs w:val="20"/>
        </w:rPr>
        <w:t>A licitante deverá elaborar sua proposta levando em consideração que as obras e serviços objetos desta</w:t>
      </w:r>
      <w:r>
        <w:rPr>
          <w:rFonts w:ascii="Verdana" w:hAnsi="Verdana"/>
          <w:szCs w:val="20"/>
        </w:rPr>
        <w:t xml:space="preserve"> </w:t>
      </w:r>
      <w:r>
        <w:rPr>
          <w:rFonts w:ascii="Verdana" w:hAnsi="Verdana" w:cs="Times-Roman"/>
          <w:szCs w:val="20"/>
        </w:rPr>
        <w:t>licitação, devem ser entregues por completo. Em consequência, ficará a cargo da licitante, prever qualquer</w:t>
      </w:r>
      <w:r>
        <w:rPr>
          <w:rFonts w:ascii="Verdana" w:hAnsi="Verdana"/>
          <w:szCs w:val="20"/>
        </w:rPr>
        <w:t xml:space="preserve"> </w:t>
      </w:r>
      <w:r>
        <w:rPr>
          <w:rFonts w:ascii="Verdana" w:hAnsi="Verdana" w:cs="Times-Roman"/>
          <w:szCs w:val="20"/>
        </w:rPr>
        <w:t>serviço ou material necessário, mesmo quando não expressamente indicado no orçamento estimado em</w:t>
      </w:r>
      <w:r>
        <w:rPr>
          <w:rFonts w:ascii="Verdana" w:hAnsi="Verdana"/>
          <w:szCs w:val="20"/>
        </w:rPr>
        <w:t xml:space="preserve"> </w:t>
      </w:r>
      <w:r>
        <w:rPr>
          <w:rFonts w:ascii="Verdana" w:hAnsi="Verdana" w:cs="Times-Roman"/>
          <w:szCs w:val="20"/>
        </w:rPr>
        <w:t xml:space="preserve">planilhas de quantitativos e preços unitários, </w:t>
      </w:r>
      <w:r>
        <w:rPr>
          <w:rFonts w:ascii="Verdana" w:hAnsi="Verdana" w:cs="Times-Bold"/>
          <w:bCs/>
          <w:szCs w:val="20"/>
        </w:rPr>
        <w:t>não lhe cabendo, posteriormente, quaisquer acréscimos de</w:t>
      </w:r>
      <w:r>
        <w:rPr>
          <w:rFonts w:ascii="Verdana" w:hAnsi="Verdana"/>
          <w:szCs w:val="20"/>
        </w:rPr>
        <w:t xml:space="preserve"> </w:t>
      </w:r>
      <w:r>
        <w:rPr>
          <w:rFonts w:ascii="Verdana" w:hAnsi="Verdana" w:cs="Times-Bold"/>
          <w:bCs/>
          <w:szCs w:val="20"/>
        </w:rPr>
        <w:t>pagamentos decorrentes, caso não tenha se manifestado expressamente</w:t>
      </w:r>
      <w:r>
        <w:rPr>
          <w:rFonts w:ascii="Verdana" w:hAnsi="Verdana" w:cs="Times-Roman"/>
          <w:szCs w:val="20"/>
        </w:rPr>
        <w:t>, indicando as divergências</w:t>
      </w:r>
      <w:r>
        <w:rPr>
          <w:rFonts w:ascii="Verdana" w:hAnsi="Verdana"/>
          <w:szCs w:val="20"/>
        </w:rPr>
        <w:t xml:space="preserve"> </w:t>
      </w:r>
      <w:r>
        <w:rPr>
          <w:rFonts w:ascii="Verdana" w:hAnsi="Verdana" w:cs="Times-Roman"/>
          <w:szCs w:val="20"/>
        </w:rPr>
        <w:t>encontradas entre as planilhas, projetos e especificações.</w:t>
      </w:r>
    </w:p>
    <w:p>
      <w:pPr>
        <w:pStyle w:val="81"/>
        <w:keepNext w:val="0"/>
        <w:widowControl/>
        <w:numPr>
          <w:ilvl w:val="1"/>
          <w:numId w:val="9"/>
        </w:numPr>
        <w:spacing w:before="120" w:after="120"/>
        <w:rPr>
          <w:rFonts w:ascii="Verdana" w:hAnsi="Verdana" w:cs="Arial"/>
          <w:b/>
          <w:bCs/>
          <w:szCs w:val="20"/>
        </w:rPr>
      </w:pPr>
      <w:r>
        <w:rPr>
          <w:rFonts w:ascii="Verdana" w:hAnsi="Verdana" w:cs="Times-Bold"/>
          <w:bCs/>
          <w:szCs w:val="20"/>
        </w:rPr>
        <w:t>A falta da comunicação referida implicará a aceitação tácita das especificações e</w:t>
      </w:r>
      <w:r>
        <w:rPr>
          <w:rFonts w:ascii="Verdana" w:hAnsi="Verdana"/>
          <w:szCs w:val="20"/>
        </w:rPr>
        <w:t xml:space="preserve"> </w:t>
      </w:r>
      <w:r>
        <w:rPr>
          <w:rFonts w:ascii="Verdana" w:hAnsi="Verdana" w:cs="Times-Bold"/>
          <w:bCs/>
          <w:szCs w:val="20"/>
        </w:rPr>
        <w:t>documentações técnicas fornecidas</w:t>
      </w:r>
      <w:r>
        <w:rPr>
          <w:rFonts w:ascii="Verdana" w:hAnsi="Verdana" w:cs="Times-Roman"/>
          <w:szCs w:val="20"/>
        </w:rPr>
        <w:t>.</w:t>
      </w:r>
    </w:p>
    <w:p>
      <w:pPr>
        <w:pStyle w:val="81"/>
        <w:keepNext w:val="0"/>
        <w:widowControl/>
        <w:numPr>
          <w:ilvl w:val="1"/>
          <w:numId w:val="9"/>
        </w:numPr>
        <w:spacing w:before="120" w:after="120"/>
        <w:rPr>
          <w:rFonts w:ascii="Verdana" w:hAnsi="Verdana" w:cs="Arial"/>
          <w:b/>
          <w:bCs/>
          <w:szCs w:val="20"/>
        </w:rPr>
      </w:pPr>
      <w:r>
        <w:rPr>
          <w:rFonts w:ascii="Verdana" w:hAnsi="Verdana" w:cs="Times-Roman"/>
          <w:szCs w:val="20"/>
        </w:rPr>
        <w:t>Uma vez iniciada a sessão de lances, não serão permitidas quaisquer retificações que possam influir no resultado desta licitação, ressalvados ajustes do valor final após eventual negociação e/ou desempate de ME/EPP.</w:t>
      </w:r>
    </w:p>
    <w:p>
      <w:pPr>
        <w:pStyle w:val="81"/>
        <w:keepNext w:val="0"/>
        <w:widowControl/>
        <w:numPr>
          <w:ilvl w:val="1"/>
          <w:numId w:val="9"/>
        </w:numPr>
        <w:spacing w:before="120" w:after="120"/>
        <w:rPr>
          <w:rFonts w:ascii="Verdana" w:hAnsi="Verdana" w:cs="Arial"/>
          <w:b/>
          <w:bCs/>
          <w:szCs w:val="20"/>
        </w:rPr>
      </w:pPr>
      <w:r>
        <w:rPr>
          <w:rFonts w:ascii="Verdana" w:hAnsi="Verdana" w:cs="Times-Roman"/>
          <w:szCs w:val="20"/>
        </w:rPr>
        <w:t>A proposta deverá ser elaborada de acordo com os preços praticados no mercado e conforme as</w:t>
      </w:r>
      <w:r>
        <w:rPr>
          <w:rFonts w:ascii="Verdana" w:hAnsi="Verdana"/>
          <w:szCs w:val="20"/>
        </w:rPr>
        <w:t xml:space="preserve"> </w:t>
      </w:r>
      <w:r>
        <w:rPr>
          <w:rFonts w:ascii="Verdana" w:hAnsi="Verdana" w:cs="Times-Roman"/>
          <w:szCs w:val="20"/>
        </w:rPr>
        <w:t>especificações contidas neste Edital e seus Anexos.</w:t>
      </w:r>
    </w:p>
    <w:p>
      <w:pPr>
        <w:pStyle w:val="81"/>
        <w:keepNext w:val="0"/>
        <w:widowControl/>
        <w:numPr>
          <w:ilvl w:val="1"/>
          <w:numId w:val="9"/>
        </w:numPr>
        <w:spacing w:before="120" w:after="120"/>
        <w:rPr>
          <w:rFonts w:ascii="Verdana" w:hAnsi="Verdana" w:cs="Arial"/>
          <w:b/>
          <w:bCs/>
          <w:szCs w:val="20"/>
        </w:rPr>
      </w:pPr>
      <w:r>
        <w:rPr>
          <w:rFonts w:ascii="Verdana" w:hAnsi="Verdana" w:cs="Times-Roman"/>
          <w:szCs w:val="20"/>
        </w:rPr>
        <w:t>As propostas serão de exclusiva responsabilidade da licitante, não lhe assistindo o direito de pleitear</w:t>
      </w:r>
      <w:r>
        <w:rPr>
          <w:rFonts w:ascii="Verdana" w:hAnsi="Verdana"/>
          <w:szCs w:val="20"/>
        </w:rPr>
        <w:t xml:space="preserve"> </w:t>
      </w:r>
      <w:r>
        <w:rPr>
          <w:rFonts w:ascii="Verdana" w:hAnsi="Verdana" w:cs="Times-Roman"/>
          <w:szCs w:val="20"/>
        </w:rPr>
        <w:t>qualquer alteração sob alegação de erro, omissão ou qualquer outro pretexto.</w:t>
      </w:r>
    </w:p>
    <w:p>
      <w:pPr>
        <w:pStyle w:val="81"/>
        <w:keepNext w:val="0"/>
        <w:widowControl/>
        <w:numPr>
          <w:ilvl w:val="1"/>
          <w:numId w:val="9"/>
        </w:numPr>
        <w:spacing w:before="120" w:after="120"/>
        <w:rPr>
          <w:rFonts w:ascii="Verdana" w:hAnsi="Verdana" w:cs="Arial"/>
          <w:b/>
          <w:bCs/>
          <w:szCs w:val="20"/>
        </w:rPr>
      </w:pPr>
      <w:r>
        <w:rPr>
          <w:rFonts w:ascii="Verdana" w:hAnsi="Verdana" w:cs="Times-Bold"/>
          <w:bCs/>
          <w:szCs w:val="20"/>
        </w:rPr>
        <w:t xml:space="preserve">A licitante deverá levar em conta que </w:t>
      </w:r>
      <w:r>
        <w:rPr>
          <w:rFonts w:ascii="Verdana" w:hAnsi="Verdana" w:cs="Times-Bold"/>
          <w:bCs/>
          <w:szCs w:val="20"/>
          <w:u w:val="single"/>
        </w:rPr>
        <w:t>o menor preço total proposto, deverá</w:t>
      </w:r>
      <w:r>
        <w:rPr>
          <w:rFonts w:ascii="Verdana" w:hAnsi="Verdana"/>
          <w:szCs w:val="20"/>
          <w:u w:val="single"/>
        </w:rPr>
        <w:t xml:space="preserve"> refletir </w:t>
      </w:r>
      <w:r>
        <w:rPr>
          <w:rFonts w:ascii="Verdana" w:hAnsi="Verdana" w:cs="Times-Bold"/>
          <w:bCs/>
          <w:szCs w:val="20"/>
          <w:u w:val="single"/>
        </w:rPr>
        <w:t>sobre os preços unitários de todos os itens do orçamento estimado pela UFF</w:t>
      </w:r>
      <w:r>
        <w:rPr>
          <w:rFonts w:ascii="Verdana" w:hAnsi="Verdana" w:cs="Times-Bold"/>
          <w:bCs/>
          <w:szCs w:val="20"/>
        </w:rPr>
        <w:t>, que serão ajustados a ele;</w:t>
      </w:r>
    </w:p>
    <w:p>
      <w:pPr>
        <w:pStyle w:val="81"/>
        <w:keepNext w:val="0"/>
        <w:widowControl/>
        <w:numPr>
          <w:ilvl w:val="2"/>
          <w:numId w:val="9"/>
        </w:numPr>
        <w:spacing w:before="120" w:after="120"/>
        <w:rPr>
          <w:rFonts w:ascii="Verdana" w:hAnsi="Verdana" w:cs="Arial"/>
          <w:b/>
          <w:bCs/>
          <w:szCs w:val="20"/>
        </w:rPr>
      </w:pPr>
      <w:bookmarkStart w:id="9" w:name="_Hlk107933554"/>
      <w:r>
        <w:rPr>
          <w:rFonts w:ascii="Verdana" w:hAnsi="Verdana" w:cs="Times-Bold"/>
          <w:bCs/>
          <w:sz w:val="18"/>
          <w:szCs w:val="18"/>
        </w:rPr>
        <w:t xml:space="preserve">A </w:t>
      </w:r>
      <w:r>
        <w:rPr>
          <w:rFonts w:ascii="Verdana" w:hAnsi="Verdana" w:cs="Times-Bold"/>
          <w:bCs/>
          <w:szCs w:val="20"/>
        </w:rPr>
        <w:t xml:space="preserve">planilha final a ser proposta pela licitante, deverá respeitar e estar de acordo com as discriminações dos serviços, unidades e quantidades constantes da planilha anexa </w:t>
      </w:r>
      <w:r>
        <w:rPr>
          <w:rFonts w:ascii="Verdana" w:hAnsi="Verdana" w:cs="Times-Bold"/>
          <w:bCs/>
          <w:color w:val="FF0000"/>
          <w:szCs w:val="20"/>
        </w:rPr>
        <w:t xml:space="preserve">(Anexo II-B) </w:t>
      </w:r>
      <w:r>
        <w:rPr>
          <w:rFonts w:ascii="Verdana" w:hAnsi="Verdana" w:cs="Times-Bold"/>
          <w:bCs/>
          <w:szCs w:val="20"/>
        </w:rPr>
        <w:t>a este edital, sob pena de desclassificação.</w:t>
      </w:r>
    </w:p>
    <w:bookmarkEnd w:id="9"/>
    <w:p>
      <w:pPr>
        <w:pStyle w:val="81"/>
        <w:keepNext w:val="0"/>
        <w:widowControl/>
        <w:numPr>
          <w:ilvl w:val="1"/>
          <w:numId w:val="9"/>
        </w:numPr>
        <w:spacing w:before="120" w:after="120"/>
        <w:rPr>
          <w:rFonts w:ascii="Verdana" w:hAnsi="Verdana" w:cs="Arial"/>
          <w:b/>
          <w:bCs/>
          <w:szCs w:val="20"/>
        </w:rPr>
      </w:pPr>
      <w:r>
        <w:rPr>
          <w:rFonts w:ascii="Verdana" w:hAnsi="Verdana" w:cs="Times-Roman"/>
          <w:szCs w:val="20"/>
        </w:rPr>
        <w:t>O valor total proposto é de inteira responsabilidade da licitante, não lhe cabendo o</w:t>
      </w:r>
      <w:r>
        <w:rPr>
          <w:rFonts w:ascii="Verdana" w:hAnsi="Verdana"/>
          <w:szCs w:val="20"/>
        </w:rPr>
        <w:t xml:space="preserve"> </w:t>
      </w:r>
      <w:r>
        <w:rPr>
          <w:rFonts w:ascii="Verdana" w:hAnsi="Verdana" w:cs="Times-Roman"/>
          <w:szCs w:val="20"/>
        </w:rPr>
        <w:t>direito de pleitear qualquer alteração dele, sob a alegação de erro, omissão ou qualquer outro</w:t>
      </w:r>
      <w:r>
        <w:rPr>
          <w:rFonts w:ascii="Verdana" w:hAnsi="Verdana"/>
          <w:szCs w:val="20"/>
        </w:rPr>
        <w:t xml:space="preserve"> </w:t>
      </w:r>
      <w:r>
        <w:rPr>
          <w:rFonts w:ascii="Verdana" w:hAnsi="Verdana" w:cs="Times-Roman"/>
          <w:szCs w:val="20"/>
        </w:rPr>
        <w:t>pretexto.</w:t>
      </w:r>
    </w:p>
    <w:p>
      <w:pPr>
        <w:pStyle w:val="81"/>
        <w:keepNext w:val="0"/>
        <w:widowControl/>
        <w:numPr>
          <w:ilvl w:val="1"/>
          <w:numId w:val="9"/>
        </w:numPr>
        <w:spacing w:before="120" w:after="120"/>
        <w:rPr>
          <w:rFonts w:ascii="Verdana" w:hAnsi="Verdana" w:cs="Arial"/>
          <w:b/>
          <w:bCs/>
          <w:szCs w:val="20"/>
        </w:rPr>
      </w:pPr>
      <w:r>
        <w:rPr>
          <w:rFonts w:ascii="Verdana" w:hAnsi="Verdana" w:cs="Times-Roman"/>
          <w:szCs w:val="20"/>
        </w:rPr>
        <w:t>Se, no valor ofertado, incorrer a omissão de qualquer despesa necessária ao perfeito</w:t>
      </w:r>
      <w:r>
        <w:rPr>
          <w:rFonts w:ascii="Verdana" w:hAnsi="Verdana"/>
          <w:szCs w:val="20"/>
        </w:rPr>
        <w:t xml:space="preserve"> </w:t>
      </w:r>
      <w:r>
        <w:rPr>
          <w:rFonts w:ascii="Verdana" w:hAnsi="Verdana" w:cs="Times-Roman"/>
          <w:szCs w:val="20"/>
        </w:rPr>
        <w:t>cumprimento do objeto deste RDC, esta será interpretada como inexistente ou já incluída no valor da</w:t>
      </w:r>
      <w:r>
        <w:rPr>
          <w:rFonts w:ascii="Verdana" w:hAnsi="Verdana"/>
          <w:szCs w:val="20"/>
        </w:rPr>
        <w:t xml:space="preserve"> </w:t>
      </w:r>
      <w:r>
        <w:rPr>
          <w:rFonts w:ascii="Verdana" w:hAnsi="Verdana" w:cs="Times-Roman"/>
          <w:szCs w:val="20"/>
        </w:rPr>
        <w:t>proposta, não podendo a licitante pleitear acrescimento após a abertura da sessão pública.</w:t>
      </w:r>
    </w:p>
    <w:p>
      <w:pPr>
        <w:pStyle w:val="81"/>
        <w:keepNext w:val="0"/>
        <w:widowControl/>
        <w:numPr>
          <w:ilvl w:val="1"/>
          <w:numId w:val="9"/>
        </w:numPr>
        <w:spacing w:before="120" w:after="120"/>
        <w:rPr>
          <w:rFonts w:ascii="Verdana" w:hAnsi="Verdana" w:cs="Arial"/>
          <w:b/>
          <w:bCs/>
          <w:szCs w:val="20"/>
        </w:rPr>
      </w:pPr>
      <w:r>
        <w:rPr>
          <w:rFonts w:ascii="Verdana" w:hAnsi="Verdana" w:cs="Times-Roman"/>
          <w:szCs w:val="20"/>
        </w:rPr>
        <w:t>No momento do envio da proposta comercial, a licitante deverá declarar, em campo próprio do</w:t>
      </w:r>
      <w:r>
        <w:rPr>
          <w:rFonts w:ascii="Verdana" w:hAnsi="Verdana"/>
          <w:szCs w:val="20"/>
        </w:rPr>
        <w:t xml:space="preserve"> </w:t>
      </w:r>
      <w:r>
        <w:rPr>
          <w:rFonts w:ascii="Verdana" w:hAnsi="Verdana" w:cs="Times-Roman"/>
          <w:szCs w:val="20"/>
        </w:rPr>
        <w:t>sistema eletrônico, o seguinte:</w:t>
      </w:r>
    </w:p>
    <w:p>
      <w:pPr>
        <w:pStyle w:val="81"/>
        <w:keepNext w:val="0"/>
        <w:widowControl/>
        <w:numPr>
          <w:ilvl w:val="2"/>
          <w:numId w:val="9"/>
        </w:numPr>
        <w:spacing w:before="120" w:after="120"/>
        <w:rPr>
          <w:rFonts w:ascii="Verdana" w:hAnsi="Verdana" w:cs="Arial"/>
          <w:b/>
          <w:bCs/>
          <w:szCs w:val="20"/>
        </w:rPr>
      </w:pPr>
      <w:r>
        <w:rPr>
          <w:rFonts w:ascii="Verdana" w:hAnsi="Verdana" w:cs="Times-Bold"/>
          <w:bCs/>
          <w:szCs w:val="20"/>
        </w:rPr>
        <w:t>Que até a presente data inexistem fatos impeditivos de habilitação, ciente da</w:t>
      </w:r>
      <w:r>
        <w:rPr>
          <w:rFonts w:ascii="Verdana" w:hAnsi="Verdana"/>
          <w:szCs w:val="20"/>
        </w:rPr>
        <w:t xml:space="preserve"> </w:t>
      </w:r>
      <w:r>
        <w:rPr>
          <w:rFonts w:ascii="Verdana" w:hAnsi="Verdana" w:cs="Times-Bold"/>
          <w:bCs/>
          <w:szCs w:val="20"/>
        </w:rPr>
        <w:t>obrigatoriedade de declarar ocorrências posteriores;</w:t>
      </w:r>
    </w:p>
    <w:p>
      <w:pPr>
        <w:pStyle w:val="81"/>
        <w:keepNext w:val="0"/>
        <w:widowControl/>
        <w:numPr>
          <w:ilvl w:val="2"/>
          <w:numId w:val="9"/>
        </w:numPr>
        <w:spacing w:before="120" w:after="120"/>
        <w:rPr>
          <w:rFonts w:ascii="Verdana" w:hAnsi="Verdana" w:cs="Arial"/>
          <w:b/>
          <w:bCs/>
          <w:szCs w:val="20"/>
        </w:rPr>
      </w:pPr>
      <w:r>
        <w:rPr>
          <w:rFonts w:ascii="Verdana" w:hAnsi="Verdana" w:cs="Times-Bold"/>
          <w:bCs/>
          <w:szCs w:val="20"/>
        </w:rPr>
        <w:t>Que está ciente e concorda com todas as condições contidas no Edital e seus Anexos, bem</w:t>
      </w:r>
      <w:r>
        <w:rPr>
          <w:rFonts w:ascii="Verdana" w:hAnsi="Verdana"/>
          <w:szCs w:val="20"/>
        </w:rPr>
        <w:t xml:space="preserve"> </w:t>
      </w:r>
      <w:r>
        <w:rPr>
          <w:rFonts w:ascii="Verdana" w:hAnsi="Verdana" w:cs="Times-Bold"/>
          <w:bCs/>
          <w:szCs w:val="20"/>
        </w:rPr>
        <w:t>como que cumpre plenamente os requisitos de habilitação definidos no Edital;</w:t>
      </w:r>
    </w:p>
    <w:p>
      <w:pPr>
        <w:pStyle w:val="81"/>
        <w:keepNext w:val="0"/>
        <w:widowControl/>
        <w:numPr>
          <w:ilvl w:val="2"/>
          <w:numId w:val="9"/>
        </w:numPr>
        <w:spacing w:before="120" w:after="120"/>
        <w:rPr>
          <w:rFonts w:ascii="Verdana" w:hAnsi="Verdana" w:cs="Arial"/>
          <w:b/>
          <w:bCs/>
          <w:szCs w:val="20"/>
        </w:rPr>
      </w:pPr>
      <w:r>
        <w:rPr>
          <w:rFonts w:ascii="Verdana" w:hAnsi="Verdana" w:cs="Times-Bold"/>
          <w:bCs/>
          <w:szCs w:val="20"/>
        </w:rPr>
        <w:t>Que a proposta comercial foi elaborada de forma independente, de acordo com que é</w:t>
      </w:r>
      <w:r>
        <w:rPr>
          <w:rFonts w:ascii="Verdana" w:hAnsi="Verdana"/>
          <w:szCs w:val="20"/>
        </w:rPr>
        <w:t xml:space="preserve"> </w:t>
      </w:r>
      <w:r>
        <w:rPr>
          <w:rFonts w:ascii="Verdana" w:hAnsi="Verdana" w:cs="Times-Bold"/>
          <w:bCs/>
          <w:szCs w:val="20"/>
        </w:rPr>
        <w:t>estabelecido na Instrução Normativa nº 2, de 16 de setembro de 2009, do SLTI/MPOG;</w:t>
      </w:r>
    </w:p>
    <w:p>
      <w:pPr>
        <w:pStyle w:val="81"/>
        <w:keepNext w:val="0"/>
        <w:widowControl/>
        <w:numPr>
          <w:ilvl w:val="2"/>
          <w:numId w:val="9"/>
        </w:numPr>
        <w:spacing w:before="120" w:after="120"/>
        <w:rPr>
          <w:rFonts w:ascii="Verdana" w:hAnsi="Verdana" w:cs="Arial"/>
          <w:b/>
          <w:bCs/>
          <w:szCs w:val="20"/>
        </w:rPr>
      </w:pPr>
      <w:r>
        <w:rPr>
          <w:rFonts w:ascii="Verdana" w:hAnsi="Verdana" w:cs="Times-Bold"/>
          <w:bCs/>
          <w:szCs w:val="20"/>
        </w:rPr>
        <w:t>Que não emprega menores de 18 (dezoito) anos em trabalho noturno, perigoso ou</w:t>
      </w:r>
      <w:r>
        <w:rPr>
          <w:rFonts w:ascii="Verdana" w:hAnsi="Verdana"/>
          <w:szCs w:val="20"/>
        </w:rPr>
        <w:t xml:space="preserve"> </w:t>
      </w:r>
      <w:r>
        <w:rPr>
          <w:rFonts w:ascii="Verdana" w:hAnsi="Verdana" w:cs="Times-Bold"/>
          <w:bCs/>
          <w:szCs w:val="20"/>
        </w:rPr>
        <w:t>insalubre, e que não emprega menores de 16 (dezesseis) anos em qualquer trabalho, salvo</w:t>
      </w:r>
      <w:r>
        <w:rPr>
          <w:rFonts w:ascii="Verdana" w:hAnsi="Verdana"/>
          <w:szCs w:val="20"/>
        </w:rPr>
        <w:t xml:space="preserve"> </w:t>
      </w:r>
      <w:r>
        <w:rPr>
          <w:rFonts w:ascii="Verdana" w:hAnsi="Verdana" w:cs="Times-Bold"/>
          <w:bCs/>
          <w:szCs w:val="20"/>
        </w:rPr>
        <w:t>na condição de aprendizes, a partir de 14 (quatorze) anos, nos termos do inciso XXXIII do</w:t>
      </w:r>
      <w:r>
        <w:rPr>
          <w:rFonts w:ascii="Verdana" w:hAnsi="Verdana"/>
          <w:szCs w:val="20"/>
        </w:rPr>
        <w:t xml:space="preserve"> </w:t>
      </w:r>
      <w:r>
        <w:rPr>
          <w:rFonts w:ascii="Verdana" w:hAnsi="Verdana" w:cs="Times-Bold"/>
          <w:bCs/>
          <w:szCs w:val="20"/>
        </w:rPr>
        <w:t>art. 7º da Constituição Federal;</w:t>
      </w:r>
    </w:p>
    <w:p>
      <w:pPr>
        <w:pStyle w:val="81"/>
        <w:keepNext w:val="0"/>
        <w:widowControl/>
        <w:numPr>
          <w:ilvl w:val="2"/>
          <w:numId w:val="9"/>
        </w:numPr>
        <w:spacing w:before="120" w:after="120"/>
        <w:rPr>
          <w:rFonts w:ascii="Verdana" w:hAnsi="Verdana" w:cs="Arial"/>
          <w:b/>
          <w:bCs/>
          <w:szCs w:val="20"/>
        </w:rPr>
      </w:pPr>
      <w:r>
        <w:rPr>
          <w:rFonts w:ascii="Verdana" w:hAnsi="Verdana" w:cs="Times-Bold"/>
          <w:bCs/>
          <w:szCs w:val="20"/>
        </w:rPr>
        <w:t>Que não possui, em sua cadeia produtiva, empregado executando trabalho degradante ou</w:t>
      </w:r>
      <w:r>
        <w:rPr>
          <w:rFonts w:ascii="Verdana" w:hAnsi="Verdana"/>
          <w:szCs w:val="20"/>
        </w:rPr>
        <w:t xml:space="preserve"> </w:t>
      </w:r>
      <w:r>
        <w:rPr>
          <w:rFonts w:ascii="Verdana" w:hAnsi="Verdana" w:cs="Times-Bold"/>
          <w:bCs/>
          <w:szCs w:val="20"/>
        </w:rPr>
        <w:t>forçado, observando o disposto nos incisos III e IV do art. 1º e no inciso III do art. 5º da</w:t>
      </w:r>
      <w:r>
        <w:rPr>
          <w:rFonts w:ascii="Verdana" w:hAnsi="Verdana"/>
          <w:szCs w:val="20"/>
        </w:rPr>
        <w:t xml:space="preserve"> </w:t>
      </w:r>
      <w:r>
        <w:rPr>
          <w:rFonts w:ascii="Verdana" w:hAnsi="Verdana" w:cs="Times-Bold"/>
          <w:bCs/>
          <w:szCs w:val="20"/>
        </w:rPr>
        <w:t>Constituição Federal;</w:t>
      </w:r>
    </w:p>
    <w:p>
      <w:pPr>
        <w:pStyle w:val="81"/>
        <w:keepNext w:val="0"/>
        <w:widowControl/>
        <w:numPr>
          <w:ilvl w:val="2"/>
          <w:numId w:val="9"/>
        </w:numPr>
        <w:spacing w:before="120" w:after="120"/>
        <w:rPr>
          <w:rFonts w:ascii="Verdana" w:hAnsi="Verdana" w:cs="Arial"/>
          <w:b/>
          <w:bCs/>
          <w:szCs w:val="20"/>
        </w:rPr>
      </w:pPr>
      <w:r>
        <w:rPr>
          <w:rFonts w:ascii="Verdana" w:hAnsi="Verdana" w:cs="Times-Bold"/>
          <w:bCs/>
          <w:szCs w:val="20"/>
        </w:rPr>
        <w:t>Que cumpre a cota de aprendizagem, estabelecida no art. 429, da Consolidação das Leis</w:t>
      </w:r>
      <w:r>
        <w:rPr>
          <w:rFonts w:ascii="Verdana" w:hAnsi="Verdana"/>
          <w:szCs w:val="20"/>
        </w:rPr>
        <w:t xml:space="preserve"> </w:t>
      </w:r>
      <w:r>
        <w:rPr>
          <w:rFonts w:ascii="Verdana" w:hAnsi="Verdana" w:cs="Times-Bold"/>
          <w:bCs/>
          <w:szCs w:val="20"/>
        </w:rPr>
        <w:t>do Trabalho (CLT).</w:t>
      </w:r>
    </w:p>
    <w:p>
      <w:pPr>
        <w:pStyle w:val="81"/>
        <w:keepNext w:val="0"/>
        <w:widowControl/>
        <w:numPr>
          <w:ilvl w:val="1"/>
          <w:numId w:val="9"/>
        </w:numPr>
        <w:spacing w:before="120" w:after="120"/>
        <w:rPr>
          <w:rFonts w:ascii="Verdana" w:hAnsi="Verdana" w:cs="Arial"/>
          <w:b/>
          <w:bCs/>
          <w:szCs w:val="20"/>
        </w:rPr>
      </w:pPr>
      <w:r>
        <w:rPr>
          <w:rFonts w:ascii="Verdana" w:hAnsi="Verdana" w:cs="Times-Roman"/>
          <w:szCs w:val="20"/>
        </w:rPr>
        <w:t xml:space="preserve">Na fase de habilitação, a Comissão do RDC verificará no sistema eletrônico as declarações a que se referem as </w:t>
      </w:r>
      <w:r>
        <w:rPr>
          <w:rFonts w:ascii="Verdana" w:hAnsi="Verdana" w:cs="Times-Bold"/>
          <w:bCs/>
          <w:szCs w:val="20"/>
        </w:rPr>
        <w:t>alíneas anteriores</w:t>
      </w:r>
      <w:r>
        <w:rPr>
          <w:rFonts w:ascii="Verdana" w:hAnsi="Verdana" w:cs="Times-Roman"/>
          <w:szCs w:val="20"/>
        </w:rPr>
        <w:t xml:space="preserve">, sendo que </w:t>
      </w:r>
      <w:r>
        <w:rPr>
          <w:rFonts w:ascii="Verdana" w:hAnsi="Verdana" w:cs="Times-Roman"/>
          <w:b/>
          <w:bCs/>
          <w:i/>
          <w:iCs/>
          <w:szCs w:val="20"/>
          <w:u w:val="single"/>
        </w:rPr>
        <w:t>não há a necessidade do</w:t>
      </w:r>
      <w:r>
        <w:rPr>
          <w:rFonts w:ascii="Verdana" w:hAnsi="Verdana"/>
          <w:b/>
          <w:bCs/>
          <w:i/>
          <w:iCs/>
          <w:szCs w:val="20"/>
          <w:u w:val="single"/>
        </w:rPr>
        <w:t xml:space="preserve"> </w:t>
      </w:r>
      <w:r>
        <w:rPr>
          <w:rFonts w:ascii="Verdana" w:hAnsi="Verdana" w:cs="Times-Roman"/>
          <w:b/>
          <w:bCs/>
          <w:i/>
          <w:iCs/>
          <w:szCs w:val="20"/>
          <w:u w:val="single"/>
        </w:rPr>
        <w:t>encaminhamento delas por e-mail ou qualquer outro meio</w:t>
      </w:r>
      <w:r>
        <w:rPr>
          <w:rFonts w:ascii="Verdana" w:hAnsi="Verdana" w:cs="Times-Roman"/>
          <w:b/>
          <w:bCs/>
          <w:i/>
          <w:iCs/>
          <w:szCs w:val="20"/>
        </w:rPr>
        <w:t>.</w:t>
      </w:r>
    </w:p>
    <w:p>
      <w:pPr>
        <w:pStyle w:val="81"/>
        <w:keepNext w:val="0"/>
        <w:widowControl/>
        <w:numPr>
          <w:ilvl w:val="1"/>
          <w:numId w:val="9"/>
        </w:numPr>
        <w:spacing w:before="120" w:after="120"/>
        <w:rPr>
          <w:rFonts w:ascii="Verdana" w:hAnsi="Verdana" w:cs="Arial"/>
          <w:b/>
          <w:bCs/>
          <w:szCs w:val="20"/>
        </w:rPr>
      </w:pPr>
      <w:r>
        <w:rPr>
          <w:rFonts w:ascii="Verdana" w:hAnsi="Verdana" w:cs="Times-Roman"/>
          <w:szCs w:val="20"/>
        </w:rPr>
        <w:t>Em caso de declarações falsas, a licitante estará sujeita à tipificação no crime de falsidade</w:t>
      </w:r>
      <w:r>
        <w:rPr>
          <w:rFonts w:ascii="Verdana" w:hAnsi="Verdana"/>
          <w:szCs w:val="20"/>
        </w:rPr>
        <w:t xml:space="preserve"> </w:t>
      </w:r>
      <w:r>
        <w:rPr>
          <w:rFonts w:ascii="Verdana" w:hAnsi="Verdana" w:cs="Times-Roman"/>
          <w:szCs w:val="20"/>
        </w:rPr>
        <w:t>ideológica, nos termos do art. 299 do Decreto-Lei nº 2.848/40 (Código Penal Brasileiro), bem como</w:t>
      </w:r>
      <w:r>
        <w:rPr>
          <w:rFonts w:ascii="Verdana" w:hAnsi="Verdana"/>
          <w:szCs w:val="20"/>
        </w:rPr>
        <w:t xml:space="preserve"> </w:t>
      </w:r>
      <w:r>
        <w:rPr>
          <w:rFonts w:ascii="Verdana" w:hAnsi="Verdana" w:cs="Times-Roman"/>
          <w:szCs w:val="20"/>
        </w:rPr>
        <w:t>nos crimes previstos nos arts. 90 a 93 da Lei nº 8.666/93, sem prejuízo de punição administrativa,</w:t>
      </w:r>
      <w:r>
        <w:rPr>
          <w:rFonts w:ascii="Verdana" w:hAnsi="Verdana"/>
          <w:szCs w:val="20"/>
        </w:rPr>
        <w:t xml:space="preserve"> </w:t>
      </w:r>
      <w:r>
        <w:rPr>
          <w:rFonts w:ascii="Verdana" w:hAnsi="Verdana" w:cs="Times-Roman"/>
          <w:szCs w:val="20"/>
        </w:rPr>
        <w:t>conforme as sanções previstas neste Edital.</w:t>
      </w:r>
    </w:p>
    <w:p>
      <w:pPr>
        <w:pStyle w:val="81"/>
        <w:keepNext w:val="0"/>
        <w:widowControl/>
        <w:numPr>
          <w:ilvl w:val="1"/>
          <w:numId w:val="9"/>
        </w:numPr>
        <w:spacing w:before="120" w:after="120"/>
        <w:rPr>
          <w:rFonts w:ascii="Verdana" w:hAnsi="Verdana" w:cs="Arial"/>
          <w:b/>
          <w:bCs/>
          <w:szCs w:val="20"/>
        </w:rPr>
      </w:pPr>
      <w:r>
        <w:rPr>
          <w:rFonts w:ascii="Verdana" w:hAnsi="Verdana" w:cs="Times-Roman"/>
          <w:szCs w:val="20"/>
        </w:rPr>
        <w:t>Até o horário marcado neste Edital para abertura da sessão de lances, as licitantes poderão retirar ou</w:t>
      </w:r>
      <w:r>
        <w:rPr>
          <w:rFonts w:ascii="Verdana" w:hAnsi="Verdana"/>
          <w:szCs w:val="20"/>
        </w:rPr>
        <w:t xml:space="preserve"> </w:t>
      </w:r>
      <w:r>
        <w:rPr>
          <w:rFonts w:ascii="Verdana" w:hAnsi="Verdana" w:cs="Times-Roman"/>
          <w:szCs w:val="20"/>
        </w:rPr>
        <w:t>substituir a proposta anteriormente apresentada.</w:t>
      </w:r>
    </w:p>
    <w:p>
      <w:pPr>
        <w:pStyle w:val="81"/>
        <w:keepNext w:val="0"/>
        <w:widowControl/>
        <w:numPr>
          <w:ilvl w:val="1"/>
          <w:numId w:val="9"/>
        </w:numPr>
        <w:spacing w:before="120" w:after="120"/>
        <w:rPr>
          <w:rFonts w:ascii="Verdana" w:hAnsi="Verdana" w:cs="Arial"/>
          <w:b/>
          <w:bCs/>
          <w:szCs w:val="20"/>
        </w:rPr>
      </w:pPr>
      <w:r>
        <w:rPr>
          <w:rFonts w:ascii="Verdana" w:hAnsi="Verdana" w:cs="Times-Roman"/>
          <w:szCs w:val="20"/>
        </w:rPr>
        <w:t>Depois do início da sessão de abertura, não caberá desistência da proposta, salvo por motivo justo,</w:t>
      </w:r>
      <w:r>
        <w:rPr>
          <w:rFonts w:ascii="Verdana" w:hAnsi="Verdana"/>
          <w:szCs w:val="20"/>
        </w:rPr>
        <w:t xml:space="preserve"> </w:t>
      </w:r>
      <w:r>
        <w:rPr>
          <w:rFonts w:ascii="Verdana" w:hAnsi="Verdana" w:cs="Times-Roman"/>
          <w:szCs w:val="20"/>
        </w:rPr>
        <w:t>decorrente de fato superveniente, devidamente motivado e comprovado, a ser avaliado pela Comissão do RDC.</w:t>
      </w:r>
    </w:p>
    <w:p>
      <w:pPr>
        <w:pStyle w:val="81"/>
        <w:keepNext w:val="0"/>
        <w:widowControl/>
        <w:numPr>
          <w:ilvl w:val="1"/>
          <w:numId w:val="9"/>
        </w:numPr>
        <w:spacing w:before="120" w:after="120"/>
        <w:rPr>
          <w:rFonts w:ascii="Verdana" w:hAnsi="Verdana" w:cs="Arial"/>
          <w:b/>
          <w:bCs/>
          <w:szCs w:val="20"/>
        </w:rPr>
      </w:pPr>
      <w:r>
        <w:rPr>
          <w:rFonts w:ascii="Verdana" w:hAnsi="Verdana" w:cs="Times-Roman"/>
          <w:szCs w:val="20"/>
        </w:rPr>
        <w:t>Se, após o término da fase competitiva, a licitante solicitar pedido de desclassificação de sua proposta</w:t>
      </w:r>
      <w:r>
        <w:rPr>
          <w:rFonts w:ascii="Verdana" w:hAnsi="Verdana"/>
          <w:szCs w:val="20"/>
        </w:rPr>
        <w:t xml:space="preserve"> </w:t>
      </w:r>
      <w:r>
        <w:rPr>
          <w:rFonts w:ascii="Verdana" w:hAnsi="Verdana" w:cs="Times-Roman"/>
          <w:szCs w:val="20"/>
        </w:rPr>
        <w:t>ou lance, poderá ela ser submetida a processo administrativo, para apuração da sua responsabilidade quanto à</w:t>
      </w:r>
      <w:r>
        <w:rPr>
          <w:rFonts w:ascii="Verdana" w:hAnsi="Verdana"/>
          <w:szCs w:val="20"/>
        </w:rPr>
        <w:t xml:space="preserve"> </w:t>
      </w:r>
      <w:r>
        <w:rPr>
          <w:rFonts w:ascii="Verdana" w:hAnsi="Verdana" w:cs="Times-Roman"/>
          <w:szCs w:val="20"/>
        </w:rPr>
        <w:t>oferta de lance e posterior desistência ou o não encaminhamento da proposta quando solicitada, observadas,</w:t>
      </w:r>
      <w:r>
        <w:rPr>
          <w:rFonts w:ascii="Verdana" w:hAnsi="Verdana"/>
          <w:szCs w:val="20"/>
        </w:rPr>
        <w:t xml:space="preserve"> </w:t>
      </w:r>
      <w:r>
        <w:rPr>
          <w:rFonts w:ascii="Verdana" w:hAnsi="Verdana" w:cs="Times-Roman"/>
          <w:szCs w:val="20"/>
        </w:rPr>
        <w:t>ainda, as sanções administrativas previstas neste Edital.</w:t>
      </w:r>
    </w:p>
    <w:p>
      <w:pPr>
        <w:pStyle w:val="81"/>
        <w:keepNext w:val="0"/>
        <w:widowControl/>
        <w:numPr>
          <w:ilvl w:val="1"/>
          <w:numId w:val="9"/>
        </w:numPr>
        <w:spacing w:before="120" w:after="120"/>
        <w:rPr>
          <w:rFonts w:ascii="Verdana" w:hAnsi="Verdana" w:cs="Arial"/>
          <w:b/>
          <w:bCs/>
          <w:szCs w:val="20"/>
        </w:rPr>
      </w:pPr>
      <w:r>
        <w:rPr>
          <w:rFonts w:ascii="Verdana" w:hAnsi="Verdana" w:cs="Times-Roman"/>
          <w:szCs w:val="20"/>
        </w:rPr>
        <w:t>A não desclassificação da proposta não impede o seu julgamento definitivo em sentido contrário,</w:t>
      </w:r>
      <w:r>
        <w:rPr>
          <w:rFonts w:ascii="Verdana" w:hAnsi="Verdana"/>
          <w:szCs w:val="20"/>
        </w:rPr>
        <w:t xml:space="preserve"> </w:t>
      </w:r>
      <w:r>
        <w:rPr>
          <w:rFonts w:ascii="Verdana" w:hAnsi="Verdana" w:cs="Times-Roman"/>
          <w:szCs w:val="20"/>
        </w:rPr>
        <w:t>levado a efeito na fase de aceitação.</w:t>
      </w:r>
    </w:p>
    <w:p>
      <w:pPr>
        <w:pStyle w:val="81"/>
        <w:keepNext w:val="0"/>
        <w:widowControl/>
        <w:numPr>
          <w:ilvl w:val="1"/>
          <w:numId w:val="9"/>
        </w:numPr>
        <w:spacing w:before="120" w:after="120"/>
        <w:rPr>
          <w:rFonts w:ascii="Verdana" w:hAnsi="Verdana" w:cs="Arial"/>
          <w:b/>
          <w:bCs/>
          <w:szCs w:val="20"/>
        </w:rPr>
      </w:pPr>
      <w:r>
        <w:rPr>
          <w:rFonts w:ascii="Verdana" w:hAnsi="Verdana" w:cs="Times-Roman"/>
          <w:szCs w:val="20"/>
        </w:rPr>
        <w:t>Não serão aceitas reclamações posteriores relativamente às propostas, sem que tenham sido devidamente registradas em campo próprio do sistema eletrônico, no momento oportuno, salvo se previsto</w:t>
      </w:r>
      <w:r>
        <w:rPr>
          <w:rFonts w:ascii="Verdana" w:hAnsi="Verdana"/>
          <w:szCs w:val="20"/>
        </w:rPr>
        <w:t xml:space="preserve"> </w:t>
      </w:r>
      <w:r>
        <w:rPr>
          <w:rFonts w:ascii="Verdana" w:hAnsi="Verdana" w:cs="Times-Roman"/>
          <w:szCs w:val="20"/>
        </w:rPr>
        <w:t>em Lei.</w:t>
      </w:r>
    </w:p>
    <w:p>
      <w:pPr>
        <w:pStyle w:val="81"/>
        <w:keepNext w:val="0"/>
        <w:widowControl/>
        <w:numPr>
          <w:ilvl w:val="1"/>
          <w:numId w:val="9"/>
        </w:numPr>
        <w:spacing w:before="120" w:after="120"/>
        <w:rPr>
          <w:rFonts w:ascii="Verdana" w:hAnsi="Verdana" w:cs="Arial"/>
          <w:b/>
          <w:bCs/>
          <w:szCs w:val="20"/>
        </w:rPr>
      </w:pPr>
      <w:r>
        <w:rPr>
          <w:rFonts w:ascii="Verdana" w:hAnsi="Verdana" w:cs="Times-Roman"/>
          <w:szCs w:val="20"/>
        </w:rPr>
        <w:t>Todas as propostas comerciais ficarão disponíveis no sistema eletrônico COMPRASNET.</w:t>
      </w:r>
    </w:p>
    <w:p>
      <w:pPr>
        <w:pStyle w:val="81"/>
        <w:keepNext w:val="0"/>
        <w:widowControl/>
        <w:numPr>
          <w:ilvl w:val="1"/>
          <w:numId w:val="9"/>
        </w:numPr>
        <w:spacing w:before="120" w:after="120"/>
        <w:rPr>
          <w:rFonts w:ascii="Verdana" w:hAnsi="Verdana" w:cs="Arial"/>
          <w:b/>
          <w:bCs/>
          <w:szCs w:val="20"/>
        </w:rPr>
      </w:pPr>
      <w:r>
        <w:rPr>
          <w:rFonts w:ascii="Verdana" w:hAnsi="Verdana" w:cs="Times-Roman"/>
          <w:szCs w:val="20"/>
        </w:rPr>
        <w:t>Qualquer elemento que possa identificar a licitante até o término da fase de lances, implicará a desclassificação da proposta</w:t>
      </w:r>
      <w:r>
        <w:rPr>
          <w:rFonts w:ascii="Verdana" w:hAnsi="Verdana"/>
          <w:szCs w:val="20"/>
        </w:rPr>
        <w:t xml:space="preserve"> </w:t>
      </w:r>
      <w:r>
        <w:rPr>
          <w:rFonts w:ascii="Verdana" w:hAnsi="Verdana" w:cs="Times-Roman"/>
          <w:szCs w:val="20"/>
        </w:rPr>
        <w:t>comercial, sem prejuízo das sanções previstas neste Edital.</w:t>
      </w:r>
    </w:p>
    <w:p>
      <w:pPr>
        <w:pStyle w:val="81"/>
        <w:keepNext w:val="0"/>
        <w:widowControl/>
        <w:numPr>
          <w:ilvl w:val="1"/>
          <w:numId w:val="9"/>
        </w:numPr>
        <w:spacing w:before="120" w:after="120"/>
        <w:rPr>
          <w:rFonts w:ascii="Verdana" w:hAnsi="Verdana" w:cs="Arial"/>
          <w:b/>
          <w:bCs/>
          <w:szCs w:val="20"/>
        </w:rPr>
      </w:pPr>
      <w:r>
        <w:rPr>
          <w:rFonts w:ascii="Verdana" w:hAnsi="Verdana" w:cs="Arial"/>
          <w:szCs w:val="20"/>
        </w:rPr>
        <w:t>É de inteira responsabilidade da licitante obter dos órgãos competentes, informação sobre a incidência ou não de tributos e taxas de qualquer natureza devidas para o fornecimento objeto desta licitação nos mercados interno e/ou externo, não se admitindo alegação de desconhecimento de incidência tributária, ou outras correlatas.</w:t>
      </w:r>
    </w:p>
    <w:p>
      <w:pPr>
        <w:pStyle w:val="81"/>
        <w:keepNext w:val="0"/>
        <w:widowControl/>
        <w:numPr>
          <w:ilvl w:val="1"/>
          <w:numId w:val="9"/>
        </w:numPr>
        <w:spacing w:before="120" w:after="120"/>
        <w:rPr>
          <w:rFonts w:ascii="Verdana" w:hAnsi="Verdana" w:cs="Arial"/>
          <w:b/>
          <w:bCs/>
          <w:szCs w:val="20"/>
        </w:rPr>
      </w:pPr>
      <w:r>
        <w:rPr>
          <w:rFonts w:ascii="Verdana" w:hAnsi="Verdana" w:cs="Arial"/>
          <w:szCs w:val="20"/>
        </w:rPr>
        <w:t>A licitante deve respeitar os preços máximos estabelecidos nas normas de regência de contratações públicas federais, quando participar de licitações públicas;</w:t>
      </w:r>
    </w:p>
    <w:p>
      <w:pPr>
        <w:pStyle w:val="81"/>
        <w:keepNext w:val="0"/>
        <w:widowControl/>
        <w:numPr>
          <w:ilvl w:val="2"/>
          <w:numId w:val="9"/>
        </w:numPr>
        <w:spacing w:before="120" w:after="120"/>
        <w:rPr>
          <w:rFonts w:ascii="Verdana" w:hAnsi="Verdana" w:cs="Arial"/>
          <w:b/>
          <w:bCs/>
          <w:szCs w:val="20"/>
        </w:rPr>
      </w:pPr>
      <w:r>
        <w:rPr>
          <w:rFonts w:ascii="Verdana" w:hAnsi="Verdana" w:cs="Arial"/>
          <w:color w:val="000000"/>
          <w:szCs w:val="20"/>
        </w:rPr>
        <w:t>O descumprimento das regras supramencionadas pela Administração, por parte das contratadas pode ensejar a responsabilização pelo Tribunal de Contas da União e, após o devido processo legal, gerar as seguintes consequências: assinatura de prazo para a adoção das medidas necessárias ao exato cumprimento da lei, nos termos do art. 71, inciso IX, da Constituição; ou condenação dos agentes públicos responsáveis e da empresa contratada ao pagamento dos prejuízos ao erário, caso verificada a ocorrência de superfaturamento por sobrepreço na execução do contrato.</w:t>
      </w:r>
    </w:p>
    <w:p>
      <w:pPr>
        <w:pStyle w:val="81"/>
        <w:keepNext w:val="0"/>
        <w:widowControl/>
        <w:numPr>
          <w:ilvl w:val="1"/>
          <w:numId w:val="9"/>
        </w:numPr>
        <w:spacing w:before="120" w:after="120"/>
        <w:rPr>
          <w:rFonts w:ascii="Verdana" w:hAnsi="Verdana" w:cs="Arial"/>
          <w:b/>
          <w:bCs/>
          <w:szCs w:val="20"/>
        </w:rPr>
      </w:pPr>
      <w:r>
        <w:rPr>
          <w:rFonts w:ascii="Verdana" w:hAnsi="Verdana" w:cs="Arial"/>
          <w:color w:val="000000"/>
          <w:szCs w:val="20"/>
        </w:rPr>
        <w:t>A verificação de conformidade das propostas será feita exclusivamente em relação à proposta mais bem classificada, após a fase de disputas, nos termos do art. 24, §1º da Lei nº 12.462/11.</w:t>
      </w:r>
    </w:p>
    <w:p>
      <w:pPr>
        <w:pStyle w:val="81"/>
        <w:keepNext w:val="0"/>
        <w:widowControl/>
        <w:spacing w:before="120" w:after="120"/>
        <w:ind w:left="425" w:firstLine="0"/>
        <w:rPr>
          <w:rFonts w:ascii="Verdana" w:hAnsi="Verdana" w:cs="Arial"/>
          <w:szCs w:val="20"/>
        </w:rPr>
      </w:pPr>
    </w:p>
    <w:p>
      <w:pPr>
        <w:pStyle w:val="81"/>
        <w:keepNext w:val="0"/>
        <w:numPr>
          <w:ilvl w:val="0"/>
          <w:numId w:val="15"/>
        </w:numPr>
        <w:rPr>
          <w:rFonts w:ascii="Verdana" w:hAnsi="Verdana" w:cs="Arial"/>
          <w:szCs w:val="20"/>
        </w:rPr>
      </w:pPr>
      <w:bookmarkStart w:id="10" w:name="_Hlk505081883"/>
      <w:r>
        <w:rPr>
          <w:rFonts w:ascii="Verdana" w:hAnsi="Verdana" w:cs="Arial"/>
          <w:b/>
          <w:color w:val="000000"/>
          <w:szCs w:val="20"/>
        </w:rPr>
        <w:t>DA FASE DE DISPUTAS</w:t>
      </w:r>
    </w:p>
    <w:p>
      <w:pPr>
        <w:pStyle w:val="81"/>
        <w:keepNext w:val="0"/>
        <w:widowControl/>
        <w:numPr>
          <w:ilvl w:val="1"/>
          <w:numId w:val="15"/>
        </w:numPr>
        <w:spacing w:before="120" w:after="120"/>
        <w:ind w:left="851" w:hanging="426"/>
        <w:rPr>
          <w:rFonts w:ascii="Verdana" w:hAnsi="Verdana" w:cs="Arial"/>
          <w:szCs w:val="20"/>
        </w:rPr>
      </w:pPr>
      <w:r>
        <w:rPr>
          <w:rFonts w:ascii="Verdana" w:hAnsi="Verdana" w:cs="Arial"/>
          <w:color w:val="000000"/>
          <w:szCs w:val="20"/>
          <w:lang w:eastAsia="en-US"/>
        </w:rPr>
        <w:t>A abertura da presente licitação dar-se-á em sessão pública, por meio de sistema eletrônico, na data, horário e local indicados neste Edital.</w:t>
      </w:r>
    </w:p>
    <w:p>
      <w:pPr>
        <w:pStyle w:val="81"/>
        <w:keepNext w:val="0"/>
        <w:widowControl/>
        <w:numPr>
          <w:ilvl w:val="1"/>
          <w:numId w:val="15"/>
        </w:numPr>
        <w:spacing w:before="120" w:after="120"/>
        <w:ind w:left="851" w:hanging="426"/>
        <w:rPr>
          <w:rFonts w:ascii="Verdana" w:hAnsi="Verdana" w:cs="Arial"/>
          <w:iCs/>
          <w:szCs w:val="20"/>
        </w:rPr>
      </w:pPr>
      <w:r>
        <w:rPr>
          <w:rFonts w:ascii="Verdana" w:hAnsi="Verdana" w:cs="Arial"/>
          <w:iCs/>
          <w:szCs w:val="20"/>
        </w:rPr>
        <w:t>O modo de disputa será o aberto.</w:t>
      </w:r>
    </w:p>
    <w:p>
      <w:pPr>
        <w:pStyle w:val="81"/>
        <w:keepNext w:val="0"/>
        <w:widowControl/>
        <w:numPr>
          <w:ilvl w:val="1"/>
          <w:numId w:val="15"/>
        </w:numPr>
        <w:spacing w:before="120" w:after="120"/>
        <w:ind w:left="851" w:hanging="426"/>
        <w:rPr>
          <w:rFonts w:ascii="Verdana" w:hAnsi="Verdana" w:cs="Arial"/>
          <w:iCs/>
          <w:szCs w:val="20"/>
        </w:rPr>
      </w:pPr>
      <w:r>
        <w:rPr>
          <w:rFonts w:ascii="Verdana" w:hAnsi="Verdana" w:cs="Arial"/>
          <w:iCs/>
          <w:szCs w:val="20"/>
        </w:rPr>
        <w:t>As licitantes apresentarão suas propostas em sessão pública por meio de lances públicos, sucessivos e crescentes.</w:t>
      </w:r>
    </w:p>
    <w:p>
      <w:pPr>
        <w:pStyle w:val="81"/>
        <w:keepNext w:val="0"/>
        <w:numPr>
          <w:ilvl w:val="1"/>
          <w:numId w:val="15"/>
        </w:numPr>
        <w:spacing w:before="120" w:after="120"/>
        <w:ind w:left="851" w:hanging="426"/>
        <w:rPr>
          <w:rFonts w:ascii="Verdana" w:hAnsi="Verdana" w:cs="Arial"/>
          <w:iCs/>
          <w:szCs w:val="20"/>
        </w:rPr>
      </w:pPr>
      <w:r>
        <w:rPr>
          <w:rFonts w:ascii="Verdana" w:hAnsi="Verdana" w:cs="Arial"/>
          <w:iCs/>
          <w:szCs w:val="20"/>
        </w:rPr>
        <w:t>Após a definição da melhor proposta, a Comissão do RDC verificará a diferença de valores apresentada entre a primeira e a segunda classificadas, podendo o Presidente da Comissão reabrir a fase de lances, caso essa diferença seja superior a 10% (dez por cento).</w:t>
      </w:r>
    </w:p>
    <w:p>
      <w:pPr>
        <w:pStyle w:val="81"/>
        <w:keepNext w:val="0"/>
        <w:numPr>
          <w:ilvl w:val="2"/>
          <w:numId w:val="15"/>
        </w:numPr>
        <w:spacing w:before="120" w:after="120"/>
        <w:ind w:left="1134" w:hanging="283"/>
        <w:rPr>
          <w:rFonts w:ascii="Verdana" w:hAnsi="Verdana" w:cs="Arial"/>
          <w:iCs/>
          <w:szCs w:val="20"/>
        </w:rPr>
      </w:pPr>
      <w:r>
        <w:rPr>
          <w:rFonts w:ascii="Verdana" w:hAnsi="Verdana" w:cs="Arial"/>
          <w:iCs/>
          <w:szCs w:val="20"/>
        </w:rPr>
        <w:t xml:space="preserve">A reabertura da fase de lances tem por objetivo aproximar as demais propostas do valor apresentado pela primeira colocada. </w:t>
      </w:r>
    </w:p>
    <w:p>
      <w:pPr>
        <w:pStyle w:val="81"/>
        <w:keepNext w:val="0"/>
        <w:numPr>
          <w:ilvl w:val="3"/>
          <w:numId w:val="15"/>
        </w:numPr>
        <w:spacing w:before="120" w:after="120"/>
        <w:ind w:left="1418" w:hanging="284"/>
        <w:rPr>
          <w:rFonts w:ascii="Verdana" w:hAnsi="Verdana" w:cs="Arial"/>
          <w:iCs/>
          <w:szCs w:val="20"/>
        </w:rPr>
      </w:pPr>
      <w:r>
        <w:rPr>
          <w:rFonts w:ascii="Verdana" w:hAnsi="Verdana" w:cs="Arial"/>
          <w:iCs/>
          <w:szCs w:val="20"/>
        </w:rPr>
        <w:t>A primeira colocada não participará dessa fase de reabertura e não haverá alteração da sua classificação, apenas das licitantes subsequentes.</w:t>
      </w:r>
    </w:p>
    <w:p>
      <w:pPr>
        <w:pStyle w:val="81"/>
        <w:keepNext w:val="0"/>
        <w:numPr>
          <w:ilvl w:val="2"/>
          <w:numId w:val="15"/>
        </w:numPr>
        <w:spacing w:before="120" w:after="120"/>
        <w:ind w:left="1134" w:hanging="283"/>
        <w:rPr>
          <w:rFonts w:ascii="Verdana" w:hAnsi="Verdana" w:cs="Arial"/>
          <w:iCs/>
          <w:szCs w:val="20"/>
        </w:rPr>
      </w:pPr>
      <w:r>
        <w:rPr>
          <w:rFonts w:ascii="Verdana" w:hAnsi="Verdana" w:cs="Arial"/>
          <w:iCs/>
          <w:szCs w:val="20"/>
        </w:rPr>
        <w:t>Reaberta a etapa competitiva, as licitantes classificadas poderão encaminhar lances sucessivos, exclusivamente por meio do sistema eletrônico, sendo imediatamente informados do horário e valor consignados no registro de cada lance.</w:t>
      </w:r>
    </w:p>
    <w:p>
      <w:pPr>
        <w:pStyle w:val="81"/>
        <w:keepNext w:val="0"/>
        <w:numPr>
          <w:ilvl w:val="2"/>
          <w:numId w:val="15"/>
        </w:numPr>
        <w:spacing w:before="120" w:after="120"/>
        <w:ind w:left="1134" w:hanging="283"/>
        <w:rPr>
          <w:rFonts w:ascii="Verdana" w:hAnsi="Verdana" w:cs="Arial"/>
          <w:i/>
          <w:iCs/>
          <w:color w:val="FF0000"/>
          <w:szCs w:val="20"/>
        </w:rPr>
      </w:pPr>
      <w:r>
        <w:rPr>
          <w:rFonts w:ascii="Verdana" w:hAnsi="Verdana" w:cs="Arial"/>
          <w:iCs/>
          <w:szCs w:val="20"/>
        </w:rPr>
        <w:t>Lances iguais serão classificados conforme a ordem de apresentação.</w:t>
      </w:r>
      <w:r>
        <w:rPr>
          <w:rFonts w:ascii="Verdana" w:hAnsi="Verdana" w:cs="Arial"/>
          <w:i/>
          <w:iCs/>
          <w:color w:val="FF0000"/>
          <w:szCs w:val="20"/>
        </w:rPr>
        <w:t xml:space="preserve">  </w:t>
      </w:r>
    </w:p>
    <w:p>
      <w:pPr>
        <w:pStyle w:val="81"/>
        <w:keepNext w:val="0"/>
        <w:numPr>
          <w:ilvl w:val="1"/>
          <w:numId w:val="15"/>
        </w:numPr>
        <w:spacing w:before="120" w:after="120"/>
        <w:ind w:left="851" w:hanging="425"/>
        <w:rPr>
          <w:rFonts w:ascii="Verdana" w:hAnsi="Verdana" w:cs="Arial"/>
          <w:i/>
          <w:iCs/>
          <w:color w:val="FF0000"/>
          <w:szCs w:val="20"/>
        </w:rPr>
      </w:pPr>
      <w:r>
        <w:rPr>
          <w:rFonts w:ascii="Verdana" w:hAnsi="Verdana" w:cs="Arial"/>
          <w:szCs w:val="20"/>
        </w:rPr>
        <w:t>Havendo a adoção de fase aberta, com ou sem combinação, os lances seguirão as seguintes regras:</w:t>
      </w:r>
    </w:p>
    <w:p>
      <w:pPr>
        <w:pStyle w:val="81"/>
        <w:keepNext w:val="0"/>
        <w:numPr>
          <w:ilvl w:val="2"/>
          <w:numId w:val="15"/>
        </w:numPr>
        <w:spacing w:before="120" w:after="120"/>
        <w:ind w:left="1134" w:hanging="283"/>
        <w:rPr>
          <w:rFonts w:ascii="Verdana" w:hAnsi="Verdana" w:cs="Arial"/>
          <w:i/>
          <w:iCs/>
          <w:color w:val="FF0000"/>
          <w:szCs w:val="20"/>
        </w:rPr>
      </w:pPr>
      <w:r>
        <w:rPr>
          <w:rFonts w:ascii="Verdana" w:hAnsi="Verdana" w:cs="Arial"/>
          <w:szCs w:val="20"/>
        </w:rPr>
        <w:t>Iniciada a etapa, as licitantes deverão encaminhar lances exclusivamente por meio de sistema eletrônico, sendo imediatamente informados do seu recebimento e do valor consignado no registro.</w:t>
      </w:r>
    </w:p>
    <w:p>
      <w:pPr>
        <w:pStyle w:val="81"/>
        <w:keepNext w:val="0"/>
        <w:numPr>
          <w:ilvl w:val="2"/>
          <w:numId w:val="15"/>
        </w:numPr>
        <w:spacing w:before="120" w:after="120"/>
        <w:ind w:left="1134" w:hanging="283"/>
        <w:rPr>
          <w:rFonts w:ascii="Verdana" w:hAnsi="Verdana" w:cs="Arial"/>
          <w:iCs/>
          <w:szCs w:val="20"/>
        </w:rPr>
      </w:pPr>
      <w:r>
        <w:rPr>
          <w:rFonts w:ascii="Verdana" w:hAnsi="Verdana" w:cs="Arial"/>
          <w:iCs/>
          <w:szCs w:val="20"/>
        </w:rPr>
        <w:t xml:space="preserve">O lance deverá ser ofertado pelo valor total proposto para a execução dos serviços a serem contratados. </w:t>
      </w:r>
    </w:p>
    <w:p>
      <w:pPr>
        <w:pStyle w:val="81"/>
        <w:keepNext w:val="0"/>
        <w:numPr>
          <w:ilvl w:val="2"/>
          <w:numId w:val="15"/>
        </w:numPr>
        <w:spacing w:before="120" w:after="120"/>
        <w:ind w:left="1134" w:hanging="283"/>
        <w:rPr>
          <w:rFonts w:ascii="Verdana" w:hAnsi="Verdana" w:cs="Arial"/>
          <w:iCs/>
          <w:szCs w:val="20"/>
        </w:rPr>
      </w:pPr>
      <w:r>
        <w:rPr>
          <w:rFonts w:ascii="Verdana" w:hAnsi="Verdana" w:cs="Arial"/>
          <w:szCs w:val="20"/>
        </w:rPr>
        <w:t>As licitantes poderão oferecer lances sucessivos, observando o horário fixado para abertura da sessão e as regras estabelecidas no Edital.</w:t>
      </w:r>
    </w:p>
    <w:p>
      <w:pPr>
        <w:pStyle w:val="81"/>
        <w:keepNext w:val="0"/>
        <w:numPr>
          <w:ilvl w:val="2"/>
          <w:numId w:val="15"/>
        </w:numPr>
        <w:spacing w:before="120" w:after="120"/>
        <w:ind w:left="1134" w:hanging="283"/>
        <w:rPr>
          <w:rFonts w:ascii="Verdana" w:hAnsi="Verdana" w:cs="Arial"/>
          <w:iCs/>
          <w:szCs w:val="20"/>
        </w:rPr>
      </w:pPr>
      <w:r>
        <w:rPr>
          <w:rFonts w:ascii="Verdana" w:hAnsi="Verdana" w:cs="Arial"/>
          <w:szCs w:val="20"/>
        </w:rPr>
        <w:t xml:space="preserve">A licitante somente poderá oferecer lance de valor inferior ao último por ele ofertado e registrado pelo sistema. </w:t>
      </w:r>
    </w:p>
    <w:p>
      <w:pPr>
        <w:pStyle w:val="81"/>
        <w:keepNext w:val="0"/>
        <w:numPr>
          <w:ilvl w:val="2"/>
          <w:numId w:val="15"/>
        </w:numPr>
        <w:spacing w:before="120" w:after="120"/>
        <w:ind w:left="1134" w:hanging="283"/>
        <w:rPr>
          <w:rFonts w:ascii="Verdana" w:hAnsi="Verdana" w:cs="Arial"/>
          <w:iCs/>
          <w:szCs w:val="20"/>
        </w:rPr>
      </w:pPr>
      <w:r>
        <w:rPr>
          <w:rFonts w:ascii="Verdana" w:hAnsi="Verdana" w:cs="Arial"/>
          <w:iCs/>
          <w:szCs w:val="20"/>
        </w:rPr>
        <w:t>O intervalo mínimo de diferença de valores entre os lances, que incidirá tanto em relação aos lances intermediários quanto em relação à proposta que cobrir a melhor oferta deverá ser de 0,1% (um décimo percentual).</w:t>
      </w:r>
    </w:p>
    <w:p>
      <w:pPr>
        <w:pStyle w:val="81"/>
        <w:keepNext w:val="0"/>
        <w:numPr>
          <w:ilvl w:val="2"/>
          <w:numId w:val="15"/>
        </w:numPr>
        <w:spacing w:before="120" w:after="120"/>
        <w:ind w:left="1134" w:hanging="283"/>
        <w:rPr>
          <w:rFonts w:ascii="Verdana" w:hAnsi="Verdana" w:cs="Arial"/>
          <w:iCs/>
          <w:szCs w:val="20"/>
        </w:rPr>
      </w:pPr>
      <w:r>
        <w:rPr>
          <w:rFonts w:ascii="Verdana" w:hAnsi="Verdana" w:cs="Arial"/>
          <w:szCs w:val="20"/>
        </w:rPr>
        <w:t>O intervalo entre os lances enviados pela mesma licitante não poderá ser inferior a vinte (20) segundos e o intervalo entre lances não poderá ser inferior a três (3) segundos.</w:t>
      </w:r>
    </w:p>
    <w:p>
      <w:pPr>
        <w:pStyle w:val="81"/>
        <w:keepNext w:val="0"/>
        <w:numPr>
          <w:ilvl w:val="2"/>
          <w:numId w:val="15"/>
        </w:numPr>
        <w:spacing w:before="120" w:after="120"/>
        <w:ind w:left="1134" w:hanging="283"/>
        <w:rPr>
          <w:rFonts w:ascii="Verdana" w:hAnsi="Verdana" w:cs="Arial"/>
          <w:iCs/>
          <w:szCs w:val="20"/>
        </w:rPr>
      </w:pPr>
      <w:r>
        <w:rPr>
          <w:rFonts w:ascii="Verdana" w:hAnsi="Verdana" w:cs="Arial"/>
          <w:szCs w:val="20"/>
        </w:rPr>
        <w:t>Os lances enviados em desacordo com o item acima serão descartados automaticamente pelo sistema.</w:t>
      </w:r>
    </w:p>
    <w:p>
      <w:pPr>
        <w:pStyle w:val="81"/>
        <w:keepNext w:val="0"/>
        <w:numPr>
          <w:ilvl w:val="2"/>
          <w:numId w:val="15"/>
        </w:numPr>
        <w:spacing w:before="120" w:after="120"/>
        <w:ind w:left="1134" w:hanging="283"/>
        <w:rPr>
          <w:rFonts w:ascii="Verdana" w:hAnsi="Verdana" w:cs="Arial"/>
          <w:iCs/>
          <w:szCs w:val="20"/>
        </w:rPr>
      </w:pPr>
      <w:r>
        <w:rPr>
          <w:rFonts w:ascii="Verdana" w:hAnsi="Verdana" w:cs="Arial"/>
          <w:szCs w:val="20"/>
        </w:rPr>
        <w:t>Em caso de falha no Sistema, os lances em desacordo com a norma deverão ser desconsiderados pelo presidente da comissão de licitação do RDC, com registro da ocorrência em campo próprio do sistema e comunicação imediatamente à Secretaria de Gestão do Ministério da Economia.</w:t>
      </w:r>
    </w:p>
    <w:p>
      <w:pPr>
        <w:pStyle w:val="81"/>
        <w:keepNext w:val="0"/>
        <w:numPr>
          <w:ilvl w:val="2"/>
          <w:numId w:val="15"/>
        </w:numPr>
        <w:spacing w:before="120" w:after="120"/>
        <w:ind w:left="1134" w:hanging="283"/>
        <w:rPr>
          <w:rFonts w:ascii="Verdana" w:hAnsi="Verdana" w:cs="Arial"/>
          <w:iCs/>
          <w:szCs w:val="20"/>
        </w:rPr>
      </w:pPr>
      <w:r>
        <w:rPr>
          <w:rFonts w:ascii="Verdana" w:hAnsi="Verdana" w:cs="Arial"/>
          <w:szCs w:val="20"/>
        </w:rPr>
        <w:t>Não serão aceitos dois ou mais lances de mesmo valor, prevalecendo aquele que for recebido e registrado em primeiro lugar.</w:t>
      </w:r>
    </w:p>
    <w:p>
      <w:pPr>
        <w:pStyle w:val="81"/>
        <w:keepNext w:val="0"/>
        <w:numPr>
          <w:ilvl w:val="2"/>
          <w:numId w:val="15"/>
        </w:numPr>
        <w:spacing w:before="120" w:after="120"/>
        <w:ind w:left="1134" w:hanging="283"/>
        <w:rPr>
          <w:rFonts w:ascii="Verdana" w:hAnsi="Verdana" w:cs="Arial"/>
          <w:iCs/>
          <w:szCs w:val="20"/>
        </w:rPr>
      </w:pPr>
      <w:r>
        <w:rPr>
          <w:rFonts w:ascii="Verdana" w:hAnsi="Verdana" w:cs="Arial"/>
          <w:szCs w:val="20"/>
        </w:rPr>
        <w:t>Durante o transcurso da sessão pública, as licitantes serão informadas, em tempo real, do valor do menor lance registrado, vedada a identificação da licitante.</w:t>
      </w:r>
    </w:p>
    <w:p>
      <w:pPr>
        <w:pStyle w:val="81"/>
        <w:keepNext w:val="0"/>
        <w:numPr>
          <w:ilvl w:val="2"/>
          <w:numId w:val="15"/>
        </w:numPr>
        <w:spacing w:before="120" w:after="120"/>
        <w:ind w:left="1134" w:hanging="283"/>
        <w:rPr>
          <w:rFonts w:ascii="Verdana" w:hAnsi="Verdana" w:cs="Arial"/>
          <w:iCs/>
          <w:szCs w:val="20"/>
        </w:rPr>
      </w:pPr>
      <w:r>
        <w:rPr>
          <w:rFonts w:ascii="Verdana" w:hAnsi="Verdana" w:cs="Arial"/>
          <w:szCs w:val="20"/>
        </w:rPr>
        <w:t xml:space="preserve">A etapa de lances da sessão pública será encerrada por decisão do Presidente da Comissão do RDC, que informará, com cinco minutos de antecedência, o horário previsto. O sistema eletrônico encaminhará aviso de fechamento iminente dos lances, após o que transcorrerá período de até 30 (trinta) minutos, aleatoriamente determinado pelo sistema, findo o qual será automaticamente encerrada a recepção de lances. </w:t>
      </w:r>
    </w:p>
    <w:p>
      <w:pPr>
        <w:pStyle w:val="81"/>
        <w:keepNext w:val="0"/>
        <w:numPr>
          <w:ilvl w:val="1"/>
          <w:numId w:val="15"/>
        </w:numPr>
        <w:spacing w:before="120" w:after="120"/>
        <w:ind w:left="851" w:hanging="425"/>
        <w:rPr>
          <w:rFonts w:ascii="Verdana" w:hAnsi="Verdana" w:cs="Arial"/>
          <w:iCs/>
          <w:szCs w:val="20"/>
        </w:rPr>
      </w:pPr>
      <w:r>
        <w:rPr>
          <w:rFonts w:ascii="Verdana" w:hAnsi="Verdana" w:cs="Arial"/>
          <w:color w:val="000000"/>
          <w:szCs w:val="20"/>
        </w:rPr>
        <w:t>O sistema disponibilizará campo próprio para troca de mensagens entre a Comissão do RDC e as licitantes.</w:t>
      </w:r>
    </w:p>
    <w:p>
      <w:pPr>
        <w:pStyle w:val="81"/>
        <w:keepNext w:val="0"/>
        <w:numPr>
          <w:ilvl w:val="1"/>
          <w:numId w:val="15"/>
        </w:numPr>
        <w:spacing w:before="120" w:after="120"/>
        <w:ind w:left="851" w:hanging="425"/>
        <w:rPr>
          <w:rFonts w:ascii="Verdana" w:hAnsi="Verdana" w:cs="Arial"/>
          <w:iCs/>
          <w:szCs w:val="20"/>
        </w:rPr>
      </w:pPr>
      <w:r>
        <w:rPr>
          <w:rFonts w:ascii="Verdana" w:hAnsi="Verdana" w:cs="Arial"/>
          <w:color w:val="000000"/>
          <w:szCs w:val="20"/>
        </w:rPr>
        <w:t>No caso de desconexão com a Comissão do RDC, no decorrer da etapa competitiva do RDC, o sistema eletrônico poderá permanecer acessível as licitantes para a recepção dos lances.</w:t>
      </w:r>
    </w:p>
    <w:p>
      <w:pPr>
        <w:pStyle w:val="81"/>
        <w:keepNext w:val="0"/>
        <w:numPr>
          <w:ilvl w:val="1"/>
          <w:numId w:val="15"/>
        </w:numPr>
        <w:spacing w:before="120" w:after="120"/>
        <w:ind w:left="851" w:hanging="425"/>
        <w:rPr>
          <w:rFonts w:ascii="Verdana" w:hAnsi="Verdana" w:cs="Arial"/>
          <w:iCs/>
          <w:szCs w:val="20"/>
        </w:rPr>
      </w:pPr>
      <w:r>
        <w:rPr>
          <w:rFonts w:ascii="Verdana" w:hAnsi="Verdana" w:cs="Arial"/>
          <w:color w:val="000000"/>
          <w:szCs w:val="20"/>
        </w:rPr>
        <w:t>Se a desconexão perdurar por tempo superior a 10 (dez) minutos, a sessão será suspensa e terá reinício somente após comunicação expressa da Comissão do RDC aos participantes.</w:t>
      </w:r>
    </w:p>
    <w:p>
      <w:pPr>
        <w:pStyle w:val="81"/>
        <w:keepNext w:val="0"/>
        <w:numPr>
          <w:ilvl w:val="1"/>
          <w:numId w:val="15"/>
        </w:numPr>
        <w:spacing w:before="120" w:after="120"/>
        <w:ind w:left="851" w:hanging="425"/>
        <w:rPr>
          <w:rFonts w:ascii="Verdana" w:hAnsi="Verdana" w:cs="Arial"/>
          <w:iCs/>
          <w:szCs w:val="20"/>
        </w:rPr>
      </w:pPr>
      <w:r>
        <w:rPr>
          <w:rFonts w:ascii="Verdana" w:hAnsi="Verdana" w:cs="Arial"/>
          <w:color w:val="000000"/>
          <w:szCs w:val="20"/>
        </w:rPr>
        <w:t>Encerrada a fase de apresentação de propostas ou lances, o sistema identificará em coluna própria as microempresas, empresas de pequeno porte e sociedades cooperativas participantes, procedendo à comparação com os valores da primeira colocada, se esta for empresa de maior porte, assim como das demais classificadas, para o fim de aplicar-se o disposto nos arts. 44 e 45 da LC nº 123, de 2006, regulamentada pelo Decreto nº 8.538, de 2015.</w:t>
      </w:r>
    </w:p>
    <w:p>
      <w:pPr>
        <w:pStyle w:val="81"/>
        <w:keepNext w:val="0"/>
        <w:numPr>
          <w:ilvl w:val="1"/>
          <w:numId w:val="15"/>
        </w:numPr>
        <w:spacing w:before="120" w:after="120"/>
        <w:ind w:left="851" w:hanging="425"/>
        <w:rPr>
          <w:rFonts w:ascii="Verdana" w:hAnsi="Verdana" w:cs="Arial"/>
          <w:iCs/>
          <w:szCs w:val="20"/>
        </w:rPr>
      </w:pPr>
      <w:r>
        <w:rPr>
          <w:rFonts w:ascii="Verdana" w:hAnsi="Verdana" w:cs="Arial"/>
          <w:color w:val="000000"/>
          <w:szCs w:val="20"/>
        </w:rPr>
        <w:t>Nessas condições, as propostas de microempresas, empresas de pequeno porte e sociedades cooperativas que se encontrarem na faixa de até 10% (dez por cento) acima da proposta ou lance de menor preço serão consideradas empatadas com a primeira colocada.</w:t>
      </w:r>
    </w:p>
    <w:p>
      <w:pPr>
        <w:pStyle w:val="81"/>
        <w:keepNext w:val="0"/>
        <w:numPr>
          <w:ilvl w:val="1"/>
          <w:numId w:val="15"/>
        </w:numPr>
        <w:spacing w:before="120" w:after="120"/>
        <w:ind w:left="851" w:hanging="425"/>
        <w:rPr>
          <w:rFonts w:ascii="Verdana" w:hAnsi="Verdana" w:cs="Arial"/>
          <w:iCs/>
          <w:szCs w:val="20"/>
        </w:rPr>
      </w:pPr>
      <w:r>
        <w:rPr>
          <w:rFonts w:ascii="Verdana" w:hAnsi="Verdana" w:cs="Arial"/>
          <w:color w:val="000000"/>
          <w:szCs w:val="20"/>
        </w:rPr>
        <w:t>A mais bem classificada nos termos do item anterior terá o direito de encaminhar uma última oferta para desempate, obrigatoriamente em valor inferior ao da primeira colocada, no prazo de 5 (cinco) minutos controlados pelo sistema, contados após a comunicação automática para tanto.</w:t>
      </w:r>
    </w:p>
    <w:p>
      <w:pPr>
        <w:pStyle w:val="81"/>
        <w:keepNext w:val="0"/>
        <w:numPr>
          <w:ilvl w:val="1"/>
          <w:numId w:val="15"/>
        </w:numPr>
        <w:spacing w:before="120" w:after="120"/>
        <w:ind w:left="851" w:hanging="425"/>
        <w:rPr>
          <w:rFonts w:ascii="Verdana" w:hAnsi="Verdana" w:cs="Arial"/>
          <w:iCs/>
          <w:szCs w:val="20"/>
        </w:rPr>
      </w:pPr>
      <w:r>
        <w:rPr>
          <w:rFonts w:ascii="Verdana" w:hAnsi="Verdana" w:cs="Arial"/>
          <w:color w:val="000000"/>
          <w:szCs w:val="20"/>
        </w:rPr>
        <w:t>Caso a microempresa, empresa de pequeno porte ou sociedade cooperativa melhor classificada desista ou não se manifeste no prazo estabelecido, serão convocadas as demais licitantes microempresa, empresa de pequeno porte e sociedade cooperativa que se encontrem naquele intervalo de 10% (dez por cento), na ordem de classificação, para o exercício do mesmo direito, no prazo estabelecido no subitem anterior.</w:t>
      </w:r>
      <w:bookmarkEnd w:id="10"/>
    </w:p>
    <w:p>
      <w:pPr>
        <w:pStyle w:val="81"/>
        <w:keepNext w:val="0"/>
        <w:numPr>
          <w:ilvl w:val="1"/>
          <w:numId w:val="15"/>
        </w:numPr>
        <w:spacing w:before="120" w:after="120"/>
        <w:ind w:left="851" w:hanging="425"/>
        <w:rPr>
          <w:rFonts w:ascii="Verdana" w:hAnsi="Verdana" w:cs="Arial"/>
          <w:iCs/>
          <w:szCs w:val="20"/>
        </w:rPr>
      </w:pPr>
      <w:r>
        <w:rPr>
          <w:rFonts w:ascii="Verdana" w:hAnsi="Verdana" w:cs="Arial"/>
          <w:color w:val="000000"/>
          <w:szCs w:val="20"/>
        </w:rPr>
        <w:t>No caso de equivalência dos valores apresentados pelas microempresas ou empresas de pequeno porte que se encontrem no intervalo estabelecido nesta condição, o sistema fará um sorteio eletrônico, definindo e convocando automaticamente a vencedora para o encaminhamento da oferta final do desempate.</w:t>
      </w:r>
    </w:p>
    <w:p>
      <w:pPr>
        <w:pStyle w:val="81"/>
        <w:keepNext w:val="0"/>
        <w:numPr>
          <w:ilvl w:val="1"/>
          <w:numId w:val="15"/>
        </w:numPr>
        <w:spacing w:before="120" w:after="120"/>
        <w:ind w:left="851" w:hanging="425"/>
        <w:rPr>
          <w:rFonts w:ascii="Verdana" w:hAnsi="Verdana" w:cs="Arial"/>
          <w:iCs/>
          <w:szCs w:val="20"/>
        </w:rPr>
      </w:pPr>
      <w:r>
        <w:rPr>
          <w:rFonts w:ascii="Verdana" w:hAnsi="Verdana" w:cs="Arial"/>
          <w:color w:val="000000"/>
          <w:szCs w:val="20"/>
        </w:rPr>
        <w:t>Após a aplicação do disposto no subitem anterior, persistindo o empate entre 2 (duas) ou mais propostas, serão utilizados os seguintes critérios de desempate, nesta ordem:</w:t>
      </w:r>
    </w:p>
    <w:p>
      <w:pPr>
        <w:pStyle w:val="81"/>
        <w:keepNext w:val="0"/>
        <w:numPr>
          <w:ilvl w:val="2"/>
          <w:numId w:val="15"/>
        </w:numPr>
        <w:spacing w:before="120" w:after="120"/>
        <w:ind w:left="1134" w:hanging="283"/>
        <w:rPr>
          <w:rFonts w:ascii="Verdana" w:hAnsi="Verdana" w:cs="Arial"/>
          <w:iCs/>
          <w:szCs w:val="20"/>
        </w:rPr>
      </w:pPr>
      <w:r>
        <w:rPr>
          <w:rFonts w:ascii="Verdana" w:hAnsi="Verdana" w:cs="Arial"/>
          <w:color w:val="000000"/>
          <w:szCs w:val="20"/>
        </w:rPr>
        <w:t>Disputa final, em que as licitantes empatadas poderão apresentar nova proposta fechada em ato contínuo à classificação;</w:t>
      </w:r>
    </w:p>
    <w:p>
      <w:pPr>
        <w:pStyle w:val="81"/>
        <w:keepNext w:val="0"/>
        <w:numPr>
          <w:ilvl w:val="2"/>
          <w:numId w:val="15"/>
        </w:numPr>
        <w:spacing w:before="120" w:after="120"/>
        <w:ind w:left="1134" w:hanging="283"/>
        <w:rPr>
          <w:rFonts w:ascii="Verdana" w:hAnsi="Verdana" w:cs="Arial"/>
          <w:iCs/>
          <w:szCs w:val="20"/>
        </w:rPr>
      </w:pPr>
      <w:r>
        <w:rPr>
          <w:rFonts w:ascii="Verdana" w:hAnsi="Verdana" w:cs="Arial"/>
          <w:color w:val="000000"/>
          <w:szCs w:val="20"/>
        </w:rPr>
        <w:t>Sorteio em sessão pública.</w:t>
      </w:r>
    </w:p>
    <w:p>
      <w:pPr>
        <w:pStyle w:val="81"/>
        <w:keepNext w:val="0"/>
        <w:widowControl/>
        <w:spacing w:before="120" w:after="120"/>
        <w:rPr>
          <w:rFonts w:ascii="Verdana" w:hAnsi="Verdana" w:cs="Arial"/>
          <w:color w:val="000000"/>
          <w:szCs w:val="20"/>
          <w:highlight w:val="green"/>
        </w:rPr>
      </w:pPr>
    </w:p>
    <w:p>
      <w:pPr>
        <w:pStyle w:val="81"/>
        <w:keepNext w:val="0"/>
        <w:numPr>
          <w:ilvl w:val="0"/>
          <w:numId w:val="15"/>
        </w:numPr>
        <w:rPr>
          <w:rFonts w:ascii="Verdana" w:hAnsi="Verdana"/>
          <w:b/>
          <w:color w:val="000000"/>
          <w:szCs w:val="20"/>
        </w:rPr>
      </w:pPr>
      <w:r>
        <w:rPr>
          <w:rFonts w:ascii="Verdana" w:hAnsi="Verdana" w:cs="Arial"/>
          <w:b/>
          <w:bCs/>
          <w:color w:val="000000"/>
          <w:szCs w:val="20"/>
          <w:lang w:eastAsia="en-US"/>
        </w:rPr>
        <w:t>DA ACEITABILIDADE DA PROPOSTA VENCEDORA</w:t>
      </w:r>
    </w:p>
    <w:p>
      <w:pPr>
        <w:pStyle w:val="81"/>
        <w:keepNext w:val="0"/>
        <w:numPr>
          <w:ilvl w:val="1"/>
          <w:numId w:val="15"/>
        </w:numPr>
        <w:ind w:left="851" w:hanging="284"/>
        <w:rPr>
          <w:rFonts w:ascii="Verdana" w:hAnsi="Verdana" w:cs="Arial"/>
          <w:color w:val="000000"/>
          <w:szCs w:val="20"/>
        </w:rPr>
      </w:pPr>
      <w:r>
        <w:rPr>
          <w:rFonts w:ascii="Verdana" w:hAnsi="Verdana" w:cs="Arial"/>
          <w:color w:val="000000"/>
          <w:szCs w:val="20"/>
          <w:lang w:eastAsia="en-US"/>
        </w:rPr>
        <w:t>Após</w:t>
      </w:r>
      <w:r>
        <w:rPr>
          <w:rFonts w:ascii="Verdana" w:hAnsi="Verdana" w:cs="Arial"/>
          <w:color w:val="000000"/>
          <w:szCs w:val="20"/>
        </w:rPr>
        <w:t xml:space="preserve"> o encerramento da fase de apresentação de propostas, o sistema classificará as propostas por ordem de maior vantajosidade para a Administração, visando gerar economia aos cofres públicos e proporcionar eficiência e qualidade aos serviços.</w:t>
      </w:r>
    </w:p>
    <w:p>
      <w:pPr>
        <w:pStyle w:val="81"/>
        <w:keepNext w:val="0"/>
        <w:numPr>
          <w:ilvl w:val="1"/>
          <w:numId w:val="15"/>
        </w:numPr>
        <w:ind w:left="851" w:hanging="284"/>
        <w:rPr>
          <w:rFonts w:ascii="Verdana" w:hAnsi="Verdana" w:cs="Arial"/>
          <w:color w:val="000000"/>
          <w:szCs w:val="20"/>
        </w:rPr>
      </w:pPr>
      <w:r>
        <w:rPr>
          <w:rFonts w:ascii="Verdana" w:hAnsi="Verdana" w:cs="Arial"/>
          <w:color w:val="000000"/>
          <w:szCs w:val="20"/>
        </w:rPr>
        <w:t>A Comissão do RDC poderá negociar com a licitante melhor classificada condições mais vantajosas.</w:t>
      </w:r>
    </w:p>
    <w:p>
      <w:pPr>
        <w:pStyle w:val="81"/>
        <w:keepNext w:val="0"/>
        <w:numPr>
          <w:ilvl w:val="1"/>
          <w:numId w:val="15"/>
        </w:numPr>
        <w:ind w:left="851" w:hanging="284"/>
        <w:rPr>
          <w:rFonts w:ascii="Verdana" w:hAnsi="Verdana" w:cs="Arial"/>
          <w:color w:val="000000"/>
          <w:szCs w:val="20"/>
        </w:rPr>
      </w:pPr>
      <w:r>
        <w:rPr>
          <w:rFonts w:ascii="Verdana" w:hAnsi="Verdana" w:cs="Arial"/>
          <w:color w:val="000000"/>
          <w:szCs w:val="20"/>
        </w:rPr>
        <w:t>A negociação acima poderá ser feita com as demais licitantes, segundo a ordem de classificação, quando a primeira colocada, após a negociação, for desclassificada por sua proposta não atender as condições do edital ou permanecer superior ao orçamento estimado.</w:t>
      </w:r>
    </w:p>
    <w:p>
      <w:pPr>
        <w:pStyle w:val="81"/>
        <w:keepNext w:val="0"/>
        <w:numPr>
          <w:ilvl w:val="1"/>
          <w:numId w:val="15"/>
        </w:numPr>
        <w:ind w:left="851" w:hanging="284"/>
        <w:rPr>
          <w:rFonts w:ascii="Verdana" w:hAnsi="Verdana" w:cs="Arial"/>
          <w:color w:val="000000"/>
          <w:szCs w:val="20"/>
        </w:rPr>
      </w:pPr>
      <w:r>
        <w:rPr>
          <w:rFonts w:ascii="Verdana" w:hAnsi="Verdana" w:cs="Arial"/>
          <w:color w:val="000000"/>
          <w:szCs w:val="20"/>
        </w:rPr>
        <w:t>A negociação será realizada por meio do sistema, podendo ser acompanhada pelas demais licitantes.</w:t>
      </w:r>
    </w:p>
    <w:p>
      <w:pPr>
        <w:keepNext w:val="0"/>
        <w:numPr>
          <w:ilvl w:val="1"/>
          <w:numId w:val="15"/>
        </w:numPr>
        <w:shd w:val="clear" w:color="auto" w:fill="auto"/>
        <w:tabs>
          <w:tab w:val="clear" w:pos="708"/>
        </w:tabs>
        <w:overflowPunct/>
        <w:autoSpaceDE w:val="0"/>
        <w:autoSpaceDN w:val="0"/>
        <w:adjustRightInd w:val="0"/>
        <w:spacing w:before="120" w:after="120"/>
        <w:ind w:left="851" w:hanging="284"/>
        <w:jc w:val="both"/>
        <w:textAlignment w:val="auto"/>
        <w:rPr>
          <w:rFonts w:ascii="Verdana" w:hAnsi="Verdana" w:cs="Times-Roman"/>
          <w:sz w:val="20"/>
          <w:szCs w:val="20"/>
        </w:rPr>
      </w:pPr>
      <w:r>
        <w:rPr>
          <w:rFonts w:ascii="Verdana" w:hAnsi="Verdana" w:cs="Times-Roman"/>
          <w:sz w:val="20"/>
          <w:szCs w:val="20"/>
        </w:rPr>
        <w:t xml:space="preserve">Durante a realização deste RDC Eletrônico, a comunicação com a Comissão do RDC dar-se-á exclusivamente por meio de troca de mensagens, via </w:t>
      </w:r>
      <w:r>
        <w:rPr>
          <w:rFonts w:ascii="Verdana" w:hAnsi="Verdana" w:cs="Times-Italic"/>
          <w:i/>
          <w:iCs/>
          <w:sz w:val="20"/>
          <w:szCs w:val="20"/>
        </w:rPr>
        <w:t xml:space="preserve">chat </w:t>
      </w:r>
      <w:r>
        <w:rPr>
          <w:rFonts w:ascii="Verdana" w:hAnsi="Verdana" w:cs="Times-Roman"/>
          <w:sz w:val="20"/>
          <w:szCs w:val="20"/>
        </w:rPr>
        <w:t xml:space="preserve">do sistema eletrônico COMPRASNET, ou quando for o caso e o momento oportuno, pelo endereço eletrônico </w:t>
      </w:r>
      <w:bookmarkStart w:id="11" w:name="_Hlk107933736"/>
      <w:r>
        <w:fldChar w:fldCharType="begin"/>
      </w:r>
      <w:r>
        <w:instrText xml:space="preserve">HYPERLINK "mailto:cpl@id.uff.br"</w:instrText>
      </w:r>
      <w:r>
        <w:fldChar w:fldCharType="separate"/>
      </w:r>
      <w:r>
        <w:rPr>
          <w:rStyle w:val="13"/>
          <w:rFonts w:ascii="Verdana" w:hAnsi="Verdana" w:cs="Times-Roman"/>
          <w:sz w:val="18"/>
          <w:szCs w:val="18"/>
        </w:rPr>
        <w:t>rdc.cli.proad@id.uff.br</w:t>
      </w:r>
      <w:r>
        <w:rPr>
          <w:rStyle w:val="13"/>
          <w:rFonts w:ascii="Verdana" w:hAnsi="Verdana" w:cs="Times-Roman"/>
          <w:sz w:val="18"/>
          <w:szCs w:val="18"/>
        </w:rPr>
        <w:fldChar w:fldCharType="end"/>
      </w:r>
      <w:bookmarkEnd w:id="11"/>
      <w:r>
        <w:rPr>
          <w:rStyle w:val="13"/>
          <w:rFonts w:ascii="Verdana" w:hAnsi="Verdana" w:cs="Times-Roman"/>
          <w:sz w:val="18"/>
          <w:szCs w:val="18"/>
        </w:rPr>
        <w:t>.</w:t>
      </w:r>
      <w:r>
        <w:rPr>
          <w:rFonts w:ascii="Verdana" w:hAnsi="Verdana" w:cs="Times-Roman"/>
          <w:sz w:val="20"/>
          <w:szCs w:val="20"/>
        </w:rPr>
        <w:t xml:space="preserve">. </w:t>
      </w:r>
      <w:r>
        <w:rPr>
          <w:rFonts w:ascii="Verdana" w:hAnsi="Verdana" w:cs="Times-Bold"/>
          <w:bCs/>
          <w:sz w:val="20"/>
          <w:szCs w:val="20"/>
          <w:u w:val="single"/>
        </w:rPr>
        <w:t>Não se admitirá contato por telefone ou qualquer outro meio</w:t>
      </w:r>
      <w:r>
        <w:rPr>
          <w:rFonts w:ascii="Verdana" w:hAnsi="Verdana" w:cs="Times-Roman"/>
          <w:sz w:val="20"/>
          <w:szCs w:val="20"/>
        </w:rPr>
        <w:t>.</w:t>
      </w:r>
    </w:p>
    <w:p>
      <w:pPr>
        <w:keepNext w:val="0"/>
        <w:numPr>
          <w:ilvl w:val="1"/>
          <w:numId w:val="15"/>
        </w:numPr>
        <w:shd w:val="clear" w:color="auto" w:fill="auto"/>
        <w:tabs>
          <w:tab w:val="clear" w:pos="708"/>
        </w:tabs>
        <w:overflowPunct/>
        <w:autoSpaceDE w:val="0"/>
        <w:autoSpaceDN w:val="0"/>
        <w:adjustRightInd w:val="0"/>
        <w:spacing w:before="120" w:after="120"/>
        <w:ind w:left="851" w:hanging="284"/>
        <w:jc w:val="both"/>
        <w:textAlignment w:val="auto"/>
        <w:rPr>
          <w:rFonts w:ascii="Verdana" w:hAnsi="Verdana" w:cs="Times-Roman"/>
          <w:sz w:val="20"/>
          <w:szCs w:val="20"/>
        </w:rPr>
      </w:pPr>
      <w:r>
        <w:rPr>
          <w:rFonts w:ascii="Verdana" w:hAnsi="Verdana" w:cs="Times-Roman"/>
          <w:sz w:val="20"/>
          <w:szCs w:val="20"/>
        </w:rPr>
        <w:t>A licitante deverá acompanhar as operações no sistema eletrônico COMPRASNET durante todas as sessões públicas do RDC, ficando responsável pelos ônus decorrentes da perda de negócios por sua desconexão ou pela inobservância de quaisquer mensagens ou avisos emitidos pelo sistema.</w:t>
      </w:r>
    </w:p>
    <w:p>
      <w:pPr>
        <w:keepNext w:val="0"/>
        <w:numPr>
          <w:ilvl w:val="2"/>
          <w:numId w:val="15"/>
        </w:numPr>
        <w:shd w:val="clear" w:color="auto" w:fill="auto"/>
        <w:tabs>
          <w:tab w:val="clear" w:pos="708"/>
        </w:tabs>
        <w:overflowPunct/>
        <w:autoSpaceDE w:val="0"/>
        <w:autoSpaceDN w:val="0"/>
        <w:adjustRightInd w:val="0"/>
        <w:spacing w:before="120" w:after="120"/>
        <w:ind w:left="1134" w:hanging="283"/>
        <w:jc w:val="both"/>
        <w:textAlignment w:val="auto"/>
        <w:rPr>
          <w:rFonts w:ascii="Verdana" w:hAnsi="Verdana" w:cs="Times-Roman"/>
          <w:sz w:val="20"/>
          <w:szCs w:val="20"/>
        </w:rPr>
      </w:pPr>
      <w:r>
        <w:rPr>
          <w:rFonts w:ascii="Verdana" w:hAnsi="Verdana" w:cs="Times-Roman"/>
          <w:sz w:val="20"/>
          <w:szCs w:val="20"/>
        </w:rPr>
        <w:t>No caso de desconexão do Presidente da CPL no decorrer da sessão do RDC, se a desconexão persistir por tempo superior a 30 (trinta) minutos, a sessão será suspensa e terá reinício somente após comunicação expressa do Presidente da CPL as participantes.</w:t>
      </w:r>
    </w:p>
    <w:p>
      <w:pPr>
        <w:keepNext w:val="0"/>
        <w:numPr>
          <w:ilvl w:val="2"/>
          <w:numId w:val="15"/>
        </w:numPr>
        <w:shd w:val="clear" w:color="auto" w:fill="auto"/>
        <w:tabs>
          <w:tab w:val="clear" w:pos="708"/>
        </w:tabs>
        <w:overflowPunct/>
        <w:autoSpaceDE w:val="0"/>
        <w:autoSpaceDN w:val="0"/>
        <w:adjustRightInd w:val="0"/>
        <w:spacing w:before="120" w:after="120"/>
        <w:ind w:left="1134" w:hanging="283"/>
        <w:jc w:val="both"/>
        <w:textAlignment w:val="auto"/>
        <w:rPr>
          <w:rFonts w:ascii="Verdana" w:hAnsi="Verdana" w:cs="Times-Roman"/>
          <w:sz w:val="20"/>
          <w:szCs w:val="20"/>
        </w:rPr>
      </w:pPr>
      <w:r>
        <w:rPr>
          <w:rFonts w:ascii="Verdana" w:hAnsi="Verdana" w:cs="Times-Roman"/>
          <w:sz w:val="20"/>
          <w:szCs w:val="20"/>
        </w:rPr>
        <w:t>No caso de desconexão, a licitante deverá providenciar imediatamente, sob sua inteira responsabilidade, sua reconexão com o sistema eletrônico.</w:t>
      </w:r>
    </w:p>
    <w:p>
      <w:pPr>
        <w:pStyle w:val="68"/>
        <w:keepNext w:val="0"/>
        <w:numPr>
          <w:ilvl w:val="1"/>
          <w:numId w:val="15"/>
        </w:numPr>
        <w:tabs>
          <w:tab w:val="clear" w:pos="-12"/>
          <w:tab w:val="clear" w:pos="708"/>
        </w:tabs>
        <w:suppressAutoHyphens w:val="0"/>
        <w:overflowPunct/>
        <w:spacing w:before="120" w:after="120" w:line="276" w:lineRule="auto"/>
        <w:ind w:left="851" w:hanging="284"/>
        <w:jc w:val="both"/>
        <w:rPr>
          <w:rFonts w:ascii="Verdana" w:hAnsi="Verdana" w:cs="Arial"/>
          <w:sz w:val="20"/>
          <w:szCs w:val="20"/>
        </w:rPr>
      </w:pPr>
      <w:r>
        <w:rPr>
          <w:rFonts w:ascii="Verdana" w:hAnsi="Verdana" w:cs="Arial"/>
          <w:sz w:val="20"/>
          <w:szCs w:val="20"/>
        </w:rPr>
        <w:t>Todas as especificações do objeto contidas na proposta vinculam a Contratada.</w:t>
      </w:r>
    </w:p>
    <w:p>
      <w:pPr>
        <w:pStyle w:val="68"/>
        <w:keepNext w:val="0"/>
        <w:numPr>
          <w:ilvl w:val="1"/>
          <w:numId w:val="15"/>
        </w:numPr>
        <w:tabs>
          <w:tab w:val="clear" w:pos="-12"/>
          <w:tab w:val="clear" w:pos="708"/>
        </w:tabs>
        <w:suppressAutoHyphens w:val="0"/>
        <w:overflowPunct/>
        <w:spacing w:before="120" w:after="120" w:line="276" w:lineRule="auto"/>
        <w:ind w:left="851" w:hanging="284"/>
        <w:jc w:val="both"/>
        <w:rPr>
          <w:rFonts w:ascii="Verdana" w:hAnsi="Verdana" w:cs="Arial"/>
          <w:sz w:val="20"/>
          <w:szCs w:val="20"/>
        </w:rPr>
      </w:pPr>
      <w:r>
        <w:rPr>
          <w:rFonts w:ascii="Verdana" w:hAnsi="Verdana" w:cs="Arial"/>
          <w:sz w:val="20"/>
          <w:szCs w:val="20"/>
        </w:rPr>
        <w:t>Nos valores propostos estarão inclusos todos os custos operacionais, encargos previdenciários, trabalhistas, tributários, comerciais e quaisquer outros que incidam direta ou indiretamente na prestação dos serviços.</w:t>
      </w:r>
    </w:p>
    <w:p>
      <w:pPr>
        <w:pStyle w:val="81"/>
        <w:keepNext w:val="0"/>
        <w:numPr>
          <w:ilvl w:val="1"/>
          <w:numId w:val="15"/>
        </w:numPr>
        <w:ind w:left="851" w:hanging="284"/>
        <w:rPr>
          <w:rFonts w:ascii="Verdana" w:hAnsi="Verdana" w:cs="Arial"/>
          <w:szCs w:val="20"/>
        </w:rPr>
      </w:pPr>
      <w:r>
        <w:rPr>
          <w:rFonts w:ascii="Verdana" w:hAnsi="Verdana" w:cs="Arial"/>
          <w:szCs w:val="20"/>
        </w:rPr>
        <w:t>A economicidade da proposta será aferida com base nos custos globais e unitários, conforme art. 42, do Decreto nº 7.581/2011.</w:t>
      </w:r>
    </w:p>
    <w:p>
      <w:pPr>
        <w:pStyle w:val="81"/>
        <w:keepNext w:val="0"/>
        <w:numPr>
          <w:ilvl w:val="1"/>
          <w:numId w:val="15"/>
        </w:numPr>
        <w:ind w:left="851" w:hanging="284"/>
        <w:rPr>
          <w:rFonts w:ascii="Verdana" w:hAnsi="Verdana" w:cs="Arial"/>
          <w:szCs w:val="20"/>
        </w:rPr>
      </w:pPr>
      <w:r>
        <w:rPr>
          <w:rFonts w:ascii="Verdana" w:hAnsi="Verdana" w:cs="Arial"/>
          <w:szCs w:val="20"/>
        </w:rPr>
        <w:t>O valor total da proposta não poderá superar o orçamento estimado pela administração pública, com base nos parâmetros previstos nos §§ 3º, 4º ou 6º do art. 8º da Lei nº 12.462, de 2011.</w:t>
      </w:r>
    </w:p>
    <w:p>
      <w:pPr>
        <w:pStyle w:val="81"/>
        <w:keepNext w:val="0"/>
        <w:numPr>
          <w:ilvl w:val="1"/>
          <w:numId w:val="15"/>
        </w:numPr>
        <w:ind w:left="851" w:hanging="284"/>
        <w:rPr>
          <w:rFonts w:ascii="Verdana" w:hAnsi="Verdana" w:cs="Arial"/>
          <w:szCs w:val="20"/>
        </w:rPr>
      </w:pPr>
      <w:r>
        <w:rPr>
          <w:rFonts w:ascii="Verdana" w:hAnsi="Verdana" w:cs="Arial"/>
          <w:szCs w:val="20"/>
        </w:rPr>
        <w:t xml:space="preserve">No caso de adoção do regime de empreitada por preço unitário ou de contratação por tarefa, </w:t>
      </w:r>
      <w:r>
        <w:rPr>
          <w:rFonts w:ascii="Verdana" w:hAnsi="Verdana" w:cs="Arial"/>
          <w:i/>
          <w:iCs/>
          <w:szCs w:val="20"/>
          <w:u w:val="single"/>
        </w:rPr>
        <w:t>os custos unitários dos itens materialmente relevantes das propostas não podem exceder os custos unitários estabelecidos no orçamento estimado pela administração pública</w:t>
      </w:r>
      <w:r>
        <w:rPr>
          <w:rFonts w:ascii="Verdana" w:hAnsi="Verdana" w:cs="Arial"/>
          <w:szCs w:val="20"/>
        </w:rPr>
        <w:t>, observadas as seguintes condições:</w:t>
      </w:r>
    </w:p>
    <w:p>
      <w:pPr>
        <w:pStyle w:val="81"/>
        <w:keepNext w:val="0"/>
        <w:numPr>
          <w:ilvl w:val="2"/>
          <w:numId w:val="15"/>
        </w:numPr>
        <w:ind w:left="1134" w:hanging="283"/>
        <w:rPr>
          <w:rFonts w:ascii="Verdana" w:hAnsi="Verdana" w:cs="Arial"/>
          <w:szCs w:val="20"/>
        </w:rPr>
      </w:pPr>
      <w:r>
        <w:rPr>
          <w:rFonts w:ascii="Verdana" w:hAnsi="Verdana" w:cs="Arial"/>
          <w:szCs w:val="20"/>
        </w:rPr>
        <w:t>- serão considerados itens materialmente relevantes aqueles de maior impacto no valor total da proposta e que, somados, representem pelo menos oitenta por cento do valor total do orçamento estimado ou que sejam considerados essenciais à funcionalidade da obra ou do serviço de engenharia;</w:t>
      </w:r>
    </w:p>
    <w:p>
      <w:pPr>
        <w:pStyle w:val="81"/>
        <w:keepNext w:val="0"/>
        <w:numPr>
          <w:ilvl w:val="2"/>
          <w:numId w:val="15"/>
        </w:numPr>
        <w:ind w:left="1134" w:hanging="283"/>
        <w:rPr>
          <w:rFonts w:ascii="Verdana" w:hAnsi="Verdana" w:cs="Arial"/>
          <w:szCs w:val="20"/>
        </w:rPr>
      </w:pPr>
      <w:r>
        <w:rPr>
          <w:rFonts w:ascii="Verdana" w:hAnsi="Verdana" w:cs="Arial"/>
          <w:szCs w:val="20"/>
        </w:rPr>
        <w:t>- em situações especiais, devidamente comprovadas pela licitante em relatório técnico circunstanciado aprovado pela administração pública, poderão ser aceitos custos unitários superiores àqueles constantes do orçamento estimado em relação aos itens materialmente relevantes, sem prejuízo da avaliação dos órgãos de controle, dispensada a compensação em qualquer outro serviço do orçamento de referência.</w:t>
      </w:r>
    </w:p>
    <w:p>
      <w:pPr>
        <w:pStyle w:val="81"/>
        <w:keepNext w:val="0"/>
        <w:numPr>
          <w:ilvl w:val="1"/>
          <w:numId w:val="15"/>
        </w:numPr>
        <w:ind w:left="851" w:hanging="284"/>
        <w:rPr>
          <w:rFonts w:ascii="Verdana" w:hAnsi="Verdana" w:cs="Arial"/>
          <w:szCs w:val="20"/>
        </w:rPr>
      </w:pPr>
      <w:r>
        <w:rPr>
          <w:rFonts w:ascii="Verdana" w:hAnsi="Verdana" w:cs="Arial"/>
          <w:szCs w:val="20"/>
        </w:rPr>
        <w:t>Não havendo aprovação, pela administração, do relatório técnico circunstanciado de que trata este item, será dada oportunidade a licitante para ajustar a sua planilha de preços ao lance vencedor, obedecendo os limites dos custos unitários, antes de eventual desclassificação.</w:t>
      </w:r>
    </w:p>
    <w:p>
      <w:pPr>
        <w:pStyle w:val="81"/>
        <w:keepNext w:val="0"/>
        <w:numPr>
          <w:ilvl w:val="1"/>
          <w:numId w:val="15"/>
        </w:numPr>
        <w:ind w:left="851" w:hanging="284"/>
        <w:rPr>
          <w:rFonts w:ascii="Verdana" w:hAnsi="Verdana" w:cs="Arial"/>
          <w:szCs w:val="20"/>
        </w:rPr>
      </w:pPr>
      <w:r>
        <w:rPr>
          <w:rFonts w:ascii="Verdana" w:hAnsi="Verdana" w:cs="Arial"/>
          <w:szCs w:val="20"/>
        </w:rPr>
        <w:t>Encerrada a etapa competitiva do processo, poderão ser divulgados os custos dos itens ou das etapas do orçamento estimado que estiverem abaixo dos custos ou das etapas ofertados pela licitante da melhor proposta, para fins de reelaboração da planilha com os valores adequados ao lance vencedor.</w:t>
      </w:r>
    </w:p>
    <w:p>
      <w:pPr>
        <w:pStyle w:val="81"/>
        <w:keepNext w:val="0"/>
        <w:numPr>
          <w:ilvl w:val="1"/>
          <w:numId w:val="15"/>
        </w:numPr>
        <w:ind w:left="851" w:hanging="284"/>
        <w:rPr>
          <w:rFonts w:ascii="Verdana" w:hAnsi="Verdana" w:cs="Arial"/>
          <w:szCs w:val="20"/>
        </w:rPr>
      </w:pPr>
      <w:r>
        <w:rPr>
          <w:rFonts w:ascii="Verdana" w:hAnsi="Verdana" w:cs="Arial"/>
          <w:color w:val="000000"/>
          <w:szCs w:val="20"/>
        </w:rPr>
        <w:t xml:space="preserve">Será </w:t>
      </w:r>
      <w:r>
        <w:rPr>
          <w:rFonts w:ascii="Verdana" w:hAnsi="Verdana" w:cs="Arial"/>
          <w:szCs w:val="20"/>
        </w:rPr>
        <w:t>desclassificada a proposta que:</w:t>
      </w:r>
    </w:p>
    <w:p>
      <w:pPr>
        <w:pStyle w:val="81"/>
        <w:keepNext w:val="0"/>
        <w:numPr>
          <w:ilvl w:val="2"/>
          <w:numId w:val="15"/>
        </w:numPr>
        <w:rPr>
          <w:rFonts w:ascii="Verdana" w:hAnsi="Verdana" w:cs="Arial"/>
          <w:szCs w:val="20"/>
        </w:rPr>
      </w:pPr>
      <w:r>
        <w:rPr>
          <w:rFonts w:ascii="Verdana" w:hAnsi="Verdana" w:cs="Arial"/>
          <w:szCs w:val="20"/>
        </w:rPr>
        <w:t>- contenha vícios insanáveis;</w:t>
      </w:r>
    </w:p>
    <w:p>
      <w:pPr>
        <w:pStyle w:val="81"/>
        <w:keepNext w:val="0"/>
        <w:numPr>
          <w:ilvl w:val="2"/>
          <w:numId w:val="15"/>
        </w:numPr>
        <w:rPr>
          <w:rFonts w:ascii="Verdana" w:hAnsi="Verdana" w:cs="Arial"/>
          <w:szCs w:val="20"/>
        </w:rPr>
      </w:pPr>
      <w:r>
        <w:rPr>
          <w:rFonts w:ascii="Verdana" w:hAnsi="Verdana" w:cs="Arial"/>
          <w:szCs w:val="20"/>
        </w:rPr>
        <w:t>- não obedeça às especificações técnicas previstas no instrumento convocatório;</w:t>
      </w:r>
    </w:p>
    <w:p>
      <w:pPr>
        <w:pStyle w:val="81"/>
        <w:keepNext w:val="0"/>
        <w:numPr>
          <w:ilvl w:val="2"/>
          <w:numId w:val="15"/>
        </w:numPr>
        <w:rPr>
          <w:rFonts w:ascii="Verdana" w:hAnsi="Verdana" w:cs="Arial"/>
          <w:szCs w:val="20"/>
        </w:rPr>
      </w:pPr>
      <w:r>
        <w:rPr>
          <w:rFonts w:ascii="Verdana" w:hAnsi="Verdana" w:cs="Arial"/>
          <w:szCs w:val="20"/>
        </w:rPr>
        <w:t>- apresente preço unitário manifestamente inexequível ou permaneça acima do orçamento estimado para a contratação;</w:t>
      </w:r>
    </w:p>
    <w:p>
      <w:pPr>
        <w:pStyle w:val="81"/>
        <w:keepNext w:val="0"/>
        <w:numPr>
          <w:ilvl w:val="2"/>
          <w:numId w:val="15"/>
        </w:numPr>
        <w:rPr>
          <w:rFonts w:ascii="Verdana" w:hAnsi="Verdana" w:cs="Arial"/>
          <w:szCs w:val="20"/>
        </w:rPr>
      </w:pPr>
      <w:r>
        <w:rPr>
          <w:rFonts w:ascii="Verdana" w:hAnsi="Verdana" w:cs="Arial"/>
          <w:color w:val="000000" w:themeColor="text1"/>
          <w:szCs w:val="20"/>
          <w14:textFill>
            <w14:solidFill>
              <w14:schemeClr w14:val="tx1"/>
            </w14:solidFill>
          </w14:textFill>
        </w:rPr>
        <w:t xml:space="preserve">– </w:t>
      </w:r>
      <w:r>
        <w:rPr>
          <w:rFonts w:ascii="Verdana" w:hAnsi="Verdana" w:cs="Arial"/>
          <w:color w:val="000000" w:themeColor="text1"/>
          <w:szCs w:val="20"/>
          <w:u w:val="single"/>
          <w14:textFill>
            <w14:solidFill>
              <w14:schemeClr w14:val="tx1"/>
            </w14:solidFill>
          </w14:textFill>
        </w:rPr>
        <w:t>apresente valor total diferente do valor proposto e considerado vencedor na fase final de lances</w:t>
      </w:r>
      <w:r>
        <w:rPr>
          <w:rFonts w:ascii="Verdana" w:hAnsi="Verdana" w:cs="Arial"/>
          <w:color w:val="000000" w:themeColor="text1"/>
          <w:szCs w:val="20"/>
          <w14:textFill>
            <w14:solidFill>
              <w14:schemeClr w14:val="tx1"/>
            </w14:solidFill>
          </w14:textFill>
        </w:rPr>
        <w:t>;</w:t>
      </w:r>
    </w:p>
    <w:p>
      <w:pPr>
        <w:pStyle w:val="81"/>
        <w:keepNext w:val="0"/>
        <w:numPr>
          <w:ilvl w:val="2"/>
          <w:numId w:val="15"/>
        </w:numPr>
        <w:rPr>
          <w:rFonts w:ascii="Verdana" w:hAnsi="Verdana" w:cs="Arial"/>
          <w:szCs w:val="20"/>
        </w:rPr>
      </w:pPr>
      <w:r>
        <w:rPr>
          <w:rFonts w:ascii="Verdana" w:hAnsi="Verdana" w:cs="Arial"/>
          <w:szCs w:val="20"/>
        </w:rPr>
        <w:t>- não tenha sua exequibilidade demonstrada, quando exigido pela administração pública; ou</w:t>
      </w:r>
    </w:p>
    <w:p>
      <w:pPr>
        <w:pStyle w:val="81"/>
        <w:keepNext w:val="0"/>
        <w:numPr>
          <w:ilvl w:val="2"/>
          <w:numId w:val="15"/>
        </w:numPr>
        <w:rPr>
          <w:rFonts w:ascii="Verdana" w:hAnsi="Verdana" w:cs="Arial"/>
          <w:sz w:val="18"/>
          <w:szCs w:val="18"/>
        </w:rPr>
      </w:pPr>
      <w:r>
        <w:rPr>
          <w:rFonts w:ascii="Verdana" w:hAnsi="Verdana" w:cs="Arial"/>
          <w:szCs w:val="20"/>
        </w:rPr>
        <w:t>- apresente desconformidade com quaisquer outras exigências do instrumento convocatório, desde</w:t>
      </w:r>
      <w:r>
        <w:rPr>
          <w:rFonts w:ascii="Verdana" w:hAnsi="Verdana" w:eastAsia="Times New Roman" w:cs="Arial"/>
          <w:color w:val="000000"/>
          <w:szCs w:val="20"/>
          <w:lang w:eastAsia="pt-BR"/>
        </w:rPr>
        <w:t xml:space="preserve"> que insanável, incluindo previsão de oferta de vantagem não prevista no edital (</w:t>
      </w:r>
      <w:r>
        <w:rPr>
          <w:rFonts w:ascii="Verdana" w:hAnsi="Verdana" w:cs="Arial"/>
          <w:szCs w:val="20"/>
        </w:rPr>
        <w:t>tais quais financiamentos subsidiados ou a fundo perdido) ou apresentação de preço ou vantagem baseada nas ofertas dos demais licitantes</w:t>
      </w:r>
      <w:r>
        <w:rPr>
          <w:rFonts w:ascii="Verdana" w:hAnsi="Verdana" w:cs="Arial"/>
          <w:sz w:val="18"/>
          <w:szCs w:val="18"/>
        </w:rPr>
        <w:t>.</w:t>
      </w:r>
    </w:p>
    <w:p>
      <w:pPr>
        <w:pStyle w:val="81"/>
        <w:keepNext w:val="0"/>
        <w:numPr>
          <w:ilvl w:val="1"/>
          <w:numId w:val="15"/>
        </w:numPr>
        <w:ind w:left="851" w:hanging="284"/>
        <w:rPr>
          <w:rFonts w:ascii="Verdana" w:hAnsi="Verdana" w:cs="Arial"/>
          <w:color w:val="000000"/>
          <w:szCs w:val="20"/>
        </w:rPr>
      </w:pPr>
      <w:bookmarkStart w:id="12" w:name="_Hlk107999220"/>
      <w:r>
        <w:rPr>
          <w:rFonts w:ascii="Verdana" w:hAnsi="Verdana" w:cs="Arial"/>
          <w:szCs w:val="20"/>
        </w:rPr>
        <w:t>Considera</w:t>
      </w:r>
      <w:r>
        <w:rPr>
          <w:rFonts w:ascii="Verdana" w:hAnsi="Verdana" w:cs="Arial"/>
          <w:color w:val="000000"/>
          <w:szCs w:val="20"/>
        </w:rPr>
        <w:t>-se inexequível a proposta com valores unitários e/ou totais/globais</w:t>
      </w:r>
      <w:bookmarkEnd w:id="12"/>
      <w:r>
        <w:rPr>
          <w:rFonts w:ascii="Verdana" w:hAnsi="Verdana" w:cs="Arial"/>
          <w:color w:val="000000"/>
          <w:szCs w:val="20"/>
        </w:rPr>
        <w:t xml:space="preserve"> inferiores a </w:t>
      </w:r>
      <w:r>
        <w:rPr>
          <w:rFonts w:ascii="Verdana" w:hAnsi="Verdana" w:cs="Arial"/>
          <w:b/>
          <w:bCs/>
          <w:color w:val="000000"/>
          <w:szCs w:val="20"/>
        </w:rPr>
        <w:t xml:space="preserve">70% (setenta por cento) </w:t>
      </w:r>
      <w:r>
        <w:rPr>
          <w:rFonts w:ascii="Verdana" w:hAnsi="Verdana" w:cs="Arial"/>
          <w:color w:val="000000"/>
          <w:szCs w:val="20"/>
        </w:rPr>
        <w:t>do menor dos seguintes valores:</w:t>
      </w:r>
    </w:p>
    <w:p>
      <w:pPr>
        <w:pStyle w:val="81"/>
        <w:keepNext w:val="0"/>
        <w:numPr>
          <w:ilvl w:val="2"/>
          <w:numId w:val="16"/>
        </w:numPr>
        <w:rPr>
          <w:rFonts w:ascii="Verdana" w:hAnsi="Verdana" w:cs="Arial"/>
          <w:szCs w:val="20"/>
        </w:rPr>
      </w:pPr>
      <w:r>
        <w:rPr>
          <w:rFonts w:ascii="Verdana" w:hAnsi="Verdana" w:cs="Arial"/>
          <w:szCs w:val="20"/>
        </w:rPr>
        <w:t>Média aritmética dos valores das propostas superiores a 50% (cinquenta por cento) do valor do orçamento estimado pela administração pública, ou,</w:t>
      </w:r>
    </w:p>
    <w:p>
      <w:pPr>
        <w:pStyle w:val="81"/>
        <w:keepNext w:val="0"/>
        <w:numPr>
          <w:ilvl w:val="2"/>
          <w:numId w:val="16"/>
        </w:numPr>
        <w:rPr>
          <w:rFonts w:ascii="Verdana" w:hAnsi="Verdana" w:cs="Arial"/>
          <w:szCs w:val="20"/>
        </w:rPr>
      </w:pPr>
      <w:r>
        <w:rPr>
          <w:rFonts w:ascii="Verdana" w:hAnsi="Verdana" w:cs="Arial"/>
          <w:szCs w:val="20"/>
        </w:rPr>
        <w:t>Valor do orçamento estimado pela Administração Pública.</w:t>
      </w:r>
    </w:p>
    <w:p>
      <w:pPr>
        <w:pStyle w:val="81"/>
        <w:keepNext w:val="0"/>
        <w:numPr>
          <w:ilvl w:val="2"/>
          <w:numId w:val="15"/>
        </w:numPr>
        <w:rPr>
          <w:rFonts w:ascii="Verdana" w:hAnsi="Verdana" w:cs="Arial"/>
          <w:szCs w:val="20"/>
        </w:rPr>
      </w:pPr>
      <w:r>
        <w:rPr>
          <w:rFonts w:ascii="Verdana" w:hAnsi="Verdana" w:cs="Arial"/>
          <w:color w:val="000000"/>
          <w:szCs w:val="20"/>
        </w:rPr>
        <w:t>Na situação deste item, a administração deverá conferir a licitante a oportunidade de demonstrar a exequibilidade da sua proposta, mediante diligências na forma deste Edital.</w:t>
      </w:r>
    </w:p>
    <w:p>
      <w:pPr>
        <w:pStyle w:val="81"/>
        <w:keepNext w:val="0"/>
        <w:numPr>
          <w:ilvl w:val="2"/>
          <w:numId w:val="15"/>
        </w:numPr>
        <w:rPr>
          <w:rFonts w:ascii="Verdana" w:hAnsi="Verdana" w:cs="Arial"/>
          <w:szCs w:val="20"/>
        </w:rPr>
      </w:pPr>
      <w:r>
        <w:rPr>
          <w:rFonts w:ascii="Verdana" w:hAnsi="Verdana" w:cs="Arial"/>
          <w:color w:val="000000"/>
          <w:szCs w:val="20"/>
        </w:rPr>
        <w:t>Na hipótese acima, a licitante deverá demonstrar que o valor da proposta é compatível com a execução do objeto licitado no que se refere aos custos dos insumos e aos coeficientes de produtividade adotados nas composições de custos unitários.</w:t>
      </w:r>
    </w:p>
    <w:p>
      <w:pPr>
        <w:pStyle w:val="81"/>
        <w:keepNext w:val="0"/>
        <w:numPr>
          <w:ilvl w:val="2"/>
          <w:numId w:val="15"/>
        </w:numPr>
        <w:rPr>
          <w:rFonts w:ascii="Verdana" w:hAnsi="Verdana" w:cs="Arial"/>
          <w:color w:val="000000"/>
          <w:szCs w:val="20"/>
        </w:rPr>
      </w:pPr>
      <w:r>
        <w:rPr>
          <w:rFonts w:ascii="Verdana" w:hAnsi="Verdana" w:cs="Arial"/>
          <w:color w:val="000000"/>
          <w:szCs w:val="20"/>
        </w:rPr>
        <w:t>A análise de exequibilidade da proposta não considerará materiais e instalações a serem fornecidos pela licitante em relação aos quais ele renuncie a parcela ou à totalidade da remuneração, desde que a renúncia esteja expressa na proposta.</w:t>
      </w:r>
    </w:p>
    <w:p>
      <w:pPr>
        <w:pStyle w:val="81"/>
        <w:keepNext w:val="0"/>
        <w:numPr>
          <w:ilvl w:val="2"/>
          <w:numId w:val="15"/>
        </w:numPr>
        <w:rPr>
          <w:rFonts w:ascii="Verdana" w:hAnsi="Verdana" w:cs="Arial"/>
          <w:color w:val="000000"/>
          <w:szCs w:val="20"/>
        </w:rPr>
      </w:pPr>
      <w:r>
        <w:rPr>
          <w:rFonts w:ascii="Verdana" w:hAnsi="Verdana" w:cs="Arial"/>
          <w:color w:val="000000"/>
          <w:szCs w:val="20"/>
        </w:rPr>
        <w:t xml:space="preserve">Sem prejuízo do disposto no item anterior, a </w:t>
      </w:r>
      <w:r>
        <w:rPr>
          <w:rFonts w:ascii="Verdana" w:hAnsi="Verdana" w:cs="Arial"/>
          <w:szCs w:val="20"/>
        </w:rPr>
        <w:t>Comissão</w:t>
      </w:r>
      <w:r>
        <w:rPr>
          <w:rFonts w:ascii="Verdana" w:hAnsi="Verdana" w:cs="Arial"/>
          <w:color w:val="000000"/>
          <w:szCs w:val="20"/>
        </w:rPr>
        <w:t xml:space="preserve"> do RDC poderá de ofício ou mediante provocação fundada de qualquer interessado, realizar diligências para aferir a exequibilidade da proposta ou exigir da licitante que ela seja demonstrada. </w:t>
      </w:r>
    </w:p>
    <w:p>
      <w:pPr>
        <w:pStyle w:val="81"/>
        <w:keepNext w:val="0"/>
        <w:numPr>
          <w:ilvl w:val="1"/>
          <w:numId w:val="15"/>
        </w:numPr>
        <w:ind w:left="851" w:hanging="284"/>
        <w:rPr>
          <w:rFonts w:ascii="Verdana" w:hAnsi="Verdana" w:cs="Arial"/>
          <w:szCs w:val="20"/>
        </w:rPr>
      </w:pPr>
      <w:r>
        <w:rPr>
          <w:rFonts w:ascii="Verdana" w:hAnsi="Verdana" w:cs="Arial"/>
          <w:color w:val="000000"/>
          <w:szCs w:val="20"/>
          <w:lang w:eastAsia="en-US"/>
        </w:rPr>
        <w:t xml:space="preserve">Eventual convocação da licitante para envio de documento digital, será por meio de </w:t>
      </w:r>
      <w:r>
        <w:rPr>
          <w:rFonts w:ascii="Verdana" w:hAnsi="Verdana" w:cs="Arial"/>
          <w:szCs w:val="20"/>
        </w:rPr>
        <w:t>funcionalidade</w:t>
      </w:r>
      <w:r>
        <w:rPr>
          <w:rFonts w:ascii="Verdana" w:hAnsi="Verdana" w:cs="Arial"/>
          <w:color w:val="000000"/>
          <w:szCs w:val="20"/>
          <w:lang w:eastAsia="en-US"/>
        </w:rPr>
        <w:t xml:space="preserve"> disponível no sistema, estabelecendo no “chat” prazo mínimo de 02</w:t>
      </w:r>
      <w:r>
        <w:rPr>
          <w:rFonts w:ascii="Verdana" w:hAnsi="Verdana" w:cs="Arial"/>
          <w:szCs w:val="20"/>
          <w:lang w:eastAsia="en-US"/>
        </w:rPr>
        <w:t xml:space="preserve"> (duas) horas</w:t>
      </w:r>
      <w:r>
        <w:rPr>
          <w:rFonts w:ascii="Verdana" w:hAnsi="Verdana" w:cs="Arial"/>
          <w:color w:val="000000"/>
          <w:szCs w:val="20"/>
          <w:lang w:eastAsia="en-US"/>
        </w:rPr>
        <w:t>, sob pena de não aceitação da proposta.</w:t>
      </w:r>
    </w:p>
    <w:p>
      <w:pPr>
        <w:pStyle w:val="81"/>
        <w:keepNext w:val="0"/>
        <w:numPr>
          <w:ilvl w:val="2"/>
          <w:numId w:val="15"/>
        </w:numPr>
        <w:rPr>
          <w:rFonts w:ascii="Verdana" w:hAnsi="Verdana" w:cs="Arial"/>
          <w:color w:val="000000"/>
          <w:sz w:val="18"/>
          <w:szCs w:val="18"/>
          <w:lang w:eastAsia="en-US"/>
        </w:rPr>
      </w:pPr>
      <w:r>
        <w:rPr>
          <w:rFonts w:ascii="Verdana" w:hAnsi="Verdana" w:eastAsia="Arial" w:cs="Arial"/>
          <w:szCs w:val="20"/>
        </w:rPr>
        <w:t xml:space="preserve">É facultado ao pregoeiro prorrogar o prazo estabelecido, a partir de solicitação fundamentada feita no chat </w:t>
      </w:r>
      <w:r>
        <w:rPr>
          <w:rFonts w:ascii="Arial" w:hAnsi="Arial" w:eastAsia="SimSun" w:cs="Arial"/>
          <w:b/>
          <w:bCs/>
          <w:color w:val="000000"/>
          <w:szCs w:val="20"/>
          <w:shd w:val="clear" w:color="auto" w:fill="FFFFFF"/>
        </w:rPr>
        <w:t xml:space="preserve">ou também por meio do e-mail </w:t>
      </w:r>
      <w:r>
        <w:fldChar w:fldCharType="begin"/>
      </w:r>
      <w:r>
        <w:instrText xml:space="preserve"> HYPERLINK "mailto:cpl@id.uff.br" </w:instrText>
      </w:r>
      <w:r>
        <w:fldChar w:fldCharType="separate"/>
      </w:r>
      <w:r>
        <w:rPr>
          <w:rStyle w:val="13"/>
          <w:rFonts w:ascii="Verdana" w:hAnsi="Verdana" w:cs="Times-Roman"/>
          <w:sz w:val="18"/>
          <w:szCs w:val="18"/>
        </w:rPr>
        <w:t>rdc.cli.proad@id.uff.br</w:t>
      </w:r>
      <w:r>
        <w:rPr>
          <w:rStyle w:val="13"/>
          <w:rFonts w:ascii="Verdana" w:hAnsi="Verdana" w:cs="Times-Roman"/>
          <w:sz w:val="18"/>
          <w:szCs w:val="18"/>
        </w:rPr>
        <w:fldChar w:fldCharType="end"/>
      </w:r>
      <w:r>
        <w:rPr>
          <w:rStyle w:val="13"/>
          <w:rFonts w:ascii="Verdana" w:hAnsi="Verdana" w:cs="Times-Roman"/>
          <w:sz w:val="18"/>
          <w:szCs w:val="18"/>
        </w:rPr>
        <w:t>.</w:t>
      </w:r>
      <w:r>
        <w:rPr>
          <w:rFonts w:ascii="SimSun" w:hAnsi="SimSun" w:eastAsia="SimSun" w:cs="SimSun"/>
        </w:rPr>
        <w:t xml:space="preserve"> </w:t>
      </w:r>
      <w:r>
        <w:rPr>
          <w:rFonts w:ascii="Verdana" w:hAnsi="Verdana" w:eastAsia="Arial" w:cs="Arial"/>
          <w:szCs w:val="20"/>
        </w:rPr>
        <w:t>pelo licitante, antes de findo o prazo.</w:t>
      </w:r>
    </w:p>
    <w:p>
      <w:pPr>
        <w:pStyle w:val="81"/>
        <w:keepNext w:val="0"/>
        <w:numPr>
          <w:ilvl w:val="1"/>
          <w:numId w:val="15"/>
        </w:numPr>
        <w:ind w:left="851" w:hanging="284"/>
        <w:rPr>
          <w:rFonts w:ascii="Verdana" w:hAnsi="Verdana" w:cs="Arial"/>
          <w:color w:val="000000"/>
          <w:szCs w:val="20"/>
          <w:lang w:eastAsia="en-US"/>
        </w:rPr>
      </w:pPr>
      <w:r>
        <w:rPr>
          <w:rFonts w:ascii="Verdana" w:hAnsi="Verdana" w:cs="Arial"/>
          <w:color w:val="000000"/>
          <w:szCs w:val="20"/>
          <w:lang w:eastAsia="en-US"/>
        </w:rPr>
        <w:t xml:space="preserve">Na hipótese de necessidade de suspensão da sessão pública para a realização de diligências, com vistas ao saneamento das propostas, a sessão pública somente poderá ser reiniciada mediante aviso prévio no sistema com, no </w:t>
      </w:r>
      <w:r>
        <w:rPr>
          <w:rFonts w:ascii="Verdana" w:hAnsi="Verdana" w:cs="Arial"/>
          <w:szCs w:val="20"/>
          <w:lang w:eastAsia="en-US"/>
        </w:rPr>
        <w:t xml:space="preserve">mínimo, </w:t>
      </w:r>
      <w:r>
        <w:rPr>
          <w:rFonts w:ascii="Verdana" w:hAnsi="Verdana" w:cs="Arial"/>
          <w:iCs/>
          <w:szCs w:val="20"/>
          <w:lang w:eastAsia="en-US"/>
        </w:rPr>
        <w:t>vinte e quatro horas de antecedência</w:t>
      </w:r>
      <w:r>
        <w:rPr>
          <w:rFonts w:ascii="Verdana" w:hAnsi="Verdana" w:cs="Arial"/>
          <w:szCs w:val="20"/>
          <w:lang w:eastAsia="en-US"/>
        </w:rPr>
        <w:t>, e a ocorrência será registrada em</w:t>
      </w:r>
      <w:r>
        <w:rPr>
          <w:rFonts w:ascii="Verdana" w:hAnsi="Verdana" w:cs="Arial"/>
          <w:color w:val="000000"/>
          <w:szCs w:val="20"/>
          <w:lang w:eastAsia="en-US"/>
        </w:rPr>
        <w:t xml:space="preserve"> ata.</w:t>
      </w:r>
    </w:p>
    <w:p>
      <w:pPr>
        <w:pStyle w:val="81"/>
        <w:keepNext w:val="0"/>
        <w:numPr>
          <w:ilvl w:val="1"/>
          <w:numId w:val="15"/>
        </w:numPr>
        <w:ind w:left="851" w:hanging="284"/>
        <w:rPr>
          <w:rFonts w:ascii="Verdana" w:hAnsi="Verdana" w:cs="Arial"/>
          <w:szCs w:val="20"/>
        </w:rPr>
      </w:pPr>
      <w:r>
        <w:rPr>
          <w:rFonts w:ascii="Verdana" w:hAnsi="Verdana" w:cs="Arial"/>
          <w:szCs w:val="20"/>
        </w:rPr>
        <w:t>A licitante que abandonar o certame ou deixar de enviar a documentação indicada nesta condição será desclassificada e sujeitar-se-á às sanções previstas neste edital e demais legislações pertinentes a matéria.</w:t>
      </w:r>
    </w:p>
    <w:p>
      <w:pPr>
        <w:pStyle w:val="81"/>
        <w:keepNext w:val="0"/>
        <w:numPr>
          <w:ilvl w:val="1"/>
          <w:numId w:val="15"/>
        </w:numPr>
        <w:ind w:left="851" w:hanging="284"/>
        <w:rPr>
          <w:rFonts w:ascii="Verdana" w:hAnsi="Verdana" w:cs="Arial"/>
          <w:color w:val="000000"/>
          <w:szCs w:val="20"/>
        </w:rPr>
      </w:pPr>
      <w:r>
        <w:rPr>
          <w:rFonts w:ascii="Verdana" w:hAnsi="Verdana" w:cs="Arial"/>
          <w:color w:val="000000"/>
          <w:szCs w:val="20"/>
        </w:rPr>
        <w:t>Se a proposta ou lance vencedor for desclassificada, a Comissão de Licitação examinará a proposta ou lance subsequente, e, assim sucessivamente, na ordem de classificação.</w:t>
      </w:r>
    </w:p>
    <w:p>
      <w:pPr>
        <w:pStyle w:val="81"/>
        <w:keepNext w:val="0"/>
        <w:numPr>
          <w:ilvl w:val="1"/>
          <w:numId w:val="15"/>
        </w:numPr>
        <w:ind w:left="851" w:hanging="284"/>
        <w:rPr>
          <w:rFonts w:ascii="Verdana" w:hAnsi="Verdana" w:cs="Arial"/>
          <w:color w:val="000000"/>
          <w:szCs w:val="20"/>
        </w:rPr>
      </w:pPr>
      <w:r>
        <w:rPr>
          <w:rFonts w:ascii="Verdana" w:hAnsi="Verdana" w:cs="Arial"/>
          <w:color w:val="000000"/>
          <w:szCs w:val="20"/>
        </w:rPr>
        <w:t>Havendo necessidade, a Comissão de Licitação suspenderá a sessão, informando no “chat” a nova data e horário para a sua continuidade.</w:t>
      </w:r>
    </w:p>
    <w:p>
      <w:pPr>
        <w:pStyle w:val="81"/>
        <w:keepNext w:val="0"/>
        <w:numPr>
          <w:ilvl w:val="1"/>
          <w:numId w:val="15"/>
        </w:numPr>
        <w:ind w:left="851" w:hanging="284"/>
        <w:rPr>
          <w:rFonts w:ascii="Verdana" w:hAnsi="Verdana" w:cs="Arial"/>
          <w:color w:val="000000"/>
          <w:szCs w:val="20"/>
        </w:rPr>
      </w:pPr>
      <w:r>
        <w:rPr>
          <w:rFonts w:ascii="Verdana" w:hAnsi="Verdana" w:cs="Arial"/>
          <w:color w:val="000000"/>
          <w:szCs w:val="20"/>
        </w:rPr>
        <w:t>Nos itens não exclusivos para a participação de microempresas e empresas de pequeno porte, sempre que a proposta não for aceita, e antes de a Comissão passar à subsequente, haverá nova verificação, pelo sistema, da eventual ocorrência do empate ficto, previsto nos artigos 44 e 45 da LC nº 123, de 2006, seguindo-se a disciplina antes estabelecida, se for o caso.</w:t>
      </w:r>
    </w:p>
    <w:p>
      <w:pPr>
        <w:pStyle w:val="81"/>
        <w:keepNext w:val="0"/>
        <w:numPr>
          <w:ilvl w:val="1"/>
          <w:numId w:val="15"/>
        </w:numPr>
        <w:ind w:left="851" w:hanging="284"/>
        <w:rPr>
          <w:rFonts w:ascii="Verdana" w:hAnsi="Verdana" w:cs="Arial"/>
          <w:color w:val="000000"/>
          <w:szCs w:val="20"/>
        </w:rPr>
      </w:pPr>
      <w:r>
        <w:rPr>
          <w:rFonts w:ascii="Verdana" w:hAnsi="Verdana" w:cs="Arial"/>
          <w:color w:val="000000"/>
          <w:szCs w:val="20"/>
        </w:rPr>
        <w:t>Encerrada a análise quanto à aceitação da proposta, a Comissão verificará a habilitação da licitante, observado o disposto neste Edital.</w:t>
      </w:r>
    </w:p>
    <w:p>
      <w:pPr>
        <w:pStyle w:val="81"/>
        <w:keepNext w:val="0"/>
        <w:ind w:left="1287" w:firstLine="0"/>
        <w:rPr>
          <w:rFonts w:ascii="Verdana" w:hAnsi="Verdana" w:cs="Arial"/>
          <w:color w:val="000000"/>
          <w:szCs w:val="20"/>
        </w:rPr>
      </w:pPr>
    </w:p>
    <w:p>
      <w:pPr>
        <w:pStyle w:val="68"/>
        <w:keepNext w:val="0"/>
        <w:numPr>
          <w:ilvl w:val="0"/>
          <w:numId w:val="15"/>
        </w:numPr>
        <w:shd w:val="clear" w:color="auto" w:fill="auto"/>
        <w:tabs>
          <w:tab w:val="clear" w:pos="708"/>
        </w:tabs>
        <w:overflowPunct/>
        <w:autoSpaceDE w:val="0"/>
        <w:autoSpaceDN w:val="0"/>
        <w:adjustRightInd w:val="0"/>
        <w:spacing w:before="120" w:after="120"/>
        <w:jc w:val="both"/>
        <w:textAlignment w:val="auto"/>
        <w:rPr>
          <w:rFonts w:ascii="Verdana" w:hAnsi="Verdana" w:cs="Times-Roman"/>
          <w:sz w:val="20"/>
          <w:szCs w:val="20"/>
        </w:rPr>
      </w:pPr>
      <w:r>
        <w:rPr>
          <w:rFonts w:ascii="Verdana" w:hAnsi="Verdana" w:cs="Times-Roman"/>
          <w:b/>
          <w:sz w:val="20"/>
          <w:szCs w:val="20"/>
        </w:rPr>
        <w:t>DO ENVIO DA DOCUMENTAÇÃO DE PROPOSTA</w:t>
      </w:r>
    </w:p>
    <w:p>
      <w:pPr>
        <w:keepNext w:val="0"/>
        <w:numPr>
          <w:ilvl w:val="1"/>
          <w:numId w:val="15"/>
        </w:numPr>
        <w:shd w:val="clear" w:color="auto" w:fill="auto"/>
        <w:tabs>
          <w:tab w:val="clear" w:pos="708"/>
        </w:tabs>
        <w:overflowPunct/>
        <w:autoSpaceDE w:val="0"/>
        <w:autoSpaceDN w:val="0"/>
        <w:adjustRightInd w:val="0"/>
        <w:spacing w:before="120" w:after="120"/>
        <w:ind w:left="851" w:hanging="284"/>
        <w:jc w:val="both"/>
        <w:textAlignment w:val="auto"/>
        <w:rPr>
          <w:rFonts w:ascii="Verdana" w:hAnsi="Verdana" w:cs="Times-Roman"/>
          <w:color w:val="auto"/>
          <w:sz w:val="20"/>
          <w:szCs w:val="20"/>
        </w:rPr>
      </w:pPr>
      <w:r>
        <w:rPr>
          <w:rFonts w:ascii="Verdana" w:hAnsi="Verdana" w:cs="Times-Bold"/>
          <w:bCs/>
          <w:sz w:val="20"/>
          <w:szCs w:val="20"/>
        </w:rPr>
        <w:t>A licitante considerada vencedora será convocada a enviar pelo sistema eletrônico COMPRASNET, a documentação de proposta, adaptada ao valor do último la</w:t>
      </w:r>
      <w:r>
        <w:rPr>
          <w:rFonts w:ascii="Verdana" w:hAnsi="Verdana" w:cs="Times-Bold"/>
          <w:bCs/>
          <w:color w:val="auto"/>
          <w:sz w:val="20"/>
          <w:szCs w:val="20"/>
        </w:rPr>
        <w:t>nce proposto, os seguintes documentos:</w:t>
      </w:r>
    </w:p>
    <w:p>
      <w:pPr>
        <w:pStyle w:val="68"/>
        <w:keepNext w:val="0"/>
        <w:numPr>
          <w:ilvl w:val="0"/>
          <w:numId w:val="17"/>
        </w:numPr>
        <w:shd w:val="clear" w:color="auto" w:fill="auto"/>
        <w:tabs>
          <w:tab w:val="clear" w:pos="708"/>
        </w:tabs>
        <w:overflowPunct/>
        <w:autoSpaceDE w:val="0"/>
        <w:autoSpaceDN w:val="0"/>
        <w:adjustRightInd w:val="0"/>
        <w:spacing w:before="120" w:after="120"/>
        <w:ind w:left="1985" w:hanging="425"/>
        <w:jc w:val="both"/>
        <w:textAlignment w:val="auto"/>
        <w:rPr>
          <w:rFonts w:ascii="Verdana" w:hAnsi="Verdana" w:cs="Times-Roman"/>
          <w:color w:val="auto"/>
          <w:sz w:val="20"/>
          <w:szCs w:val="20"/>
        </w:rPr>
      </w:pPr>
      <w:r>
        <w:rPr>
          <w:rFonts w:ascii="Verdana" w:hAnsi="Verdana" w:cs="Times-Bold"/>
          <w:bCs/>
          <w:color w:val="auto"/>
          <w:sz w:val="20"/>
          <w:szCs w:val="20"/>
        </w:rPr>
        <w:t>– A carta com a proposta comercial, conforme modelo do anexo V;</w:t>
      </w:r>
    </w:p>
    <w:p>
      <w:pPr>
        <w:pStyle w:val="68"/>
        <w:keepNext w:val="0"/>
        <w:numPr>
          <w:ilvl w:val="0"/>
          <w:numId w:val="17"/>
        </w:numPr>
        <w:shd w:val="clear" w:color="auto" w:fill="auto"/>
        <w:tabs>
          <w:tab w:val="clear" w:pos="708"/>
        </w:tabs>
        <w:overflowPunct/>
        <w:autoSpaceDE w:val="0"/>
        <w:autoSpaceDN w:val="0"/>
        <w:adjustRightInd w:val="0"/>
        <w:spacing w:before="120" w:after="120"/>
        <w:ind w:left="1985" w:hanging="425"/>
        <w:jc w:val="both"/>
        <w:textAlignment w:val="auto"/>
        <w:rPr>
          <w:rFonts w:ascii="Verdana" w:hAnsi="Verdana" w:cs="Times-Roman"/>
          <w:color w:val="auto"/>
          <w:sz w:val="20"/>
          <w:szCs w:val="20"/>
        </w:rPr>
      </w:pPr>
      <w:bookmarkStart w:id="13" w:name="_Hlk107933956"/>
      <w:r>
        <w:rPr>
          <w:rFonts w:ascii="Verdana" w:hAnsi="Verdana" w:cs="Times-Roman"/>
          <w:color w:val="auto"/>
          <w:sz w:val="20"/>
          <w:szCs w:val="20"/>
        </w:rPr>
        <w:t>– A planilha contendo o resumo do orçamento ajustado ao preço total proposto e resultante do lance final da licitante (Anexo II-A);</w:t>
      </w:r>
      <w:bookmarkEnd w:id="13"/>
    </w:p>
    <w:p>
      <w:pPr>
        <w:pStyle w:val="68"/>
        <w:keepNext w:val="0"/>
        <w:numPr>
          <w:ilvl w:val="0"/>
          <w:numId w:val="17"/>
        </w:numPr>
        <w:shd w:val="clear" w:color="auto" w:fill="auto"/>
        <w:tabs>
          <w:tab w:val="clear" w:pos="708"/>
        </w:tabs>
        <w:overflowPunct/>
        <w:autoSpaceDE w:val="0"/>
        <w:autoSpaceDN w:val="0"/>
        <w:adjustRightInd w:val="0"/>
        <w:spacing w:before="120" w:after="120"/>
        <w:ind w:left="1985" w:hanging="425"/>
        <w:jc w:val="both"/>
        <w:textAlignment w:val="auto"/>
        <w:rPr>
          <w:rFonts w:ascii="Verdana" w:hAnsi="Verdana" w:cs="Times-Roman"/>
          <w:color w:val="auto"/>
          <w:sz w:val="20"/>
          <w:szCs w:val="20"/>
        </w:rPr>
      </w:pPr>
      <w:r>
        <w:rPr>
          <w:rFonts w:ascii="Verdana" w:hAnsi="Verdana" w:cs="Times-Bold"/>
          <w:bCs/>
          <w:color w:val="auto"/>
          <w:sz w:val="20"/>
          <w:szCs w:val="20"/>
        </w:rPr>
        <w:t>– A planilha de custos e formação de preços discriminando todos os itens de serviços, conforme modelo do anexo II-B;</w:t>
      </w:r>
    </w:p>
    <w:p>
      <w:pPr>
        <w:pStyle w:val="68"/>
        <w:keepNext w:val="0"/>
        <w:numPr>
          <w:ilvl w:val="0"/>
          <w:numId w:val="17"/>
        </w:numPr>
        <w:shd w:val="clear" w:color="auto" w:fill="auto"/>
        <w:tabs>
          <w:tab w:val="clear" w:pos="708"/>
        </w:tabs>
        <w:overflowPunct/>
        <w:autoSpaceDE w:val="0"/>
        <w:autoSpaceDN w:val="0"/>
        <w:adjustRightInd w:val="0"/>
        <w:spacing w:before="120" w:after="120"/>
        <w:ind w:left="1985" w:hanging="425"/>
        <w:jc w:val="both"/>
        <w:textAlignment w:val="auto"/>
        <w:rPr>
          <w:rFonts w:ascii="Verdana" w:hAnsi="Verdana" w:cs="Times-Roman"/>
          <w:color w:val="auto"/>
          <w:sz w:val="20"/>
          <w:szCs w:val="20"/>
        </w:rPr>
      </w:pPr>
      <w:r>
        <w:rPr>
          <w:rFonts w:ascii="Verdana" w:hAnsi="Verdana" w:cs="Times-Bold"/>
          <w:bCs/>
          <w:color w:val="auto"/>
          <w:sz w:val="20"/>
          <w:szCs w:val="20"/>
        </w:rPr>
        <w:t>– A planilha contendo o cronograma físico e financeiro, conforme modelo do anexo II-C;</w:t>
      </w:r>
    </w:p>
    <w:p>
      <w:pPr>
        <w:pStyle w:val="68"/>
        <w:keepNext w:val="0"/>
        <w:numPr>
          <w:ilvl w:val="0"/>
          <w:numId w:val="17"/>
        </w:numPr>
        <w:shd w:val="clear" w:color="auto" w:fill="auto"/>
        <w:tabs>
          <w:tab w:val="clear" w:pos="708"/>
        </w:tabs>
        <w:overflowPunct/>
        <w:autoSpaceDE w:val="0"/>
        <w:autoSpaceDN w:val="0"/>
        <w:adjustRightInd w:val="0"/>
        <w:spacing w:before="120" w:after="120"/>
        <w:ind w:left="1985" w:hanging="425"/>
        <w:jc w:val="both"/>
        <w:textAlignment w:val="auto"/>
        <w:rPr>
          <w:rFonts w:ascii="Verdana" w:hAnsi="Verdana" w:cs="Times-Roman"/>
          <w:color w:val="auto"/>
          <w:sz w:val="20"/>
          <w:szCs w:val="20"/>
        </w:rPr>
      </w:pPr>
      <w:r>
        <w:rPr>
          <w:rFonts w:ascii="Verdana" w:hAnsi="Verdana" w:cs="Times-Bold"/>
          <w:bCs/>
          <w:color w:val="auto"/>
          <w:sz w:val="20"/>
          <w:szCs w:val="20"/>
        </w:rPr>
        <w:t>– A planilha com o detalhamento dos Benefícios/Bonificações e Despesas Indiretas (BDI) ou Lucro e Despesas Indiretas (LDI), conforme modelo do anexo III;</w:t>
      </w:r>
    </w:p>
    <w:p>
      <w:pPr>
        <w:pStyle w:val="68"/>
        <w:keepNext w:val="0"/>
        <w:numPr>
          <w:ilvl w:val="0"/>
          <w:numId w:val="17"/>
        </w:numPr>
        <w:shd w:val="clear" w:color="auto" w:fill="auto"/>
        <w:tabs>
          <w:tab w:val="clear" w:pos="708"/>
        </w:tabs>
        <w:overflowPunct/>
        <w:autoSpaceDE w:val="0"/>
        <w:autoSpaceDN w:val="0"/>
        <w:adjustRightInd w:val="0"/>
        <w:spacing w:before="120" w:after="120"/>
        <w:ind w:left="1985" w:hanging="425"/>
        <w:jc w:val="both"/>
        <w:textAlignment w:val="auto"/>
        <w:rPr>
          <w:rFonts w:ascii="Verdana" w:hAnsi="Verdana" w:cs="Times-Roman"/>
          <w:color w:val="auto"/>
          <w:sz w:val="20"/>
          <w:szCs w:val="20"/>
        </w:rPr>
      </w:pPr>
      <w:r>
        <w:rPr>
          <w:rFonts w:ascii="Verdana" w:hAnsi="Verdana" w:cs="Times-Bold"/>
          <w:bCs/>
          <w:color w:val="auto"/>
          <w:sz w:val="20"/>
          <w:szCs w:val="20"/>
        </w:rPr>
        <w:t>– A planilha com detalhamento dos encargos sociais e obrigações trabalhistas, conforme modelo do anexo IV;</w:t>
      </w:r>
    </w:p>
    <w:p>
      <w:pPr>
        <w:pStyle w:val="68"/>
        <w:keepNext w:val="0"/>
        <w:numPr>
          <w:ilvl w:val="0"/>
          <w:numId w:val="17"/>
        </w:numPr>
        <w:shd w:val="clear" w:color="auto" w:fill="auto"/>
        <w:tabs>
          <w:tab w:val="clear" w:pos="708"/>
        </w:tabs>
        <w:overflowPunct/>
        <w:autoSpaceDE w:val="0"/>
        <w:autoSpaceDN w:val="0"/>
        <w:adjustRightInd w:val="0"/>
        <w:spacing w:before="120" w:after="120"/>
        <w:ind w:left="1985" w:hanging="425"/>
        <w:jc w:val="both"/>
        <w:textAlignment w:val="auto"/>
        <w:rPr>
          <w:rFonts w:ascii="Verdana" w:hAnsi="Verdana" w:cs="Times-Roman"/>
          <w:color w:val="auto"/>
          <w:sz w:val="20"/>
          <w:szCs w:val="20"/>
        </w:rPr>
      </w:pPr>
      <w:r>
        <w:rPr>
          <w:rFonts w:ascii="Verdana" w:hAnsi="Verdana" w:cs="Times-Roman"/>
          <w:color w:val="auto"/>
          <w:sz w:val="20"/>
          <w:szCs w:val="20"/>
        </w:rPr>
        <w:t>– Termo de Realização de Vistoria ou de não realização de vistoria, conforme modelos dos anexos VI ou VII; e</w:t>
      </w:r>
    </w:p>
    <w:p>
      <w:pPr>
        <w:pStyle w:val="68"/>
        <w:keepNext w:val="0"/>
        <w:numPr>
          <w:ilvl w:val="0"/>
          <w:numId w:val="17"/>
        </w:numPr>
        <w:shd w:val="clear" w:color="auto" w:fill="auto"/>
        <w:tabs>
          <w:tab w:val="clear" w:pos="708"/>
        </w:tabs>
        <w:overflowPunct/>
        <w:autoSpaceDE w:val="0"/>
        <w:autoSpaceDN w:val="0"/>
        <w:adjustRightInd w:val="0"/>
        <w:spacing w:before="120" w:after="120"/>
        <w:ind w:left="1985" w:hanging="425"/>
        <w:jc w:val="both"/>
        <w:textAlignment w:val="auto"/>
        <w:rPr>
          <w:rFonts w:ascii="Verdana" w:hAnsi="Verdana" w:cs="Times-Roman"/>
          <w:color w:val="auto"/>
          <w:sz w:val="20"/>
          <w:szCs w:val="20"/>
        </w:rPr>
      </w:pPr>
      <w:r>
        <w:rPr>
          <w:rFonts w:ascii="Verdana" w:hAnsi="Verdana" w:cs="Times-Roman"/>
          <w:color w:val="auto"/>
          <w:sz w:val="20"/>
          <w:szCs w:val="20"/>
        </w:rPr>
        <w:t>– Declaração de Responsabilidade, conforme modelo do Anexo VIII.</w:t>
      </w:r>
    </w:p>
    <w:p>
      <w:pPr>
        <w:keepNext w:val="0"/>
        <w:numPr>
          <w:ilvl w:val="1"/>
          <w:numId w:val="15"/>
        </w:numPr>
        <w:shd w:val="clear" w:color="auto" w:fill="auto"/>
        <w:tabs>
          <w:tab w:val="clear" w:pos="708"/>
        </w:tabs>
        <w:overflowPunct/>
        <w:autoSpaceDE w:val="0"/>
        <w:autoSpaceDN w:val="0"/>
        <w:adjustRightInd w:val="0"/>
        <w:spacing w:before="120" w:after="120"/>
        <w:ind w:left="851" w:hanging="284"/>
        <w:jc w:val="both"/>
        <w:textAlignment w:val="auto"/>
        <w:rPr>
          <w:rFonts w:ascii="Verdana" w:hAnsi="Verdana" w:cs="Times-Roman"/>
          <w:sz w:val="20"/>
          <w:szCs w:val="20"/>
        </w:rPr>
      </w:pPr>
      <w:r>
        <w:rPr>
          <w:rFonts w:ascii="Verdana" w:hAnsi="Verdana" w:cs="Times-Roman"/>
          <w:sz w:val="20"/>
          <w:szCs w:val="20"/>
        </w:rPr>
        <w:t>A licitante vencedora deverá encaminhar tempestivamente os documentos supracitados pelo sistema eletrônico, no prazo a ser estipulado de no mínimo 02 (duas) horas, quando solicitado pela Comissão do RDC, podendo este prazo ser prorrogado a critério da Comissão, desde que solicitado pela licitante.</w:t>
      </w:r>
    </w:p>
    <w:p>
      <w:pPr>
        <w:keepNext w:val="0"/>
        <w:numPr>
          <w:ilvl w:val="1"/>
          <w:numId w:val="15"/>
        </w:numPr>
        <w:shd w:val="clear" w:color="auto" w:fill="auto"/>
        <w:tabs>
          <w:tab w:val="clear" w:pos="708"/>
        </w:tabs>
        <w:overflowPunct/>
        <w:autoSpaceDE w:val="0"/>
        <w:autoSpaceDN w:val="0"/>
        <w:adjustRightInd w:val="0"/>
        <w:spacing w:before="120" w:after="120"/>
        <w:ind w:left="851" w:hanging="284"/>
        <w:jc w:val="both"/>
        <w:textAlignment w:val="auto"/>
        <w:rPr>
          <w:rFonts w:ascii="Verdana" w:hAnsi="Verdana" w:cs="Times-Roman"/>
          <w:sz w:val="20"/>
          <w:szCs w:val="20"/>
        </w:rPr>
      </w:pPr>
      <w:r>
        <w:rPr>
          <w:rFonts w:ascii="Verdana" w:hAnsi="Verdana" w:cs="Times-Roman"/>
          <w:sz w:val="20"/>
          <w:szCs w:val="20"/>
        </w:rPr>
        <w:t xml:space="preserve">Dentro do prazo a ser estabelecido pela Comissão do RDC, poderão ser remetidos, por iniciativa da licitante, tantos quantos forem os documentos complementares ou retificadores afetos aos documentos solicitados no </w:t>
      </w:r>
      <w:r>
        <w:rPr>
          <w:rFonts w:ascii="Verdana" w:hAnsi="Verdana" w:cs="Times-Italic"/>
          <w:i/>
          <w:iCs/>
          <w:sz w:val="20"/>
          <w:szCs w:val="20"/>
        </w:rPr>
        <w:t>caput</w:t>
      </w:r>
      <w:r>
        <w:rPr>
          <w:rFonts w:ascii="Verdana" w:hAnsi="Verdana" w:cs="Times-Roman"/>
          <w:sz w:val="20"/>
          <w:szCs w:val="20"/>
        </w:rPr>
        <w:t>.</w:t>
      </w:r>
    </w:p>
    <w:p>
      <w:pPr>
        <w:keepNext w:val="0"/>
        <w:numPr>
          <w:ilvl w:val="2"/>
          <w:numId w:val="15"/>
        </w:numPr>
        <w:shd w:val="clear" w:color="auto" w:fill="auto"/>
        <w:tabs>
          <w:tab w:val="clear" w:pos="708"/>
        </w:tabs>
        <w:overflowPunct/>
        <w:autoSpaceDE w:val="0"/>
        <w:autoSpaceDN w:val="0"/>
        <w:adjustRightInd w:val="0"/>
        <w:spacing w:before="120" w:after="120"/>
        <w:ind w:left="1134" w:hanging="283"/>
        <w:jc w:val="both"/>
        <w:textAlignment w:val="auto"/>
        <w:rPr>
          <w:rFonts w:ascii="Verdana" w:hAnsi="Verdana" w:cs="Times-Roman"/>
          <w:sz w:val="20"/>
          <w:szCs w:val="20"/>
        </w:rPr>
      </w:pPr>
      <w:r>
        <w:rPr>
          <w:rFonts w:ascii="Verdana" w:hAnsi="Verdana" w:cs="Times-Roman"/>
          <w:sz w:val="20"/>
          <w:szCs w:val="20"/>
        </w:rPr>
        <w:t xml:space="preserve">Neste caso, a licitante deve manifestar o desejo de envio de nova documentação, </w:t>
      </w:r>
      <w:r>
        <w:rPr>
          <w:rFonts w:ascii="Verdana" w:hAnsi="Verdana" w:cs="Times-Bold"/>
          <w:bCs/>
          <w:sz w:val="20"/>
          <w:szCs w:val="20"/>
        </w:rPr>
        <w:t xml:space="preserve">através do </w:t>
      </w:r>
      <w:r>
        <w:rPr>
          <w:rFonts w:ascii="Verdana" w:hAnsi="Verdana" w:cs="Times-BoldItalic"/>
          <w:bCs/>
          <w:i/>
          <w:iCs/>
          <w:sz w:val="20"/>
          <w:szCs w:val="20"/>
        </w:rPr>
        <w:t xml:space="preserve">chat </w:t>
      </w:r>
      <w:r>
        <w:rPr>
          <w:rFonts w:ascii="Verdana" w:hAnsi="Verdana" w:cs="Times-Bold"/>
          <w:bCs/>
          <w:sz w:val="20"/>
          <w:szCs w:val="20"/>
        </w:rPr>
        <w:t>do sistema</w:t>
      </w:r>
      <w:r>
        <w:rPr>
          <w:rFonts w:ascii="Verdana" w:hAnsi="Verdana" w:cs="Times-Roman"/>
          <w:sz w:val="20"/>
          <w:szCs w:val="20"/>
        </w:rPr>
        <w:t xml:space="preserve">, hipótese em que a Comissão do RDC fará, </w:t>
      </w:r>
      <w:r>
        <w:rPr>
          <w:rFonts w:ascii="Verdana" w:hAnsi="Verdana" w:cs="Times-Bold"/>
          <w:bCs/>
          <w:sz w:val="20"/>
          <w:szCs w:val="20"/>
        </w:rPr>
        <w:t>caso seja necessário</w:t>
      </w:r>
      <w:r>
        <w:rPr>
          <w:rFonts w:ascii="Verdana" w:hAnsi="Verdana" w:cs="Times-Roman"/>
          <w:sz w:val="20"/>
          <w:szCs w:val="20"/>
        </w:rPr>
        <w:t>, novo uso da funcionalidade “Convocar Anexo”.</w:t>
      </w:r>
    </w:p>
    <w:p>
      <w:pPr>
        <w:keepNext w:val="0"/>
        <w:numPr>
          <w:ilvl w:val="2"/>
          <w:numId w:val="15"/>
        </w:numPr>
        <w:shd w:val="clear" w:color="auto" w:fill="auto"/>
        <w:tabs>
          <w:tab w:val="clear" w:pos="708"/>
        </w:tabs>
        <w:overflowPunct/>
        <w:autoSpaceDE w:val="0"/>
        <w:autoSpaceDN w:val="0"/>
        <w:adjustRightInd w:val="0"/>
        <w:spacing w:before="120" w:after="120"/>
        <w:ind w:left="1134" w:hanging="283"/>
        <w:jc w:val="both"/>
        <w:textAlignment w:val="auto"/>
        <w:rPr>
          <w:rFonts w:ascii="Verdana" w:hAnsi="Verdana" w:cs="Times-Roman"/>
          <w:sz w:val="20"/>
          <w:szCs w:val="20"/>
        </w:rPr>
      </w:pPr>
      <w:r>
        <w:rPr>
          <w:rFonts w:ascii="Verdana" w:hAnsi="Verdana" w:cs="Times-Roman"/>
          <w:sz w:val="20"/>
          <w:szCs w:val="20"/>
        </w:rPr>
        <w:t xml:space="preserve">No caso de comprovada inviabilidade ou dificuldade de envio ou recebimento da documentação pelo sistema eletrônico COMPRASNET, a documentação poderá ser enviada para o endereço eletrônico – </w:t>
      </w:r>
      <w:r>
        <w:fldChar w:fldCharType="begin"/>
      </w:r>
      <w:r>
        <w:instrText xml:space="preserve"> HYPERLINK "mailto:cpl@id.uff.br" </w:instrText>
      </w:r>
      <w:r>
        <w:fldChar w:fldCharType="separate"/>
      </w:r>
      <w:r>
        <w:rPr>
          <w:rStyle w:val="13"/>
          <w:rFonts w:ascii="Verdana" w:hAnsi="Verdana" w:cs="Times-Roman"/>
          <w:sz w:val="20"/>
          <w:szCs w:val="20"/>
        </w:rPr>
        <w:t>rdc.cli.proad@id.uff.br</w:t>
      </w:r>
      <w:r>
        <w:rPr>
          <w:rStyle w:val="13"/>
          <w:rFonts w:ascii="Verdana" w:hAnsi="Verdana" w:cs="Times-Roman"/>
          <w:sz w:val="20"/>
          <w:szCs w:val="20"/>
        </w:rPr>
        <w:fldChar w:fldCharType="end"/>
      </w:r>
      <w:r>
        <w:rPr>
          <w:rStyle w:val="13"/>
          <w:rFonts w:ascii="Verdana" w:hAnsi="Verdana" w:cs="Times-Roman"/>
          <w:sz w:val="20"/>
          <w:szCs w:val="20"/>
        </w:rPr>
        <w:t>.</w:t>
      </w:r>
      <w:r>
        <w:rPr>
          <w:rFonts w:ascii="Verdana" w:hAnsi="Verdana" w:cs="Times-Roman"/>
          <w:sz w:val="20"/>
          <w:szCs w:val="20"/>
        </w:rPr>
        <w:t>. Posteriormente, tal documentação deverá obrigatoriamente ser lançada no chat do sistema eletrônico para ser conhecida por todos os participantes.</w:t>
      </w:r>
    </w:p>
    <w:p>
      <w:pPr>
        <w:keepNext w:val="0"/>
        <w:numPr>
          <w:ilvl w:val="1"/>
          <w:numId w:val="15"/>
        </w:numPr>
        <w:shd w:val="clear" w:color="auto" w:fill="auto"/>
        <w:tabs>
          <w:tab w:val="clear" w:pos="708"/>
        </w:tabs>
        <w:overflowPunct/>
        <w:autoSpaceDE w:val="0"/>
        <w:autoSpaceDN w:val="0"/>
        <w:adjustRightInd w:val="0"/>
        <w:spacing w:before="120" w:after="120"/>
        <w:ind w:left="851" w:hanging="284"/>
        <w:jc w:val="both"/>
        <w:textAlignment w:val="auto"/>
        <w:rPr>
          <w:rFonts w:ascii="Verdana" w:hAnsi="Verdana" w:cs="Times-Roman"/>
          <w:sz w:val="20"/>
          <w:szCs w:val="20"/>
        </w:rPr>
      </w:pPr>
      <w:r>
        <w:rPr>
          <w:rFonts w:ascii="Verdana" w:hAnsi="Verdana" w:cs="Times-Roman"/>
          <w:sz w:val="20"/>
          <w:szCs w:val="20"/>
        </w:rPr>
        <w:t>Depois de transcorrido o prazo estabelecido para ser enviada a documentação da licitante classificada em primeiro lugar, não será considerado, para fins de análise, sob qualquer alegação, o envio de documentação de proposta que deveria/poderia ter sido remetida anteriormente, sendo realizado, pela Comissão do RDC, o registro da recusa da proposta e a convocação da próxima licitante.</w:t>
      </w:r>
    </w:p>
    <w:p>
      <w:pPr>
        <w:keepNext w:val="0"/>
        <w:numPr>
          <w:ilvl w:val="1"/>
          <w:numId w:val="15"/>
        </w:numPr>
        <w:shd w:val="clear" w:color="auto" w:fill="auto"/>
        <w:tabs>
          <w:tab w:val="clear" w:pos="708"/>
        </w:tabs>
        <w:overflowPunct/>
        <w:autoSpaceDE w:val="0"/>
        <w:autoSpaceDN w:val="0"/>
        <w:adjustRightInd w:val="0"/>
        <w:spacing w:before="120" w:after="120"/>
        <w:ind w:left="851" w:hanging="284"/>
        <w:jc w:val="both"/>
        <w:textAlignment w:val="auto"/>
        <w:rPr>
          <w:rFonts w:ascii="Verdana" w:hAnsi="Verdana" w:cs="Times-Roman"/>
          <w:sz w:val="20"/>
          <w:szCs w:val="20"/>
        </w:rPr>
      </w:pPr>
      <w:r>
        <w:rPr>
          <w:rFonts w:ascii="Verdana" w:hAnsi="Verdana" w:cs="Times-Roman"/>
          <w:sz w:val="20"/>
          <w:szCs w:val="20"/>
        </w:rPr>
        <w:t xml:space="preserve">A licitante vencedora poderá, </w:t>
      </w:r>
      <w:r>
        <w:rPr>
          <w:rFonts w:ascii="Verdana" w:hAnsi="Verdana" w:cs="Times-Bold"/>
          <w:bCs/>
          <w:sz w:val="20"/>
          <w:szCs w:val="20"/>
        </w:rPr>
        <w:t>opcionalmente</w:t>
      </w:r>
      <w:r>
        <w:rPr>
          <w:rFonts w:ascii="Verdana" w:hAnsi="Verdana" w:cs="Times-Roman"/>
          <w:sz w:val="20"/>
          <w:szCs w:val="20"/>
        </w:rPr>
        <w:t xml:space="preserve">, antecipar o envio de sua </w:t>
      </w:r>
      <w:r>
        <w:rPr>
          <w:rFonts w:ascii="Verdana" w:hAnsi="Verdana" w:cs="Times-Bold"/>
          <w:bCs/>
          <w:sz w:val="20"/>
          <w:szCs w:val="20"/>
        </w:rPr>
        <w:t>documentação de</w:t>
      </w:r>
      <w:r>
        <w:rPr>
          <w:rFonts w:ascii="Verdana" w:hAnsi="Verdana" w:cs="Times-Roman"/>
          <w:sz w:val="20"/>
          <w:szCs w:val="20"/>
        </w:rPr>
        <w:t xml:space="preserve"> </w:t>
      </w:r>
      <w:r>
        <w:rPr>
          <w:rFonts w:ascii="Verdana" w:hAnsi="Verdana" w:cs="Times-Bold"/>
          <w:bCs/>
          <w:sz w:val="20"/>
          <w:szCs w:val="20"/>
        </w:rPr>
        <w:t>habilitação dentro do mesmo prazo estipulado para o envio da proposta</w:t>
      </w:r>
      <w:r>
        <w:rPr>
          <w:rFonts w:ascii="Verdana" w:hAnsi="Verdana" w:cs="Times-Roman"/>
          <w:sz w:val="20"/>
          <w:szCs w:val="20"/>
        </w:rPr>
        <w:t xml:space="preserve">, observando-se as orientações elencadas neste </w:t>
      </w:r>
      <w:r>
        <w:rPr>
          <w:rFonts w:ascii="Verdana" w:hAnsi="Verdana" w:cs="Times-Bold"/>
          <w:bCs/>
          <w:sz w:val="20"/>
          <w:szCs w:val="20"/>
        </w:rPr>
        <w:t>item</w:t>
      </w:r>
      <w:r>
        <w:rPr>
          <w:rFonts w:ascii="Verdana" w:hAnsi="Verdana" w:cs="Times-Roman"/>
          <w:sz w:val="20"/>
          <w:szCs w:val="20"/>
        </w:rPr>
        <w:t>.</w:t>
      </w:r>
    </w:p>
    <w:p>
      <w:pPr>
        <w:keepNext w:val="0"/>
        <w:numPr>
          <w:ilvl w:val="1"/>
          <w:numId w:val="15"/>
        </w:numPr>
        <w:shd w:val="clear" w:color="auto" w:fill="auto"/>
        <w:tabs>
          <w:tab w:val="clear" w:pos="708"/>
        </w:tabs>
        <w:overflowPunct/>
        <w:autoSpaceDE w:val="0"/>
        <w:autoSpaceDN w:val="0"/>
        <w:adjustRightInd w:val="0"/>
        <w:spacing w:before="120" w:after="120"/>
        <w:ind w:left="851" w:hanging="284"/>
        <w:jc w:val="both"/>
        <w:textAlignment w:val="auto"/>
        <w:rPr>
          <w:rFonts w:ascii="Verdana" w:hAnsi="Verdana" w:cs="Times-Roman"/>
          <w:sz w:val="20"/>
          <w:szCs w:val="20"/>
        </w:rPr>
      </w:pPr>
      <w:r>
        <w:rPr>
          <w:rFonts w:ascii="Verdana" w:hAnsi="Verdana" w:cs="Times-Roman"/>
          <w:sz w:val="20"/>
          <w:szCs w:val="20"/>
        </w:rPr>
        <w:t xml:space="preserve">A licitante que deixar de apresentar quaisquer dos documentos exigidos, ou os apresentarem em desacordo com o estabelecido neste Edital ou ainda com irregularidades, </w:t>
      </w:r>
      <w:r>
        <w:rPr>
          <w:rFonts w:ascii="Verdana" w:hAnsi="Verdana" w:cs="Times-Bold"/>
          <w:bCs/>
          <w:sz w:val="20"/>
          <w:szCs w:val="20"/>
        </w:rPr>
        <w:t>será desclassificada/inabilitada</w:t>
      </w:r>
      <w:r>
        <w:rPr>
          <w:rFonts w:ascii="Verdana" w:hAnsi="Verdana" w:cs="Times-Roman"/>
          <w:sz w:val="20"/>
          <w:szCs w:val="20"/>
        </w:rPr>
        <w:t xml:space="preserve">, não se admitindo complementação posterior, </w:t>
      </w:r>
      <w:r>
        <w:rPr>
          <w:rFonts w:ascii="Verdana" w:hAnsi="Verdana" w:cs="Times-Bold"/>
          <w:bCs/>
          <w:sz w:val="20"/>
          <w:szCs w:val="20"/>
        </w:rPr>
        <w:t xml:space="preserve">salvo se motivada por alguma diligência de ordem técnica da </w:t>
      </w:r>
      <w:r>
        <w:rPr>
          <w:rFonts w:ascii="Verdana" w:hAnsi="Verdana" w:cs="Times-Roman"/>
          <w:sz w:val="20"/>
          <w:szCs w:val="20"/>
        </w:rPr>
        <w:t>Comissão do RDC</w:t>
      </w:r>
      <w:r>
        <w:rPr>
          <w:rFonts w:ascii="Verdana" w:hAnsi="Verdana" w:cs="Times-Bold"/>
          <w:bCs/>
          <w:sz w:val="20"/>
          <w:szCs w:val="20"/>
        </w:rPr>
        <w:t>, desde que não altere a formulação da proposta</w:t>
      </w:r>
      <w:r>
        <w:rPr>
          <w:rFonts w:ascii="Verdana" w:hAnsi="Verdana" w:cs="Times-Roman"/>
          <w:sz w:val="20"/>
          <w:szCs w:val="20"/>
        </w:rPr>
        <w:t>.</w:t>
      </w:r>
    </w:p>
    <w:p>
      <w:pPr>
        <w:keepNext w:val="0"/>
        <w:numPr>
          <w:ilvl w:val="1"/>
          <w:numId w:val="15"/>
        </w:numPr>
        <w:shd w:val="clear" w:color="auto" w:fill="auto"/>
        <w:tabs>
          <w:tab w:val="clear" w:pos="708"/>
        </w:tabs>
        <w:overflowPunct/>
        <w:autoSpaceDE w:val="0"/>
        <w:autoSpaceDN w:val="0"/>
        <w:adjustRightInd w:val="0"/>
        <w:spacing w:before="120" w:after="120"/>
        <w:ind w:left="851" w:hanging="284"/>
        <w:jc w:val="both"/>
        <w:textAlignment w:val="auto"/>
        <w:rPr>
          <w:rFonts w:ascii="Verdana" w:hAnsi="Verdana" w:cs="Times-Roman"/>
          <w:sz w:val="20"/>
          <w:szCs w:val="20"/>
        </w:rPr>
      </w:pPr>
      <w:r>
        <w:rPr>
          <w:rFonts w:ascii="Verdana" w:hAnsi="Verdana" w:cs="Times-Roman"/>
          <w:sz w:val="20"/>
          <w:szCs w:val="20"/>
        </w:rPr>
        <w:t>É facultada à Comissão do RDC ou à autoridade superior, em qualquer fase desta licitação, a promoção de diligência destinada a esclarecer ou completar a instrução do processo, vedada a apresentação posterior de documentos e/ou informações que alterem a formulação da proposta.</w:t>
      </w:r>
    </w:p>
    <w:p>
      <w:pPr>
        <w:pStyle w:val="81"/>
        <w:keepNext w:val="0"/>
        <w:numPr>
          <w:ilvl w:val="1"/>
          <w:numId w:val="15"/>
        </w:numPr>
        <w:ind w:left="851" w:hanging="284"/>
        <w:rPr>
          <w:rFonts w:ascii="Verdana" w:hAnsi="Verdana" w:cs="Arial"/>
          <w:szCs w:val="20"/>
          <w:u w:val="single"/>
        </w:rPr>
      </w:pPr>
      <w:r>
        <w:rPr>
          <w:rFonts w:ascii="Verdana" w:hAnsi="Verdana" w:cs="Times-Roman"/>
          <w:szCs w:val="20"/>
        </w:rPr>
        <w:t>Feita a opção pela antecipação, caso reste algum documento pendente de habilitação, este poderá ser solicitado posteriormente pela Comissão do RDC quando da abertura da fase de habilitação, momento em que somente poderão ser encaminhados eventuais documentos faltantes referentes à habilitação, não sendo possível o envio de documentação complementar ou faltante relativa à fase de aceitação da proposta.</w:t>
      </w:r>
    </w:p>
    <w:p>
      <w:pPr>
        <w:pStyle w:val="81"/>
        <w:keepNext w:val="0"/>
        <w:numPr>
          <w:ilvl w:val="1"/>
          <w:numId w:val="15"/>
        </w:numPr>
        <w:ind w:left="851" w:hanging="284"/>
        <w:rPr>
          <w:rFonts w:ascii="Verdana" w:hAnsi="Verdana" w:cs="Arial"/>
          <w:szCs w:val="20"/>
          <w:u w:val="single"/>
        </w:rPr>
      </w:pPr>
      <w:r>
        <w:rPr>
          <w:rFonts w:ascii="Verdana" w:hAnsi="Verdana" w:cs="Arial"/>
          <w:szCs w:val="20"/>
          <w:u w:val="single"/>
        </w:rPr>
        <w:t>Formato da documentação de proposta a ser enviada:</w:t>
      </w:r>
    </w:p>
    <w:p>
      <w:pPr>
        <w:pStyle w:val="81"/>
        <w:keepNext w:val="0"/>
        <w:numPr>
          <w:ilvl w:val="2"/>
          <w:numId w:val="15"/>
        </w:numPr>
        <w:ind w:left="1134" w:hanging="283"/>
        <w:rPr>
          <w:rFonts w:ascii="Verdana" w:hAnsi="Verdana" w:cs="Arial"/>
          <w:szCs w:val="20"/>
          <w:u w:val="single"/>
        </w:rPr>
      </w:pPr>
      <w:r>
        <w:rPr>
          <w:rFonts w:ascii="Verdana" w:hAnsi="Verdana" w:cs="Arial"/>
          <w:b/>
          <w:szCs w:val="20"/>
          <w:u w:val="single"/>
        </w:rPr>
        <w:t>Carta proposta</w:t>
      </w:r>
      <w:r>
        <w:rPr>
          <w:rFonts w:ascii="Verdana" w:hAnsi="Verdana" w:cs="Arial"/>
          <w:szCs w:val="20"/>
          <w:u w:val="single"/>
        </w:rPr>
        <w:t>:</w:t>
      </w:r>
    </w:p>
    <w:p>
      <w:pPr>
        <w:pStyle w:val="81"/>
        <w:keepNext w:val="0"/>
        <w:numPr>
          <w:ilvl w:val="3"/>
          <w:numId w:val="15"/>
        </w:numPr>
        <w:ind w:left="1418" w:hanging="284"/>
        <w:rPr>
          <w:rFonts w:ascii="Verdana" w:hAnsi="Verdana" w:cs="Arial"/>
          <w:szCs w:val="20"/>
        </w:rPr>
      </w:pPr>
      <w:r>
        <w:rPr>
          <w:rFonts w:ascii="Verdana" w:hAnsi="Verdana" w:cs="Arial"/>
          <w:szCs w:val="20"/>
        </w:rPr>
        <w:t xml:space="preserve">A carta proposta ajustada ao lance vencedor, deverá ser encaminhada via sistema, redigida em língua portuguesa, com clareza, sem emendas, rasuras, acréscimos ou entrelinhas, devidamente datada e assinada, como também rubricadas todas as suas folhas pela licitante ou seu representante, na forma do </w:t>
      </w:r>
      <w:r>
        <w:rPr>
          <w:rFonts w:ascii="Verdana" w:hAnsi="Verdana" w:cs="Arial"/>
          <w:color w:val="FF0000"/>
          <w:szCs w:val="20"/>
        </w:rPr>
        <w:t xml:space="preserve">modelo do anexo V a este edital </w:t>
      </w:r>
      <w:r>
        <w:rPr>
          <w:rFonts w:ascii="Verdana" w:hAnsi="Verdana" w:cs="Arial"/>
          <w:szCs w:val="20"/>
        </w:rPr>
        <w:t>e deverá conter:</w:t>
      </w:r>
    </w:p>
    <w:p>
      <w:pPr>
        <w:keepNext w:val="0"/>
        <w:numPr>
          <w:ilvl w:val="4"/>
          <w:numId w:val="15"/>
        </w:numPr>
        <w:shd w:val="clear" w:color="auto" w:fill="auto"/>
        <w:tabs>
          <w:tab w:val="clear" w:pos="708"/>
        </w:tabs>
        <w:overflowPunct/>
        <w:autoSpaceDE w:val="0"/>
        <w:autoSpaceDN w:val="0"/>
        <w:adjustRightInd w:val="0"/>
        <w:spacing w:before="120" w:after="120"/>
        <w:ind w:left="1701" w:hanging="283"/>
        <w:jc w:val="both"/>
        <w:textAlignment w:val="auto"/>
        <w:rPr>
          <w:rFonts w:ascii="Verdana" w:hAnsi="Verdana"/>
          <w:sz w:val="20"/>
          <w:szCs w:val="20"/>
          <w:u w:val="single"/>
        </w:rPr>
      </w:pPr>
      <w:r>
        <w:rPr>
          <w:rFonts w:ascii="Verdana" w:hAnsi="Verdana" w:cs="Arial"/>
          <w:color w:val="000000"/>
          <w:sz w:val="20"/>
          <w:szCs w:val="20"/>
        </w:rPr>
        <w:t>- especificação do objeto de forma clara, observadas as especificações constantes dos projetos elaborados pela Administração;</w:t>
      </w:r>
    </w:p>
    <w:p>
      <w:pPr>
        <w:keepNext w:val="0"/>
        <w:numPr>
          <w:ilvl w:val="4"/>
          <w:numId w:val="15"/>
        </w:numPr>
        <w:shd w:val="clear" w:color="auto" w:fill="auto"/>
        <w:tabs>
          <w:tab w:val="clear" w:pos="708"/>
        </w:tabs>
        <w:overflowPunct/>
        <w:autoSpaceDE w:val="0"/>
        <w:autoSpaceDN w:val="0"/>
        <w:adjustRightInd w:val="0"/>
        <w:spacing w:before="120" w:after="120"/>
        <w:ind w:left="1701" w:hanging="283"/>
        <w:jc w:val="both"/>
        <w:textAlignment w:val="auto"/>
        <w:rPr>
          <w:rFonts w:ascii="Verdana" w:hAnsi="Verdana"/>
          <w:sz w:val="20"/>
          <w:szCs w:val="20"/>
          <w:u w:val="single"/>
        </w:rPr>
      </w:pPr>
      <w:r>
        <w:rPr>
          <w:rFonts w:ascii="Verdana" w:hAnsi="Verdana" w:cs="Times-Bold"/>
          <w:bCs/>
          <w:sz w:val="20"/>
          <w:szCs w:val="20"/>
        </w:rPr>
        <w:t>– o valor total proposto em moeda nacional em algarismo e por extenso;</w:t>
      </w:r>
    </w:p>
    <w:p>
      <w:pPr>
        <w:keepNext w:val="0"/>
        <w:numPr>
          <w:ilvl w:val="4"/>
          <w:numId w:val="15"/>
        </w:numPr>
        <w:shd w:val="clear" w:color="auto" w:fill="auto"/>
        <w:tabs>
          <w:tab w:val="clear" w:pos="708"/>
        </w:tabs>
        <w:overflowPunct/>
        <w:autoSpaceDE w:val="0"/>
        <w:autoSpaceDN w:val="0"/>
        <w:adjustRightInd w:val="0"/>
        <w:spacing w:before="120" w:after="120"/>
        <w:ind w:left="1701" w:hanging="283"/>
        <w:jc w:val="both"/>
        <w:textAlignment w:val="auto"/>
        <w:rPr>
          <w:rFonts w:ascii="Verdana" w:hAnsi="Verdana"/>
          <w:sz w:val="20"/>
          <w:szCs w:val="20"/>
          <w:u w:val="single"/>
        </w:rPr>
      </w:pPr>
      <w:r>
        <w:rPr>
          <w:rFonts w:ascii="Verdana" w:hAnsi="Verdana" w:cs="Times-Bold"/>
          <w:bCs/>
          <w:sz w:val="20"/>
          <w:szCs w:val="20"/>
        </w:rPr>
        <w:t>– o prazo para execução dos serviços de acordo com o cronograma;</w:t>
      </w:r>
    </w:p>
    <w:p>
      <w:pPr>
        <w:pStyle w:val="68"/>
        <w:keepNext w:val="0"/>
        <w:numPr>
          <w:ilvl w:val="4"/>
          <w:numId w:val="15"/>
        </w:numPr>
        <w:tabs>
          <w:tab w:val="clear" w:pos="-12"/>
          <w:tab w:val="clear" w:pos="708"/>
        </w:tabs>
        <w:suppressAutoHyphens w:val="0"/>
        <w:overflowPunct/>
        <w:spacing w:before="120" w:after="120" w:line="276" w:lineRule="auto"/>
        <w:ind w:left="1701" w:hanging="283"/>
        <w:jc w:val="both"/>
        <w:rPr>
          <w:rFonts w:ascii="Verdana" w:hAnsi="Verdana" w:cs="Arial"/>
          <w:sz w:val="20"/>
          <w:szCs w:val="20"/>
        </w:rPr>
      </w:pPr>
      <w:r>
        <w:rPr>
          <w:rFonts w:ascii="Verdana" w:hAnsi="Verdana" w:cs="Times-Bold"/>
          <w:bCs/>
          <w:sz w:val="20"/>
          <w:szCs w:val="20"/>
        </w:rPr>
        <w:t>– p</w:t>
      </w:r>
      <w:r>
        <w:rPr>
          <w:rFonts w:ascii="Verdana" w:hAnsi="Verdana" w:cs="Arial"/>
          <w:sz w:val="20"/>
          <w:szCs w:val="20"/>
        </w:rPr>
        <w:t xml:space="preserve">razo de validade da proposta, que </w:t>
      </w:r>
      <w:r>
        <w:rPr>
          <w:rFonts w:ascii="Verdana" w:hAnsi="Verdana" w:cs="Arial"/>
          <w:sz w:val="20"/>
          <w:szCs w:val="20"/>
          <w:u w:val="single"/>
        </w:rPr>
        <w:t>não poderá ser inferior a 90 (noventa) dias consecutivos</w:t>
      </w:r>
      <w:r>
        <w:rPr>
          <w:rFonts w:ascii="Verdana" w:hAnsi="Verdana" w:cs="Arial"/>
          <w:sz w:val="20"/>
          <w:szCs w:val="20"/>
        </w:rPr>
        <w:t>, a contar da data de sua apresentação.</w:t>
      </w:r>
    </w:p>
    <w:p>
      <w:pPr>
        <w:pStyle w:val="68"/>
        <w:keepNext w:val="0"/>
        <w:numPr>
          <w:ilvl w:val="4"/>
          <w:numId w:val="15"/>
        </w:numPr>
        <w:tabs>
          <w:tab w:val="clear" w:pos="-12"/>
          <w:tab w:val="clear" w:pos="708"/>
        </w:tabs>
        <w:suppressAutoHyphens w:val="0"/>
        <w:overflowPunct/>
        <w:spacing w:before="120" w:after="120" w:line="276" w:lineRule="auto"/>
        <w:ind w:left="1701" w:hanging="283"/>
        <w:jc w:val="both"/>
        <w:rPr>
          <w:rFonts w:ascii="Verdana" w:hAnsi="Verdana" w:cs="Arial"/>
          <w:sz w:val="20"/>
          <w:szCs w:val="20"/>
        </w:rPr>
      </w:pPr>
      <w:r>
        <w:rPr>
          <w:rFonts w:ascii="Verdana" w:hAnsi="Verdana" w:cs="Arial"/>
          <w:color w:val="000000"/>
          <w:sz w:val="20"/>
          <w:szCs w:val="20"/>
        </w:rPr>
        <w:t xml:space="preserve">- a razão social da proponente, endereço completo, telefone, endereço eletrônico (e-mail), indicação do banco, número da conta corrente e da agência bancária </w:t>
      </w:r>
      <w:r>
        <w:rPr>
          <w:rFonts w:ascii="Verdana" w:hAnsi="Verdana" w:cs="Arial"/>
          <w:sz w:val="20"/>
          <w:szCs w:val="20"/>
        </w:rPr>
        <w:t>no</w:t>
      </w:r>
      <w:r>
        <w:rPr>
          <w:rFonts w:ascii="Verdana" w:hAnsi="Verdana" w:cs="Arial"/>
          <w:color w:val="000000"/>
          <w:sz w:val="20"/>
          <w:szCs w:val="20"/>
        </w:rPr>
        <w:t xml:space="preserve"> qual serão depositados os pagamentos se a Licitante se for a contratada;</w:t>
      </w:r>
    </w:p>
    <w:p>
      <w:pPr>
        <w:pStyle w:val="68"/>
        <w:keepNext w:val="0"/>
        <w:numPr>
          <w:ilvl w:val="2"/>
          <w:numId w:val="15"/>
        </w:numPr>
        <w:tabs>
          <w:tab w:val="clear" w:pos="-12"/>
          <w:tab w:val="clear" w:pos="708"/>
        </w:tabs>
        <w:suppressAutoHyphens w:val="0"/>
        <w:overflowPunct/>
        <w:spacing w:before="120" w:after="120" w:line="276" w:lineRule="auto"/>
        <w:ind w:left="1134" w:hanging="283"/>
        <w:jc w:val="both"/>
        <w:rPr>
          <w:rFonts w:ascii="Verdana" w:hAnsi="Verdana" w:cs="Arial"/>
          <w:sz w:val="20"/>
          <w:szCs w:val="20"/>
        </w:rPr>
      </w:pPr>
      <w:bookmarkStart w:id="14" w:name="_Hlk107934100"/>
      <w:r>
        <w:rPr>
          <w:rFonts w:ascii="Verdana" w:hAnsi="Verdana" w:cs="Arial"/>
          <w:b/>
          <w:bCs/>
          <w:sz w:val="20"/>
          <w:szCs w:val="20"/>
          <w:u w:val="single"/>
        </w:rPr>
        <w:t>Planilha Resumo do Orçamento:</w:t>
      </w:r>
    </w:p>
    <w:p>
      <w:pPr>
        <w:pStyle w:val="68"/>
        <w:keepNext w:val="0"/>
        <w:numPr>
          <w:ilvl w:val="3"/>
          <w:numId w:val="15"/>
        </w:numPr>
        <w:tabs>
          <w:tab w:val="clear" w:pos="-12"/>
          <w:tab w:val="clear" w:pos="708"/>
        </w:tabs>
        <w:suppressAutoHyphens w:val="0"/>
        <w:overflowPunct/>
        <w:spacing w:before="120" w:after="120" w:line="276" w:lineRule="auto"/>
        <w:ind w:left="1418" w:hanging="284"/>
        <w:jc w:val="both"/>
        <w:rPr>
          <w:rFonts w:ascii="Verdana" w:hAnsi="Verdana" w:cs="Arial"/>
          <w:sz w:val="20"/>
          <w:szCs w:val="20"/>
        </w:rPr>
      </w:pPr>
      <w:r>
        <w:rPr>
          <w:rFonts w:ascii="Verdana" w:hAnsi="Verdana" w:cs="Arial"/>
          <w:sz w:val="20"/>
          <w:szCs w:val="20"/>
        </w:rPr>
        <w:t>Planilha Resumo do Orçamento, conforme modelo em anexo (II-A), contendo o resumo dos valores dos itens orçados pela UFF e os orçados pela proponente e seus respectivos percentuais em relação ao total dos serviços;</w:t>
      </w:r>
      <w:bookmarkEnd w:id="14"/>
    </w:p>
    <w:p>
      <w:pPr>
        <w:pStyle w:val="68"/>
        <w:keepNext w:val="0"/>
        <w:numPr>
          <w:ilvl w:val="2"/>
          <w:numId w:val="15"/>
        </w:numPr>
        <w:tabs>
          <w:tab w:val="clear" w:pos="-12"/>
          <w:tab w:val="clear" w:pos="708"/>
        </w:tabs>
        <w:suppressAutoHyphens w:val="0"/>
        <w:overflowPunct/>
        <w:spacing w:before="120" w:after="120" w:line="276" w:lineRule="auto"/>
        <w:ind w:left="1134" w:hanging="283"/>
        <w:jc w:val="both"/>
        <w:rPr>
          <w:rFonts w:ascii="Verdana" w:hAnsi="Verdana" w:cs="Arial"/>
          <w:sz w:val="20"/>
          <w:szCs w:val="20"/>
        </w:rPr>
      </w:pPr>
      <w:r>
        <w:rPr>
          <w:rFonts w:ascii="Verdana" w:hAnsi="Verdana" w:cs="Arial"/>
          <w:b/>
          <w:sz w:val="20"/>
          <w:szCs w:val="20"/>
          <w:u w:val="single"/>
        </w:rPr>
        <w:t>Planilha de Custos e Formação de Preços</w:t>
      </w:r>
      <w:r>
        <w:rPr>
          <w:rFonts w:ascii="Verdana" w:hAnsi="Verdana" w:cs="Arial"/>
          <w:sz w:val="20"/>
          <w:szCs w:val="20"/>
          <w:u w:val="single"/>
        </w:rPr>
        <w:t>:</w:t>
      </w:r>
    </w:p>
    <w:p>
      <w:pPr>
        <w:pStyle w:val="68"/>
        <w:keepNext w:val="0"/>
        <w:numPr>
          <w:ilvl w:val="3"/>
          <w:numId w:val="15"/>
        </w:numPr>
        <w:tabs>
          <w:tab w:val="clear" w:pos="-12"/>
          <w:tab w:val="clear" w:pos="708"/>
        </w:tabs>
        <w:suppressAutoHyphens w:val="0"/>
        <w:overflowPunct/>
        <w:spacing w:before="120" w:after="120" w:line="276" w:lineRule="auto"/>
        <w:ind w:left="1418" w:hanging="284"/>
        <w:jc w:val="both"/>
        <w:rPr>
          <w:rFonts w:ascii="Verdana" w:hAnsi="Verdana" w:cs="Arial"/>
          <w:sz w:val="20"/>
          <w:szCs w:val="20"/>
        </w:rPr>
      </w:pPr>
      <w:r>
        <w:rPr>
          <w:rFonts w:ascii="Verdana" w:hAnsi="Verdana" w:cs="Times-Bold"/>
          <w:bCs/>
          <w:sz w:val="20"/>
          <w:szCs w:val="20"/>
        </w:rPr>
        <w:t>Planilha de Custo e Formação de Preços</w:t>
      </w:r>
      <w:r>
        <w:rPr>
          <w:rFonts w:ascii="Verdana" w:hAnsi="Verdana" w:cs="Times-Bold"/>
          <w:b/>
          <w:bCs/>
          <w:sz w:val="20"/>
          <w:szCs w:val="20"/>
        </w:rPr>
        <w:t xml:space="preserve"> </w:t>
      </w:r>
      <w:r>
        <w:rPr>
          <w:rFonts w:ascii="Verdana" w:hAnsi="Verdana" w:cs="Times-Bold"/>
          <w:bCs/>
          <w:sz w:val="20"/>
          <w:szCs w:val="20"/>
        </w:rPr>
        <w:t>conforme modelo disponibilizado pela UFF em anexo (anexo II-B)</w:t>
      </w:r>
      <w:r>
        <w:rPr>
          <w:rFonts w:ascii="Verdana" w:hAnsi="Verdana" w:cs="Times-Roman"/>
          <w:sz w:val="20"/>
          <w:szCs w:val="20"/>
        </w:rPr>
        <w:t xml:space="preserve">, devendo </w:t>
      </w:r>
      <w:r>
        <w:rPr>
          <w:rFonts w:ascii="Verdana" w:hAnsi="Verdana"/>
          <w:sz w:val="20"/>
          <w:szCs w:val="20"/>
        </w:rPr>
        <w:t>constar os valores propostos pela UFF e os valores de BDI, preços unitários, totais por item e preço total dos serviços proposto pela licitante, observando-se os valores em moeda corrente nacional e as unidades do Sistema Métrico Decimal.</w:t>
      </w:r>
    </w:p>
    <w:p>
      <w:pPr>
        <w:pStyle w:val="81"/>
        <w:keepNext w:val="0"/>
        <w:widowControl/>
        <w:numPr>
          <w:ilvl w:val="3"/>
          <w:numId w:val="15"/>
        </w:numPr>
        <w:spacing w:before="120" w:after="120"/>
        <w:ind w:left="1418" w:hanging="284"/>
        <w:textAlignment w:val="auto"/>
        <w:rPr>
          <w:rFonts w:ascii="Verdana" w:hAnsi="Verdana" w:eastAsia="Times New Roman" w:cs="Arial"/>
          <w:szCs w:val="20"/>
        </w:rPr>
      </w:pPr>
      <w:r>
        <w:rPr>
          <w:rFonts w:ascii="Verdana" w:hAnsi="Verdana"/>
          <w:szCs w:val="20"/>
        </w:rPr>
        <w:t xml:space="preserve">– Como o critério de julgamento será o de menor preço total dos serviços, esse deverá refletir sobre os preços </w:t>
      </w:r>
      <w:r>
        <w:rPr>
          <w:rFonts w:ascii="Verdana" w:hAnsi="Verdana" w:cs="Arial"/>
          <w:color w:val="000000"/>
          <w:szCs w:val="20"/>
        </w:rPr>
        <w:t>unitários dos itens do orçamento apresentado pela UFF (Anexo II-B), ajustando-os àquele; os preços unitários ajustados a serem propostos pela licitante, deverão ser inferiores aos apresentados pela UFF;</w:t>
      </w:r>
    </w:p>
    <w:p>
      <w:pPr>
        <w:pStyle w:val="81"/>
        <w:keepNext w:val="0"/>
        <w:widowControl/>
        <w:numPr>
          <w:ilvl w:val="4"/>
          <w:numId w:val="15"/>
        </w:numPr>
        <w:spacing w:before="120" w:after="120"/>
        <w:ind w:left="2268" w:hanging="567"/>
        <w:textAlignment w:val="auto"/>
        <w:rPr>
          <w:rFonts w:ascii="Verdana" w:hAnsi="Verdana" w:eastAsia="Times New Roman" w:cs="Arial"/>
          <w:szCs w:val="20"/>
          <w:highlight w:val="none"/>
        </w:rPr>
      </w:pPr>
      <w:r>
        <w:rPr>
          <w:rFonts w:ascii="Verdana" w:hAnsi="Verdana" w:cs="Arial"/>
          <w:color w:val="000000"/>
          <w:szCs w:val="20"/>
        </w:rPr>
        <w:t>- A licitante vencedora deverá preencher na planilha de orçamento</w:t>
      </w:r>
      <w:r>
        <w:rPr>
          <w:rFonts w:ascii="Verdana" w:hAnsi="Verdana" w:cs="Arial"/>
          <w:color w:val="000000"/>
          <w:szCs w:val="20"/>
          <w:highlight w:val="none"/>
        </w:rPr>
        <w:t xml:space="preserve"> (Anexo II-B), as colunas de “M” até “Q” reservada a ela, com os valores propostos de: BDI, preço unitário, preço do item, preço serviço e total proposto, utilizando como base de cálculo os valores apresentados pela UFF como: unidades e quantidades, que não poderão ser alterados.</w:t>
      </w:r>
    </w:p>
    <w:p>
      <w:pPr>
        <w:pStyle w:val="81"/>
        <w:keepNext w:val="0"/>
        <w:widowControl/>
        <w:numPr>
          <w:ilvl w:val="4"/>
          <w:numId w:val="15"/>
        </w:numPr>
        <w:spacing w:before="120" w:after="120"/>
        <w:ind w:left="2268" w:hanging="567"/>
        <w:textAlignment w:val="auto"/>
        <w:rPr>
          <w:rFonts w:ascii="Verdana" w:hAnsi="Verdana" w:eastAsia="Times New Roman" w:cs="Arial"/>
          <w:szCs w:val="20"/>
        </w:rPr>
      </w:pPr>
      <w:r>
        <w:rPr>
          <w:rFonts w:ascii="Verdana" w:hAnsi="Verdana" w:cs="Arial"/>
          <w:color w:val="000000"/>
          <w:szCs w:val="20"/>
          <w:highlight w:val="none"/>
        </w:rPr>
        <w:t>– As colunas de “A” a “L” encontram-se protegidas e não podem ser alteradas.</w:t>
      </w:r>
      <w:r>
        <w:rPr>
          <w:rFonts w:ascii="Verdana" w:hAnsi="Verdana" w:cs="Arial"/>
          <w:szCs w:val="20"/>
        </w:rPr>
        <w:t xml:space="preserve"> </w:t>
      </w:r>
    </w:p>
    <w:p>
      <w:pPr>
        <w:pStyle w:val="81"/>
        <w:keepNext w:val="0"/>
        <w:widowControl/>
        <w:numPr>
          <w:ilvl w:val="3"/>
          <w:numId w:val="15"/>
        </w:numPr>
        <w:spacing w:before="120" w:after="120"/>
        <w:ind w:left="1418" w:hanging="284"/>
        <w:textAlignment w:val="auto"/>
        <w:rPr>
          <w:rFonts w:ascii="Verdana" w:hAnsi="Verdana" w:eastAsia="Times New Roman" w:cs="Arial"/>
          <w:szCs w:val="20"/>
        </w:rPr>
      </w:pPr>
      <w:r>
        <w:rPr>
          <w:rFonts w:ascii="Verdana" w:hAnsi="Verdana" w:cs="Arial"/>
          <w:szCs w:val="20"/>
        </w:rPr>
        <w:t>- Não será admitido, apresentar aplicado na planilha orçamentária (Anexo II-B), valor total diferente do valor do lance final proposto;</w:t>
      </w:r>
    </w:p>
    <w:p>
      <w:pPr>
        <w:pStyle w:val="68"/>
        <w:keepNext w:val="0"/>
        <w:numPr>
          <w:ilvl w:val="3"/>
          <w:numId w:val="15"/>
        </w:numPr>
        <w:tabs>
          <w:tab w:val="clear" w:pos="-12"/>
          <w:tab w:val="clear" w:pos="708"/>
        </w:tabs>
        <w:suppressAutoHyphens w:val="0"/>
        <w:overflowPunct/>
        <w:spacing w:before="120" w:after="120" w:line="276" w:lineRule="auto"/>
        <w:ind w:left="1418" w:hanging="284"/>
        <w:jc w:val="both"/>
        <w:rPr>
          <w:rFonts w:ascii="Verdana" w:hAnsi="Verdana" w:cs="Arial"/>
          <w:sz w:val="20"/>
          <w:szCs w:val="20"/>
        </w:rPr>
      </w:pPr>
      <w:r>
        <w:rPr>
          <w:rFonts w:ascii="Verdana" w:hAnsi="Verdana" w:cs="Arial"/>
          <w:color w:val="000000"/>
          <w:sz w:val="20"/>
          <w:szCs w:val="20"/>
        </w:rPr>
        <w:t>– Não serão admitidas alterações de especificações, unidades, quantitativos, custos unitários, valor de BDI e dos preços unitários calculados pela UFF; se tal ocorrência for constatada será motivo de desclassificação da proposta;</w:t>
      </w:r>
    </w:p>
    <w:p>
      <w:pPr>
        <w:pStyle w:val="68"/>
        <w:keepNext w:val="0"/>
        <w:tabs>
          <w:tab w:val="clear" w:pos="-12"/>
          <w:tab w:val="clear" w:pos="708"/>
        </w:tabs>
        <w:suppressAutoHyphens w:val="0"/>
        <w:overflowPunct/>
        <w:spacing w:before="120" w:after="120" w:line="276" w:lineRule="auto"/>
        <w:ind w:left="1418"/>
        <w:jc w:val="both"/>
        <w:rPr>
          <w:rFonts w:ascii="Verdana" w:hAnsi="Verdana" w:cs="Arial"/>
          <w:sz w:val="20"/>
          <w:szCs w:val="20"/>
          <w:highlight w:val="yellow"/>
        </w:rPr>
      </w:pPr>
    </w:p>
    <w:p>
      <w:pPr>
        <w:pStyle w:val="68"/>
        <w:keepNext w:val="0"/>
        <w:numPr>
          <w:ilvl w:val="2"/>
          <w:numId w:val="15"/>
        </w:numPr>
        <w:tabs>
          <w:tab w:val="clear" w:pos="-12"/>
          <w:tab w:val="clear" w:pos="708"/>
        </w:tabs>
        <w:suppressAutoHyphens w:val="0"/>
        <w:overflowPunct/>
        <w:spacing w:before="120" w:after="120" w:line="276" w:lineRule="auto"/>
        <w:ind w:left="1134" w:hanging="283"/>
        <w:jc w:val="both"/>
        <w:rPr>
          <w:rFonts w:ascii="Verdana" w:hAnsi="Verdana" w:cs="Arial"/>
          <w:sz w:val="20"/>
          <w:szCs w:val="20"/>
        </w:rPr>
      </w:pPr>
      <w:r>
        <w:rPr>
          <w:rFonts w:ascii="Verdana" w:hAnsi="Verdana" w:cs="Arial"/>
          <w:b/>
          <w:sz w:val="20"/>
          <w:szCs w:val="20"/>
          <w:u w:val="single"/>
        </w:rPr>
        <w:t>Planilha com o Cronograma físico-financeiro</w:t>
      </w:r>
      <w:r>
        <w:rPr>
          <w:rFonts w:ascii="Verdana" w:hAnsi="Verdana" w:cs="Arial"/>
          <w:sz w:val="20"/>
          <w:szCs w:val="20"/>
        </w:rPr>
        <w:t>:</w:t>
      </w:r>
    </w:p>
    <w:p>
      <w:pPr>
        <w:pStyle w:val="68"/>
        <w:keepNext w:val="0"/>
        <w:numPr>
          <w:ilvl w:val="3"/>
          <w:numId w:val="15"/>
        </w:numPr>
        <w:tabs>
          <w:tab w:val="clear" w:pos="-12"/>
          <w:tab w:val="clear" w:pos="708"/>
        </w:tabs>
        <w:suppressAutoHyphens w:val="0"/>
        <w:overflowPunct/>
        <w:spacing w:before="120" w:after="120" w:line="276" w:lineRule="auto"/>
        <w:ind w:left="1418" w:hanging="284"/>
        <w:jc w:val="both"/>
        <w:rPr>
          <w:rFonts w:ascii="Verdana" w:hAnsi="Verdana" w:cs="Arial"/>
          <w:sz w:val="20"/>
          <w:szCs w:val="20"/>
        </w:rPr>
      </w:pPr>
      <w:r>
        <w:rPr>
          <w:rFonts w:ascii="Verdana" w:hAnsi="Verdana" w:cs="Arial"/>
          <w:sz w:val="20"/>
          <w:szCs w:val="20"/>
        </w:rPr>
        <w:t>Planilha com o cronograma físico e financeiro previsto para a execução dos serviços, conforme modelo disponibilizado pela UFF em anexo (anexo II-C); observando-se as etapas e prazos de execução e a previsão de desembolso orçamentário estabelecida neste Edital e seus anexos, e incluindo as etapas necessárias à medição, ao monitoramento e ao controle das obras;</w:t>
      </w:r>
    </w:p>
    <w:p>
      <w:pPr>
        <w:pStyle w:val="68"/>
        <w:keepNext w:val="0"/>
        <w:numPr>
          <w:ilvl w:val="3"/>
          <w:numId w:val="15"/>
        </w:numPr>
        <w:tabs>
          <w:tab w:val="clear" w:pos="-12"/>
          <w:tab w:val="clear" w:pos="708"/>
        </w:tabs>
        <w:suppressAutoHyphens w:val="0"/>
        <w:overflowPunct/>
        <w:spacing w:before="120" w:after="120" w:line="276" w:lineRule="auto"/>
        <w:ind w:left="1418" w:hanging="284"/>
        <w:jc w:val="both"/>
        <w:rPr>
          <w:rFonts w:ascii="Verdana" w:hAnsi="Verdana" w:cs="Arial"/>
          <w:sz w:val="20"/>
          <w:szCs w:val="20"/>
        </w:rPr>
      </w:pPr>
      <w:r>
        <w:rPr>
          <w:rFonts w:ascii="Verdana" w:hAnsi="Verdana" w:cs="Arial"/>
          <w:sz w:val="20"/>
          <w:szCs w:val="20"/>
        </w:rPr>
        <w:t>O cronograma físico-financeiro proposto pela licitante deverá observar o cronograma de desembolso máximo por período constante do Termo de Referência, bem como indicar os serviços pertencentes ao caminho crítico da obra, com valores dos serviços a serem executados, resultantes da aplicação do ajuste do valor proposto na planilha orçamentária Anexo II-B;</w:t>
      </w:r>
    </w:p>
    <w:p>
      <w:pPr>
        <w:pStyle w:val="68"/>
        <w:keepNext w:val="0"/>
        <w:numPr>
          <w:ilvl w:val="3"/>
          <w:numId w:val="15"/>
        </w:numPr>
        <w:tabs>
          <w:tab w:val="clear" w:pos="-12"/>
          <w:tab w:val="clear" w:pos="708"/>
        </w:tabs>
        <w:suppressAutoHyphens w:val="0"/>
        <w:overflowPunct/>
        <w:spacing w:before="120" w:after="120" w:line="276" w:lineRule="auto"/>
        <w:ind w:left="1418" w:hanging="284"/>
        <w:jc w:val="both"/>
        <w:rPr>
          <w:rFonts w:ascii="Verdana" w:hAnsi="Verdana" w:cs="Arial"/>
          <w:sz w:val="20"/>
          <w:szCs w:val="20"/>
        </w:rPr>
      </w:pPr>
      <w:r>
        <w:rPr>
          <w:rStyle w:val="65"/>
          <w:rFonts w:ascii="Verdana" w:hAnsi="Verdana"/>
          <w:color w:val="auto"/>
          <w:szCs w:val="20"/>
        </w:rPr>
        <w:t>Será adotado o pagamento proporcional dos valores pertinentes à administração local, quando for o caso, relativamente ao andamento físico do objeto contratual, nos termos definidos no Termo de Referência e no respectivo cronograma.</w:t>
      </w:r>
    </w:p>
    <w:p>
      <w:pPr>
        <w:pStyle w:val="68"/>
        <w:keepNext w:val="0"/>
        <w:numPr>
          <w:ilvl w:val="2"/>
          <w:numId w:val="15"/>
        </w:numPr>
        <w:tabs>
          <w:tab w:val="clear" w:pos="-12"/>
          <w:tab w:val="clear" w:pos="708"/>
        </w:tabs>
        <w:suppressAutoHyphens w:val="0"/>
        <w:overflowPunct/>
        <w:spacing w:before="120" w:after="120" w:line="276" w:lineRule="auto"/>
        <w:ind w:left="1134" w:hanging="283"/>
        <w:jc w:val="both"/>
        <w:rPr>
          <w:rFonts w:ascii="Verdana" w:hAnsi="Verdana" w:cs="Arial"/>
          <w:sz w:val="20"/>
          <w:szCs w:val="20"/>
        </w:rPr>
      </w:pPr>
      <w:r>
        <w:rPr>
          <w:rFonts w:ascii="Verdana" w:hAnsi="Verdana" w:cs="Arial"/>
          <w:b/>
          <w:sz w:val="20"/>
          <w:szCs w:val="20"/>
          <w:u w:val="single"/>
        </w:rPr>
        <w:t>Planilha de BDI</w:t>
      </w:r>
      <w:r>
        <w:rPr>
          <w:rFonts w:ascii="Verdana" w:hAnsi="Verdana" w:cs="Arial"/>
          <w:sz w:val="20"/>
          <w:szCs w:val="20"/>
        </w:rPr>
        <w:t>:</w:t>
      </w:r>
    </w:p>
    <w:p>
      <w:pPr>
        <w:pStyle w:val="68"/>
        <w:keepNext w:val="0"/>
        <w:numPr>
          <w:ilvl w:val="3"/>
          <w:numId w:val="15"/>
        </w:numPr>
        <w:tabs>
          <w:tab w:val="clear" w:pos="-12"/>
          <w:tab w:val="clear" w:pos="708"/>
        </w:tabs>
        <w:suppressAutoHyphens w:val="0"/>
        <w:overflowPunct/>
        <w:spacing w:before="120" w:after="120" w:line="276" w:lineRule="auto"/>
        <w:ind w:left="1418" w:hanging="284"/>
        <w:jc w:val="both"/>
        <w:rPr>
          <w:rFonts w:ascii="Verdana" w:hAnsi="Verdana" w:cs="Arial"/>
          <w:sz w:val="20"/>
          <w:szCs w:val="20"/>
        </w:rPr>
      </w:pPr>
      <w:r>
        <w:rPr>
          <w:rFonts w:ascii="Verdana" w:hAnsi="Verdana" w:cs="Arial"/>
          <w:sz w:val="20"/>
          <w:szCs w:val="20"/>
        </w:rPr>
        <w:t>Planilha demonstrativa da bonificação e despesas indiretas, com a composição analítica das suas taxas, que incidiram sobre os custos unitários contidos na planilha de custos e formação de preços, conforme modelo no anexo III;</w:t>
      </w:r>
    </w:p>
    <w:p>
      <w:pPr>
        <w:pStyle w:val="68"/>
        <w:keepNext w:val="0"/>
        <w:numPr>
          <w:ilvl w:val="3"/>
          <w:numId w:val="15"/>
        </w:numPr>
        <w:tabs>
          <w:tab w:val="clear" w:pos="-12"/>
          <w:tab w:val="clear" w:pos="708"/>
        </w:tabs>
        <w:suppressAutoHyphens w:val="0"/>
        <w:overflowPunct/>
        <w:spacing w:before="120" w:after="120" w:line="276" w:lineRule="auto"/>
        <w:ind w:left="1418" w:hanging="284"/>
        <w:jc w:val="both"/>
        <w:rPr>
          <w:rFonts w:ascii="Verdana" w:hAnsi="Verdana" w:cs="Arial"/>
          <w:sz w:val="20"/>
          <w:szCs w:val="20"/>
        </w:rPr>
      </w:pPr>
      <w:r>
        <w:rPr>
          <w:rFonts w:ascii="Verdana" w:hAnsi="Verdana" w:cs="Arial"/>
          <w:sz w:val="20"/>
          <w:szCs w:val="20"/>
        </w:rPr>
        <w:t>Os custos relativos à administração local, mobilização e desmobilização e instalação de canteiro e acampamento, bem como quaisquer outros itens que possam ser apropriados como custo direto da obra, não poderão ser incluídos na composição do BDI, devendo ser cotados na planilha orçamentária.</w:t>
      </w:r>
    </w:p>
    <w:p>
      <w:pPr>
        <w:pStyle w:val="81"/>
        <w:keepNext w:val="0"/>
        <w:numPr>
          <w:ilvl w:val="3"/>
          <w:numId w:val="15"/>
        </w:numPr>
        <w:ind w:left="1418" w:hanging="284"/>
        <w:rPr>
          <w:rFonts w:ascii="Verdana" w:hAnsi="Verdana" w:cs="Arial"/>
          <w:szCs w:val="20"/>
        </w:rPr>
      </w:pPr>
      <w:r>
        <w:rPr>
          <w:rFonts w:ascii="Verdana" w:hAnsi="Verdana" w:cs="Arial"/>
          <w:szCs w:val="20"/>
        </w:rPr>
        <w:t>Os tributos considerados de natureza direta e personalística, como o Imposto de Renda de Pessoa Jurídica - IRPJ e a Contribuição Sobre o Lucro Líquido - CSLL, não deverão ser incluídos no BDI;</w:t>
      </w:r>
    </w:p>
    <w:p>
      <w:pPr>
        <w:pStyle w:val="81"/>
        <w:keepNext w:val="0"/>
        <w:numPr>
          <w:ilvl w:val="3"/>
          <w:numId w:val="15"/>
        </w:numPr>
        <w:ind w:left="1418" w:hanging="284"/>
        <w:rPr>
          <w:rFonts w:ascii="Verdana" w:hAnsi="Verdana" w:cs="Arial"/>
          <w:szCs w:val="20"/>
        </w:rPr>
      </w:pPr>
      <w:r>
        <w:rPr>
          <w:rFonts w:ascii="Verdana" w:hAnsi="Verdana" w:cs="Arial"/>
          <w:szCs w:val="20"/>
        </w:rPr>
        <w:t>As licitantes sujeitas ao regime de tributação de incidência não cumulativa de PIS e COFINS devem apresentar demonstrativo de apuração de contribuições sociais comprovando que os percentuais dos referidos tributos adotados na taxa de BDI correspondem à média dos percentuais efetivos recolhidos em virtude do direito de compensação dos créditos previstos no art. 3º das Leis 10.637/2002 e 10.833/2003, de forma a garantir que os preços contratados pela Administração Pública reflitam os benefícios tributários concedidos pela legislação tributária.</w:t>
      </w:r>
    </w:p>
    <w:p>
      <w:pPr>
        <w:pStyle w:val="68"/>
        <w:keepNext w:val="0"/>
        <w:numPr>
          <w:ilvl w:val="3"/>
          <w:numId w:val="15"/>
        </w:numPr>
        <w:tabs>
          <w:tab w:val="clear" w:pos="-12"/>
          <w:tab w:val="clear" w:pos="708"/>
        </w:tabs>
        <w:suppressAutoHyphens w:val="0"/>
        <w:overflowPunct/>
        <w:spacing w:before="120" w:after="120" w:line="276" w:lineRule="auto"/>
        <w:ind w:left="1418" w:hanging="284"/>
        <w:jc w:val="both"/>
        <w:rPr>
          <w:rFonts w:ascii="Verdana" w:hAnsi="Verdana" w:cs="Arial"/>
          <w:sz w:val="20"/>
          <w:szCs w:val="20"/>
        </w:rPr>
      </w:pPr>
      <w:r>
        <w:rPr>
          <w:rFonts w:ascii="Verdana" w:hAnsi="Verdana" w:cs="Arial"/>
          <w:sz w:val="20"/>
          <w:szCs w:val="20"/>
        </w:rPr>
        <w:t>As empresas optantes pelo Simples Nacional deverão apresentar os percentuais de ISS, PIS e COFINS, discriminados na composição do BDI, compatíveis as alíquotas a que estão obrigadas a recolher, conforme previsão contida na Lei Complementar 123/2006.</w:t>
      </w:r>
    </w:p>
    <w:p>
      <w:pPr>
        <w:pStyle w:val="68"/>
        <w:keepNext w:val="0"/>
        <w:numPr>
          <w:ilvl w:val="3"/>
          <w:numId w:val="15"/>
        </w:numPr>
        <w:tabs>
          <w:tab w:val="clear" w:pos="-12"/>
          <w:tab w:val="clear" w:pos="708"/>
        </w:tabs>
        <w:suppressAutoHyphens w:val="0"/>
        <w:overflowPunct/>
        <w:spacing w:before="120" w:after="120" w:line="276" w:lineRule="auto"/>
        <w:ind w:left="1418" w:hanging="284"/>
        <w:jc w:val="both"/>
        <w:rPr>
          <w:rFonts w:ascii="Verdana" w:hAnsi="Verdana" w:cs="Arial"/>
          <w:sz w:val="20"/>
          <w:szCs w:val="20"/>
        </w:rPr>
      </w:pPr>
      <w:r>
        <w:rPr>
          <w:rFonts w:ascii="Verdana" w:hAnsi="Verdana" w:cs="Arial"/>
          <w:iCs/>
          <w:sz w:val="20"/>
          <w:szCs w:val="20"/>
        </w:rPr>
        <w:t>Quanto</w:t>
      </w:r>
      <w:r>
        <w:rPr>
          <w:rFonts w:ascii="Verdana" w:hAnsi="Verdana" w:cs="Arial"/>
          <w:sz w:val="20"/>
          <w:szCs w:val="20"/>
        </w:rPr>
        <w:t xml:space="preserve"> aos custos indiretos incidentes sobre as parcelas relativas ao </w:t>
      </w:r>
      <w:r>
        <w:rPr>
          <w:rStyle w:val="65"/>
          <w:rFonts w:ascii="Verdana" w:hAnsi="Verdana"/>
          <w:color w:val="auto"/>
          <w:szCs w:val="20"/>
        </w:rPr>
        <w:t>fornecimento</w:t>
      </w:r>
      <w:r>
        <w:rPr>
          <w:rFonts w:ascii="Verdana" w:hAnsi="Verdana" w:cs="Arial"/>
          <w:sz w:val="20"/>
          <w:szCs w:val="20"/>
        </w:rPr>
        <w:t xml:space="preserve"> de materiais e equipamentos, a licitante deverá apresentar um percentual reduzido de BDI, compatível com a natureza do objeto, conforme modelo anexo ao Edital;</w:t>
      </w:r>
    </w:p>
    <w:p>
      <w:pPr>
        <w:pStyle w:val="68"/>
        <w:keepNext w:val="0"/>
        <w:numPr>
          <w:ilvl w:val="2"/>
          <w:numId w:val="15"/>
        </w:numPr>
        <w:tabs>
          <w:tab w:val="clear" w:pos="-12"/>
          <w:tab w:val="clear" w:pos="708"/>
        </w:tabs>
        <w:suppressAutoHyphens w:val="0"/>
        <w:overflowPunct/>
        <w:spacing w:before="120" w:after="120" w:line="276" w:lineRule="auto"/>
        <w:ind w:left="1134" w:hanging="283"/>
        <w:jc w:val="both"/>
        <w:rPr>
          <w:rFonts w:ascii="Verdana" w:hAnsi="Verdana" w:cs="Arial"/>
          <w:sz w:val="20"/>
          <w:szCs w:val="20"/>
        </w:rPr>
      </w:pPr>
      <w:r>
        <w:rPr>
          <w:rFonts w:ascii="Verdana" w:hAnsi="Verdana" w:cs="Arial"/>
          <w:b/>
          <w:sz w:val="20"/>
          <w:szCs w:val="20"/>
        </w:rPr>
        <w:t>Planilha(s) de Encargos Sociais</w:t>
      </w:r>
      <w:r>
        <w:rPr>
          <w:rFonts w:ascii="Verdana" w:hAnsi="Verdana" w:cs="Arial"/>
          <w:sz w:val="20"/>
          <w:szCs w:val="20"/>
        </w:rPr>
        <w:t>:</w:t>
      </w:r>
    </w:p>
    <w:p>
      <w:pPr>
        <w:pStyle w:val="68"/>
        <w:keepNext w:val="0"/>
        <w:numPr>
          <w:ilvl w:val="3"/>
          <w:numId w:val="15"/>
        </w:numPr>
        <w:tabs>
          <w:tab w:val="clear" w:pos="-12"/>
          <w:tab w:val="clear" w:pos="708"/>
        </w:tabs>
        <w:suppressAutoHyphens w:val="0"/>
        <w:overflowPunct/>
        <w:spacing w:before="120" w:after="120" w:line="276" w:lineRule="auto"/>
        <w:ind w:left="1418" w:hanging="284"/>
        <w:jc w:val="both"/>
        <w:rPr>
          <w:rFonts w:ascii="Verdana" w:hAnsi="Verdana" w:cs="Arial"/>
          <w:sz w:val="20"/>
          <w:szCs w:val="20"/>
        </w:rPr>
      </w:pPr>
      <w:r>
        <w:rPr>
          <w:rFonts w:ascii="Verdana" w:hAnsi="Verdana" w:cs="Arial"/>
          <w:sz w:val="20"/>
          <w:szCs w:val="20"/>
        </w:rPr>
        <w:t>Planilha(s) demonstrativa(s) das Taxas de Encargos Sociais, discriminando todas as parcelas que o compõem, como modelo(s) os anexo IV-A.</w:t>
      </w:r>
    </w:p>
    <w:p>
      <w:pPr>
        <w:pStyle w:val="68"/>
        <w:keepNext w:val="0"/>
        <w:numPr>
          <w:ilvl w:val="3"/>
          <w:numId w:val="15"/>
        </w:numPr>
        <w:tabs>
          <w:tab w:val="clear" w:pos="-12"/>
          <w:tab w:val="clear" w:pos="708"/>
        </w:tabs>
        <w:suppressAutoHyphens w:val="0"/>
        <w:overflowPunct/>
        <w:spacing w:before="120" w:after="120" w:line="276" w:lineRule="auto"/>
        <w:ind w:left="1418" w:hanging="284"/>
        <w:jc w:val="both"/>
        <w:rPr>
          <w:rFonts w:ascii="Verdana" w:hAnsi="Verdana" w:cs="Arial"/>
          <w:sz w:val="20"/>
          <w:szCs w:val="20"/>
        </w:rPr>
      </w:pPr>
      <w:r>
        <w:rPr>
          <w:rFonts w:ascii="Verdana" w:hAnsi="Verdana" w:cs="Arial"/>
          <w:sz w:val="20"/>
          <w:szCs w:val="20"/>
        </w:rPr>
        <w:t>A composição de encargos sociais das empresas optantes pelo Simples Nacional não poderá incluir os gastos relativos às contribuições que estão dispensadas de recolhimento, conforme dispões o art. 13, § 3º, da referida Lei Complementar;</w:t>
      </w:r>
    </w:p>
    <w:p>
      <w:pPr>
        <w:pStyle w:val="68"/>
        <w:keepNext w:val="0"/>
        <w:numPr>
          <w:ilvl w:val="1"/>
          <w:numId w:val="15"/>
        </w:numPr>
        <w:tabs>
          <w:tab w:val="clear" w:pos="-12"/>
          <w:tab w:val="clear" w:pos="708"/>
        </w:tabs>
        <w:suppressAutoHyphens w:val="0"/>
        <w:overflowPunct/>
        <w:spacing w:before="120" w:after="120" w:line="276" w:lineRule="auto"/>
        <w:ind w:left="851" w:hanging="284"/>
        <w:jc w:val="both"/>
        <w:rPr>
          <w:rFonts w:ascii="Verdana" w:hAnsi="Verdana" w:cs="Arial"/>
          <w:sz w:val="20"/>
          <w:szCs w:val="20"/>
        </w:rPr>
      </w:pPr>
      <w:r>
        <w:rPr>
          <w:rFonts w:ascii="Verdana" w:hAnsi="Verdana" w:cs="Arial"/>
          <w:sz w:val="20"/>
          <w:szCs w:val="20"/>
        </w:rPr>
        <w:t>As alíquotas de tributos cotadas pela licitante não podem ser superiores aos limites estabelecidos na legislação tributária;</w:t>
      </w:r>
    </w:p>
    <w:p>
      <w:pPr>
        <w:pStyle w:val="68"/>
        <w:keepNext w:val="0"/>
        <w:numPr>
          <w:ilvl w:val="1"/>
          <w:numId w:val="15"/>
        </w:numPr>
        <w:tabs>
          <w:tab w:val="clear" w:pos="-12"/>
          <w:tab w:val="clear" w:pos="708"/>
        </w:tabs>
        <w:suppressAutoHyphens w:val="0"/>
        <w:overflowPunct/>
        <w:spacing w:before="120" w:after="120" w:line="276" w:lineRule="auto"/>
        <w:ind w:left="851" w:hanging="284"/>
        <w:jc w:val="both"/>
        <w:rPr>
          <w:rFonts w:ascii="Verdana" w:hAnsi="Verdana" w:cs="Arial"/>
          <w:sz w:val="20"/>
          <w:szCs w:val="20"/>
        </w:rPr>
      </w:pPr>
      <w:r>
        <w:rPr>
          <w:rFonts w:ascii="Verdana" w:hAnsi="Verdana" w:cs="Times-Roman"/>
          <w:sz w:val="20"/>
          <w:szCs w:val="20"/>
        </w:rPr>
        <w:t xml:space="preserve">Os documentos em forma de planilha deverão ser encaminhados utilizando-se o aplicativo </w:t>
      </w:r>
      <w:r>
        <w:rPr>
          <w:rFonts w:ascii="Verdana" w:hAnsi="Verdana" w:cs="Times-Roman"/>
          <w:b/>
          <w:sz w:val="20"/>
          <w:szCs w:val="20"/>
        </w:rPr>
        <w:t>Adobe Acrobat Reader</w:t>
      </w:r>
      <w:r>
        <w:rPr>
          <w:rFonts w:ascii="Verdana" w:hAnsi="Verdana" w:cs="Times-Roman"/>
          <w:sz w:val="20"/>
          <w:szCs w:val="20"/>
        </w:rPr>
        <w:t xml:space="preserve"> ou semelhante, na extensão pdf, que </w:t>
      </w:r>
      <w:r>
        <w:rPr>
          <w:rFonts w:ascii="Verdana" w:hAnsi="Verdana" w:cs="Times-Roman"/>
          <w:i/>
          <w:iCs/>
          <w:sz w:val="20"/>
          <w:szCs w:val="20"/>
          <w:u w:val="single"/>
        </w:rPr>
        <w:t>deverão estar assinados pelo responsável técnico e seu representante legal</w:t>
      </w:r>
      <w:r>
        <w:rPr>
          <w:rFonts w:ascii="Verdana" w:hAnsi="Verdana" w:cs="Times-Roman"/>
          <w:sz w:val="20"/>
          <w:szCs w:val="20"/>
        </w:rPr>
        <w:t>.</w:t>
      </w:r>
    </w:p>
    <w:p>
      <w:pPr>
        <w:pStyle w:val="68"/>
        <w:keepNext w:val="0"/>
        <w:numPr>
          <w:ilvl w:val="2"/>
          <w:numId w:val="15"/>
        </w:numPr>
        <w:tabs>
          <w:tab w:val="clear" w:pos="-12"/>
          <w:tab w:val="clear" w:pos="708"/>
        </w:tabs>
        <w:suppressAutoHyphens w:val="0"/>
        <w:overflowPunct/>
        <w:spacing w:before="120" w:after="120" w:line="276" w:lineRule="auto"/>
        <w:jc w:val="both"/>
        <w:rPr>
          <w:rFonts w:ascii="Verdana" w:hAnsi="Verdana" w:cs="Arial"/>
          <w:sz w:val="20"/>
          <w:szCs w:val="20"/>
        </w:rPr>
      </w:pPr>
      <w:r>
        <w:rPr>
          <w:rFonts w:ascii="Verdana" w:hAnsi="Verdana" w:cs="Arial"/>
          <w:sz w:val="20"/>
          <w:szCs w:val="20"/>
        </w:rPr>
        <w:t xml:space="preserve">Quando </w:t>
      </w:r>
      <w:r>
        <w:rPr>
          <w:rFonts w:ascii="Verdana" w:hAnsi="Verdana" w:cs="Times-Roman"/>
          <w:sz w:val="20"/>
          <w:szCs w:val="20"/>
        </w:rPr>
        <w:t>da análise da proposta apresentada,</w:t>
      </w:r>
      <w:r>
        <w:rPr>
          <w:rFonts w:ascii="Verdana" w:hAnsi="Verdana" w:cs="Arial"/>
          <w:sz w:val="20"/>
          <w:szCs w:val="20"/>
        </w:rPr>
        <w:t xml:space="preserve"> caso haja necessidade de se verificar cálculo efetuado na(s) planilha(s), a CPL se reserva o direito de solicitar </w:t>
      </w:r>
      <w:r>
        <w:rPr>
          <w:rFonts w:ascii="Verdana" w:hAnsi="Verdana" w:cs="Times-Roman"/>
          <w:sz w:val="20"/>
          <w:szCs w:val="20"/>
        </w:rPr>
        <w:t>à licitante,</w:t>
      </w:r>
      <w:r>
        <w:rPr>
          <w:rFonts w:ascii="Verdana" w:hAnsi="Verdana" w:cs="Arial"/>
          <w:sz w:val="20"/>
          <w:szCs w:val="20"/>
        </w:rPr>
        <w:t xml:space="preserve"> a apresentação da(s) mesma(s) na forma do aplicativo Excel, </w:t>
      </w:r>
      <w:r>
        <w:rPr>
          <w:rFonts w:ascii="Verdana" w:hAnsi="Verdana" w:cs="Times-Roman"/>
          <w:sz w:val="20"/>
          <w:szCs w:val="20"/>
        </w:rPr>
        <w:t>conforme modelo(s) disponibilizado(s) anexo(s) ao edital.</w:t>
      </w:r>
      <w:r>
        <w:rPr>
          <w:rFonts w:ascii="Verdana" w:hAnsi="Verdana" w:cs="Arial"/>
          <w:sz w:val="20"/>
          <w:szCs w:val="20"/>
        </w:rPr>
        <w:t xml:space="preserve"> </w:t>
      </w:r>
    </w:p>
    <w:p>
      <w:pPr>
        <w:pStyle w:val="81"/>
        <w:keepNext w:val="0"/>
        <w:widowControl/>
        <w:numPr>
          <w:ilvl w:val="1"/>
          <w:numId w:val="15"/>
        </w:numPr>
        <w:spacing w:before="120" w:after="120"/>
        <w:ind w:left="851" w:hanging="284"/>
        <w:textAlignment w:val="auto"/>
        <w:rPr>
          <w:rFonts w:ascii="Verdana" w:hAnsi="Verdana" w:eastAsia="Times New Roman" w:cs="Arial"/>
          <w:color w:val="000000" w:themeColor="text1"/>
          <w:szCs w:val="20"/>
          <w:lang w:eastAsia="en-US" w:bidi="ar-SA"/>
          <w14:textFill>
            <w14:solidFill>
              <w14:schemeClr w14:val="tx1"/>
            </w14:solidFill>
          </w14:textFill>
        </w:rPr>
      </w:pPr>
      <w:r>
        <w:rPr>
          <w:rFonts w:ascii="Verdana" w:hAnsi="Verdana" w:cs="Arial"/>
          <w:color w:val="000000" w:themeColor="text1"/>
          <w:szCs w:val="20"/>
          <w:lang w:eastAsia="en-US"/>
          <w14:textFill>
            <w14:solidFill>
              <w14:schemeClr w14:val="tx1"/>
            </w14:solidFill>
          </w14:textFill>
        </w:rPr>
        <w:t>Erros</w:t>
      </w:r>
      <w:r>
        <w:rPr>
          <w:rFonts w:ascii="Verdana" w:hAnsi="Verdana" w:cs="Arial"/>
          <w:szCs w:val="20"/>
        </w:rPr>
        <w:t xml:space="preserve"> no preenchimento da(s) planilha(s) não constituem motivo para a desclassificação da proposta. A(s) planilha(s) poderá́(ão) ser ajustada(s) pela licitante, no prazo indicado pela Comissão, desde que não haja majoração do preço.</w:t>
      </w:r>
    </w:p>
    <w:p>
      <w:pPr>
        <w:pStyle w:val="81"/>
        <w:keepNext w:val="0"/>
        <w:widowControl/>
        <w:numPr>
          <w:ilvl w:val="2"/>
          <w:numId w:val="15"/>
        </w:numPr>
        <w:spacing w:before="120" w:after="120"/>
        <w:ind w:left="1135" w:hanging="284"/>
        <w:textAlignment w:val="auto"/>
        <w:rPr>
          <w:rFonts w:ascii="Verdana" w:hAnsi="Verdana" w:cs="Arial"/>
          <w:color w:val="000000"/>
          <w:szCs w:val="20"/>
          <w:lang w:eastAsia="en-US"/>
        </w:rPr>
      </w:pPr>
      <w:r>
        <w:rPr>
          <w:rFonts w:ascii="Verdana" w:hAnsi="Verdana" w:cs="Arial"/>
          <w:color w:val="000000" w:themeColor="text1"/>
          <w:szCs w:val="20"/>
          <w:lang w:eastAsia="en-US"/>
          <w14:textFill>
            <w14:solidFill>
              <w14:schemeClr w14:val="tx1"/>
            </w14:solidFill>
          </w14:textFill>
        </w:rPr>
        <w:t xml:space="preserve">O </w:t>
      </w:r>
      <w:r>
        <w:rPr>
          <w:rFonts w:ascii="Verdana" w:hAnsi="Verdana" w:cs="Arial"/>
          <w:color w:val="000000"/>
          <w:szCs w:val="20"/>
          <w:lang w:eastAsia="en-US"/>
        </w:rPr>
        <w:t>ajuste de que trata este dispositivo se limita a sanar erros ou falhas que não alterem a substância das propostas;</w:t>
      </w:r>
    </w:p>
    <w:p>
      <w:pPr>
        <w:pStyle w:val="81"/>
        <w:keepNext w:val="0"/>
        <w:widowControl/>
        <w:numPr>
          <w:ilvl w:val="2"/>
          <w:numId w:val="15"/>
        </w:numPr>
        <w:spacing w:before="120" w:after="120"/>
        <w:ind w:left="1134" w:hanging="283"/>
        <w:textAlignment w:val="auto"/>
        <w:rPr>
          <w:rFonts w:ascii="Verdana" w:hAnsi="Verdana" w:cs="Arial"/>
          <w:color w:val="000000"/>
          <w:szCs w:val="20"/>
          <w:lang w:eastAsia="en-US"/>
        </w:rPr>
      </w:pPr>
      <w:r>
        <w:rPr>
          <w:rFonts w:ascii="Verdana" w:hAnsi="Verdana" w:cs="Arial"/>
          <w:color w:val="000000"/>
          <w:szCs w:val="20"/>
          <w:lang w:eastAsia="en-US"/>
        </w:rPr>
        <w:t>Considera-se erro no preenchimento da planilha passível de correção, a indicação de recolhimento de impostos e contribuições na forma do Simples Nacional, quando não cabível esse regime.</w:t>
      </w:r>
      <w:r>
        <w:rPr>
          <w:rFonts w:ascii="Verdana" w:hAnsi="Verdana" w:cs="Arial"/>
          <w:color w:val="000000"/>
          <w:szCs w:val="20"/>
        </w:rPr>
        <w:t> </w:t>
      </w:r>
    </w:p>
    <w:p>
      <w:pPr>
        <w:pStyle w:val="81"/>
        <w:keepNext w:val="0"/>
        <w:ind w:left="1287" w:firstLine="0"/>
        <w:rPr>
          <w:rFonts w:ascii="Verdana" w:hAnsi="Verdana" w:cs="Arial"/>
          <w:color w:val="000000"/>
          <w:sz w:val="18"/>
          <w:szCs w:val="18"/>
        </w:rPr>
      </w:pPr>
    </w:p>
    <w:p>
      <w:pPr>
        <w:pStyle w:val="81"/>
        <w:keepNext w:val="0"/>
        <w:numPr>
          <w:ilvl w:val="0"/>
          <w:numId w:val="15"/>
        </w:numPr>
        <w:rPr>
          <w:rFonts w:ascii="Verdana" w:hAnsi="Verdana" w:cs="Arial"/>
          <w:bCs/>
          <w:color w:val="000000"/>
          <w:szCs w:val="20"/>
        </w:rPr>
      </w:pPr>
      <w:bookmarkStart w:id="15" w:name="_Hlk88898657"/>
      <w:bookmarkStart w:id="16" w:name="_Hlk88838545"/>
      <w:r>
        <w:rPr>
          <w:rFonts w:ascii="Verdana" w:hAnsi="Verdana" w:cs="Arial"/>
          <w:b/>
          <w:szCs w:val="20"/>
        </w:rPr>
        <w:t xml:space="preserve"> Da Habilitação</w:t>
      </w:r>
      <w:bookmarkEnd w:id="15"/>
      <w:bookmarkEnd w:id="16"/>
      <w:r>
        <w:rPr>
          <w:rFonts w:ascii="Verdana" w:hAnsi="Verdana" w:cs="Arial"/>
          <w:bCs/>
          <w:color w:val="000000"/>
          <w:szCs w:val="20"/>
        </w:rPr>
        <w:t xml:space="preserve"> </w:t>
      </w:r>
    </w:p>
    <w:p>
      <w:pPr>
        <w:pStyle w:val="81"/>
        <w:keepNext w:val="0"/>
        <w:numPr>
          <w:ilvl w:val="1"/>
          <w:numId w:val="15"/>
        </w:numPr>
        <w:rPr>
          <w:rFonts w:ascii="Verdana" w:hAnsi="Verdana" w:cs="Arial"/>
          <w:bCs/>
          <w:color w:val="000000"/>
          <w:szCs w:val="20"/>
        </w:rPr>
      </w:pPr>
      <w:bookmarkStart w:id="17" w:name="_Hlk96339076"/>
      <w:r>
        <w:rPr>
          <w:rFonts w:ascii="Verdana" w:hAnsi="Verdana" w:cs="Arial"/>
          <w:bCs/>
          <w:color w:val="000000"/>
          <w:szCs w:val="20"/>
        </w:rPr>
        <w:t>Como condição prévia ao exame da documentação de habilitação da licitante detentora da proposta classificada em primeiro lugar, a Comissão de Licitação verificará o eventual descumprimento das condições de participação, especialmente quanto à existência de sanção que impeça a participação no certame ou a futura contratação, mediante a consulta aos seguintes cadastros:</w:t>
      </w:r>
    </w:p>
    <w:p>
      <w:pPr>
        <w:pStyle w:val="81"/>
        <w:keepNext w:val="0"/>
        <w:numPr>
          <w:ilvl w:val="2"/>
          <w:numId w:val="18"/>
        </w:numPr>
        <w:rPr>
          <w:rFonts w:ascii="Verdana" w:hAnsi="Verdana" w:cs="Arial"/>
          <w:bCs/>
          <w:color w:val="000000"/>
          <w:szCs w:val="20"/>
        </w:rPr>
      </w:pPr>
      <w:r>
        <w:rPr>
          <w:rFonts w:ascii="Verdana" w:hAnsi="Verdana" w:cs="Arial"/>
          <w:bCs/>
          <w:color w:val="000000"/>
          <w:szCs w:val="20"/>
        </w:rPr>
        <w:t>SICAF;</w:t>
      </w:r>
    </w:p>
    <w:p>
      <w:pPr>
        <w:pStyle w:val="81"/>
        <w:keepNext w:val="0"/>
        <w:numPr>
          <w:ilvl w:val="2"/>
          <w:numId w:val="18"/>
        </w:numPr>
        <w:rPr>
          <w:rFonts w:ascii="Verdana" w:hAnsi="Verdana" w:cs="Arial"/>
          <w:bCs/>
          <w:color w:val="000000"/>
          <w:szCs w:val="20"/>
        </w:rPr>
      </w:pPr>
      <w:r>
        <w:rPr>
          <w:rFonts w:ascii="Verdana" w:hAnsi="Verdana" w:cs="Arial"/>
          <w:bCs/>
          <w:color w:val="000000"/>
          <w:szCs w:val="20"/>
        </w:rPr>
        <w:t>Cadastro Nacional de Empresas Inidôneas e Suspensas - CEIS, mantido pela Controladoria Geral da União (www.portaldatransparencia.gov.br/ceis);</w:t>
      </w:r>
    </w:p>
    <w:p>
      <w:pPr>
        <w:pStyle w:val="81"/>
        <w:keepNext w:val="0"/>
        <w:numPr>
          <w:ilvl w:val="2"/>
          <w:numId w:val="18"/>
        </w:numPr>
        <w:rPr>
          <w:rFonts w:ascii="Verdana" w:hAnsi="Verdana" w:cs="Arial"/>
          <w:bCs/>
          <w:color w:val="000000"/>
          <w:szCs w:val="20"/>
        </w:rPr>
      </w:pPr>
      <w:r>
        <w:rPr>
          <w:rFonts w:ascii="Verdana" w:hAnsi="Verdana" w:cs="Arial"/>
          <w:bCs/>
          <w:color w:val="000000"/>
          <w:szCs w:val="20"/>
        </w:rPr>
        <w:t>Cadastro Nacional de Condenações Cíveis por Atos de Improbidade Administrativa, mantido pelo Conselho Nacional de Justiça (www.cnj.jus.br/improbidade_adm/consultar_requerido.php).</w:t>
      </w:r>
    </w:p>
    <w:p>
      <w:pPr>
        <w:pStyle w:val="81"/>
        <w:keepNext w:val="0"/>
        <w:numPr>
          <w:ilvl w:val="2"/>
          <w:numId w:val="18"/>
        </w:numPr>
        <w:rPr>
          <w:rFonts w:ascii="Verdana" w:hAnsi="Verdana" w:cs="Arial"/>
          <w:bCs/>
          <w:color w:val="000000"/>
          <w:szCs w:val="20"/>
        </w:rPr>
      </w:pPr>
      <w:r>
        <w:rPr>
          <w:rFonts w:ascii="Verdana" w:hAnsi="Verdana" w:cs="Arial"/>
          <w:bCs/>
          <w:color w:val="000000"/>
          <w:szCs w:val="20"/>
        </w:rPr>
        <w:t>Lista de Inidôneos, mantida pelo Tribunal de Contas da União - TCU;</w:t>
      </w:r>
    </w:p>
    <w:p>
      <w:pPr>
        <w:pStyle w:val="81"/>
        <w:keepNext w:val="0"/>
        <w:numPr>
          <w:ilvl w:val="1"/>
          <w:numId w:val="15"/>
        </w:numPr>
        <w:ind w:left="851" w:hanging="284"/>
        <w:rPr>
          <w:rFonts w:ascii="Verdana" w:hAnsi="Verdana" w:cs="Arial"/>
          <w:bCs/>
          <w:color w:val="000000"/>
          <w:szCs w:val="20"/>
        </w:rPr>
      </w:pPr>
      <w:r>
        <w:rPr>
          <w:rFonts w:ascii="Verdana" w:hAnsi="Verdana" w:cs="Arial"/>
          <w:bCs/>
          <w:color w:val="000000"/>
          <w:szCs w:val="20"/>
        </w:rPr>
        <w:t>Para a consulta de licitantes pessoa jurídica poderá haver a substituição das consultas das alíneas "b”, “c”, “d” acima pela Consulta Consolidada de Pessoa Jurídica do TCU (https://certidoesapf.apps.tcu.gov.br/)</w:t>
      </w:r>
    </w:p>
    <w:p>
      <w:pPr>
        <w:pStyle w:val="81"/>
        <w:keepNext w:val="0"/>
        <w:numPr>
          <w:ilvl w:val="2"/>
          <w:numId w:val="15"/>
        </w:numPr>
        <w:ind w:left="1134" w:hanging="283"/>
        <w:rPr>
          <w:rFonts w:ascii="Verdana" w:hAnsi="Verdana" w:cs="Arial"/>
          <w:bCs/>
          <w:color w:val="000000"/>
          <w:szCs w:val="20"/>
        </w:rPr>
      </w:pPr>
      <w:r>
        <w:rPr>
          <w:rFonts w:ascii="Verdana" w:hAnsi="Verdana" w:cs="Arial"/>
          <w:bCs/>
          <w:color w:val="000000"/>
          <w:szCs w:val="20"/>
        </w:rPr>
        <w:t>A consulta aos cadastros será realizada em nome da empresa licitante e de seu sócio majoritário, por força do artigo 12 da Lei n° 8.429, de 1992, que prevê, dentre as sanções impostas ao responsável pela prática de ato de improbidade administrativa, a proibição de contratar com o Poder Público, inclusive por intermédio de pessoa jurídica da qual seja sócio majoritário.</w:t>
      </w:r>
    </w:p>
    <w:p>
      <w:pPr>
        <w:pStyle w:val="81"/>
        <w:keepNext w:val="0"/>
        <w:numPr>
          <w:ilvl w:val="3"/>
          <w:numId w:val="15"/>
        </w:numPr>
        <w:ind w:left="1418" w:hanging="284"/>
        <w:rPr>
          <w:rFonts w:ascii="Verdana" w:hAnsi="Verdana" w:cs="Arial"/>
          <w:bCs/>
          <w:color w:val="000000"/>
          <w:szCs w:val="20"/>
        </w:rPr>
      </w:pPr>
      <w:r>
        <w:rPr>
          <w:rFonts w:ascii="Verdana" w:hAnsi="Verdana" w:cs="Arial"/>
          <w:bCs/>
          <w:color w:val="000000"/>
          <w:szCs w:val="20"/>
        </w:rPr>
        <w:t>Caso conste na Consulta de Situação do Fornecedor a existência de Ocorrências Impeditivas Indiretas, o gestor diligenciará para verificar se houve fraude por parte das empresas apontadas no Relatório de Ocorrências Impeditivas Indiretas.</w:t>
      </w:r>
    </w:p>
    <w:p>
      <w:pPr>
        <w:pStyle w:val="81"/>
        <w:keepNext w:val="0"/>
        <w:numPr>
          <w:ilvl w:val="4"/>
          <w:numId w:val="15"/>
        </w:numPr>
        <w:ind w:left="1701" w:hanging="283"/>
        <w:rPr>
          <w:rFonts w:ascii="Verdana" w:hAnsi="Verdana" w:cs="Arial"/>
          <w:bCs/>
          <w:color w:val="000000"/>
          <w:szCs w:val="20"/>
        </w:rPr>
      </w:pPr>
      <w:r>
        <w:rPr>
          <w:rFonts w:ascii="Verdana" w:hAnsi="Verdana" w:cs="Arial"/>
          <w:bCs/>
          <w:color w:val="000000"/>
          <w:szCs w:val="20"/>
        </w:rPr>
        <w:t>A tentativa de burla será verificada por meio dos vínculos societários, linhas de fornecimento similares, dentre outros.</w:t>
      </w:r>
    </w:p>
    <w:p>
      <w:pPr>
        <w:pStyle w:val="81"/>
        <w:keepNext w:val="0"/>
        <w:numPr>
          <w:ilvl w:val="4"/>
          <w:numId w:val="15"/>
        </w:numPr>
        <w:ind w:left="1701" w:hanging="283"/>
        <w:rPr>
          <w:rFonts w:ascii="Verdana" w:hAnsi="Verdana" w:cs="Arial"/>
          <w:bCs/>
          <w:color w:val="000000"/>
          <w:szCs w:val="20"/>
        </w:rPr>
      </w:pPr>
      <w:r>
        <w:rPr>
          <w:rFonts w:ascii="Verdana" w:hAnsi="Verdana" w:cs="Arial"/>
          <w:bCs/>
          <w:color w:val="000000"/>
          <w:szCs w:val="20"/>
        </w:rPr>
        <w:t>A licitante será convocada para manifestação previamente à sua desclassificação.</w:t>
      </w:r>
    </w:p>
    <w:p>
      <w:pPr>
        <w:pStyle w:val="81"/>
        <w:keepNext w:val="0"/>
        <w:numPr>
          <w:ilvl w:val="3"/>
          <w:numId w:val="15"/>
        </w:numPr>
        <w:ind w:left="1418" w:hanging="284"/>
        <w:rPr>
          <w:rFonts w:ascii="Verdana" w:hAnsi="Verdana" w:cs="Arial"/>
          <w:bCs/>
          <w:color w:val="000000"/>
          <w:szCs w:val="20"/>
        </w:rPr>
      </w:pPr>
      <w:r>
        <w:rPr>
          <w:rFonts w:ascii="Verdana" w:hAnsi="Verdana" w:cs="Arial"/>
          <w:bCs/>
          <w:color w:val="000000"/>
          <w:szCs w:val="20"/>
        </w:rPr>
        <w:t>Constatada a existência de sanção, a Comissão de Licitação reputará a licitante inabilitado, por falta de condição de participação.</w:t>
      </w:r>
    </w:p>
    <w:p>
      <w:pPr>
        <w:pStyle w:val="81"/>
        <w:keepNext w:val="0"/>
        <w:numPr>
          <w:ilvl w:val="3"/>
          <w:numId w:val="15"/>
        </w:numPr>
        <w:ind w:left="1418" w:hanging="284"/>
        <w:rPr>
          <w:rFonts w:ascii="Verdana" w:hAnsi="Verdana" w:cs="Arial"/>
          <w:bCs/>
          <w:color w:val="000000"/>
          <w:szCs w:val="20"/>
        </w:rPr>
      </w:pPr>
      <w:r>
        <w:rPr>
          <w:rFonts w:ascii="Verdana" w:hAnsi="Verdana" w:cs="Arial"/>
          <w:bCs/>
          <w:color w:val="000000"/>
          <w:szCs w:val="20"/>
        </w:rPr>
        <w:t>No caso de inabilitação, haverá nova verificação, pelo sistema, da eventual ocorrência do empate ficto, previsto nos arts. 44 e 45 da Lei Complementar nº 123, de 2006, seguindo-se a disciplina antes estabelecida para aceitação da proposta subsequente.</w:t>
      </w:r>
    </w:p>
    <w:p>
      <w:pPr>
        <w:pStyle w:val="81"/>
        <w:keepNext w:val="0"/>
        <w:numPr>
          <w:ilvl w:val="1"/>
          <w:numId w:val="15"/>
        </w:numPr>
        <w:ind w:left="851" w:hanging="284"/>
        <w:rPr>
          <w:rFonts w:ascii="Verdana" w:hAnsi="Verdana" w:cs="Arial"/>
          <w:color w:val="000000"/>
          <w:szCs w:val="20"/>
        </w:rPr>
      </w:pPr>
      <w:r>
        <w:rPr>
          <w:rFonts w:ascii="Verdana" w:hAnsi="Verdana" w:cs="Arial"/>
          <w:color w:val="000000"/>
          <w:szCs w:val="20"/>
        </w:rPr>
        <w:t>Caso atendidas as condições de participação, a habilitação das licitantes será verificada por meio do SICAF, nos documentos por ele abrangidos, em relação à habilitação jurídica, à regularidade fiscal, à qualificação econômico-financeira e habilitação técnica, conforme o disposto na Instrução Normativa SEGES/MP nº 03, de 2018.</w:t>
      </w:r>
    </w:p>
    <w:p>
      <w:pPr>
        <w:pStyle w:val="81"/>
        <w:keepNext w:val="0"/>
        <w:numPr>
          <w:ilvl w:val="2"/>
          <w:numId w:val="15"/>
        </w:numPr>
        <w:ind w:left="1134" w:hanging="283"/>
        <w:rPr>
          <w:rFonts w:ascii="Verdana" w:hAnsi="Verdana" w:cs="Arial"/>
          <w:color w:val="000000"/>
          <w:szCs w:val="20"/>
        </w:rPr>
      </w:pPr>
      <w:r>
        <w:rPr>
          <w:rFonts w:ascii="Verdana" w:hAnsi="Verdana" w:cs="Arial"/>
          <w:color w:val="000000"/>
          <w:szCs w:val="20"/>
        </w:rPr>
        <w:t xml:space="preserve">Também será admitida a substituição parcial ou total de documentação de habilitação técnica por certificado de pré-qualificação válido quando da solicitação de sua apresentação pela Comissão de Licitação; </w:t>
      </w:r>
    </w:p>
    <w:p>
      <w:pPr>
        <w:pStyle w:val="81"/>
        <w:keepNext w:val="0"/>
        <w:numPr>
          <w:ilvl w:val="2"/>
          <w:numId w:val="15"/>
        </w:numPr>
        <w:ind w:left="1134" w:hanging="283"/>
        <w:rPr>
          <w:rFonts w:ascii="Verdana" w:hAnsi="Verdana" w:cs="Arial"/>
          <w:color w:val="000000"/>
          <w:szCs w:val="20"/>
        </w:rPr>
      </w:pPr>
      <w:r>
        <w:rPr>
          <w:rFonts w:ascii="Verdana" w:hAnsi="Verdana" w:cs="Arial"/>
          <w:color w:val="000000"/>
          <w:szCs w:val="20"/>
        </w:rPr>
        <w:t xml:space="preserve">O interessado, para efeitos de habilitação prevista na Instrução Normativa SEGES/MP nº 03, de 2018 mediante utilização do sistema, deverá atender às condições exigidas no cadastramento no SICAF até o terceiro dia útil anterior à data prevista para recebimento das propostas; </w:t>
      </w:r>
    </w:p>
    <w:p>
      <w:pPr>
        <w:pStyle w:val="81"/>
        <w:keepNext w:val="0"/>
        <w:numPr>
          <w:ilvl w:val="2"/>
          <w:numId w:val="15"/>
        </w:numPr>
        <w:ind w:left="1134" w:hanging="283"/>
        <w:rPr>
          <w:rFonts w:ascii="Verdana" w:hAnsi="Verdana" w:cs="Arial"/>
          <w:color w:val="000000"/>
          <w:szCs w:val="20"/>
        </w:rPr>
      </w:pPr>
      <w:r>
        <w:rPr>
          <w:rFonts w:ascii="Verdana" w:hAnsi="Verdana" w:cs="Arial"/>
          <w:color w:val="000000"/>
          <w:szCs w:val="20"/>
        </w:rPr>
        <w:t>É dever da licitante atualizar previamente as comprovações constantes do SICAF ou do certificado de pré-qualificação para que estejam vigentes quando da solicitação pela comissão ou encaminhar a respectiva documentação de habilitação atualizada, conforme previsto neste Edital.</w:t>
      </w:r>
    </w:p>
    <w:p>
      <w:pPr>
        <w:pStyle w:val="81"/>
        <w:keepNext w:val="0"/>
        <w:numPr>
          <w:ilvl w:val="1"/>
          <w:numId w:val="15"/>
        </w:numPr>
        <w:ind w:left="851" w:hanging="284"/>
        <w:rPr>
          <w:rFonts w:ascii="Verdana" w:hAnsi="Verdana" w:cs="Arial"/>
          <w:szCs w:val="20"/>
        </w:rPr>
      </w:pPr>
      <w:r>
        <w:rPr>
          <w:rFonts w:ascii="Verdana" w:hAnsi="Verdana" w:cs="Arial"/>
          <w:color w:val="000000" w:themeColor="text1"/>
          <w:szCs w:val="20"/>
          <w14:textFill>
            <w14:solidFill>
              <w14:schemeClr w14:val="tx1"/>
            </w14:solidFill>
          </w14:textFill>
        </w:rPr>
        <w:t xml:space="preserve"> A licitante classificada em primeiro lugar será convocada a encaminhar, no prazo de até 24 </w:t>
      </w:r>
      <w:r>
        <w:rPr>
          <w:rFonts w:ascii="Verdana" w:hAnsi="Verdana" w:cs="Arial"/>
          <w:iCs/>
          <w:szCs w:val="20"/>
        </w:rPr>
        <w:t>(vinte e quatro) horas</w:t>
      </w:r>
      <w:r>
        <w:rPr>
          <w:rFonts w:ascii="Verdana" w:hAnsi="Verdana" w:cs="Arial"/>
          <w:color w:val="000000" w:themeColor="text1"/>
          <w:szCs w:val="20"/>
          <w14:textFill>
            <w14:solidFill>
              <w14:schemeClr w14:val="tx1"/>
            </w14:solidFill>
          </w14:textFill>
        </w:rPr>
        <w:t>, documentação válida que comprove o atendimento das exigências de habilitação deste Edital, sob pena de inabilitação, ressalvado o disposto quanto à comprovação da regularidade fiscal das microempresas, empresas de pequeno porte e sociedades cooperativas, conforme estatui o art. 43, § 1º da LC nº 123, de 2006.</w:t>
      </w:r>
    </w:p>
    <w:p>
      <w:pPr>
        <w:pStyle w:val="81"/>
        <w:keepNext w:val="0"/>
        <w:widowControl/>
        <w:numPr>
          <w:ilvl w:val="2"/>
          <w:numId w:val="15"/>
        </w:numPr>
        <w:spacing w:before="120" w:after="120"/>
        <w:textAlignment w:val="auto"/>
        <w:rPr>
          <w:rFonts w:ascii="Verdana" w:hAnsi="Verdana" w:cs="Arial"/>
          <w:szCs w:val="20"/>
          <w:lang w:eastAsia="ar-SA"/>
        </w:rPr>
      </w:pPr>
      <w:r>
        <w:rPr>
          <w:rFonts w:ascii="Verdana" w:hAnsi="Verdana" w:cs="Arial"/>
          <w:color w:val="000000" w:themeColor="text1"/>
          <w:szCs w:val="20"/>
          <w14:textFill>
            <w14:solidFill>
              <w14:schemeClr w14:val="tx1"/>
            </w14:solidFill>
          </w14:textFill>
        </w:rPr>
        <w:t>Havendo a n</w:t>
      </w:r>
      <w:r>
        <w:rPr>
          <w:rFonts w:ascii="Verdana" w:hAnsi="Verdana" w:cs="Arial"/>
          <w:color w:val="000000"/>
          <w:szCs w:val="20"/>
        </w:rPr>
        <w:t xml:space="preserve">ecessidade de envio de documentos </w:t>
      </w:r>
      <w:r>
        <w:rPr>
          <w:rFonts w:ascii="Verdana" w:hAnsi="Verdana" w:cs="Arial"/>
          <w:color w:val="000000" w:themeColor="text1"/>
          <w:szCs w:val="20"/>
          <w14:textFill>
            <w14:solidFill>
              <w14:schemeClr w14:val="tx1"/>
            </w14:solidFill>
          </w14:textFill>
        </w:rPr>
        <w:t xml:space="preserve">complementares, </w:t>
      </w:r>
      <w:r>
        <w:rPr>
          <w:rFonts w:ascii="Verdana" w:hAnsi="Verdana" w:cs="Arial"/>
          <w:color w:val="000000"/>
          <w:szCs w:val="20"/>
        </w:rPr>
        <w:t>necessários a esclarecer informações, corrigir impropriedades na documentação de habilitação ou complementar a instrução do processo, </w:t>
      </w:r>
      <w:r>
        <w:rPr>
          <w:rFonts w:ascii="Verdana" w:hAnsi="Verdana" w:cs="Arial"/>
          <w:color w:val="000000" w:themeColor="text1"/>
          <w:szCs w:val="20"/>
          <w14:textFill>
            <w14:solidFill>
              <w14:schemeClr w14:val="tx1"/>
            </w14:solidFill>
          </w14:textFill>
        </w:rPr>
        <w:t xml:space="preserve">a licitante será convocada a encaminhá-los, </w:t>
      </w:r>
      <w:r>
        <w:rPr>
          <w:rFonts w:ascii="Verdana" w:hAnsi="Verdana" w:cs="Arial"/>
          <w:color w:val="000000"/>
          <w:szCs w:val="20"/>
        </w:rPr>
        <w:t>em formato digital, via sistema,</w:t>
      </w:r>
      <w:r>
        <w:rPr>
          <w:rFonts w:ascii="Verdana" w:hAnsi="Verdana" w:cs="Arial"/>
          <w:color w:val="000000" w:themeColor="text1"/>
          <w:szCs w:val="20"/>
          <w14:textFill>
            <w14:solidFill>
              <w14:schemeClr w14:val="tx1"/>
            </w14:solidFill>
          </w14:textFill>
        </w:rPr>
        <w:t xml:space="preserve"> no prazo de 02</w:t>
      </w:r>
      <w:r>
        <w:rPr>
          <w:rFonts w:ascii="Verdana" w:hAnsi="Verdana" w:cs="Arial"/>
          <w:szCs w:val="20"/>
        </w:rPr>
        <w:t xml:space="preserve"> (duas)</w:t>
      </w:r>
      <w:r>
        <w:rPr>
          <w:rFonts w:ascii="Verdana" w:hAnsi="Verdana" w:cs="Arial"/>
          <w:iCs/>
          <w:szCs w:val="20"/>
        </w:rPr>
        <w:t xml:space="preserve"> </w:t>
      </w:r>
      <w:r>
        <w:rPr>
          <w:rFonts w:ascii="Verdana" w:hAnsi="Verdana" w:cs="Arial"/>
          <w:szCs w:val="20"/>
        </w:rPr>
        <w:t>horas</w:t>
      </w:r>
      <w:r>
        <w:rPr>
          <w:rFonts w:ascii="Verdana" w:hAnsi="Verdana" w:cs="Arial"/>
          <w:color w:val="000000" w:themeColor="text1"/>
          <w:szCs w:val="20"/>
          <w14:textFill>
            <w14:solidFill>
              <w14:schemeClr w14:val="tx1"/>
            </w14:solidFill>
          </w14:textFill>
        </w:rPr>
        <w:t>, sob pena de inabilitação</w:t>
      </w:r>
      <w:r>
        <w:rPr>
          <w:rFonts w:ascii="Verdana" w:hAnsi="Verdana" w:cs="Arial"/>
          <w:szCs w:val="20"/>
        </w:rPr>
        <w:t>.</w:t>
      </w:r>
    </w:p>
    <w:p>
      <w:pPr>
        <w:pStyle w:val="81"/>
        <w:keepNext w:val="0"/>
        <w:widowControl/>
        <w:numPr>
          <w:ilvl w:val="2"/>
          <w:numId w:val="15"/>
        </w:numPr>
        <w:spacing w:before="120" w:after="120"/>
        <w:textAlignment w:val="auto"/>
        <w:rPr>
          <w:rFonts w:ascii="Verdana" w:hAnsi="Verdana" w:cs="Arial"/>
          <w:szCs w:val="20"/>
          <w:lang w:eastAsia="ar-SA"/>
        </w:rPr>
      </w:pPr>
      <w:r>
        <w:rPr>
          <w:rFonts w:ascii="Verdana" w:hAnsi="Verdana" w:cs="Arial"/>
          <w:szCs w:val="20"/>
        </w:rPr>
        <w:t>Somente haverá a necessidade de comprovação do preenchimento de requisitos mediante apresentação dos documentos originais não digitais quando houver dúvida em relação à integridade do documento digital.</w:t>
      </w:r>
    </w:p>
    <w:p>
      <w:pPr>
        <w:pStyle w:val="81"/>
        <w:keepNext w:val="0"/>
        <w:numPr>
          <w:ilvl w:val="1"/>
          <w:numId w:val="15"/>
        </w:numPr>
        <w:ind w:left="851" w:hanging="284"/>
        <w:rPr>
          <w:rFonts w:ascii="Verdana" w:hAnsi="Verdana" w:cs="Arial"/>
          <w:color w:val="000000"/>
          <w:szCs w:val="20"/>
        </w:rPr>
      </w:pPr>
      <w:r>
        <w:rPr>
          <w:rFonts w:ascii="Verdana" w:hAnsi="Verdana" w:cs="Arial"/>
          <w:color w:val="000000"/>
          <w:szCs w:val="20"/>
        </w:rPr>
        <w:t>Não serão aceitos documentos de habilitação com indicação de CNPJ/CPF diferentes, salvo aqueles legalmente permitidos.</w:t>
      </w:r>
    </w:p>
    <w:p>
      <w:pPr>
        <w:pStyle w:val="81"/>
        <w:keepNext w:val="0"/>
        <w:numPr>
          <w:ilvl w:val="2"/>
          <w:numId w:val="15"/>
        </w:numPr>
        <w:ind w:left="1134" w:hanging="283"/>
        <w:rPr>
          <w:rFonts w:ascii="Verdana" w:hAnsi="Verdana" w:cs="Arial"/>
          <w:color w:val="000000"/>
          <w:szCs w:val="20"/>
        </w:rPr>
      </w:pPr>
      <w:r>
        <w:rPr>
          <w:rFonts w:ascii="Verdana" w:hAnsi="Verdana" w:cs="Arial"/>
          <w:color w:val="000000"/>
          <w:szCs w:val="20"/>
        </w:rPr>
        <w:t>Se a licitante for a matriz, todos os documentos deverão estar em nome da matriz, e se a licitante for a filial, todos os documentos deverão estar em nome da filial, exceto aqueles documentos que, pela própria natureza, comprovadamente, forem emitidos somente em nome da matriz.</w:t>
      </w:r>
    </w:p>
    <w:p>
      <w:pPr>
        <w:pStyle w:val="81"/>
        <w:keepNext w:val="0"/>
        <w:numPr>
          <w:ilvl w:val="3"/>
          <w:numId w:val="15"/>
        </w:numPr>
        <w:ind w:left="1418" w:hanging="284"/>
        <w:rPr>
          <w:rFonts w:ascii="Verdana" w:hAnsi="Verdana"/>
          <w:color w:val="000000"/>
          <w:szCs w:val="20"/>
        </w:rPr>
      </w:pPr>
      <w:r>
        <w:rPr>
          <w:rFonts w:ascii="Verdana" w:hAnsi="Verdana" w:cs="Arial"/>
          <w:color w:val="000000"/>
          <w:szCs w:val="20"/>
        </w:rPr>
        <w:t>Serão aceitos registros de CNPJ de licitante matriz e filial com diferenças de números de documentos pertinentes ao CND e ao CRF/FGTS, quando for comprovada a centralização do recolhimento dessas contribuições.:</w:t>
      </w:r>
    </w:p>
    <w:p>
      <w:pPr>
        <w:pStyle w:val="81"/>
        <w:keepNext w:val="0"/>
        <w:widowControl/>
        <w:numPr>
          <w:ilvl w:val="1"/>
          <w:numId w:val="15"/>
        </w:numPr>
        <w:spacing w:before="120" w:after="120"/>
        <w:textAlignment w:val="auto"/>
        <w:rPr>
          <w:rFonts w:ascii="Verdana" w:hAnsi="Verdana" w:cs="Arial"/>
          <w:szCs w:val="20"/>
          <w:lang w:eastAsia="ar-SA"/>
        </w:rPr>
      </w:pPr>
      <w:r>
        <w:rPr>
          <w:rFonts w:ascii="Verdana" w:hAnsi="Verdana" w:cs="Arial"/>
          <w:szCs w:val="20"/>
        </w:rPr>
        <w:t>A existência de restrição relativamente à regularidade fiscal e trabalhista não impede que a licitante qualificada como microempresa ou empresa de pequeno porte seja declarada vencedora, uma vez que atenda a todas as demais exigências do edital.</w:t>
      </w:r>
    </w:p>
    <w:p>
      <w:pPr>
        <w:pStyle w:val="81"/>
        <w:keepNext w:val="0"/>
        <w:widowControl/>
        <w:numPr>
          <w:ilvl w:val="1"/>
          <w:numId w:val="15"/>
        </w:numPr>
        <w:spacing w:before="120" w:after="120"/>
        <w:textAlignment w:val="auto"/>
        <w:rPr>
          <w:rFonts w:ascii="Verdana" w:hAnsi="Verdana" w:cs="Arial"/>
          <w:szCs w:val="20"/>
          <w:lang w:eastAsia="ar-SA"/>
        </w:rPr>
      </w:pPr>
      <w:r>
        <w:rPr>
          <w:rFonts w:ascii="Verdana" w:hAnsi="Verdana" w:cs="Arial"/>
          <w:szCs w:val="20"/>
        </w:rPr>
        <w:t>A declaração do vencedor acontecerá no momento imediatamente posterior à fase de habilitação.</w:t>
      </w:r>
    </w:p>
    <w:p>
      <w:pPr>
        <w:pStyle w:val="81"/>
        <w:keepNext w:val="0"/>
        <w:numPr>
          <w:ilvl w:val="1"/>
          <w:numId w:val="15"/>
        </w:numPr>
        <w:rPr>
          <w:rFonts w:ascii="Verdana" w:hAnsi="Verdana" w:cs="Arial"/>
          <w:color w:val="000000"/>
          <w:szCs w:val="20"/>
        </w:rPr>
      </w:pPr>
      <w:r>
        <w:rPr>
          <w:rFonts w:ascii="Verdana" w:hAnsi="Verdana" w:cs="Arial"/>
          <w:szCs w:val="20"/>
        </w:rPr>
        <w:t>Caso a proposta mais vantajosa seja ofertada por microempresa, empresa de pequeno porte ou sociedade cooperativa equiparada, e uma vez constatada a existência de alguma restrição no que tange à regularidade fiscal e trabalhista, ela será convocada para, no prazo de 5 (cinco) dias úteis, após a declaração da vencedora, comprovar a regularização. O prazo poderá ser prorrogado por igual período, a critério da administração pública, quando requerida pela licitante, mediante apresentação de justificativa.</w:t>
      </w:r>
    </w:p>
    <w:p>
      <w:pPr>
        <w:pStyle w:val="81"/>
        <w:keepNext w:val="0"/>
        <w:numPr>
          <w:ilvl w:val="1"/>
          <w:numId w:val="15"/>
        </w:numPr>
        <w:rPr>
          <w:rFonts w:ascii="Verdana" w:hAnsi="Verdana" w:cs="Arial"/>
          <w:color w:val="000000"/>
          <w:szCs w:val="20"/>
        </w:rPr>
      </w:pPr>
      <w:r>
        <w:rPr>
          <w:rFonts w:ascii="Verdana" w:hAnsi="Verdana" w:cs="Arial"/>
          <w:color w:val="000000"/>
          <w:szCs w:val="20"/>
        </w:rPr>
        <w:t>Havendo necessidade de analisar minuciosamente os documentos exigidos, a Comissão de Licitação suspenderá a sessão, informando no “chat” a nova data e horário para a sua continuidade.</w:t>
      </w:r>
    </w:p>
    <w:p>
      <w:pPr>
        <w:pStyle w:val="81"/>
        <w:keepNext w:val="0"/>
        <w:numPr>
          <w:ilvl w:val="1"/>
          <w:numId w:val="15"/>
        </w:numPr>
        <w:ind w:left="851" w:hanging="284"/>
        <w:rPr>
          <w:rFonts w:ascii="Verdana" w:hAnsi="Verdana" w:cs="Arial"/>
          <w:color w:val="000000"/>
          <w:szCs w:val="20"/>
        </w:rPr>
      </w:pPr>
      <w:r>
        <w:rPr>
          <w:rFonts w:ascii="Verdana" w:hAnsi="Verdana" w:cs="Arial"/>
          <w:color w:val="000000"/>
          <w:szCs w:val="20"/>
        </w:rPr>
        <w:t>Será inabilitado a licitante que não comprovar sua habilitação, seja por não apresentar quaisquer dos documentos exigidos, ou apresentá-los em desacordo com o estabelecido neste Edital.</w:t>
      </w:r>
    </w:p>
    <w:p>
      <w:pPr>
        <w:pStyle w:val="81"/>
        <w:keepNext w:val="0"/>
        <w:numPr>
          <w:ilvl w:val="1"/>
          <w:numId w:val="15"/>
        </w:numPr>
        <w:ind w:left="851" w:hanging="284"/>
        <w:rPr>
          <w:rFonts w:ascii="Verdana" w:hAnsi="Verdana" w:cs="Arial"/>
          <w:color w:val="000000"/>
          <w:szCs w:val="20"/>
        </w:rPr>
      </w:pPr>
      <w:r>
        <w:rPr>
          <w:rFonts w:ascii="Verdana" w:hAnsi="Verdana" w:cs="Arial"/>
          <w:color w:val="000000"/>
          <w:szCs w:val="20"/>
        </w:rPr>
        <w:t>Nos itens não exclusivos a microempresas e empresas de pequeno porte, em havendo inabilitação, haverá nova verificação, pelo sistema, da eventual ocorrência do empate ficto, previsto nos artigos 44 e 45 da LC nº 123, de 2006, seguindo-se a disciplina antes estabelecida para aceitação da proposta subsequente.</w:t>
      </w:r>
    </w:p>
    <w:p>
      <w:pPr>
        <w:pStyle w:val="81"/>
        <w:keepNext w:val="0"/>
        <w:numPr>
          <w:ilvl w:val="1"/>
          <w:numId w:val="15"/>
        </w:numPr>
        <w:ind w:left="851" w:hanging="284"/>
        <w:rPr>
          <w:rFonts w:ascii="Verdana" w:hAnsi="Verdana" w:cs="Arial"/>
          <w:color w:val="000000"/>
          <w:szCs w:val="20"/>
        </w:rPr>
      </w:pPr>
      <w:r>
        <w:rPr>
          <w:rFonts w:ascii="Verdana" w:hAnsi="Verdana" w:cs="Arial"/>
          <w:color w:val="000000"/>
          <w:szCs w:val="20"/>
        </w:rPr>
        <w:t>Constatado</w:t>
      </w:r>
      <w:r>
        <w:rPr>
          <w:rFonts w:ascii="Verdana" w:hAnsi="Verdana" w:cs="Arial"/>
          <w:color w:val="000000"/>
          <w:szCs w:val="20"/>
          <w:lang w:eastAsia="en-US"/>
        </w:rPr>
        <w:t xml:space="preserve"> o atendimento às exigências de habilitação fixadas no Edital, a licitante será declarada vencedora.</w:t>
      </w:r>
    </w:p>
    <w:p>
      <w:pPr>
        <w:pStyle w:val="81"/>
        <w:keepNext w:val="0"/>
        <w:numPr>
          <w:ilvl w:val="1"/>
          <w:numId w:val="15"/>
        </w:numPr>
        <w:ind w:left="851" w:hanging="284"/>
        <w:rPr>
          <w:rFonts w:ascii="Verdana" w:hAnsi="Verdana" w:cs="Arial"/>
          <w:color w:val="000000"/>
          <w:szCs w:val="20"/>
        </w:rPr>
      </w:pPr>
      <w:r>
        <w:rPr>
          <w:rFonts w:ascii="Verdana" w:hAnsi="Verdana" w:cs="Arial"/>
          <w:color w:val="000000"/>
          <w:szCs w:val="20"/>
        </w:rPr>
        <w:t>Ressalvado o disposto no item 9.3, as licitantes deverão encaminhar, nos termos deste Edital, a documentação relacionada nos itens a seguir, para fins de habilitação</w:t>
      </w:r>
      <w:r>
        <w:rPr>
          <w:rFonts w:ascii="Verdana" w:hAnsi="Verdana" w:cs="Arial"/>
          <w:szCs w:val="20"/>
        </w:rPr>
        <w:t>.</w:t>
      </w:r>
      <w:bookmarkEnd w:id="17"/>
    </w:p>
    <w:p>
      <w:pPr>
        <w:pStyle w:val="81"/>
        <w:keepNext w:val="0"/>
        <w:ind w:left="851" w:firstLine="0"/>
        <w:rPr>
          <w:rFonts w:ascii="Verdana" w:hAnsi="Verdana" w:cs="Arial"/>
          <w:color w:val="000000"/>
          <w:sz w:val="18"/>
          <w:szCs w:val="18"/>
        </w:rPr>
      </w:pPr>
    </w:p>
    <w:p>
      <w:pPr>
        <w:pStyle w:val="81"/>
        <w:keepNext w:val="0"/>
        <w:numPr>
          <w:ilvl w:val="0"/>
          <w:numId w:val="15"/>
        </w:numPr>
        <w:rPr>
          <w:rFonts w:ascii="Verdana" w:hAnsi="Verdana" w:cs="Arial"/>
          <w:b/>
          <w:bCs/>
          <w:szCs w:val="20"/>
        </w:rPr>
      </w:pPr>
      <w:r>
        <w:rPr>
          <w:rFonts w:ascii="Verdana" w:hAnsi="Verdana" w:cs="Arial"/>
          <w:b/>
          <w:bCs/>
          <w:color w:val="000000"/>
          <w:szCs w:val="20"/>
        </w:rPr>
        <w:t xml:space="preserve"> Da Habilitação jurídica:</w:t>
      </w:r>
    </w:p>
    <w:p>
      <w:pPr>
        <w:pStyle w:val="81"/>
        <w:keepNext w:val="0"/>
        <w:numPr>
          <w:ilvl w:val="1"/>
          <w:numId w:val="15"/>
        </w:numPr>
        <w:rPr>
          <w:rFonts w:ascii="Verdana" w:hAnsi="Verdana" w:cs="Arial"/>
          <w:color w:val="000000"/>
          <w:szCs w:val="20"/>
        </w:rPr>
      </w:pPr>
      <w:r>
        <w:rPr>
          <w:rFonts w:ascii="Verdana" w:hAnsi="Verdana" w:cs="Arial"/>
          <w:color w:val="000000"/>
          <w:szCs w:val="20"/>
        </w:rPr>
        <w:t>No caso de sociedade empresária ou empresa individual de responsabilidade limitada - EIRELI: ato constitutivo, estatuto ou contrato social em vigor, devidamente registrado na Junta Comercial da respectiva sede, acompanhado de documento comprobatório de seus administradores;</w:t>
      </w:r>
    </w:p>
    <w:p>
      <w:pPr>
        <w:pStyle w:val="81"/>
        <w:keepNext w:val="0"/>
        <w:numPr>
          <w:ilvl w:val="1"/>
          <w:numId w:val="15"/>
        </w:numPr>
        <w:rPr>
          <w:rFonts w:ascii="Verdana" w:hAnsi="Verdana" w:cs="Arial"/>
          <w:color w:val="000000"/>
          <w:szCs w:val="20"/>
        </w:rPr>
      </w:pPr>
      <w:r>
        <w:rPr>
          <w:rFonts w:ascii="Verdana" w:hAnsi="Verdana" w:cs="Arial"/>
          <w:color w:val="000000"/>
          <w:szCs w:val="20"/>
        </w:rPr>
        <w:t>inscrição no Registro Público de Empresas Mercantis onde opera, com averbação no Registro onde tem sede a matriz, no caso de ser o participante sucursal, filial ou agência;</w:t>
      </w:r>
    </w:p>
    <w:p>
      <w:pPr>
        <w:pStyle w:val="81"/>
        <w:keepNext w:val="0"/>
        <w:numPr>
          <w:ilvl w:val="1"/>
          <w:numId w:val="15"/>
        </w:numPr>
        <w:rPr>
          <w:rFonts w:ascii="Verdana" w:hAnsi="Verdana" w:cs="Arial"/>
          <w:color w:val="000000"/>
          <w:szCs w:val="20"/>
        </w:rPr>
      </w:pPr>
      <w:r>
        <w:rPr>
          <w:rFonts w:ascii="Verdana" w:hAnsi="Verdana" w:cs="Arial"/>
          <w:color w:val="000000"/>
          <w:szCs w:val="20"/>
        </w:rPr>
        <w:t>No caso de sociedade simples: inscrição do ato constitutivo no Registro Civil das Pessoas Jurídicas do local de sua sede, acompanhada de prova da indicação dos seus administradores;</w:t>
      </w:r>
    </w:p>
    <w:p>
      <w:pPr>
        <w:pStyle w:val="81"/>
        <w:keepNext w:val="0"/>
        <w:numPr>
          <w:ilvl w:val="1"/>
          <w:numId w:val="15"/>
        </w:numPr>
        <w:rPr>
          <w:rFonts w:ascii="Verdana" w:hAnsi="Verdana" w:cs="Arial"/>
          <w:szCs w:val="20"/>
        </w:rPr>
      </w:pPr>
      <w:r>
        <w:rPr>
          <w:rFonts w:ascii="Verdana" w:hAnsi="Verdana" w:cs="Arial"/>
          <w:color w:val="000000"/>
          <w:szCs w:val="20"/>
        </w:rPr>
        <w:t>Decreto de autorização, em se tratando de sociedade empresária estrangeira em funcionamento no País;</w:t>
      </w:r>
    </w:p>
    <w:p>
      <w:pPr>
        <w:pStyle w:val="81"/>
        <w:keepNext w:val="0"/>
        <w:numPr>
          <w:ilvl w:val="1"/>
          <w:numId w:val="15"/>
        </w:numPr>
        <w:rPr>
          <w:rFonts w:ascii="Verdana" w:hAnsi="Verdana" w:cs="Arial"/>
          <w:color w:val="000000"/>
          <w:szCs w:val="20"/>
        </w:rPr>
      </w:pPr>
      <w:r>
        <w:rPr>
          <w:rFonts w:ascii="Verdana" w:hAnsi="Verdana" w:cs="Arial"/>
          <w:color w:val="000000"/>
          <w:szCs w:val="20"/>
        </w:rPr>
        <w:t>Os documentos acima deverão estar acompanhados de todas as alterações ou da consolidação respectiva;</w:t>
      </w:r>
    </w:p>
    <w:p>
      <w:pPr>
        <w:pStyle w:val="81"/>
        <w:keepNext w:val="0"/>
        <w:ind w:left="1418" w:firstLine="0"/>
        <w:rPr>
          <w:rFonts w:ascii="Verdana" w:hAnsi="Verdana" w:cs="Arial"/>
          <w:color w:val="000000"/>
          <w:sz w:val="18"/>
          <w:szCs w:val="18"/>
        </w:rPr>
      </w:pPr>
    </w:p>
    <w:p>
      <w:pPr>
        <w:pStyle w:val="81"/>
        <w:keepNext w:val="0"/>
        <w:numPr>
          <w:ilvl w:val="0"/>
          <w:numId w:val="15"/>
        </w:numPr>
        <w:rPr>
          <w:rFonts w:ascii="Verdana" w:hAnsi="Verdana" w:cs="Arial"/>
          <w:b/>
          <w:szCs w:val="20"/>
        </w:rPr>
      </w:pPr>
      <w:r>
        <w:rPr>
          <w:rFonts w:ascii="Verdana" w:hAnsi="Verdana" w:cs="Arial"/>
          <w:b/>
          <w:bCs/>
          <w:color w:val="000000"/>
          <w:szCs w:val="20"/>
        </w:rPr>
        <w:t xml:space="preserve"> Da Regularidade fiscal </w:t>
      </w:r>
      <w:r>
        <w:rPr>
          <w:rFonts w:ascii="Verdana" w:hAnsi="Verdana" w:cs="Arial"/>
          <w:b/>
          <w:szCs w:val="20"/>
        </w:rPr>
        <w:t>e trabalhista</w:t>
      </w:r>
      <w:r>
        <w:rPr>
          <w:rFonts w:ascii="Verdana" w:hAnsi="Verdana" w:cs="Arial"/>
          <w:b/>
          <w:bCs/>
          <w:color w:val="000000"/>
          <w:szCs w:val="20"/>
        </w:rPr>
        <w:t>:</w:t>
      </w:r>
    </w:p>
    <w:p>
      <w:pPr>
        <w:pStyle w:val="81"/>
        <w:keepNext w:val="0"/>
        <w:numPr>
          <w:ilvl w:val="1"/>
          <w:numId w:val="15"/>
        </w:numPr>
        <w:rPr>
          <w:rFonts w:ascii="Verdana" w:hAnsi="Verdana" w:cs="Arial"/>
          <w:szCs w:val="20"/>
        </w:rPr>
      </w:pPr>
      <w:r>
        <w:rPr>
          <w:rFonts w:ascii="Verdana" w:hAnsi="Verdana" w:cs="Arial"/>
          <w:szCs w:val="20"/>
          <w:lang w:eastAsia="en-US"/>
        </w:rPr>
        <w:t>Prova de inscrição no Cadastro Nacional de Pessoas Jurídicas;</w:t>
      </w:r>
    </w:p>
    <w:p>
      <w:pPr>
        <w:pStyle w:val="81"/>
        <w:keepNext w:val="0"/>
        <w:numPr>
          <w:ilvl w:val="1"/>
          <w:numId w:val="15"/>
        </w:numPr>
        <w:rPr>
          <w:rFonts w:ascii="Verdana" w:hAnsi="Verdana" w:cs="Arial"/>
          <w:szCs w:val="20"/>
        </w:rPr>
      </w:pPr>
      <w:r>
        <w:rPr>
          <w:rFonts w:ascii="Verdana" w:hAnsi="Verdana" w:cs="Arial"/>
          <w:szCs w:val="20"/>
          <w:lang w:eastAsia="en-US"/>
        </w:rPr>
        <w:t>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Portaria Conjunta nº 1.751, de 02/10/2014, do Secretário da Receita Federal do Brasil e da Procuradora-Geral da Fazenda Nacional;</w:t>
      </w:r>
    </w:p>
    <w:p>
      <w:pPr>
        <w:pStyle w:val="81"/>
        <w:keepNext w:val="0"/>
        <w:numPr>
          <w:ilvl w:val="1"/>
          <w:numId w:val="15"/>
        </w:numPr>
        <w:rPr>
          <w:rFonts w:ascii="Verdana" w:hAnsi="Verdana" w:cs="Arial"/>
          <w:szCs w:val="20"/>
          <w:lang w:eastAsia="en-US"/>
        </w:rPr>
      </w:pPr>
      <w:r>
        <w:rPr>
          <w:rFonts w:ascii="Verdana" w:hAnsi="Verdana" w:cs="Arial"/>
          <w:color w:val="000000"/>
          <w:szCs w:val="20"/>
          <w:lang w:eastAsia="en-US"/>
        </w:rPr>
        <w:t xml:space="preserve">Prova </w:t>
      </w:r>
      <w:r>
        <w:rPr>
          <w:rFonts w:ascii="Verdana" w:hAnsi="Verdana" w:cs="Arial"/>
          <w:szCs w:val="20"/>
          <w:lang w:eastAsia="en-US"/>
        </w:rPr>
        <w:t>de regularidade com o Fundo de Garantia do Tempo de Serviço (FGTS);</w:t>
      </w:r>
    </w:p>
    <w:p>
      <w:pPr>
        <w:pStyle w:val="81"/>
        <w:keepNext w:val="0"/>
        <w:numPr>
          <w:ilvl w:val="1"/>
          <w:numId w:val="15"/>
        </w:numPr>
        <w:rPr>
          <w:rFonts w:ascii="Verdana" w:hAnsi="Verdana" w:cs="Arial"/>
          <w:szCs w:val="20"/>
        </w:rPr>
      </w:pPr>
      <w:r>
        <w:rPr>
          <w:rFonts w:ascii="Verdana" w:hAnsi="Verdana" w:cs="Arial"/>
          <w:szCs w:val="20"/>
          <w:lang w:eastAsia="en-US"/>
        </w:rPr>
        <w:t>Prova de inexistência de débitos inadimplidos perante a justiça do trabalho, mediante a apresentação de certidão negativa ou positiva com efeito de negativa, nos termos do Título VII-A da consolidação das leis do trabalho, aprovada pelo decreto-lei nº 5.452, de 1º de maio de 1943;</w:t>
      </w:r>
    </w:p>
    <w:p>
      <w:pPr>
        <w:pStyle w:val="81"/>
        <w:keepNext w:val="0"/>
        <w:numPr>
          <w:ilvl w:val="1"/>
          <w:numId w:val="15"/>
        </w:numPr>
        <w:rPr>
          <w:rFonts w:ascii="Verdana" w:hAnsi="Verdana" w:cs="Arial"/>
          <w:szCs w:val="20"/>
        </w:rPr>
      </w:pPr>
      <w:r>
        <w:rPr>
          <w:rFonts w:ascii="Verdana" w:hAnsi="Verdana" w:cs="Arial"/>
          <w:bCs/>
          <w:szCs w:val="20"/>
        </w:rPr>
        <w:t xml:space="preserve">Prova de </w:t>
      </w:r>
      <w:r>
        <w:rPr>
          <w:rFonts w:ascii="Verdana" w:hAnsi="Verdana" w:cs="Arial"/>
          <w:szCs w:val="20"/>
          <w:lang w:eastAsia="en-US"/>
        </w:rPr>
        <w:t>inscrição</w:t>
      </w:r>
      <w:r>
        <w:rPr>
          <w:rFonts w:ascii="Verdana" w:hAnsi="Verdana" w:cs="Arial"/>
          <w:bCs/>
          <w:szCs w:val="20"/>
        </w:rPr>
        <w:t xml:space="preserve"> no cadastro de contribuintes municipal, relativo ao domicílio ou sede da licitante, pertinente ao seu ramo de atividade e compatível com o objeto contratual;</w:t>
      </w:r>
    </w:p>
    <w:p>
      <w:pPr>
        <w:pStyle w:val="81"/>
        <w:keepNext w:val="0"/>
        <w:numPr>
          <w:ilvl w:val="1"/>
          <w:numId w:val="15"/>
        </w:numPr>
        <w:rPr>
          <w:rFonts w:ascii="Verdana" w:hAnsi="Verdana" w:cs="Arial"/>
          <w:szCs w:val="20"/>
        </w:rPr>
      </w:pPr>
      <w:r>
        <w:rPr>
          <w:rFonts w:ascii="Verdana" w:hAnsi="Verdana" w:cs="Arial"/>
          <w:szCs w:val="20"/>
        </w:rPr>
        <w:t xml:space="preserve">Prova de regularidade com a Fazenda Municipal do domicílio ou sede </w:t>
      </w:r>
      <w:r>
        <w:rPr>
          <w:rFonts w:ascii="Verdana" w:hAnsi="Verdana" w:cs="Arial"/>
          <w:bCs/>
          <w:szCs w:val="20"/>
        </w:rPr>
        <w:t>da licitante</w:t>
      </w:r>
      <w:r>
        <w:rPr>
          <w:rFonts w:ascii="Verdana" w:hAnsi="Verdana" w:cs="Arial"/>
          <w:szCs w:val="20"/>
        </w:rPr>
        <w:t>;</w:t>
      </w:r>
    </w:p>
    <w:p>
      <w:pPr>
        <w:pStyle w:val="81"/>
        <w:keepNext w:val="0"/>
        <w:numPr>
          <w:ilvl w:val="1"/>
          <w:numId w:val="15"/>
        </w:numPr>
        <w:rPr>
          <w:rFonts w:ascii="Verdana" w:hAnsi="Verdana" w:cs="Arial"/>
          <w:szCs w:val="20"/>
        </w:rPr>
      </w:pPr>
      <w:r>
        <w:rPr>
          <w:rFonts w:ascii="Verdana" w:hAnsi="Verdana" w:cs="Arial"/>
          <w:szCs w:val="20"/>
        </w:rPr>
        <w:t>Caso o fornecedor seja considerado isento de tributos relacionados ao objeto licitatório, deverá comprovar tal condição mediante a apresentação de declaração emitida pela correspondente Fazenda do domicílio ou sede do fornecedor, ou outra equivalente, na forma da lei;</w:t>
      </w:r>
    </w:p>
    <w:p>
      <w:pPr>
        <w:pStyle w:val="81"/>
        <w:keepNext w:val="0"/>
        <w:ind w:left="1418" w:firstLine="0"/>
        <w:rPr>
          <w:rFonts w:ascii="Verdana" w:hAnsi="Verdana" w:cs="Arial"/>
          <w:sz w:val="18"/>
          <w:szCs w:val="18"/>
        </w:rPr>
      </w:pPr>
    </w:p>
    <w:p>
      <w:pPr>
        <w:pStyle w:val="81"/>
        <w:keepNext w:val="0"/>
        <w:numPr>
          <w:ilvl w:val="0"/>
          <w:numId w:val="15"/>
        </w:numPr>
        <w:rPr>
          <w:rFonts w:ascii="Verdana" w:hAnsi="Verdana"/>
          <w:b/>
          <w:color w:val="000000"/>
          <w:szCs w:val="20"/>
        </w:rPr>
      </w:pPr>
      <w:r>
        <w:rPr>
          <w:rFonts w:ascii="Verdana" w:hAnsi="Verdana"/>
          <w:b/>
          <w:color w:val="000000"/>
          <w:szCs w:val="20"/>
        </w:rPr>
        <w:t xml:space="preserve"> Da Qualificação Econômico-Financeira: </w:t>
      </w:r>
    </w:p>
    <w:p>
      <w:pPr>
        <w:pStyle w:val="81"/>
        <w:keepNext w:val="0"/>
        <w:numPr>
          <w:ilvl w:val="1"/>
          <w:numId w:val="15"/>
        </w:numPr>
        <w:rPr>
          <w:rFonts w:ascii="Verdana" w:hAnsi="Verdana" w:cs="Arial"/>
          <w:szCs w:val="20"/>
        </w:rPr>
      </w:pPr>
      <w:r>
        <w:rPr>
          <w:rFonts w:ascii="Verdana" w:hAnsi="Verdana" w:cs="Arial"/>
          <w:szCs w:val="20"/>
        </w:rPr>
        <w:t>Certidão negativa de falência, recuperação judicial ou recuperação extrajudicial expedida pelo distribuidor da sede da licitante;</w:t>
      </w:r>
    </w:p>
    <w:p>
      <w:pPr>
        <w:pStyle w:val="81"/>
        <w:keepNext w:val="0"/>
        <w:numPr>
          <w:ilvl w:val="2"/>
          <w:numId w:val="15"/>
        </w:numPr>
        <w:rPr>
          <w:rFonts w:ascii="Verdana" w:hAnsi="Verdana" w:cs="Arial"/>
          <w:color w:val="000000"/>
          <w:szCs w:val="20"/>
          <w:lang w:eastAsia="en-US"/>
        </w:rPr>
      </w:pPr>
      <w:bookmarkStart w:id="18" w:name="_Ref532534462"/>
      <w:r>
        <w:rPr>
          <w:rFonts w:ascii="Verdana" w:hAnsi="Verdana" w:cs="Arial"/>
          <w:color w:val="000000"/>
          <w:szCs w:val="20"/>
          <w:lang w:eastAsia="en-US"/>
        </w:rPr>
        <w:t>No caso de certidão positiva de recuperação judicial ou extrajudicial, a licitante deverá apresentar a comprovação de que o respectivo plano de recuperação foi acolhido judicialmente, na forma do art. 58, da Lei n.º 11.101, de 09 de fevereiro de 2005, sob pena de inabilitação, devendo, ainda, comprovar todos os demais requisitos de habilitação.</w:t>
      </w:r>
      <w:bookmarkEnd w:id="18"/>
    </w:p>
    <w:p>
      <w:pPr>
        <w:pStyle w:val="81"/>
        <w:keepNext w:val="0"/>
        <w:numPr>
          <w:ilvl w:val="1"/>
          <w:numId w:val="15"/>
        </w:numPr>
        <w:rPr>
          <w:rFonts w:ascii="Verdana" w:hAnsi="Verdana" w:cs="Arial"/>
          <w:szCs w:val="20"/>
        </w:rPr>
      </w:pPr>
      <w:r>
        <w:rPr>
          <w:rFonts w:ascii="Verdana" w:hAnsi="Verdana" w:cs="Arial"/>
          <w:color w:val="000000"/>
          <w:szCs w:val="20"/>
        </w:rPr>
        <w:t xml:space="preserve">Balanço patrimonial e demonstrações contábeis do último exercício social, já exigíveis e apresentados na forma da lei, que comprovem a boa situação financeira da empresa, vedada a </w:t>
      </w:r>
      <w:r>
        <w:rPr>
          <w:rFonts w:ascii="Verdana" w:hAnsi="Verdana" w:cs="Arial"/>
          <w:szCs w:val="20"/>
        </w:rPr>
        <w:t>sua</w:t>
      </w:r>
      <w:r>
        <w:rPr>
          <w:rFonts w:ascii="Verdana" w:hAnsi="Verdana" w:cs="Arial"/>
          <w:color w:val="000000"/>
          <w:szCs w:val="20"/>
        </w:rPr>
        <w:t xml:space="preserve"> substituição por balancetes ou balanços provisórios, podendo ser atualizados por índices oficiais quando encerrado há mais de 3 (três) meses da data de apresentação da proposta;</w:t>
      </w:r>
    </w:p>
    <w:p>
      <w:pPr>
        <w:pStyle w:val="81"/>
        <w:keepNext w:val="0"/>
        <w:numPr>
          <w:ilvl w:val="2"/>
          <w:numId w:val="15"/>
        </w:numPr>
        <w:rPr>
          <w:rFonts w:ascii="Verdana" w:hAnsi="Verdana" w:cs="Arial"/>
          <w:color w:val="000000"/>
          <w:szCs w:val="20"/>
        </w:rPr>
      </w:pPr>
      <w:r>
        <w:rPr>
          <w:rFonts w:ascii="Verdana" w:hAnsi="Verdana" w:cs="Arial"/>
          <w:color w:val="000000"/>
          <w:szCs w:val="20"/>
        </w:rPr>
        <w:t>no caso de empresa constituída no exercício social vigente, admite-se a apresentação de balanço patrimonial e demonstrações contábeis referentes ao período de existência da sociedade;</w:t>
      </w:r>
    </w:p>
    <w:p>
      <w:pPr>
        <w:pStyle w:val="81"/>
        <w:keepNext w:val="0"/>
        <w:numPr>
          <w:ilvl w:val="2"/>
          <w:numId w:val="15"/>
        </w:numPr>
        <w:rPr>
          <w:rFonts w:ascii="Verdana" w:hAnsi="Verdana" w:cs="Arial"/>
          <w:color w:val="000000"/>
          <w:szCs w:val="20"/>
        </w:rPr>
      </w:pPr>
      <w:r>
        <w:rPr>
          <w:rFonts w:ascii="Verdana" w:hAnsi="Verdana" w:cs="Arial"/>
          <w:color w:val="000000"/>
          <w:szCs w:val="20"/>
        </w:rPr>
        <w:t>é admissível o balanço intermediário, se decorrer de lei ou contrato/estatuto social.</w:t>
      </w:r>
    </w:p>
    <w:p>
      <w:pPr>
        <w:pStyle w:val="81"/>
        <w:keepNext w:val="0"/>
        <w:numPr>
          <w:ilvl w:val="1"/>
          <w:numId w:val="15"/>
        </w:numPr>
        <w:tabs>
          <w:tab w:val="left" w:pos="1418"/>
        </w:tabs>
        <w:rPr>
          <w:rFonts w:ascii="Verdana" w:hAnsi="Verdana" w:cs="Arial"/>
          <w:szCs w:val="20"/>
        </w:rPr>
      </w:pPr>
      <w:r>
        <w:rPr>
          <w:rFonts w:ascii="Verdana" w:hAnsi="Verdana" w:cs="Arial"/>
          <w:color w:val="000000"/>
          <w:szCs w:val="20"/>
        </w:rPr>
        <w:t>Comprovação da situação financeira da empresa será constatada mediante obtenção de índices de Liquidez Geral (LG), Solvência Geral (SG) e Liquidez Corrente (LC), resultantes da aplicação das fórmulas:</w:t>
      </w:r>
    </w:p>
    <w:tbl>
      <w:tblPr>
        <w:tblStyle w:val="25"/>
        <w:tblW w:w="0" w:type="auto"/>
        <w:tblInd w:w="11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68"/>
        <w:gridCol w:w="2409"/>
        <w:gridCol w:w="25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vMerge w:val="restart"/>
            <w:tcBorders>
              <w:top w:val="nil"/>
              <w:left w:val="nil"/>
              <w:bottom w:val="nil"/>
              <w:right w:val="nil"/>
            </w:tcBorders>
            <w:vAlign w:val="center"/>
          </w:tcPr>
          <w:p>
            <w:pPr>
              <w:pStyle w:val="81"/>
              <w:keepNext w:val="0"/>
              <w:widowControl/>
              <w:shd w:val="clear" w:color="auto" w:fill="auto"/>
              <w:spacing w:before="120" w:after="120"/>
              <w:ind w:firstLine="0"/>
              <w:jc w:val="right"/>
              <w:rPr>
                <w:rFonts w:ascii="Verdana" w:hAnsi="Verdana" w:cs="Arial"/>
                <w:sz w:val="16"/>
                <w:szCs w:val="16"/>
              </w:rPr>
            </w:pPr>
            <w:r>
              <w:rPr>
                <w:rFonts w:ascii="Verdana" w:hAnsi="Verdana" w:cs="Arial"/>
                <w:sz w:val="16"/>
                <w:szCs w:val="16"/>
              </w:rPr>
              <w:t xml:space="preserve">LG = </w:t>
            </w:r>
          </w:p>
        </w:tc>
        <w:tc>
          <w:tcPr>
            <w:tcW w:w="4961" w:type="dxa"/>
            <w:gridSpan w:val="2"/>
            <w:tcBorders>
              <w:top w:val="nil"/>
              <w:left w:val="nil"/>
              <w:right w:val="nil"/>
            </w:tcBorders>
          </w:tcPr>
          <w:p>
            <w:pPr>
              <w:pStyle w:val="81"/>
              <w:keepNext w:val="0"/>
              <w:widowControl/>
              <w:shd w:val="clear" w:color="auto" w:fill="auto"/>
              <w:spacing w:before="0" w:after="0" w:line="240" w:lineRule="auto"/>
              <w:ind w:firstLine="0"/>
              <w:jc w:val="center"/>
              <w:rPr>
                <w:rFonts w:ascii="Verdana" w:hAnsi="Verdana" w:cs="Arial"/>
                <w:sz w:val="16"/>
                <w:szCs w:val="16"/>
              </w:rPr>
            </w:pPr>
            <w:r>
              <w:rPr>
                <w:rFonts w:ascii="Verdana" w:hAnsi="Verdana" w:cs="Arial"/>
                <w:sz w:val="16"/>
                <w:szCs w:val="16"/>
              </w:rPr>
              <w:t>Ativo Circulante + Realizável a Longo Prazo</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vMerge w:val="continue"/>
            <w:tcBorders>
              <w:top w:val="nil"/>
              <w:left w:val="nil"/>
              <w:bottom w:val="nil"/>
              <w:right w:val="nil"/>
            </w:tcBorders>
          </w:tcPr>
          <w:p>
            <w:pPr>
              <w:pStyle w:val="81"/>
              <w:keepNext w:val="0"/>
              <w:widowControl/>
              <w:shd w:val="clear" w:color="auto" w:fill="auto"/>
              <w:spacing w:before="120" w:after="120"/>
              <w:ind w:firstLine="0"/>
              <w:rPr>
                <w:rFonts w:ascii="Verdana" w:hAnsi="Verdana" w:cs="Arial"/>
                <w:sz w:val="16"/>
                <w:szCs w:val="16"/>
              </w:rPr>
            </w:pPr>
          </w:p>
        </w:tc>
        <w:tc>
          <w:tcPr>
            <w:tcW w:w="4961" w:type="dxa"/>
            <w:gridSpan w:val="2"/>
            <w:tcBorders>
              <w:left w:val="nil"/>
              <w:bottom w:val="nil"/>
              <w:right w:val="nil"/>
            </w:tcBorders>
          </w:tcPr>
          <w:p>
            <w:pPr>
              <w:pStyle w:val="81"/>
              <w:keepNext w:val="0"/>
              <w:widowControl/>
              <w:shd w:val="clear" w:color="auto" w:fill="auto"/>
              <w:spacing w:before="0" w:after="0" w:line="240" w:lineRule="auto"/>
              <w:ind w:firstLine="0"/>
              <w:jc w:val="center"/>
              <w:rPr>
                <w:rFonts w:ascii="Verdana" w:hAnsi="Verdana" w:cs="Arial"/>
                <w:sz w:val="16"/>
                <w:szCs w:val="16"/>
              </w:rPr>
            </w:pPr>
            <w:r>
              <w:rPr>
                <w:rFonts w:ascii="Verdana" w:hAnsi="Verdana" w:cs="Arial"/>
                <w:sz w:val="16"/>
                <w:szCs w:val="16"/>
              </w:rPr>
              <w:t>Passivo Circulante + Passivo Não Circulante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1668" w:type="dxa"/>
            <w:vMerge w:val="restart"/>
            <w:tcBorders>
              <w:top w:val="nil"/>
              <w:left w:val="nil"/>
              <w:bottom w:val="nil"/>
              <w:right w:val="nil"/>
            </w:tcBorders>
            <w:vAlign w:val="center"/>
          </w:tcPr>
          <w:p>
            <w:pPr>
              <w:pStyle w:val="81"/>
              <w:keepNext w:val="0"/>
              <w:widowControl/>
              <w:shd w:val="clear" w:color="auto" w:fill="auto"/>
              <w:spacing w:before="120" w:after="120"/>
              <w:ind w:firstLine="0"/>
              <w:jc w:val="right"/>
              <w:rPr>
                <w:rFonts w:ascii="Verdana" w:hAnsi="Verdana" w:cs="Arial"/>
                <w:sz w:val="16"/>
                <w:szCs w:val="16"/>
              </w:rPr>
            </w:pPr>
            <w:r>
              <w:rPr>
                <w:rFonts w:ascii="Verdana" w:hAnsi="Verdana" w:cs="Arial"/>
                <w:sz w:val="16"/>
                <w:szCs w:val="16"/>
              </w:rPr>
              <w:t xml:space="preserve">SG = </w:t>
            </w:r>
          </w:p>
        </w:tc>
        <w:tc>
          <w:tcPr>
            <w:tcW w:w="4961" w:type="dxa"/>
            <w:gridSpan w:val="2"/>
            <w:tcBorders>
              <w:top w:val="nil"/>
              <w:left w:val="nil"/>
              <w:right w:val="nil"/>
            </w:tcBorders>
          </w:tcPr>
          <w:p>
            <w:pPr>
              <w:pStyle w:val="81"/>
              <w:keepNext w:val="0"/>
              <w:widowControl/>
              <w:shd w:val="clear" w:color="auto" w:fill="auto"/>
              <w:spacing w:before="0" w:after="0" w:line="240" w:lineRule="auto"/>
              <w:ind w:firstLine="0"/>
              <w:jc w:val="center"/>
              <w:rPr>
                <w:rFonts w:ascii="Verdana" w:hAnsi="Verdana" w:cs="Arial"/>
                <w:sz w:val="16"/>
                <w:szCs w:val="16"/>
              </w:rPr>
            </w:pPr>
            <w:r>
              <w:rPr>
                <w:rFonts w:ascii="Verdana" w:hAnsi="Verdana" w:cs="Arial"/>
                <w:sz w:val="16"/>
                <w:szCs w:val="16"/>
              </w:rPr>
              <w:t>Ativo Total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68" w:type="dxa"/>
            <w:vMerge w:val="continue"/>
            <w:tcBorders>
              <w:top w:val="nil"/>
              <w:left w:val="nil"/>
              <w:bottom w:val="nil"/>
              <w:right w:val="nil"/>
            </w:tcBorders>
          </w:tcPr>
          <w:p>
            <w:pPr>
              <w:pStyle w:val="81"/>
              <w:keepNext w:val="0"/>
              <w:widowControl/>
              <w:shd w:val="clear" w:color="auto" w:fill="auto"/>
              <w:spacing w:before="120" w:after="120"/>
              <w:ind w:firstLine="0"/>
              <w:rPr>
                <w:rFonts w:ascii="Verdana" w:hAnsi="Verdana" w:cs="Arial"/>
                <w:sz w:val="16"/>
                <w:szCs w:val="16"/>
              </w:rPr>
            </w:pPr>
          </w:p>
        </w:tc>
        <w:tc>
          <w:tcPr>
            <w:tcW w:w="4961" w:type="dxa"/>
            <w:gridSpan w:val="2"/>
            <w:tcBorders>
              <w:left w:val="nil"/>
              <w:bottom w:val="nil"/>
              <w:right w:val="nil"/>
            </w:tcBorders>
          </w:tcPr>
          <w:p>
            <w:pPr>
              <w:pStyle w:val="81"/>
              <w:keepNext w:val="0"/>
              <w:widowControl/>
              <w:shd w:val="clear" w:color="auto" w:fill="auto"/>
              <w:spacing w:before="0" w:after="0" w:line="240" w:lineRule="auto"/>
              <w:ind w:firstLine="0"/>
              <w:jc w:val="center"/>
              <w:rPr>
                <w:rFonts w:ascii="Verdana" w:hAnsi="Verdana" w:cs="Arial"/>
                <w:sz w:val="16"/>
                <w:szCs w:val="16"/>
              </w:rPr>
            </w:pPr>
            <w:r>
              <w:rPr>
                <w:rFonts w:ascii="Verdana" w:hAnsi="Verdana" w:cs="Arial"/>
                <w:sz w:val="16"/>
                <w:szCs w:val="16"/>
              </w:rPr>
              <w:t>Passivo Circulante + Passivo Não Circulante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gridAfter w:val="1"/>
          <w:wAfter w:w="2552" w:type="dxa"/>
        </w:trPr>
        <w:tc>
          <w:tcPr>
            <w:tcW w:w="1668" w:type="dxa"/>
            <w:vMerge w:val="restart"/>
            <w:tcBorders>
              <w:top w:val="nil"/>
              <w:left w:val="nil"/>
              <w:bottom w:val="nil"/>
              <w:right w:val="nil"/>
            </w:tcBorders>
            <w:vAlign w:val="center"/>
          </w:tcPr>
          <w:p>
            <w:pPr>
              <w:pStyle w:val="81"/>
              <w:keepNext w:val="0"/>
              <w:widowControl/>
              <w:shd w:val="clear" w:color="auto" w:fill="auto"/>
              <w:spacing w:before="120" w:after="120"/>
              <w:ind w:firstLine="0"/>
              <w:jc w:val="right"/>
              <w:rPr>
                <w:rFonts w:ascii="Verdana" w:hAnsi="Verdana" w:cs="Arial"/>
                <w:sz w:val="16"/>
                <w:szCs w:val="16"/>
              </w:rPr>
            </w:pPr>
            <w:r>
              <w:rPr>
                <w:rFonts w:ascii="Verdana" w:hAnsi="Verdana" w:cs="Arial"/>
                <w:sz w:val="16"/>
                <w:szCs w:val="16"/>
              </w:rPr>
              <w:t xml:space="preserve">LC = </w:t>
            </w:r>
          </w:p>
        </w:tc>
        <w:tc>
          <w:tcPr>
            <w:tcW w:w="2409" w:type="dxa"/>
            <w:tcBorders>
              <w:top w:val="nil"/>
              <w:left w:val="nil"/>
              <w:right w:val="nil"/>
            </w:tcBorders>
          </w:tcPr>
          <w:p>
            <w:pPr>
              <w:pStyle w:val="81"/>
              <w:keepNext w:val="0"/>
              <w:widowControl/>
              <w:shd w:val="clear" w:color="auto" w:fill="auto"/>
              <w:spacing w:before="0" w:after="0" w:line="240" w:lineRule="auto"/>
              <w:ind w:firstLine="0"/>
              <w:jc w:val="center"/>
              <w:rPr>
                <w:rFonts w:ascii="Verdana" w:hAnsi="Verdana" w:cs="Arial"/>
                <w:sz w:val="16"/>
                <w:szCs w:val="16"/>
              </w:rPr>
            </w:pPr>
            <w:r>
              <w:rPr>
                <w:rFonts w:ascii="Verdana" w:hAnsi="Verdana" w:cs="Arial"/>
                <w:sz w:val="16"/>
                <w:szCs w:val="16"/>
              </w:rPr>
              <w:t>Ativo Circulante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2552" w:type="dxa"/>
        </w:trPr>
        <w:tc>
          <w:tcPr>
            <w:tcW w:w="1668" w:type="dxa"/>
            <w:vMerge w:val="continue"/>
            <w:tcBorders>
              <w:top w:val="nil"/>
              <w:left w:val="nil"/>
              <w:bottom w:val="nil"/>
              <w:right w:val="nil"/>
            </w:tcBorders>
          </w:tcPr>
          <w:p>
            <w:pPr>
              <w:pStyle w:val="81"/>
              <w:keepNext w:val="0"/>
              <w:widowControl/>
              <w:shd w:val="clear" w:color="auto" w:fill="auto"/>
              <w:spacing w:before="120" w:after="120"/>
              <w:ind w:firstLine="0"/>
              <w:rPr>
                <w:rFonts w:ascii="Verdana" w:hAnsi="Verdana" w:cs="Arial"/>
                <w:sz w:val="16"/>
                <w:szCs w:val="16"/>
              </w:rPr>
            </w:pPr>
          </w:p>
        </w:tc>
        <w:tc>
          <w:tcPr>
            <w:tcW w:w="2409" w:type="dxa"/>
            <w:tcBorders>
              <w:left w:val="nil"/>
              <w:bottom w:val="nil"/>
              <w:right w:val="nil"/>
            </w:tcBorders>
          </w:tcPr>
          <w:p>
            <w:pPr>
              <w:pStyle w:val="81"/>
              <w:keepNext w:val="0"/>
              <w:widowControl/>
              <w:shd w:val="clear" w:color="auto" w:fill="auto"/>
              <w:spacing w:before="0" w:after="0" w:line="240" w:lineRule="auto"/>
              <w:ind w:firstLine="0"/>
              <w:jc w:val="center"/>
              <w:rPr>
                <w:rFonts w:ascii="Verdana" w:hAnsi="Verdana" w:cs="Arial"/>
                <w:sz w:val="16"/>
                <w:szCs w:val="16"/>
              </w:rPr>
            </w:pPr>
            <w:r>
              <w:rPr>
                <w:rFonts w:ascii="Verdana" w:hAnsi="Verdana" w:cs="Arial"/>
                <w:sz w:val="16"/>
                <w:szCs w:val="16"/>
              </w:rPr>
              <w:t>Passivo Circulante</w:t>
            </w:r>
          </w:p>
        </w:tc>
      </w:tr>
    </w:tbl>
    <w:p>
      <w:pPr>
        <w:pStyle w:val="81"/>
        <w:keepNext w:val="0"/>
        <w:rPr>
          <w:rFonts w:ascii="Verdana" w:hAnsi="Verdana" w:cs="Arial"/>
          <w:color w:val="000000"/>
          <w:sz w:val="18"/>
          <w:szCs w:val="18"/>
        </w:rPr>
      </w:pPr>
    </w:p>
    <w:p>
      <w:pPr>
        <w:pStyle w:val="81"/>
        <w:keepNext w:val="0"/>
        <w:numPr>
          <w:ilvl w:val="2"/>
          <w:numId w:val="15"/>
        </w:numPr>
        <w:rPr>
          <w:rFonts w:ascii="Verdana" w:hAnsi="Verdana" w:cs="Arial"/>
          <w:szCs w:val="20"/>
        </w:rPr>
      </w:pPr>
      <w:r>
        <w:rPr>
          <w:rFonts w:ascii="Verdana" w:hAnsi="Verdana" w:cs="Arial"/>
          <w:szCs w:val="20"/>
        </w:rPr>
        <w:t xml:space="preserve">As empresas, cadastradas ou não no SICAF, que apresentarem resultado inferior ou igual a 1(um) em qualquer dos índices de Liquidez Geral (LG), Solvência Geral (SG) e Liquidez Corrente (LC), deverão comprovar patrimônio líquido não inferior a 10 % </w:t>
      </w:r>
      <w:r>
        <w:rPr>
          <w:rFonts w:ascii="Verdana" w:hAnsi="Verdana" w:cs="Arial"/>
          <w:bCs/>
          <w:szCs w:val="20"/>
        </w:rPr>
        <w:t>(dez por cento)</w:t>
      </w:r>
      <w:r>
        <w:rPr>
          <w:rFonts w:ascii="Verdana" w:hAnsi="Verdana" w:cs="Arial"/>
          <w:szCs w:val="20"/>
        </w:rPr>
        <w:t xml:space="preserve"> do valor estimado da contratação ou do item pertinente. </w:t>
      </w:r>
    </w:p>
    <w:p>
      <w:pPr>
        <w:pStyle w:val="81"/>
        <w:keepNext w:val="0"/>
        <w:widowControl/>
        <w:spacing w:before="120" w:after="120"/>
        <w:ind w:left="1134" w:firstLine="0"/>
        <w:rPr>
          <w:rFonts w:ascii="Verdana" w:hAnsi="Verdana" w:cs="Arial"/>
          <w:sz w:val="18"/>
          <w:szCs w:val="18"/>
        </w:rPr>
      </w:pPr>
    </w:p>
    <w:p>
      <w:pPr>
        <w:pStyle w:val="81"/>
        <w:keepNext w:val="0"/>
        <w:widowControl/>
        <w:numPr>
          <w:ilvl w:val="0"/>
          <w:numId w:val="15"/>
        </w:numPr>
        <w:spacing w:before="120" w:after="120"/>
        <w:textAlignment w:val="auto"/>
        <w:rPr>
          <w:rFonts w:ascii="Verdana" w:hAnsi="Verdana" w:cs="Arial"/>
          <w:b/>
          <w:bCs/>
          <w:iCs/>
          <w:color w:val="000000"/>
          <w:szCs w:val="20"/>
        </w:rPr>
      </w:pPr>
      <w:r>
        <w:rPr>
          <w:rFonts w:ascii="Verdana" w:hAnsi="Verdana"/>
          <w:b/>
          <w:color w:val="000000"/>
          <w:szCs w:val="20"/>
        </w:rPr>
        <w:t xml:space="preserve"> Da Habilitação Técnica: </w:t>
      </w:r>
    </w:p>
    <w:p>
      <w:pPr>
        <w:pStyle w:val="81"/>
        <w:keepNext w:val="0"/>
        <w:widowControl/>
        <w:numPr>
          <w:ilvl w:val="1"/>
          <w:numId w:val="15"/>
        </w:numPr>
        <w:spacing w:before="120" w:after="120"/>
        <w:textAlignment w:val="auto"/>
        <w:rPr>
          <w:rFonts w:ascii="Verdana" w:hAnsi="Verdana" w:cs="Arial"/>
          <w:szCs w:val="20"/>
          <w:lang w:eastAsia="ar-SA"/>
        </w:rPr>
      </w:pPr>
      <w:r>
        <w:rPr>
          <w:rFonts w:ascii="Verdana" w:hAnsi="Verdana" w:cs="Times-Bold"/>
          <w:bCs/>
          <w:szCs w:val="20"/>
        </w:rPr>
        <w:t xml:space="preserve">– </w:t>
      </w:r>
      <w:r>
        <w:rPr>
          <w:rFonts w:ascii="Verdana" w:hAnsi="Verdana" w:cs="Calibri" w:eastAsiaTheme="minorHAnsi"/>
          <w:szCs w:val="20"/>
          <w:lang w:eastAsia="en-US"/>
        </w:rPr>
        <w:t>Os critérios de qualificação técnica a serem atendidos pela Licitante, estão previstos no</w:t>
      </w:r>
      <w:r>
        <w:rPr>
          <w:rFonts w:ascii="Verdana" w:hAnsi="Verdana" w:cs="Calibri" w:eastAsiaTheme="minorHAnsi"/>
          <w:b/>
          <w:bCs/>
          <w:color w:val="auto"/>
          <w:szCs w:val="20"/>
          <w:lang w:eastAsia="en-US"/>
        </w:rPr>
        <w:t xml:space="preserve"> subitem </w:t>
      </w:r>
      <w:bookmarkStart w:id="19" w:name="_Hlk107934558"/>
      <w:r>
        <w:rPr>
          <w:rFonts w:ascii="Verdana" w:hAnsi="Verdana" w:cs="Calibri" w:eastAsiaTheme="minorHAnsi"/>
          <w:b/>
          <w:bCs/>
          <w:color w:val="auto"/>
          <w:szCs w:val="20"/>
          <w:lang w:eastAsia="en-US"/>
        </w:rPr>
        <w:t>19.3 do Termo de Referência</w:t>
      </w:r>
      <w:r>
        <w:rPr>
          <w:rFonts w:ascii="Verdana" w:hAnsi="Verdana" w:cs="Calibri" w:eastAsiaTheme="minorHAnsi"/>
          <w:color w:val="FF0000"/>
          <w:szCs w:val="20"/>
          <w:lang w:eastAsia="en-US"/>
        </w:rPr>
        <w:t xml:space="preserve"> </w:t>
      </w:r>
      <w:r>
        <w:rPr>
          <w:rFonts w:ascii="Verdana" w:hAnsi="Verdana" w:cs="Calibri" w:eastAsiaTheme="minorHAnsi"/>
          <w:szCs w:val="20"/>
          <w:lang w:eastAsia="en-US"/>
        </w:rPr>
        <w:t>(Anexo I).</w:t>
      </w:r>
    </w:p>
    <w:bookmarkEnd w:id="19"/>
    <w:p>
      <w:pPr>
        <w:pStyle w:val="81"/>
        <w:keepNext w:val="0"/>
        <w:widowControl/>
        <w:numPr>
          <w:ilvl w:val="1"/>
          <w:numId w:val="15"/>
        </w:numPr>
        <w:spacing w:before="120" w:after="120"/>
        <w:textAlignment w:val="auto"/>
        <w:rPr>
          <w:rFonts w:ascii="Verdana" w:hAnsi="Verdana" w:cs="Arial"/>
          <w:szCs w:val="20"/>
          <w:lang w:eastAsia="ar-SA"/>
        </w:rPr>
      </w:pPr>
      <w:bookmarkStart w:id="20" w:name="_Hlk88839304"/>
      <w:r>
        <w:rPr>
          <w:rFonts w:ascii="Verdana" w:hAnsi="Verdana" w:cs="Times-Bold"/>
          <w:b/>
          <w:bCs/>
          <w:szCs w:val="20"/>
        </w:rPr>
        <w:t xml:space="preserve">– </w:t>
      </w:r>
      <w:r>
        <w:rPr>
          <w:rFonts w:ascii="Verdana" w:hAnsi="Verdana" w:cs="Times-Roman"/>
          <w:szCs w:val="20"/>
        </w:rPr>
        <w:t xml:space="preserve">No caso de dois ou mais licitantes apresentarem atestados de um mesmo profissional como responsável técnico, para fins de comprovação de qualificação técnica, </w:t>
      </w:r>
      <w:r>
        <w:rPr>
          <w:rFonts w:ascii="Verdana" w:hAnsi="Verdana" w:cs="Times-Bold"/>
          <w:b/>
          <w:bCs/>
          <w:szCs w:val="20"/>
        </w:rPr>
        <w:t>todos serão inabilitados</w:t>
      </w:r>
      <w:r>
        <w:rPr>
          <w:rFonts w:ascii="Verdana" w:hAnsi="Verdana" w:cs="Times-Roman"/>
          <w:szCs w:val="20"/>
        </w:rPr>
        <w:t>, não cabendo qualquer alegação ou recurso.</w:t>
      </w:r>
    </w:p>
    <w:p>
      <w:pPr>
        <w:pStyle w:val="81"/>
        <w:keepNext w:val="0"/>
        <w:widowControl/>
        <w:numPr>
          <w:ilvl w:val="1"/>
          <w:numId w:val="15"/>
        </w:numPr>
        <w:spacing w:before="120" w:after="120"/>
        <w:textAlignment w:val="auto"/>
        <w:rPr>
          <w:rFonts w:ascii="Verdana" w:hAnsi="Verdana" w:cs="Arial"/>
          <w:szCs w:val="20"/>
          <w:lang w:eastAsia="ar-SA"/>
        </w:rPr>
      </w:pPr>
      <w:r>
        <w:rPr>
          <w:rFonts w:ascii="Verdana" w:hAnsi="Verdana"/>
          <w:color w:val="000000"/>
        </w:rPr>
        <w:t>- No decorrer da execução do serviço, os profissionais de que trata este subitem poderão ser substituídos, nos termos do artigo 30, §10, da Lei n° 8.666, de 1993, por profissionais de experiência equivalente ou superior, desde que a substituição seja aprovada pela Administração.</w:t>
      </w:r>
      <w:bookmarkEnd w:id="20"/>
    </w:p>
    <w:p>
      <w:pPr>
        <w:pStyle w:val="68"/>
        <w:keepNext w:val="0"/>
        <w:widowControl w:val="0"/>
        <w:shd w:val="clear" w:color="auto" w:fill="auto"/>
        <w:tabs>
          <w:tab w:val="clear" w:pos="-12"/>
          <w:tab w:val="clear" w:pos="708"/>
        </w:tabs>
        <w:overflowPunct/>
        <w:spacing w:before="120" w:after="120"/>
        <w:ind w:left="1428"/>
        <w:contextualSpacing/>
        <w:jc w:val="both"/>
        <w:textAlignment w:val="auto"/>
        <w:rPr>
          <w:rFonts w:ascii="Verdana" w:hAnsi="Verdana" w:cs="Arial"/>
          <w:i/>
          <w:color w:val="FF0000"/>
          <w:sz w:val="18"/>
          <w:szCs w:val="18"/>
        </w:rPr>
      </w:pPr>
    </w:p>
    <w:p>
      <w:pPr>
        <w:pStyle w:val="81"/>
        <w:keepNext w:val="0"/>
        <w:numPr>
          <w:ilvl w:val="0"/>
          <w:numId w:val="15"/>
        </w:numPr>
        <w:ind w:left="284" w:hanging="284"/>
        <w:rPr>
          <w:rFonts w:ascii="Verdana" w:hAnsi="Verdana" w:cs="Arial"/>
          <w:szCs w:val="20"/>
        </w:rPr>
      </w:pPr>
      <w:r>
        <w:rPr>
          <w:rFonts w:ascii="Verdana" w:hAnsi="Verdana" w:cs="Arial"/>
          <w:b/>
          <w:color w:val="000000"/>
          <w:szCs w:val="20"/>
          <w:lang w:eastAsia="en-US"/>
        </w:rPr>
        <w:t xml:space="preserve">DOS </w:t>
      </w:r>
      <w:r>
        <w:rPr>
          <w:rFonts w:ascii="Verdana" w:hAnsi="Verdana" w:cs="Arial"/>
          <w:b/>
          <w:bCs/>
          <w:color w:val="000000"/>
          <w:szCs w:val="20"/>
          <w:lang w:eastAsia="en-US"/>
        </w:rPr>
        <w:t>RECURSOS</w:t>
      </w:r>
      <w:r>
        <w:rPr>
          <w:rFonts w:ascii="Verdana" w:hAnsi="Verdana" w:cs="Arial"/>
          <w:b/>
          <w:color w:val="000000"/>
          <w:szCs w:val="20"/>
          <w:lang w:eastAsia="en-US"/>
        </w:rPr>
        <w:t xml:space="preserve"> </w:t>
      </w:r>
    </w:p>
    <w:p>
      <w:pPr>
        <w:pStyle w:val="81"/>
        <w:keepNext w:val="0"/>
        <w:numPr>
          <w:ilvl w:val="1"/>
          <w:numId w:val="15"/>
        </w:numPr>
        <w:ind w:left="851" w:hanging="284"/>
        <w:rPr>
          <w:rFonts w:ascii="Verdana" w:hAnsi="Verdana" w:cs="Arial"/>
          <w:szCs w:val="20"/>
        </w:rPr>
      </w:pPr>
      <w:r>
        <w:rPr>
          <w:rFonts w:ascii="Verdana" w:hAnsi="Verdana" w:cs="Arial"/>
          <w:color w:val="000000"/>
          <w:szCs w:val="20"/>
          <w:lang w:eastAsia="en-US"/>
        </w:rPr>
        <w:t xml:space="preserve">Declarado o vencedor e decorrida a fase de regularização fiscal de microempresa, empresa de pequeno porte ou </w:t>
      </w:r>
      <w:r>
        <w:rPr>
          <w:rFonts w:ascii="Verdana" w:hAnsi="Verdana" w:eastAsia="Zurich BT" w:cs="Arial"/>
          <w:bCs/>
          <w:szCs w:val="20"/>
        </w:rPr>
        <w:t>sociedade cooperativa</w:t>
      </w:r>
      <w:r>
        <w:rPr>
          <w:rFonts w:ascii="Verdana" w:hAnsi="Verdana" w:cs="Arial"/>
          <w:color w:val="000000"/>
          <w:szCs w:val="20"/>
          <w:lang w:eastAsia="en-US"/>
        </w:rPr>
        <w:t xml:space="preserve">, se for o caso, </w:t>
      </w:r>
      <w:r>
        <w:rPr>
          <w:rFonts w:ascii="Verdana" w:hAnsi="Verdana" w:cs="Arial"/>
          <w:color w:val="000000"/>
          <w:szCs w:val="20"/>
        </w:rPr>
        <w:t>poderá a licitante, que desejar apresentar recurso, manifestar a intenção de recorrer imediatamente após o término de cada sessão, de forma motivada, isto é, indicando contra qual(is) decisão(ões) pretende recorrer e por quais motivos, em campo próprio do sistema.</w:t>
      </w:r>
    </w:p>
    <w:p>
      <w:pPr>
        <w:pStyle w:val="81"/>
        <w:keepNext w:val="0"/>
        <w:numPr>
          <w:ilvl w:val="2"/>
          <w:numId w:val="15"/>
        </w:numPr>
        <w:ind w:left="1134" w:hanging="283"/>
        <w:rPr>
          <w:rFonts w:ascii="Verdana" w:hAnsi="Verdana" w:cs="Arial"/>
          <w:szCs w:val="20"/>
        </w:rPr>
      </w:pPr>
      <w:r>
        <w:rPr>
          <w:rFonts w:ascii="Verdana" w:hAnsi="Verdana" w:cs="Arial"/>
          <w:szCs w:val="20"/>
        </w:rPr>
        <w:t>São suscetíveis de recurso neste momento as seguintes decisões:</w:t>
      </w:r>
    </w:p>
    <w:p>
      <w:pPr>
        <w:pStyle w:val="81"/>
        <w:keepNext w:val="0"/>
        <w:numPr>
          <w:ilvl w:val="3"/>
          <w:numId w:val="15"/>
        </w:numPr>
        <w:ind w:left="1418" w:hanging="284"/>
        <w:rPr>
          <w:rFonts w:ascii="Verdana" w:hAnsi="Verdana" w:cs="Arial"/>
          <w:szCs w:val="20"/>
        </w:rPr>
      </w:pPr>
      <w:r>
        <w:rPr>
          <w:rFonts w:ascii="Verdana" w:hAnsi="Verdana" w:cs="Arial"/>
          <w:szCs w:val="20"/>
        </w:rPr>
        <w:t xml:space="preserve">ato de habilitação ou inabilitação de licitante; </w:t>
      </w:r>
    </w:p>
    <w:p>
      <w:pPr>
        <w:pStyle w:val="81"/>
        <w:keepNext w:val="0"/>
        <w:numPr>
          <w:ilvl w:val="3"/>
          <w:numId w:val="15"/>
        </w:numPr>
        <w:ind w:left="1418" w:hanging="284"/>
        <w:rPr>
          <w:rFonts w:ascii="Verdana" w:hAnsi="Verdana" w:cs="Arial"/>
          <w:szCs w:val="20"/>
        </w:rPr>
      </w:pPr>
      <w:r>
        <w:rPr>
          <w:rFonts w:ascii="Verdana" w:hAnsi="Verdana" w:cs="Arial"/>
          <w:szCs w:val="20"/>
        </w:rPr>
        <w:t xml:space="preserve">julgamento das propostas; </w:t>
      </w:r>
    </w:p>
    <w:p>
      <w:pPr>
        <w:pStyle w:val="81"/>
        <w:keepNext w:val="0"/>
        <w:numPr>
          <w:ilvl w:val="2"/>
          <w:numId w:val="15"/>
        </w:numPr>
        <w:ind w:left="1134" w:hanging="283"/>
        <w:rPr>
          <w:rFonts w:ascii="Verdana" w:hAnsi="Verdana" w:cs="Arial"/>
          <w:szCs w:val="20"/>
        </w:rPr>
      </w:pPr>
      <w:r>
        <w:rPr>
          <w:rFonts w:ascii="Verdana" w:hAnsi="Verdana" w:cs="Arial"/>
          <w:szCs w:val="20"/>
        </w:rPr>
        <w:t xml:space="preserve">Independentemente do momento de realização do ato a ser recorrido, o recurso deverá ser apresentado nesta fase recursal única. </w:t>
      </w:r>
    </w:p>
    <w:p>
      <w:pPr>
        <w:pStyle w:val="81"/>
        <w:keepNext w:val="0"/>
        <w:numPr>
          <w:ilvl w:val="1"/>
          <w:numId w:val="15"/>
        </w:numPr>
        <w:ind w:left="851" w:hanging="284"/>
        <w:rPr>
          <w:rFonts w:ascii="Verdana" w:hAnsi="Verdana" w:cs="Arial"/>
          <w:szCs w:val="20"/>
        </w:rPr>
      </w:pPr>
      <w:r>
        <w:rPr>
          <w:rFonts w:ascii="Verdana" w:hAnsi="Verdana" w:cs="Arial"/>
          <w:color w:val="000000"/>
          <w:szCs w:val="20"/>
        </w:rPr>
        <w:t xml:space="preserve">Havendo quem se manifeste, caberá à Comissão de Licitação verificar a tempestividade e a </w:t>
      </w:r>
      <w:r>
        <w:rPr>
          <w:rFonts w:ascii="Verdana" w:hAnsi="Verdana" w:cs="Arial"/>
          <w:color w:val="000000"/>
          <w:szCs w:val="20"/>
          <w:lang w:eastAsia="en-US"/>
        </w:rPr>
        <w:t>existência</w:t>
      </w:r>
      <w:r>
        <w:rPr>
          <w:rFonts w:ascii="Verdana" w:hAnsi="Verdana" w:cs="Arial"/>
          <w:color w:val="000000"/>
          <w:szCs w:val="20"/>
        </w:rPr>
        <w:t xml:space="preserve"> de motivação da intenção de recorrer, para decidir se admite ou não o recurso, fundamentadamente.</w:t>
      </w:r>
    </w:p>
    <w:p>
      <w:pPr>
        <w:pStyle w:val="81"/>
        <w:keepNext w:val="0"/>
        <w:numPr>
          <w:ilvl w:val="2"/>
          <w:numId w:val="15"/>
        </w:numPr>
        <w:ind w:left="1134" w:hanging="283"/>
        <w:rPr>
          <w:rFonts w:ascii="Verdana" w:hAnsi="Verdana" w:cs="Arial"/>
          <w:szCs w:val="20"/>
        </w:rPr>
      </w:pPr>
      <w:r>
        <w:rPr>
          <w:rFonts w:ascii="Verdana" w:hAnsi="Verdana" w:cs="Arial"/>
          <w:szCs w:val="20"/>
        </w:rPr>
        <w:t>Nesse momento a Comissão de Licitação não adentrará no mérito recursal, mas apenas verificará as condições de admissibilidade do recurso.</w:t>
      </w:r>
    </w:p>
    <w:p>
      <w:pPr>
        <w:pStyle w:val="81"/>
        <w:keepNext w:val="0"/>
        <w:numPr>
          <w:ilvl w:val="2"/>
          <w:numId w:val="15"/>
        </w:numPr>
        <w:ind w:left="1134" w:hanging="283"/>
        <w:rPr>
          <w:rFonts w:ascii="Verdana" w:hAnsi="Verdana" w:cs="Arial"/>
          <w:szCs w:val="20"/>
        </w:rPr>
      </w:pPr>
      <w:r>
        <w:rPr>
          <w:rFonts w:ascii="Verdana" w:hAnsi="Verdana" w:cs="Arial"/>
          <w:szCs w:val="20"/>
        </w:rPr>
        <w:t>A falta de manifestação motivada da licitante quanto à intenção de recorrer importará a decadência desse direito.</w:t>
      </w:r>
    </w:p>
    <w:p>
      <w:pPr>
        <w:pStyle w:val="81"/>
        <w:keepNext w:val="0"/>
        <w:numPr>
          <w:ilvl w:val="2"/>
          <w:numId w:val="15"/>
        </w:numPr>
        <w:ind w:left="1134" w:hanging="283"/>
        <w:rPr>
          <w:rFonts w:ascii="Verdana" w:hAnsi="Verdana" w:cs="Arial"/>
          <w:szCs w:val="20"/>
        </w:rPr>
      </w:pPr>
      <w:r>
        <w:rPr>
          <w:rFonts w:ascii="Verdana" w:hAnsi="Verdana" w:cs="Arial"/>
          <w:szCs w:val="20"/>
        </w:rPr>
        <w:t>Uma vez admitido o recurso, a recorrente terá, a partir de então, o prazo de cinco dias úteis para apresentar as razões, pelo sistema eletrônico, ficando as demais licitantes, desde logo, intimados para, querendo, apresentarem contrarrazões também pelo sistema eletrônico, em outros cinco dias úteis, que começarão a contar do término do prazo da recorrente, sendo-lhes assegurada vista imediata dos elementos indispensáveis à defesa de seus interesses.</w:t>
      </w:r>
    </w:p>
    <w:p>
      <w:pPr>
        <w:pStyle w:val="81"/>
        <w:keepNext w:val="0"/>
        <w:numPr>
          <w:ilvl w:val="2"/>
          <w:numId w:val="15"/>
        </w:numPr>
        <w:ind w:left="1134" w:hanging="283"/>
        <w:rPr>
          <w:rFonts w:ascii="Verdana" w:hAnsi="Verdana" w:cs="Arial"/>
          <w:szCs w:val="20"/>
        </w:rPr>
      </w:pPr>
      <w:r>
        <w:rPr>
          <w:rFonts w:ascii="Verdana" w:hAnsi="Verdana" w:cs="Arial"/>
          <w:szCs w:val="20"/>
        </w:rPr>
        <w:t xml:space="preserve">A competência e prazo para análise do recurso observará o disposto no art. 56 do Decreto nº 7.581, de 2011. </w:t>
      </w:r>
    </w:p>
    <w:p>
      <w:pPr>
        <w:pStyle w:val="81"/>
        <w:keepNext w:val="0"/>
        <w:numPr>
          <w:ilvl w:val="1"/>
          <w:numId w:val="15"/>
        </w:numPr>
        <w:ind w:left="851" w:hanging="284"/>
        <w:rPr>
          <w:rFonts w:ascii="Verdana" w:hAnsi="Verdana" w:cs="Arial"/>
          <w:color w:val="000000"/>
          <w:szCs w:val="20"/>
          <w:lang w:eastAsia="en-US"/>
        </w:rPr>
      </w:pPr>
      <w:r>
        <w:rPr>
          <w:rFonts w:ascii="Verdana" w:hAnsi="Verdana" w:cs="Arial"/>
          <w:color w:val="000000"/>
          <w:szCs w:val="20"/>
          <w:lang w:eastAsia="en-US"/>
        </w:rPr>
        <w:t>O acolhimento do recurso invalida tão somente os atos insuscetíveis de aproveitamento.</w:t>
      </w:r>
    </w:p>
    <w:p>
      <w:pPr>
        <w:pStyle w:val="81"/>
        <w:keepNext w:val="0"/>
        <w:numPr>
          <w:ilvl w:val="1"/>
          <w:numId w:val="15"/>
        </w:numPr>
        <w:ind w:left="851" w:hanging="284"/>
        <w:rPr>
          <w:rFonts w:ascii="Verdana" w:hAnsi="Verdana" w:cs="Arial"/>
          <w:color w:val="000000"/>
          <w:szCs w:val="20"/>
          <w:lang w:eastAsia="en-US"/>
        </w:rPr>
      </w:pPr>
      <w:r>
        <w:rPr>
          <w:rFonts w:ascii="Verdana" w:hAnsi="Verdana" w:cs="Arial"/>
          <w:color w:val="000000"/>
          <w:szCs w:val="20"/>
          <w:lang w:eastAsia="en-US"/>
        </w:rPr>
        <w:t>Os autos do processo permanecerão com vista franqueada aos interessados, no endereço constante neste Edital.</w:t>
      </w:r>
    </w:p>
    <w:p>
      <w:pPr>
        <w:pStyle w:val="81"/>
        <w:keepNext w:val="0"/>
        <w:ind w:left="851" w:hanging="284"/>
        <w:rPr>
          <w:rFonts w:ascii="Verdana" w:hAnsi="Verdana" w:cs="Arial"/>
          <w:szCs w:val="20"/>
        </w:rPr>
      </w:pPr>
    </w:p>
    <w:p>
      <w:pPr>
        <w:pStyle w:val="81"/>
        <w:keepNext w:val="0"/>
        <w:numPr>
          <w:ilvl w:val="0"/>
          <w:numId w:val="15"/>
        </w:numPr>
        <w:ind w:left="284" w:hanging="284"/>
        <w:rPr>
          <w:rFonts w:ascii="Verdana" w:hAnsi="Verdana" w:cs="Arial"/>
          <w:szCs w:val="20"/>
        </w:rPr>
      </w:pPr>
      <w:r>
        <w:rPr>
          <w:rFonts w:ascii="Verdana" w:hAnsi="Verdana" w:cs="Arial"/>
          <w:b/>
          <w:color w:val="000000"/>
          <w:szCs w:val="20"/>
        </w:rPr>
        <w:t xml:space="preserve">DA </w:t>
      </w:r>
      <w:r>
        <w:rPr>
          <w:rFonts w:ascii="Verdana" w:hAnsi="Verdana" w:cs="Arial"/>
          <w:b/>
          <w:bCs/>
          <w:color w:val="000000"/>
          <w:szCs w:val="20"/>
          <w:lang w:eastAsia="en-US"/>
        </w:rPr>
        <w:t>ADJUDICAÇÃO</w:t>
      </w:r>
      <w:r>
        <w:rPr>
          <w:rFonts w:ascii="Verdana" w:hAnsi="Verdana" w:cs="Arial"/>
          <w:b/>
          <w:color w:val="000000"/>
          <w:szCs w:val="20"/>
        </w:rPr>
        <w:t xml:space="preserve"> E HOMOLOGAÇÃO</w:t>
      </w:r>
    </w:p>
    <w:p>
      <w:pPr>
        <w:pStyle w:val="81"/>
        <w:keepNext w:val="0"/>
        <w:numPr>
          <w:ilvl w:val="1"/>
          <w:numId w:val="15"/>
        </w:numPr>
        <w:ind w:left="851" w:hanging="284"/>
        <w:rPr>
          <w:rFonts w:ascii="Verdana" w:hAnsi="Verdana" w:cs="Arial"/>
          <w:color w:val="000000"/>
          <w:szCs w:val="20"/>
          <w:lang w:eastAsia="en-US"/>
        </w:rPr>
      </w:pPr>
      <w:r>
        <w:rPr>
          <w:rFonts w:ascii="Verdana" w:hAnsi="Verdana" w:cs="Arial"/>
          <w:color w:val="000000"/>
          <w:szCs w:val="20"/>
          <w:lang w:eastAsia="en-US"/>
        </w:rPr>
        <w:t>Finalizada a fase recursal, a administração pública poderá negociar condições mais vantajosas com o primeiro colocado.</w:t>
      </w:r>
    </w:p>
    <w:p>
      <w:pPr>
        <w:pStyle w:val="81"/>
        <w:keepNext w:val="0"/>
        <w:numPr>
          <w:ilvl w:val="1"/>
          <w:numId w:val="15"/>
        </w:numPr>
        <w:ind w:left="851" w:hanging="284"/>
        <w:rPr>
          <w:rFonts w:ascii="Verdana" w:hAnsi="Verdana" w:cs="Arial"/>
          <w:color w:val="000000"/>
          <w:szCs w:val="20"/>
          <w:lang w:eastAsia="en-US"/>
        </w:rPr>
      </w:pPr>
      <w:r>
        <w:rPr>
          <w:rFonts w:ascii="Verdana" w:hAnsi="Verdana" w:cs="Arial"/>
          <w:color w:val="000000"/>
          <w:szCs w:val="20"/>
          <w:lang w:eastAsia="en-US"/>
        </w:rPr>
        <w:t>Exaurida a negociação acima, constatada a regularidade dos atos praticados, a autoridade competente poderá:</w:t>
      </w:r>
    </w:p>
    <w:p>
      <w:pPr>
        <w:pStyle w:val="81"/>
        <w:keepNext w:val="0"/>
        <w:numPr>
          <w:ilvl w:val="2"/>
          <w:numId w:val="15"/>
        </w:numPr>
        <w:ind w:left="1134" w:hanging="283"/>
        <w:rPr>
          <w:rFonts w:ascii="Verdana" w:hAnsi="Verdana" w:cs="Arial"/>
          <w:color w:val="000000"/>
          <w:szCs w:val="20"/>
          <w:lang w:eastAsia="en-US"/>
        </w:rPr>
      </w:pPr>
      <w:r>
        <w:rPr>
          <w:rFonts w:ascii="Verdana" w:hAnsi="Verdana" w:cs="Arial"/>
          <w:color w:val="000000"/>
          <w:szCs w:val="20"/>
          <w:lang w:eastAsia="en-US"/>
        </w:rPr>
        <w:t>determinar o retorno dos autos para saneamento de irregularidades que forem supríveis;</w:t>
      </w:r>
    </w:p>
    <w:p>
      <w:pPr>
        <w:pStyle w:val="81"/>
        <w:keepNext w:val="0"/>
        <w:numPr>
          <w:ilvl w:val="2"/>
          <w:numId w:val="15"/>
        </w:numPr>
        <w:ind w:left="1134" w:hanging="283"/>
        <w:rPr>
          <w:rFonts w:ascii="Verdana" w:hAnsi="Verdana" w:cs="Arial"/>
          <w:color w:val="000000"/>
          <w:szCs w:val="20"/>
          <w:lang w:eastAsia="en-US"/>
        </w:rPr>
      </w:pPr>
      <w:r>
        <w:rPr>
          <w:rFonts w:ascii="Verdana" w:hAnsi="Verdana" w:cs="Arial"/>
          <w:color w:val="000000"/>
          <w:szCs w:val="20"/>
          <w:lang w:eastAsia="en-US"/>
        </w:rPr>
        <w:t>anular o procedimento, no todo ou em parte, por vício insanável;</w:t>
      </w:r>
    </w:p>
    <w:p>
      <w:pPr>
        <w:pStyle w:val="81"/>
        <w:keepNext w:val="0"/>
        <w:numPr>
          <w:ilvl w:val="2"/>
          <w:numId w:val="15"/>
        </w:numPr>
        <w:ind w:left="1134" w:hanging="283"/>
        <w:rPr>
          <w:rFonts w:ascii="Verdana" w:hAnsi="Verdana" w:cs="Arial"/>
          <w:color w:val="000000"/>
          <w:szCs w:val="20"/>
          <w:lang w:eastAsia="en-US"/>
        </w:rPr>
      </w:pPr>
      <w:r>
        <w:rPr>
          <w:rFonts w:ascii="Verdana" w:hAnsi="Verdana" w:cs="Arial"/>
          <w:color w:val="000000"/>
          <w:szCs w:val="20"/>
          <w:lang w:eastAsia="en-US"/>
        </w:rPr>
        <w:t>revogar o procedimento por motivo de conveniência e oportunidade; ou,</w:t>
      </w:r>
    </w:p>
    <w:p>
      <w:pPr>
        <w:pStyle w:val="81"/>
        <w:keepNext w:val="0"/>
        <w:numPr>
          <w:ilvl w:val="2"/>
          <w:numId w:val="15"/>
        </w:numPr>
        <w:ind w:left="1134" w:hanging="283"/>
        <w:rPr>
          <w:rFonts w:ascii="Verdana" w:hAnsi="Verdana" w:cs="Arial"/>
          <w:color w:val="000000"/>
          <w:szCs w:val="20"/>
          <w:lang w:eastAsia="en-US"/>
        </w:rPr>
      </w:pPr>
      <w:r>
        <w:rPr>
          <w:rFonts w:ascii="Verdana" w:hAnsi="Verdana" w:cs="Arial"/>
          <w:color w:val="000000"/>
          <w:szCs w:val="20"/>
          <w:lang w:eastAsia="en-US"/>
        </w:rPr>
        <w:t>adjudicar o objeto, homologar a licitação e convocar a licitante vencedora para a assinatura do contrato, preferencialmente em ato único.</w:t>
      </w:r>
    </w:p>
    <w:p>
      <w:pPr>
        <w:pStyle w:val="81"/>
        <w:keepNext w:val="0"/>
        <w:numPr>
          <w:ilvl w:val="1"/>
          <w:numId w:val="15"/>
        </w:numPr>
        <w:ind w:left="851" w:hanging="284"/>
        <w:rPr>
          <w:rFonts w:ascii="Verdana" w:hAnsi="Verdana" w:cs="Arial"/>
          <w:color w:val="000000"/>
          <w:szCs w:val="20"/>
        </w:rPr>
      </w:pPr>
      <w:r>
        <w:rPr>
          <w:rFonts w:ascii="Verdana" w:hAnsi="Verdana" w:cs="Arial"/>
          <w:color w:val="000000"/>
          <w:szCs w:val="20"/>
          <w:lang w:eastAsia="en-US"/>
        </w:rPr>
        <w:t>Caberá</w:t>
      </w:r>
      <w:r>
        <w:rPr>
          <w:rFonts w:ascii="Verdana" w:hAnsi="Verdana" w:cs="Arial"/>
          <w:color w:val="000000"/>
          <w:szCs w:val="20"/>
        </w:rPr>
        <w:t xml:space="preserve"> recurso no prazo de cinco dias úteis contado a partir da data da anulação ou revogação da licitação, observado o disposto no item 11 desse edital, no que couber. </w:t>
      </w:r>
      <w:r>
        <w:rPr>
          <w:rFonts w:ascii="Verdana" w:hAnsi="Verdana" w:cs="Arial"/>
          <w:color w:val="000000"/>
          <w:szCs w:val="20"/>
        </w:rPr>
        <w:tab/>
      </w:r>
    </w:p>
    <w:p>
      <w:pPr>
        <w:pStyle w:val="81"/>
        <w:keepNext w:val="0"/>
        <w:numPr>
          <w:ilvl w:val="0"/>
          <w:numId w:val="15"/>
        </w:numPr>
        <w:ind w:left="284" w:hanging="284"/>
        <w:rPr>
          <w:rFonts w:ascii="Verdana" w:hAnsi="Verdana" w:cs="Arial"/>
          <w:szCs w:val="20"/>
        </w:rPr>
      </w:pPr>
      <w:r>
        <w:rPr>
          <w:rFonts w:ascii="Verdana" w:hAnsi="Verdana" w:cs="Arial"/>
          <w:b/>
          <w:szCs w:val="20"/>
        </w:rPr>
        <w:t xml:space="preserve">DA </w:t>
      </w:r>
      <w:r>
        <w:rPr>
          <w:rFonts w:ascii="Verdana" w:hAnsi="Verdana" w:cs="Arial"/>
          <w:b/>
          <w:bCs/>
          <w:szCs w:val="20"/>
          <w:lang w:eastAsia="en-US"/>
        </w:rPr>
        <w:t>GARANTIA</w:t>
      </w:r>
      <w:r>
        <w:rPr>
          <w:rFonts w:ascii="Verdana" w:hAnsi="Verdana" w:cs="Arial"/>
          <w:b/>
          <w:szCs w:val="20"/>
        </w:rPr>
        <w:t xml:space="preserve"> DE EXECUÇÃO</w:t>
      </w:r>
    </w:p>
    <w:p>
      <w:pPr>
        <w:pStyle w:val="81"/>
        <w:keepNext w:val="0"/>
        <w:numPr>
          <w:ilvl w:val="1"/>
          <w:numId w:val="15"/>
        </w:numPr>
        <w:ind w:left="851" w:hanging="284"/>
        <w:rPr>
          <w:rFonts w:ascii="Verdana" w:hAnsi="Verdana" w:cs="Arial"/>
          <w:szCs w:val="20"/>
        </w:rPr>
      </w:pPr>
      <w:r>
        <w:rPr>
          <w:rFonts w:ascii="Verdana" w:hAnsi="Verdana" w:cs="Arial"/>
          <w:szCs w:val="20"/>
        </w:rPr>
        <w:t xml:space="preserve">Será exigida a prestação de garantia na presente contratação, conforme regras constantes do Termo de Referência. </w:t>
      </w:r>
    </w:p>
    <w:p>
      <w:pPr>
        <w:pStyle w:val="81"/>
        <w:keepNext w:val="0"/>
        <w:ind w:firstLine="0"/>
        <w:rPr>
          <w:rFonts w:ascii="Verdana" w:hAnsi="Verdana" w:cs="Arial"/>
          <w:bCs/>
          <w:iCs/>
          <w:color w:val="000000"/>
          <w:szCs w:val="20"/>
        </w:rPr>
      </w:pPr>
    </w:p>
    <w:p>
      <w:pPr>
        <w:pStyle w:val="81"/>
        <w:keepNext w:val="0"/>
        <w:numPr>
          <w:ilvl w:val="0"/>
          <w:numId w:val="15"/>
        </w:numPr>
        <w:ind w:left="284" w:hanging="284"/>
        <w:rPr>
          <w:rFonts w:ascii="Verdana" w:hAnsi="Verdana" w:cs="Arial"/>
          <w:szCs w:val="20"/>
        </w:rPr>
      </w:pPr>
      <w:r>
        <w:rPr>
          <w:rFonts w:ascii="Verdana" w:hAnsi="Verdana" w:cs="Arial"/>
          <w:b/>
          <w:color w:val="000000"/>
          <w:szCs w:val="20"/>
        </w:rPr>
        <w:t xml:space="preserve">DO </w:t>
      </w:r>
      <w:r>
        <w:rPr>
          <w:rFonts w:ascii="Verdana" w:hAnsi="Verdana" w:cs="Arial"/>
          <w:b/>
          <w:bCs/>
          <w:color w:val="000000"/>
          <w:szCs w:val="20"/>
          <w:lang w:eastAsia="en-US"/>
        </w:rPr>
        <w:t>TERMO</w:t>
      </w:r>
      <w:r>
        <w:rPr>
          <w:rFonts w:ascii="Verdana" w:hAnsi="Verdana" w:cs="Arial"/>
          <w:b/>
          <w:color w:val="000000"/>
          <w:szCs w:val="20"/>
        </w:rPr>
        <w:t xml:space="preserve"> DE CONTRATO OU INSTRUMENTO EQUIVALENTE</w:t>
      </w:r>
    </w:p>
    <w:p>
      <w:pPr>
        <w:pStyle w:val="81"/>
        <w:keepNext w:val="0"/>
        <w:numPr>
          <w:ilvl w:val="1"/>
          <w:numId w:val="15"/>
        </w:numPr>
        <w:ind w:left="851" w:hanging="284"/>
        <w:rPr>
          <w:rFonts w:ascii="Verdana" w:hAnsi="Verdana" w:cs="Arial"/>
          <w:szCs w:val="20"/>
        </w:rPr>
      </w:pPr>
      <w:r>
        <w:rPr>
          <w:rFonts w:ascii="Verdana" w:hAnsi="Verdana" w:cs="Arial"/>
          <w:szCs w:val="20"/>
        </w:rPr>
        <w:t>Após a homologação da licitação, em sendo realizada a contratação, será firmado Termo de Contrato ou emitido instrumento equivalente.</w:t>
      </w:r>
    </w:p>
    <w:p>
      <w:pPr>
        <w:pStyle w:val="81"/>
        <w:keepNext w:val="0"/>
        <w:numPr>
          <w:ilvl w:val="1"/>
          <w:numId w:val="15"/>
        </w:numPr>
        <w:ind w:left="851" w:hanging="284"/>
        <w:rPr>
          <w:rFonts w:ascii="Verdana" w:hAnsi="Verdana" w:eastAsia="Arial" w:cs="Arial"/>
          <w:color w:val="000000"/>
          <w:szCs w:val="20"/>
        </w:rPr>
      </w:pPr>
      <w:bookmarkStart w:id="21" w:name="_Hlk37451885"/>
      <w:r>
        <w:rPr>
          <w:rFonts w:ascii="Verdana" w:hAnsi="Verdana" w:eastAsia="Arial" w:cs="Arial"/>
          <w:color w:val="000000"/>
          <w:szCs w:val="20"/>
        </w:rPr>
        <w:t xml:space="preserve">A vencedora terá o prazo de 03 (três) dias úteis, contados a partir da data de sua convocação, para assinar o Termo de Contrato ou aceitar instrumento equivalente, conforme o caso (Nota de Empenho/Carta Contrato/Autorização), sob pena de decair do direito à contratação, sem prejuízo das sanções previstas neste Edital. </w:t>
      </w:r>
    </w:p>
    <w:p>
      <w:pPr>
        <w:pStyle w:val="81"/>
        <w:keepNext w:val="0"/>
        <w:numPr>
          <w:ilvl w:val="2"/>
          <w:numId w:val="15"/>
        </w:numPr>
        <w:ind w:left="1134" w:hanging="283"/>
        <w:rPr>
          <w:rFonts w:ascii="Verdana" w:hAnsi="Verdana" w:eastAsia="Arial" w:cs="Arial"/>
          <w:color w:val="000000"/>
          <w:szCs w:val="20"/>
        </w:rPr>
      </w:pPr>
      <w:r>
        <w:rPr>
          <w:rFonts w:ascii="Verdana" w:hAnsi="Verdana" w:eastAsia="Arial" w:cs="Arial"/>
          <w:color w:val="000000"/>
          <w:szCs w:val="20"/>
        </w:rPr>
        <w:t xml:space="preserve">Alternativamente à convocação para comparecer perante o órgão ou entidade para a assinatura do Termo de Contrato, a Administração poderá encaminhá-lo para assinatura, mediante correspondência postal com aviso de recebimento (AR) ou meio eletrônico, para que seja assinado e devolvido no prazo de 03 (três) dias, a contar da data de seu recebimento. </w:t>
      </w:r>
    </w:p>
    <w:p>
      <w:pPr>
        <w:pStyle w:val="81"/>
        <w:keepNext w:val="0"/>
        <w:numPr>
          <w:ilvl w:val="2"/>
          <w:numId w:val="15"/>
        </w:numPr>
        <w:ind w:left="1134" w:hanging="283"/>
        <w:rPr>
          <w:rFonts w:ascii="Verdana" w:hAnsi="Verdana" w:eastAsia="Arial" w:cs="Arial"/>
          <w:color w:val="000000"/>
          <w:szCs w:val="20"/>
        </w:rPr>
      </w:pPr>
      <w:r>
        <w:rPr>
          <w:rFonts w:ascii="Verdana" w:hAnsi="Verdana" w:eastAsia="Arial" w:cs="Arial"/>
          <w:color w:val="000000"/>
          <w:szCs w:val="20"/>
        </w:rPr>
        <w:t>O prazo previsto no subitem anterior poderá ser prorrogado, por igual período, por solicitação justificada da adjudicatária e aceita pela Administração.</w:t>
      </w:r>
    </w:p>
    <w:bookmarkEnd w:id="21"/>
    <w:p>
      <w:pPr>
        <w:pStyle w:val="81"/>
        <w:keepNext w:val="0"/>
        <w:numPr>
          <w:ilvl w:val="1"/>
          <w:numId w:val="15"/>
        </w:numPr>
        <w:ind w:left="851" w:hanging="284"/>
        <w:rPr>
          <w:rFonts w:ascii="Verdana" w:hAnsi="Verdana" w:eastAsia="Arial" w:cs="Arial"/>
          <w:color w:val="000000"/>
          <w:szCs w:val="20"/>
        </w:rPr>
      </w:pPr>
      <w:r>
        <w:rPr>
          <w:rFonts w:ascii="Verdana" w:hAnsi="Verdana" w:eastAsia="Arial" w:cs="Arial"/>
          <w:color w:val="000000"/>
          <w:szCs w:val="20"/>
        </w:rPr>
        <w:t>O Aceite da Nota de Empenho ou do instrumento equivalente, emitida à empresa adjudicada, implica no reconhecimento de que:</w:t>
      </w:r>
    </w:p>
    <w:p>
      <w:pPr>
        <w:pStyle w:val="81"/>
        <w:keepNext w:val="0"/>
        <w:numPr>
          <w:ilvl w:val="2"/>
          <w:numId w:val="15"/>
        </w:numPr>
        <w:ind w:left="1134" w:hanging="283"/>
        <w:rPr>
          <w:rFonts w:ascii="Verdana" w:hAnsi="Verdana" w:eastAsia="Arial" w:cs="Arial"/>
          <w:color w:val="000000"/>
          <w:szCs w:val="20"/>
        </w:rPr>
      </w:pPr>
      <w:r>
        <w:rPr>
          <w:rFonts w:ascii="Verdana" w:hAnsi="Verdana" w:eastAsia="Arial" w:cs="Arial"/>
          <w:color w:val="000000"/>
          <w:szCs w:val="20"/>
        </w:rPr>
        <w:t>referida Nota está substituindo o contrato, aplicando-se à relação de negócios ali estabelecida as disposições da Lei nº 8.666, de 1993;</w:t>
      </w:r>
    </w:p>
    <w:p>
      <w:pPr>
        <w:pStyle w:val="81"/>
        <w:keepNext w:val="0"/>
        <w:numPr>
          <w:ilvl w:val="2"/>
          <w:numId w:val="15"/>
        </w:numPr>
        <w:ind w:left="1134" w:hanging="283"/>
        <w:rPr>
          <w:rFonts w:ascii="Verdana" w:hAnsi="Verdana" w:eastAsia="Arial" w:cs="Arial"/>
          <w:color w:val="000000"/>
          <w:szCs w:val="20"/>
        </w:rPr>
      </w:pPr>
      <w:r>
        <w:rPr>
          <w:rFonts w:ascii="Verdana" w:hAnsi="Verdana" w:eastAsia="Arial" w:cs="Arial"/>
          <w:color w:val="000000"/>
          <w:szCs w:val="20"/>
        </w:rPr>
        <w:t>a contratada se vincula à sua proposta e às previsões contidas no edital e seus anexos;</w:t>
      </w:r>
    </w:p>
    <w:p>
      <w:pPr>
        <w:pStyle w:val="81"/>
        <w:keepNext w:val="0"/>
        <w:numPr>
          <w:ilvl w:val="2"/>
          <w:numId w:val="15"/>
        </w:numPr>
        <w:ind w:left="1134" w:hanging="283"/>
        <w:rPr>
          <w:rFonts w:ascii="Verdana" w:hAnsi="Verdana" w:eastAsia="Arial" w:cs="Arial"/>
          <w:color w:val="000000"/>
          <w:szCs w:val="20"/>
        </w:rPr>
      </w:pPr>
      <w:r>
        <w:rPr>
          <w:rFonts w:ascii="Verdana" w:hAnsi="Verdana" w:eastAsia="Arial" w:cs="Arial"/>
          <w:color w:val="000000"/>
          <w:szCs w:val="20"/>
        </w:rPr>
        <w:t>a contratada reconhece que as hipóteses de rescisão são aquelas previstas nos artigos 77 e 78 da Lei nº 8.666/93 e reconhece os direitos da Administração previstos nos artigos 79 e 80 da mesma Lei.</w:t>
      </w:r>
    </w:p>
    <w:p>
      <w:pPr>
        <w:pStyle w:val="81"/>
        <w:keepNext w:val="0"/>
        <w:numPr>
          <w:ilvl w:val="1"/>
          <w:numId w:val="15"/>
        </w:numPr>
        <w:ind w:left="851" w:hanging="284"/>
        <w:rPr>
          <w:rFonts w:ascii="Verdana" w:hAnsi="Verdana" w:eastAsia="Arial" w:cs="Arial"/>
          <w:color w:val="000000"/>
          <w:szCs w:val="20"/>
        </w:rPr>
      </w:pPr>
      <w:r>
        <w:rPr>
          <w:rFonts w:ascii="Verdana" w:hAnsi="Verdana" w:eastAsia="Arial" w:cs="Arial"/>
          <w:color w:val="000000"/>
          <w:szCs w:val="20"/>
        </w:rPr>
        <w:t xml:space="preserve">Previamente à contratação a Administração realizará consulta ao SICAF para identificar possível suspensão temporária de participação em licitação, no âmbito do órgão ou entidade, proibição de contratar com o Poder Público, bem como ocorrências impeditivas indiretas, observado o disposto no art. 29, da Instrução Normativa nº 3, de 26 de abril de 2018, e nos termos do art. 6º, III, da Lei nº 10.522, de 19 de julho de 2002, consulta prévia ao CADIN. </w:t>
      </w:r>
    </w:p>
    <w:p>
      <w:pPr>
        <w:pStyle w:val="81"/>
        <w:keepNext w:val="0"/>
        <w:numPr>
          <w:ilvl w:val="2"/>
          <w:numId w:val="15"/>
        </w:numPr>
        <w:ind w:left="1134" w:hanging="283"/>
        <w:rPr>
          <w:rFonts w:ascii="Verdana" w:hAnsi="Verdana" w:eastAsia="Arial" w:cs="Arial"/>
          <w:color w:val="000000"/>
          <w:szCs w:val="20"/>
        </w:rPr>
      </w:pPr>
      <w:r>
        <w:rPr>
          <w:rFonts w:ascii="Verdana" w:hAnsi="Verdana" w:eastAsia="Arial" w:cs="Arial"/>
          <w:color w:val="000000"/>
          <w:szCs w:val="20"/>
        </w:rPr>
        <w:t>Nos casos em que houver necessidade de assinatura do instrumento de contrato, e a licitante não estiver inscrita no SICAF, este deverá proceder ao seu cadastramento, sem ônus, antes da contratação.</w:t>
      </w:r>
    </w:p>
    <w:p>
      <w:pPr>
        <w:pStyle w:val="81"/>
        <w:keepNext w:val="0"/>
        <w:numPr>
          <w:ilvl w:val="2"/>
          <w:numId w:val="15"/>
        </w:numPr>
        <w:ind w:left="1134" w:hanging="283"/>
        <w:rPr>
          <w:rFonts w:ascii="Verdana" w:hAnsi="Verdana" w:eastAsia="Arial" w:cs="Arial"/>
          <w:color w:val="000000"/>
          <w:szCs w:val="20"/>
        </w:rPr>
      </w:pPr>
      <w:r>
        <w:rPr>
          <w:rFonts w:ascii="Verdana" w:hAnsi="Verdana" w:eastAsia="Arial" w:cs="Arial"/>
          <w:color w:val="000000"/>
          <w:szCs w:val="20"/>
        </w:rPr>
        <w:t>Na hipótese de irregularidade do registro no SICAF, o contratado deverá regularizar a sua situação perante o cadastro</w:t>
      </w:r>
      <w:r>
        <w:rPr>
          <w:rFonts w:ascii="Verdana" w:hAnsi="Verdana" w:cs="Arial"/>
          <w:color w:val="000000"/>
          <w:szCs w:val="20"/>
        </w:rPr>
        <w:t xml:space="preserve"> no prazo de até 05 (cinco) dias úteis, sob pena de aplicação das penalidades previstas no edital e anexos.</w:t>
      </w:r>
    </w:p>
    <w:p>
      <w:pPr>
        <w:pStyle w:val="81"/>
        <w:keepNext w:val="0"/>
        <w:numPr>
          <w:ilvl w:val="1"/>
          <w:numId w:val="15"/>
        </w:numPr>
        <w:ind w:left="851" w:hanging="284"/>
        <w:rPr>
          <w:rFonts w:ascii="Verdana" w:hAnsi="Verdana" w:eastAsia="Arial" w:cs="Arial"/>
          <w:color w:val="000000"/>
          <w:szCs w:val="20"/>
        </w:rPr>
      </w:pPr>
      <w:r>
        <w:rPr>
          <w:rFonts w:ascii="Verdana" w:hAnsi="Verdana" w:cs="Arial"/>
          <w:color w:val="000000"/>
          <w:szCs w:val="20"/>
        </w:rPr>
        <w:t>Na assinatura do contrato, será exigida a comprovação das condições de habilitação consignadas no edital, que deverão ser mantidas pela licitante durante a vigência do contrato.</w:t>
      </w:r>
    </w:p>
    <w:p>
      <w:pPr>
        <w:pStyle w:val="81"/>
        <w:keepNext w:val="0"/>
        <w:numPr>
          <w:ilvl w:val="1"/>
          <w:numId w:val="15"/>
        </w:numPr>
        <w:ind w:left="851" w:hanging="284"/>
        <w:rPr>
          <w:rFonts w:ascii="Verdana" w:hAnsi="Verdana" w:cs="Arial"/>
          <w:color w:val="000000"/>
          <w:szCs w:val="20"/>
        </w:rPr>
      </w:pPr>
      <w:bookmarkStart w:id="22" w:name="_Hlk37452257"/>
      <w:r>
        <w:rPr>
          <w:rFonts w:ascii="Verdana" w:hAnsi="Verdana" w:cs="Arial"/>
          <w:color w:val="000000"/>
          <w:szCs w:val="20"/>
        </w:rPr>
        <w:t>Na hipótese da vencedora da licitação não comprovar as condições de habilitação consignadas no edital ou se recusar a assinar o contrato, a Administração, sem prejuízo da aplicação das sanções das demais cominações legais cabíveis a essa licitante, poderá convocar outra licitante, respeitada a ordem de classificação, para, após a comprovação dos requisitos para habilitação, analisada a proposta e eventuais documentos complementares assinar o contrato nas condições ofertadas pela licitante originalmente vencedora.</w:t>
      </w:r>
    </w:p>
    <w:p>
      <w:pPr>
        <w:pStyle w:val="81"/>
        <w:keepNext w:val="0"/>
        <w:numPr>
          <w:ilvl w:val="2"/>
          <w:numId w:val="15"/>
        </w:numPr>
        <w:ind w:left="1134" w:hanging="283"/>
        <w:rPr>
          <w:rFonts w:ascii="Verdana" w:hAnsi="Verdana" w:cs="Arial"/>
          <w:color w:val="000000"/>
          <w:szCs w:val="20"/>
        </w:rPr>
      </w:pPr>
      <w:r>
        <w:rPr>
          <w:rFonts w:ascii="Verdana" w:hAnsi="Verdana" w:cs="Arial"/>
          <w:color w:val="000000"/>
          <w:szCs w:val="20"/>
        </w:rPr>
        <w:t xml:space="preserve">Na hipótese de nenhuma das licitantes aceitar a contratação nos termos acima, a administração pública poderá convocar as licitantes remanescentes, na ordem de classificação, </w:t>
      </w:r>
      <w:r>
        <w:rPr>
          <w:rFonts w:ascii="Verdana" w:hAnsi="Verdana" w:eastAsia="Arial" w:cs="Arial"/>
          <w:color w:val="000000"/>
          <w:szCs w:val="20"/>
        </w:rPr>
        <w:t>para</w:t>
      </w:r>
      <w:r>
        <w:rPr>
          <w:rFonts w:ascii="Verdana" w:hAnsi="Verdana" w:cs="Arial"/>
          <w:color w:val="000000"/>
          <w:szCs w:val="20"/>
        </w:rPr>
        <w:t xml:space="preserve"> a celebração do contrato nas condições ofertadas por estes, desde que o respectivo valor seja igual ou inferior ao orçamento estimado para a contratação, inclusive quanto aos preços atualizados nos termos do instrumento convocatório</w:t>
      </w:r>
      <w:bookmarkEnd w:id="22"/>
      <w:r>
        <w:rPr>
          <w:rFonts w:ascii="Verdana" w:hAnsi="Verdana" w:cs="Arial"/>
          <w:color w:val="000000"/>
          <w:szCs w:val="20"/>
        </w:rPr>
        <w:t>. </w:t>
      </w:r>
    </w:p>
    <w:p>
      <w:pPr>
        <w:keepNext w:val="0"/>
        <w:shd w:val="clear" w:color="auto" w:fill="auto"/>
        <w:tabs>
          <w:tab w:val="clear" w:pos="708"/>
        </w:tabs>
        <w:suppressAutoHyphens w:val="0"/>
        <w:overflowPunct/>
        <w:spacing w:before="120" w:after="120" w:line="276" w:lineRule="auto"/>
        <w:jc w:val="both"/>
        <w:textAlignment w:val="auto"/>
        <w:rPr>
          <w:rFonts w:ascii="Verdana" w:hAnsi="Verdana" w:cs="Arial"/>
          <w:color w:val="000000"/>
          <w:sz w:val="18"/>
          <w:szCs w:val="18"/>
        </w:rPr>
      </w:pPr>
    </w:p>
    <w:p>
      <w:pPr>
        <w:pStyle w:val="81"/>
        <w:keepNext w:val="0"/>
        <w:widowControl/>
        <w:numPr>
          <w:ilvl w:val="0"/>
          <w:numId w:val="15"/>
        </w:numPr>
        <w:spacing w:before="120" w:after="120"/>
        <w:rPr>
          <w:rFonts w:ascii="Verdana" w:hAnsi="Verdana" w:cs="Arial"/>
          <w:b/>
          <w:bCs/>
          <w:szCs w:val="20"/>
        </w:rPr>
      </w:pPr>
      <w:r>
        <w:rPr>
          <w:rFonts w:ascii="Verdana" w:hAnsi="Verdana" w:cs="Arial"/>
          <w:b/>
          <w:bCs/>
          <w:szCs w:val="20"/>
        </w:rPr>
        <w:t xml:space="preserve">DA SUBCONTRATAÇÃO </w:t>
      </w:r>
    </w:p>
    <w:p>
      <w:pPr>
        <w:pStyle w:val="81"/>
        <w:keepNext w:val="0"/>
        <w:widowControl/>
        <w:numPr>
          <w:ilvl w:val="1"/>
          <w:numId w:val="15"/>
        </w:numPr>
        <w:spacing w:before="120" w:after="120"/>
        <w:rPr>
          <w:rFonts w:ascii="Verdana" w:hAnsi="Verdana" w:cs="Arial"/>
          <w:b/>
          <w:bCs/>
          <w:szCs w:val="20"/>
        </w:rPr>
      </w:pPr>
      <w:r>
        <w:rPr>
          <w:rFonts w:ascii="Verdana" w:hAnsi="Verdana" w:cs="Arial"/>
          <w:iCs/>
          <w:szCs w:val="20"/>
        </w:rPr>
        <w:t>Será permitida a subcontratação do objeto licitado, na forma do Termo de Referência anexo a este Edital.</w:t>
      </w:r>
    </w:p>
    <w:p>
      <w:pPr>
        <w:pStyle w:val="81"/>
        <w:keepNext w:val="0"/>
        <w:ind w:left="284" w:firstLine="0"/>
        <w:rPr>
          <w:rFonts w:ascii="Verdana" w:hAnsi="Verdana" w:cs="Arial"/>
          <w:b/>
          <w:color w:val="000000"/>
          <w:szCs w:val="20"/>
        </w:rPr>
      </w:pPr>
    </w:p>
    <w:p>
      <w:pPr>
        <w:pStyle w:val="81"/>
        <w:keepNext w:val="0"/>
        <w:numPr>
          <w:ilvl w:val="0"/>
          <w:numId w:val="15"/>
        </w:numPr>
        <w:ind w:left="284" w:hanging="284"/>
        <w:rPr>
          <w:rFonts w:ascii="Verdana" w:hAnsi="Verdana" w:cs="Arial"/>
          <w:b/>
          <w:color w:val="000000"/>
          <w:szCs w:val="20"/>
        </w:rPr>
      </w:pPr>
      <w:r>
        <w:rPr>
          <w:rFonts w:ascii="Verdana" w:hAnsi="Verdana" w:cs="Arial"/>
          <w:b/>
          <w:color w:val="000000"/>
          <w:szCs w:val="20"/>
        </w:rPr>
        <w:t>DO REAJUSTAMENTO EM SENTIDO GERAL</w:t>
      </w:r>
    </w:p>
    <w:p>
      <w:pPr>
        <w:pStyle w:val="81"/>
        <w:keepNext w:val="0"/>
        <w:numPr>
          <w:ilvl w:val="1"/>
          <w:numId w:val="15"/>
        </w:numPr>
        <w:ind w:left="851" w:hanging="284"/>
        <w:rPr>
          <w:rFonts w:ascii="Verdana" w:hAnsi="Verdana" w:cs="Arial"/>
          <w:szCs w:val="20"/>
          <w:lang w:eastAsia="en-US"/>
        </w:rPr>
      </w:pPr>
      <w:r>
        <w:rPr>
          <w:rFonts w:ascii="Verdana" w:hAnsi="Verdana" w:cs="Arial"/>
          <w:szCs w:val="20"/>
          <w:lang w:eastAsia="en-US"/>
        </w:rPr>
        <w:t xml:space="preserve">As </w:t>
      </w:r>
      <w:r>
        <w:rPr>
          <w:rFonts w:ascii="Verdana" w:hAnsi="Verdana" w:cs="Arial"/>
          <w:color w:val="000000"/>
          <w:szCs w:val="20"/>
        </w:rPr>
        <w:t>regras</w:t>
      </w:r>
      <w:r>
        <w:rPr>
          <w:rFonts w:ascii="Verdana" w:hAnsi="Verdana" w:cs="Arial"/>
          <w:szCs w:val="20"/>
          <w:lang w:eastAsia="en-US"/>
        </w:rPr>
        <w:t xml:space="preserve"> acerca do reajuste do valor contratual são as estabelecidas no Termo de Referência, anexo a este Edital.</w:t>
      </w:r>
    </w:p>
    <w:p>
      <w:pPr>
        <w:pStyle w:val="81"/>
        <w:keepNext w:val="0"/>
        <w:ind w:left="567" w:firstLine="0"/>
        <w:rPr>
          <w:rFonts w:ascii="Verdana" w:hAnsi="Verdana" w:cs="Arial"/>
          <w:szCs w:val="20"/>
        </w:rPr>
      </w:pPr>
    </w:p>
    <w:p>
      <w:pPr>
        <w:pStyle w:val="81"/>
        <w:keepNext w:val="0"/>
        <w:numPr>
          <w:ilvl w:val="0"/>
          <w:numId w:val="15"/>
        </w:numPr>
        <w:rPr>
          <w:rFonts w:ascii="Verdana" w:hAnsi="Verdana" w:cs="Arial"/>
          <w:szCs w:val="20"/>
        </w:rPr>
      </w:pPr>
      <w:r>
        <w:rPr>
          <w:rFonts w:ascii="Verdana" w:hAnsi="Verdana" w:cs="Arial"/>
          <w:i/>
          <w:color w:val="FF0000"/>
          <w:szCs w:val="20"/>
        </w:rPr>
        <w:t xml:space="preserve"> </w:t>
      </w:r>
      <w:r>
        <w:rPr>
          <w:rFonts w:ascii="Verdana" w:hAnsi="Verdana" w:cs="Arial"/>
          <w:b/>
          <w:szCs w:val="20"/>
        </w:rPr>
        <w:t xml:space="preserve">DA </w:t>
      </w:r>
      <w:r>
        <w:rPr>
          <w:rFonts w:ascii="Verdana" w:hAnsi="Verdana" w:cs="Arial"/>
          <w:b/>
          <w:color w:val="000000"/>
          <w:szCs w:val="20"/>
        </w:rPr>
        <w:t>ACEITAÇÃO</w:t>
      </w:r>
      <w:r>
        <w:rPr>
          <w:rFonts w:ascii="Verdana" w:hAnsi="Verdana" w:cs="Arial"/>
          <w:b/>
          <w:szCs w:val="20"/>
        </w:rPr>
        <w:t xml:space="preserve"> DO OBJETO E DA FISCALIZAÇÃO</w:t>
      </w:r>
    </w:p>
    <w:p>
      <w:pPr>
        <w:pStyle w:val="81"/>
        <w:keepNext w:val="0"/>
        <w:numPr>
          <w:ilvl w:val="1"/>
          <w:numId w:val="15"/>
        </w:numPr>
        <w:ind w:left="851" w:hanging="284"/>
        <w:rPr>
          <w:rFonts w:ascii="Verdana" w:hAnsi="Verdana" w:cs="Arial"/>
          <w:szCs w:val="20"/>
        </w:rPr>
      </w:pPr>
      <w:r>
        <w:rPr>
          <w:rFonts w:ascii="Verdana" w:hAnsi="Verdana" w:cs="Arial"/>
          <w:szCs w:val="20"/>
          <w:lang w:eastAsia="en-US"/>
        </w:rPr>
        <w:t>Os critérios de recebimento e aceitação do objeto e de fiscalização estão previstos no Termo de Referência.</w:t>
      </w:r>
    </w:p>
    <w:p>
      <w:pPr>
        <w:pStyle w:val="81"/>
        <w:keepNext w:val="0"/>
        <w:ind w:left="567" w:firstLine="0"/>
        <w:rPr>
          <w:rFonts w:ascii="Verdana" w:hAnsi="Verdana" w:cs="Arial"/>
          <w:szCs w:val="20"/>
        </w:rPr>
      </w:pPr>
    </w:p>
    <w:p>
      <w:pPr>
        <w:pStyle w:val="81"/>
        <w:keepNext w:val="0"/>
        <w:numPr>
          <w:ilvl w:val="0"/>
          <w:numId w:val="15"/>
        </w:numPr>
        <w:rPr>
          <w:rFonts w:ascii="Verdana" w:hAnsi="Verdana" w:cs="Arial"/>
          <w:szCs w:val="20"/>
        </w:rPr>
      </w:pPr>
      <w:r>
        <w:rPr>
          <w:rFonts w:ascii="Verdana" w:hAnsi="Verdana" w:cs="Arial"/>
          <w:b/>
          <w:color w:val="000000"/>
          <w:szCs w:val="20"/>
          <w:lang w:eastAsia="en-US"/>
        </w:rPr>
        <w:t xml:space="preserve"> DAS OBRIGAÇÕES DA CONTRATANTE E DA CONTRATADA</w:t>
      </w:r>
    </w:p>
    <w:p>
      <w:pPr>
        <w:pStyle w:val="81"/>
        <w:keepNext w:val="0"/>
        <w:numPr>
          <w:ilvl w:val="1"/>
          <w:numId w:val="15"/>
        </w:numPr>
        <w:ind w:left="851" w:hanging="284"/>
        <w:rPr>
          <w:rFonts w:ascii="Verdana" w:hAnsi="Verdana" w:cs="Arial"/>
          <w:szCs w:val="20"/>
        </w:rPr>
      </w:pPr>
      <w:r>
        <w:rPr>
          <w:rFonts w:ascii="Verdana" w:hAnsi="Verdana" w:cs="Arial"/>
          <w:color w:val="000000"/>
          <w:szCs w:val="20"/>
          <w:lang w:eastAsia="en-US"/>
        </w:rPr>
        <w:t xml:space="preserve">As </w:t>
      </w:r>
      <w:r>
        <w:rPr>
          <w:rFonts w:ascii="Verdana" w:hAnsi="Verdana" w:cs="Arial"/>
          <w:szCs w:val="20"/>
          <w:lang w:eastAsia="en-US"/>
        </w:rPr>
        <w:t>obrigações</w:t>
      </w:r>
      <w:r>
        <w:rPr>
          <w:rFonts w:ascii="Verdana" w:hAnsi="Verdana" w:cs="Arial"/>
          <w:color w:val="000000"/>
          <w:szCs w:val="20"/>
          <w:lang w:eastAsia="en-US"/>
        </w:rPr>
        <w:t xml:space="preserve"> da Contratante e da Contratada são as estabelecidas no </w:t>
      </w:r>
      <w:r>
        <w:rPr>
          <w:rFonts w:ascii="Verdana" w:hAnsi="Verdana" w:cs="Arial"/>
          <w:szCs w:val="20"/>
          <w:lang w:eastAsia="en-US"/>
        </w:rPr>
        <w:t>Termo de Referência.</w:t>
      </w:r>
    </w:p>
    <w:p>
      <w:pPr>
        <w:pStyle w:val="81"/>
        <w:keepNext w:val="0"/>
        <w:widowControl/>
        <w:spacing w:before="120" w:after="120"/>
        <w:ind w:left="567" w:firstLine="0"/>
        <w:rPr>
          <w:rFonts w:ascii="Verdana" w:hAnsi="Verdana" w:cs="Arial"/>
          <w:szCs w:val="20"/>
        </w:rPr>
      </w:pPr>
    </w:p>
    <w:p>
      <w:pPr>
        <w:pStyle w:val="81"/>
        <w:keepNext w:val="0"/>
        <w:numPr>
          <w:ilvl w:val="0"/>
          <w:numId w:val="15"/>
        </w:numPr>
        <w:rPr>
          <w:rFonts w:ascii="Verdana" w:hAnsi="Verdana" w:cs="Arial"/>
          <w:szCs w:val="20"/>
        </w:rPr>
      </w:pPr>
      <w:r>
        <w:rPr>
          <w:rFonts w:ascii="Verdana" w:hAnsi="Verdana" w:cs="Arial"/>
          <w:b/>
          <w:color w:val="000000"/>
          <w:szCs w:val="20"/>
        </w:rPr>
        <w:t xml:space="preserve">DO </w:t>
      </w:r>
      <w:r>
        <w:rPr>
          <w:rFonts w:ascii="Verdana" w:hAnsi="Verdana" w:cs="Arial"/>
          <w:b/>
          <w:color w:val="000000"/>
          <w:szCs w:val="20"/>
          <w:lang w:eastAsia="en-US"/>
        </w:rPr>
        <w:t>PAGAMENTO</w:t>
      </w:r>
    </w:p>
    <w:p>
      <w:pPr>
        <w:pStyle w:val="81"/>
        <w:keepNext w:val="0"/>
        <w:numPr>
          <w:ilvl w:val="1"/>
          <w:numId w:val="15"/>
        </w:numPr>
        <w:ind w:left="851" w:hanging="284"/>
        <w:rPr>
          <w:rFonts w:ascii="Verdana" w:hAnsi="Verdana" w:cs="Arial"/>
          <w:color w:val="000000"/>
          <w:szCs w:val="20"/>
          <w:lang w:eastAsia="en-US"/>
        </w:rPr>
      </w:pPr>
      <w:r>
        <w:rPr>
          <w:rFonts w:ascii="Verdana" w:hAnsi="Verdana" w:cs="Arial"/>
          <w:color w:val="000000"/>
          <w:szCs w:val="20"/>
          <w:lang w:eastAsia="en-US"/>
        </w:rPr>
        <w:t xml:space="preserve">As regras </w:t>
      </w:r>
      <w:r>
        <w:rPr>
          <w:rFonts w:ascii="Verdana" w:hAnsi="Verdana" w:cs="Arial"/>
          <w:szCs w:val="20"/>
          <w:lang w:eastAsia="en-US"/>
        </w:rPr>
        <w:t>acerca</w:t>
      </w:r>
      <w:r>
        <w:rPr>
          <w:rFonts w:ascii="Verdana" w:hAnsi="Verdana" w:cs="Arial"/>
          <w:color w:val="000000"/>
          <w:szCs w:val="20"/>
          <w:lang w:eastAsia="en-US"/>
        </w:rPr>
        <w:t xml:space="preserve"> do pagamento são as estabelecidas no Termo de Referência, anexo a este Edital.</w:t>
      </w:r>
    </w:p>
    <w:p>
      <w:pPr>
        <w:pStyle w:val="81"/>
        <w:keepNext w:val="0"/>
        <w:numPr>
          <w:ilvl w:val="2"/>
          <w:numId w:val="15"/>
        </w:numPr>
        <w:ind w:left="1134" w:hanging="283"/>
        <w:rPr>
          <w:rFonts w:ascii="Verdana" w:hAnsi="Verdana" w:cs="Arial"/>
          <w:color w:val="000000"/>
          <w:szCs w:val="20"/>
          <w:lang w:eastAsia="en-US"/>
        </w:rPr>
      </w:pPr>
      <w:r>
        <w:rPr>
          <w:rFonts w:ascii="Verdana" w:hAnsi="Verdana" w:cs="Arial"/>
          <w:color w:val="000000"/>
          <w:szCs w:val="20"/>
          <w:lang w:eastAsia="en-US"/>
        </w:rPr>
        <w:t xml:space="preserve">É admitida a cessão de crédito decorrente da contratação de que trata este Instrumento Convocatório, nos termos do previsto na minuta contratual anexa a este Edital. </w:t>
      </w:r>
    </w:p>
    <w:p>
      <w:pPr>
        <w:pStyle w:val="81"/>
        <w:keepNext w:val="0"/>
        <w:numPr>
          <w:ilvl w:val="2"/>
          <w:numId w:val="15"/>
        </w:numPr>
        <w:ind w:left="1134" w:hanging="283"/>
        <w:rPr>
          <w:rFonts w:ascii="Verdana" w:hAnsi="Verdana" w:cs="Arial"/>
          <w:iCs/>
          <w:szCs w:val="20"/>
          <w:lang w:eastAsia="en-US"/>
        </w:rPr>
      </w:pPr>
      <w:r>
        <w:rPr>
          <w:rFonts w:ascii="Verdana" w:hAnsi="Verdana" w:cs="Arial"/>
          <w:iCs/>
          <w:szCs w:val="20"/>
          <w:lang w:eastAsia="en-US"/>
        </w:rPr>
        <w:t>A presente contratação não permite a antecipação de pagamento, conforme as regras previstas no Termo de Referência.</w:t>
      </w:r>
    </w:p>
    <w:p>
      <w:pPr>
        <w:pStyle w:val="81"/>
        <w:keepNext w:val="0"/>
        <w:ind w:left="1854" w:firstLine="0"/>
        <w:rPr>
          <w:rFonts w:ascii="Verdana" w:hAnsi="Verdana" w:cs="Arial"/>
          <w:iCs/>
          <w:sz w:val="18"/>
          <w:szCs w:val="18"/>
          <w:lang w:eastAsia="en-US"/>
        </w:rPr>
      </w:pPr>
    </w:p>
    <w:p>
      <w:pPr>
        <w:pStyle w:val="81"/>
        <w:keepNext w:val="0"/>
        <w:numPr>
          <w:ilvl w:val="0"/>
          <w:numId w:val="15"/>
        </w:numPr>
        <w:rPr>
          <w:rFonts w:ascii="Verdana" w:hAnsi="Verdana" w:cs="Arial"/>
          <w:szCs w:val="20"/>
        </w:rPr>
      </w:pPr>
      <w:r>
        <w:rPr>
          <w:rFonts w:ascii="Verdana" w:hAnsi="Verdana" w:cs="Arial"/>
          <w:b/>
          <w:color w:val="000000"/>
          <w:szCs w:val="20"/>
        </w:rPr>
        <w:t>DAS SANÇÕES ADMINISTRATIVAS.</w:t>
      </w:r>
    </w:p>
    <w:p>
      <w:pPr>
        <w:pStyle w:val="81"/>
        <w:keepNext w:val="0"/>
        <w:numPr>
          <w:ilvl w:val="1"/>
          <w:numId w:val="15"/>
        </w:numPr>
        <w:ind w:left="851" w:hanging="284"/>
        <w:rPr>
          <w:rFonts w:ascii="Verdana" w:hAnsi="Verdana" w:cs="Arial"/>
          <w:szCs w:val="20"/>
        </w:rPr>
      </w:pPr>
      <w:r>
        <w:rPr>
          <w:rFonts w:ascii="Verdana" w:hAnsi="Verdana" w:cs="Arial"/>
          <w:color w:val="000000"/>
          <w:szCs w:val="20"/>
          <w:lang w:eastAsia="en-US"/>
        </w:rPr>
        <w:t>Comete</w:t>
      </w:r>
      <w:r>
        <w:rPr>
          <w:rFonts w:ascii="Verdana" w:hAnsi="Verdana" w:cs="Arial"/>
          <w:szCs w:val="20"/>
          <w:shd w:val="clear" w:color="auto" w:fill="FFFFFF"/>
        </w:rPr>
        <w:t xml:space="preserve"> infração administrativa, nos termos do art. 47 da Lei nº 12.462, de 2011, a licitante que:</w:t>
      </w:r>
    </w:p>
    <w:p>
      <w:pPr>
        <w:pStyle w:val="81"/>
        <w:keepNext w:val="0"/>
        <w:numPr>
          <w:ilvl w:val="2"/>
          <w:numId w:val="15"/>
        </w:numPr>
        <w:ind w:left="1134" w:hanging="283"/>
        <w:rPr>
          <w:rFonts w:ascii="Verdana" w:hAnsi="Verdana" w:cs="Arial"/>
          <w:color w:val="000000"/>
          <w:szCs w:val="20"/>
          <w:lang w:eastAsia="en-US"/>
        </w:rPr>
      </w:pPr>
      <w:r>
        <w:rPr>
          <w:rFonts w:ascii="Verdana" w:hAnsi="Verdana" w:cs="Arial"/>
          <w:color w:val="000000"/>
          <w:szCs w:val="20"/>
          <w:lang w:eastAsia="en-US"/>
        </w:rPr>
        <w:t>convocada dentro do prazo de validade da sua proposta não celebrar o contrato, inclusive nas hipóteses previstas no item 16.6 deste Edital;</w:t>
      </w:r>
    </w:p>
    <w:p>
      <w:pPr>
        <w:pStyle w:val="81"/>
        <w:keepNext w:val="0"/>
        <w:numPr>
          <w:ilvl w:val="2"/>
          <w:numId w:val="15"/>
        </w:numPr>
        <w:ind w:left="1134" w:hanging="283"/>
        <w:rPr>
          <w:rFonts w:ascii="Verdana" w:hAnsi="Verdana" w:cs="Arial"/>
          <w:color w:val="000000"/>
          <w:szCs w:val="20"/>
          <w:lang w:eastAsia="en-US"/>
        </w:rPr>
      </w:pPr>
      <w:r>
        <w:rPr>
          <w:rFonts w:ascii="Verdana" w:hAnsi="Verdana" w:cs="Arial"/>
          <w:color w:val="000000"/>
          <w:szCs w:val="20"/>
          <w:lang w:eastAsia="en-US"/>
        </w:rPr>
        <w:t>deixar de entregar a documentação exigida para o certame ou apresentar documento falso;</w:t>
      </w:r>
    </w:p>
    <w:p>
      <w:pPr>
        <w:pStyle w:val="81"/>
        <w:keepNext w:val="0"/>
        <w:numPr>
          <w:ilvl w:val="2"/>
          <w:numId w:val="15"/>
        </w:numPr>
        <w:ind w:left="1134" w:hanging="283"/>
        <w:rPr>
          <w:rFonts w:ascii="Verdana" w:hAnsi="Verdana" w:cs="Arial"/>
          <w:color w:val="000000"/>
          <w:szCs w:val="20"/>
          <w:lang w:eastAsia="en-US"/>
        </w:rPr>
      </w:pPr>
      <w:r>
        <w:rPr>
          <w:rFonts w:ascii="Verdana" w:hAnsi="Verdana" w:cs="Arial"/>
          <w:color w:val="000000"/>
          <w:szCs w:val="20"/>
          <w:lang w:eastAsia="en-US"/>
        </w:rPr>
        <w:t>ensejar o retardamento da execução ou da entrega do objeto da licitação sem motivo justificado;</w:t>
      </w:r>
    </w:p>
    <w:p>
      <w:pPr>
        <w:pStyle w:val="81"/>
        <w:keepNext w:val="0"/>
        <w:numPr>
          <w:ilvl w:val="2"/>
          <w:numId w:val="15"/>
        </w:numPr>
        <w:ind w:left="1134" w:hanging="283"/>
        <w:rPr>
          <w:rFonts w:ascii="Verdana" w:hAnsi="Verdana" w:cs="Arial"/>
          <w:color w:val="000000"/>
          <w:szCs w:val="20"/>
          <w:lang w:eastAsia="en-US"/>
        </w:rPr>
      </w:pPr>
      <w:r>
        <w:rPr>
          <w:rFonts w:ascii="Verdana" w:hAnsi="Verdana" w:cs="Arial"/>
          <w:color w:val="000000"/>
          <w:szCs w:val="20"/>
          <w:lang w:eastAsia="en-US"/>
        </w:rPr>
        <w:t>não mantiver a proposta, salvo se em decorrência de fato superveniente, devidamente justificado;</w:t>
      </w:r>
    </w:p>
    <w:p>
      <w:pPr>
        <w:pStyle w:val="81"/>
        <w:keepNext w:val="0"/>
        <w:numPr>
          <w:ilvl w:val="2"/>
          <w:numId w:val="15"/>
        </w:numPr>
        <w:ind w:left="1134" w:hanging="283"/>
        <w:rPr>
          <w:rFonts w:ascii="Verdana" w:hAnsi="Verdana" w:cs="Arial"/>
          <w:color w:val="000000"/>
          <w:szCs w:val="20"/>
          <w:lang w:eastAsia="en-US"/>
        </w:rPr>
      </w:pPr>
      <w:r>
        <w:rPr>
          <w:rFonts w:ascii="Verdana" w:hAnsi="Verdana" w:cs="Arial"/>
          <w:color w:val="000000"/>
          <w:szCs w:val="20"/>
          <w:lang w:eastAsia="en-US"/>
        </w:rPr>
        <w:t>fraudar a licitação ou praticar atos fraudulentos na execução do contrato;</w:t>
      </w:r>
    </w:p>
    <w:p>
      <w:pPr>
        <w:pStyle w:val="81"/>
        <w:keepNext w:val="0"/>
        <w:numPr>
          <w:ilvl w:val="2"/>
          <w:numId w:val="15"/>
        </w:numPr>
        <w:ind w:left="1134" w:hanging="283"/>
        <w:rPr>
          <w:rFonts w:ascii="Verdana" w:hAnsi="Verdana" w:cs="Arial"/>
          <w:color w:val="000000"/>
          <w:szCs w:val="20"/>
          <w:lang w:eastAsia="en-US"/>
        </w:rPr>
      </w:pPr>
      <w:r>
        <w:rPr>
          <w:rFonts w:ascii="Verdana" w:hAnsi="Verdana" w:cs="Arial"/>
          <w:color w:val="000000"/>
          <w:szCs w:val="20"/>
          <w:lang w:eastAsia="en-US"/>
        </w:rPr>
        <w:t>comportar-se de modo inidôneo ou cometer fraude fiscal; ou</w:t>
      </w:r>
    </w:p>
    <w:p>
      <w:pPr>
        <w:pStyle w:val="81"/>
        <w:keepNext w:val="0"/>
        <w:numPr>
          <w:ilvl w:val="2"/>
          <w:numId w:val="15"/>
        </w:numPr>
        <w:ind w:left="1134" w:hanging="283"/>
        <w:rPr>
          <w:rFonts w:ascii="Verdana" w:hAnsi="Verdana" w:cs="Arial"/>
          <w:color w:val="000000"/>
          <w:szCs w:val="20"/>
          <w:lang w:eastAsia="en-US"/>
        </w:rPr>
      </w:pPr>
      <w:r>
        <w:rPr>
          <w:rFonts w:ascii="Verdana" w:hAnsi="Verdana" w:cs="Arial"/>
          <w:color w:val="000000"/>
          <w:szCs w:val="20"/>
          <w:lang w:eastAsia="en-US"/>
        </w:rPr>
        <w:t xml:space="preserve">der causa à inexecução total ou parcial do contrato. </w:t>
      </w:r>
    </w:p>
    <w:p>
      <w:pPr>
        <w:pStyle w:val="81"/>
        <w:keepNext w:val="0"/>
        <w:numPr>
          <w:ilvl w:val="1"/>
          <w:numId w:val="15"/>
        </w:numPr>
        <w:ind w:left="851" w:hanging="284"/>
        <w:rPr>
          <w:rFonts w:ascii="Verdana" w:hAnsi="Verdana" w:cs="Arial"/>
          <w:color w:val="000000"/>
          <w:szCs w:val="20"/>
          <w:lang w:eastAsia="en-US"/>
        </w:rPr>
      </w:pPr>
      <w:r>
        <w:rPr>
          <w:rFonts w:ascii="Verdana" w:hAnsi="Verdana" w:cs="Arial"/>
          <w:color w:val="000000"/>
          <w:szCs w:val="20"/>
          <w:lang w:eastAsia="en-US"/>
        </w:rPr>
        <w:t>Considera-se comportamento inidôneo a declaração falsa quanto às condições de participação, quanto ao enquadramento como ME/EPP ou o conluio entre as licitantes, em qualquer momento da licitação, mesmo após o encerramento da fase de lances.</w:t>
      </w:r>
    </w:p>
    <w:p>
      <w:pPr>
        <w:pStyle w:val="81"/>
        <w:keepNext w:val="0"/>
        <w:numPr>
          <w:ilvl w:val="1"/>
          <w:numId w:val="15"/>
        </w:numPr>
        <w:ind w:left="851" w:hanging="284"/>
        <w:rPr>
          <w:rFonts w:ascii="Verdana" w:hAnsi="Verdana" w:cs="Arial"/>
          <w:color w:val="000000"/>
          <w:szCs w:val="20"/>
          <w:lang w:eastAsia="en-US"/>
        </w:rPr>
      </w:pPr>
      <w:r>
        <w:rPr>
          <w:rFonts w:ascii="Verdana" w:hAnsi="Verdana" w:cs="Arial"/>
          <w:color w:val="000000"/>
          <w:szCs w:val="20"/>
          <w:lang w:eastAsia="en-US"/>
        </w:rPr>
        <w:t>A licitante que cometer qualquer das infrações discriminadas nos subitens anteriores ficará sujeito, sem prejuízo da responsabilidade civil e criminal, às seguintes sanções:</w:t>
      </w:r>
    </w:p>
    <w:p>
      <w:pPr>
        <w:pStyle w:val="81"/>
        <w:keepNext w:val="0"/>
        <w:numPr>
          <w:ilvl w:val="2"/>
          <w:numId w:val="15"/>
        </w:numPr>
        <w:ind w:left="1134" w:hanging="283"/>
        <w:rPr>
          <w:rFonts w:ascii="Verdana" w:hAnsi="Verdana" w:cs="Arial"/>
          <w:color w:val="000000"/>
          <w:szCs w:val="20"/>
          <w:lang w:eastAsia="en-US"/>
        </w:rPr>
      </w:pPr>
      <w:r>
        <w:rPr>
          <w:rFonts w:ascii="Verdana" w:hAnsi="Verdana" w:cs="Arial"/>
          <w:color w:val="000000"/>
          <w:szCs w:val="20"/>
          <w:lang w:eastAsia="en-US"/>
        </w:rPr>
        <w:t>Advertência por faltas leves, assim entendidas como aquelas que não acarretarem prejuízos significativos ao objeto da contratação;</w:t>
      </w:r>
    </w:p>
    <w:p>
      <w:pPr>
        <w:pStyle w:val="81"/>
        <w:keepNext w:val="0"/>
        <w:numPr>
          <w:ilvl w:val="2"/>
          <w:numId w:val="15"/>
        </w:numPr>
        <w:ind w:left="1134" w:hanging="283"/>
        <w:rPr>
          <w:rFonts w:ascii="Verdana" w:hAnsi="Verdana" w:cs="Arial"/>
          <w:color w:val="000000"/>
          <w:szCs w:val="20"/>
          <w:lang w:eastAsia="en-US"/>
        </w:rPr>
      </w:pPr>
      <w:r>
        <w:rPr>
          <w:rFonts w:ascii="Verdana" w:hAnsi="Verdana" w:cs="Arial"/>
          <w:color w:val="000000"/>
          <w:szCs w:val="20"/>
          <w:lang w:eastAsia="en-US"/>
        </w:rPr>
        <w:t>Multa de até 1% (um por cento) sobre o valor total da obra estimado pela Administração, prejudicado pela conduta da licitante;</w:t>
      </w:r>
    </w:p>
    <w:p>
      <w:pPr>
        <w:pStyle w:val="81"/>
        <w:keepNext w:val="0"/>
        <w:numPr>
          <w:ilvl w:val="2"/>
          <w:numId w:val="15"/>
        </w:numPr>
        <w:ind w:left="1134" w:hanging="283"/>
        <w:rPr>
          <w:rFonts w:ascii="Verdana" w:hAnsi="Verdana" w:cs="Arial"/>
          <w:color w:val="000000"/>
          <w:szCs w:val="20"/>
          <w:lang w:eastAsia="en-US"/>
        </w:rPr>
      </w:pPr>
      <w:r>
        <w:rPr>
          <w:rFonts w:ascii="Verdana" w:hAnsi="Verdana" w:cs="Arial"/>
          <w:color w:val="000000"/>
          <w:szCs w:val="20"/>
          <w:lang w:eastAsia="en-US"/>
        </w:rPr>
        <w:t>Suspensão temporária de participação em licitação e impedimento de contratar com a Administração, por prazo não superior a 2 (dois) anos;</w:t>
      </w:r>
    </w:p>
    <w:p>
      <w:pPr>
        <w:pStyle w:val="81"/>
        <w:keepNext w:val="0"/>
        <w:numPr>
          <w:ilvl w:val="2"/>
          <w:numId w:val="15"/>
        </w:numPr>
        <w:ind w:left="1134" w:hanging="283"/>
        <w:rPr>
          <w:rFonts w:ascii="Verdana" w:hAnsi="Verdana" w:cs="Arial"/>
          <w:color w:val="000000"/>
          <w:szCs w:val="20"/>
          <w:lang w:eastAsia="en-US"/>
        </w:rPr>
      </w:pPr>
      <w:r>
        <w:rPr>
          <w:rFonts w:ascii="Verdana" w:hAnsi="Verdana" w:cs="Arial"/>
          <w:color w:val="000000"/>
          <w:szCs w:val="20"/>
          <w:lang w:eastAsia="en-US"/>
        </w:rPr>
        <w:t>Impedimento de licitar e contratar com a União, Estados, Distrito Federal ou Municípios, pelo prazo de até 5 (cinco) anos, sem prejuízo das multas previstas no instrumento convocatório e no contrato, bem como das demais cominações legais.</w:t>
      </w:r>
    </w:p>
    <w:p>
      <w:pPr>
        <w:pStyle w:val="81"/>
        <w:keepNext w:val="0"/>
        <w:numPr>
          <w:ilvl w:val="2"/>
          <w:numId w:val="15"/>
        </w:numPr>
        <w:ind w:left="1134" w:hanging="283"/>
        <w:rPr>
          <w:rFonts w:ascii="Verdana" w:hAnsi="Verdana" w:cs="Arial"/>
          <w:color w:val="000000"/>
          <w:szCs w:val="20"/>
          <w:lang w:eastAsia="en-US"/>
        </w:rPr>
      </w:pPr>
      <w:r>
        <w:rPr>
          <w:rFonts w:ascii="Verdana" w:hAnsi="Verdana" w:cs="Arial"/>
          <w:color w:val="000000"/>
          <w:szCs w:val="20"/>
          <w:lang w:eastAsia="en-US"/>
        </w:rPr>
        <w:t>Declaração de inidoneidade para licitar ou contratar com a Administração Pública enquanto perdurarem os motivos determinantes da punição ou até que seja promovida a reabilitação perante a própria autoridade que aplicou a penalidade, que será concedida sempre que o contratado ressarcir a Administração pelos prejuízos resultantes e após decorrido o prazo da sanção aplicada com base no inciso anterior;</w:t>
      </w:r>
    </w:p>
    <w:p>
      <w:pPr>
        <w:pStyle w:val="81"/>
        <w:keepNext w:val="0"/>
        <w:numPr>
          <w:ilvl w:val="1"/>
          <w:numId w:val="15"/>
        </w:numPr>
        <w:ind w:left="851" w:hanging="284"/>
        <w:rPr>
          <w:rFonts w:ascii="Verdana" w:hAnsi="Verdana" w:cs="Arial"/>
          <w:color w:val="000000"/>
          <w:szCs w:val="20"/>
          <w:lang w:eastAsia="en-US"/>
        </w:rPr>
      </w:pPr>
      <w:r>
        <w:rPr>
          <w:rFonts w:ascii="Verdana" w:hAnsi="Verdana" w:cs="Arial"/>
          <w:color w:val="000000"/>
          <w:szCs w:val="20"/>
          <w:lang w:eastAsia="en-US"/>
        </w:rPr>
        <w:t>A penalidade de multa pode ser aplicada cumulativamente com as demais sanções.</w:t>
      </w:r>
    </w:p>
    <w:p>
      <w:pPr>
        <w:pStyle w:val="81"/>
        <w:keepNext w:val="0"/>
        <w:numPr>
          <w:ilvl w:val="1"/>
          <w:numId w:val="15"/>
        </w:numPr>
        <w:ind w:left="851" w:hanging="284"/>
        <w:rPr>
          <w:rFonts w:ascii="Verdana" w:hAnsi="Verdana" w:cs="Arial"/>
          <w:color w:val="000000"/>
          <w:szCs w:val="20"/>
          <w:lang w:eastAsia="en-US"/>
        </w:rPr>
      </w:pPr>
      <w:r>
        <w:rPr>
          <w:rFonts w:ascii="Verdana" w:hAnsi="Verdana" w:cs="Arial"/>
          <w:color w:val="000000"/>
          <w:szCs w:val="20"/>
          <w:lang w:eastAsia="en-US"/>
        </w:rPr>
        <w:t xml:space="preserve">Se, durante o processo de aplicação de penalidade, se houver indícios de prática de infração administrativa tipificada pela Lei nº 12.846, de 1º de agosto de 2013, como ato lesivo à administração pública nacional ou estrangeira, cópias do processo administrativo necessárias à apuração da responsabilidade da empresa deverão ser remetidas à autoridade competente, com despacho fundamentado, para ciência e decisão sobre a eventual instauração de investigação preliminar ou Processo Administrativo de Responsabilização – PAR. </w:t>
      </w:r>
    </w:p>
    <w:p>
      <w:pPr>
        <w:pStyle w:val="81"/>
        <w:keepNext w:val="0"/>
        <w:numPr>
          <w:ilvl w:val="1"/>
          <w:numId w:val="15"/>
        </w:numPr>
        <w:ind w:left="851" w:hanging="284"/>
        <w:rPr>
          <w:rFonts w:ascii="Verdana" w:hAnsi="Verdana" w:cs="Arial"/>
          <w:color w:val="000000"/>
          <w:szCs w:val="20"/>
          <w:lang w:eastAsia="en-US"/>
        </w:rPr>
      </w:pPr>
      <w:r>
        <w:rPr>
          <w:rFonts w:ascii="Verdana" w:hAnsi="Verdana" w:cs="Arial"/>
          <w:color w:val="000000"/>
          <w:szCs w:val="20"/>
          <w:lang w:eastAsia="en-US"/>
        </w:rPr>
        <w:t>A apuração e o julgamento das demais infrações administrativas não consideradas como ato lesivo à Administração Pública nacional ou estrangeira nos termos da Lei nº 12.846, de 1º de agosto de 2013, seguirão seu rito normal na unidade administrativa.</w:t>
      </w:r>
    </w:p>
    <w:p>
      <w:pPr>
        <w:pStyle w:val="81"/>
        <w:keepNext w:val="0"/>
        <w:numPr>
          <w:ilvl w:val="1"/>
          <w:numId w:val="15"/>
        </w:numPr>
        <w:ind w:left="851" w:hanging="284"/>
        <w:rPr>
          <w:rFonts w:ascii="Verdana" w:hAnsi="Verdana" w:cs="Arial"/>
          <w:color w:val="000000"/>
          <w:szCs w:val="20"/>
          <w:lang w:eastAsia="en-US"/>
        </w:rPr>
      </w:pPr>
      <w:r>
        <w:rPr>
          <w:rFonts w:ascii="Verdana" w:hAnsi="Verdana" w:cs="Arial"/>
          <w:color w:val="000000"/>
          <w:szCs w:val="20"/>
          <w:lang w:eastAsia="en-US"/>
        </w:rPr>
        <w:t xml:space="preserve">O processamento do PAR não interfere no seguimento regular dos processos administrativos específicos para apuração da ocorrência de danos e prejuízos à Administração Pública Federal resultantes de ato lesivo cometido por pessoa jurídica, com ou sem a participação de agente público. </w:t>
      </w:r>
    </w:p>
    <w:p>
      <w:pPr>
        <w:pStyle w:val="81"/>
        <w:keepNext w:val="0"/>
        <w:numPr>
          <w:ilvl w:val="1"/>
          <w:numId w:val="15"/>
        </w:numPr>
        <w:ind w:left="851" w:hanging="284"/>
        <w:rPr>
          <w:rFonts w:ascii="Verdana" w:hAnsi="Verdana" w:cs="Arial"/>
          <w:color w:val="000000"/>
          <w:szCs w:val="20"/>
          <w:lang w:eastAsia="en-US"/>
        </w:rPr>
      </w:pPr>
      <w:r>
        <w:rPr>
          <w:rFonts w:ascii="Verdana" w:hAnsi="Verdana" w:cs="Arial"/>
          <w:color w:val="000000"/>
          <w:szCs w:val="20"/>
          <w:lang w:eastAsia="en-US"/>
        </w:rPr>
        <w:t>Caso o valor da multa não seja suficiente para cobrir os prejuízos causados pela conduta da licitante, a União ou Entidade poderá cobrar o valor remanescente judicialmente, conforme artigo 419 do Código Civil.</w:t>
      </w:r>
    </w:p>
    <w:p>
      <w:pPr>
        <w:pStyle w:val="81"/>
        <w:keepNext w:val="0"/>
        <w:numPr>
          <w:ilvl w:val="1"/>
          <w:numId w:val="15"/>
        </w:numPr>
        <w:ind w:left="851" w:hanging="284"/>
        <w:rPr>
          <w:rFonts w:ascii="Verdana" w:hAnsi="Verdana" w:cs="Arial"/>
          <w:color w:val="000000"/>
          <w:szCs w:val="20"/>
          <w:lang w:eastAsia="en-US"/>
        </w:rPr>
      </w:pPr>
      <w:r>
        <w:rPr>
          <w:rFonts w:ascii="Verdana" w:hAnsi="Verdana" w:cs="Arial"/>
          <w:color w:val="000000"/>
          <w:szCs w:val="20"/>
          <w:lang w:eastAsia="en-US"/>
        </w:rPr>
        <w:t>A aplicação de qualquer das penalidades previstas realizar-se-á em processo administrativo que assegurará o contraditório e a ampla defesa a licitante/adjudicatária, observando-se o procedimento previsto na Lei nº 12.462, de 2011, e subsidiariamente nas Leis nº 8.666, de 1993 e 9.784, de 1999.</w:t>
      </w:r>
    </w:p>
    <w:p>
      <w:pPr>
        <w:pStyle w:val="81"/>
        <w:keepNext w:val="0"/>
        <w:numPr>
          <w:ilvl w:val="1"/>
          <w:numId w:val="15"/>
        </w:numPr>
        <w:ind w:left="851" w:hanging="284"/>
        <w:rPr>
          <w:rFonts w:ascii="Verdana" w:hAnsi="Verdana" w:cs="Arial"/>
          <w:color w:val="000000"/>
          <w:szCs w:val="20"/>
          <w:lang w:eastAsia="en-US"/>
        </w:rPr>
      </w:pPr>
      <w:r>
        <w:rPr>
          <w:rFonts w:ascii="Verdana" w:hAnsi="Verdana" w:cs="Arial"/>
          <w:color w:val="000000"/>
          <w:szCs w:val="20"/>
          <w:lang w:eastAsia="en-US"/>
        </w:rPr>
        <w:t>A autoridade competente, na aplicação das sanções, levará em consideração a gravidade da conduta do infrator, o caráter educativo da pena, bem como o dano causado à Administração, observado o princípio da proporcionalidade.</w:t>
      </w:r>
    </w:p>
    <w:p>
      <w:pPr>
        <w:pStyle w:val="81"/>
        <w:keepNext w:val="0"/>
        <w:numPr>
          <w:ilvl w:val="1"/>
          <w:numId w:val="15"/>
        </w:numPr>
        <w:ind w:left="851" w:hanging="284"/>
        <w:rPr>
          <w:rFonts w:ascii="Verdana" w:hAnsi="Verdana" w:cs="Arial"/>
          <w:color w:val="000000"/>
          <w:szCs w:val="20"/>
          <w:lang w:eastAsia="en-US"/>
        </w:rPr>
      </w:pPr>
      <w:r>
        <w:rPr>
          <w:rFonts w:ascii="Verdana" w:hAnsi="Verdana" w:cs="Arial"/>
          <w:color w:val="000000"/>
          <w:szCs w:val="20"/>
          <w:lang w:eastAsia="en-US"/>
        </w:rPr>
        <w:t>As penalidades serão obrigatoriamente registradas no SICAF.</w:t>
      </w:r>
    </w:p>
    <w:p>
      <w:pPr>
        <w:pStyle w:val="81"/>
        <w:keepNext w:val="0"/>
        <w:numPr>
          <w:ilvl w:val="1"/>
          <w:numId w:val="15"/>
        </w:numPr>
        <w:ind w:left="851" w:hanging="284"/>
        <w:rPr>
          <w:rFonts w:ascii="Verdana" w:hAnsi="Verdana" w:cs="Arial"/>
          <w:color w:val="000000"/>
          <w:szCs w:val="20"/>
          <w:lang w:eastAsia="en-US"/>
        </w:rPr>
      </w:pPr>
      <w:r>
        <w:rPr>
          <w:rFonts w:ascii="Verdana" w:hAnsi="Verdana" w:cs="Arial"/>
          <w:color w:val="000000"/>
          <w:szCs w:val="20"/>
          <w:lang w:eastAsia="en-US"/>
        </w:rPr>
        <w:t>As sanções por atos praticados no decorrer da contratação estão previstas no Termo de Referência.</w:t>
      </w:r>
    </w:p>
    <w:p>
      <w:pPr>
        <w:pStyle w:val="81"/>
        <w:keepNext w:val="0"/>
        <w:widowControl/>
        <w:spacing w:before="120" w:after="120"/>
        <w:ind w:left="425" w:firstLine="0"/>
        <w:rPr>
          <w:rFonts w:ascii="Verdana" w:hAnsi="Verdana" w:cs="Arial"/>
          <w:szCs w:val="20"/>
        </w:rPr>
      </w:pPr>
    </w:p>
    <w:p>
      <w:pPr>
        <w:pStyle w:val="81"/>
        <w:keepNext w:val="0"/>
        <w:numPr>
          <w:ilvl w:val="0"/>
          <w:numId w:val="15"/>
        </w:numPr>
        <w:ind w:left="284" w:hanging="284"/>
        <w:rPr>
          <w:rFonts w:ascii="Verdana" w:hAnsi="Verdana" w:cs="Arial"/>
          <w:b/>
          <w:color w:val="000000"/>
          <w:szCs w:val="20"/>
        </w:rPr>
      </w:pPr>
      <w:r>
        <w:rPr>
          <w:rFonts w:ascii="Verdana" w:hAnsi="Verdana" w:cs="Arial"/>
          <w:b/>
          <w:color w:val="000000"/>
          <w:szCs w:val="20"/>
        </w:rPr>
        <w:t xml:space="preserve"> DA IMPUGNAÇÃO AO EDITAL E DO PEDIDO DE ESCLARECIMENTO</w:t>
      </w:r>
    </w:p>
    <w:p>
      <w:pPr>
        <w:pStyle w:val="81"/>
        <w:keepNext w:val="0"/>
        <w:numPr>
          <w:ilvl w:val="1"/>
          <w:numId w:val="15"/>
        </w:numPr>
        <w:ind w:left="851" w:hanging="284"/>
        <w:rPr>
          <w:rFonts w:ascii="Verdana" w:hAnsi="Verdana" w:cs="Arial"/>
          <w:color w:val="000000"/>
          <w:szCs w:val="20"/>
          <w:lang w:eastAsia="en-US"/>
        </w:rPr>
      </w:pPr>
      <w:r>
        <w:rPr>
          <w:rFonts w:ascii="Verdana" w:hAnsi="Verdana" w:cs="Arial"/>
          <w:color w:val="000000"/>
          <w:szCs w:val="20"/>
          <w:lang w:eastAsia="en-US"/>
        </w:rPr>
        <w:t>Até 5 (cinco) dias úteis antes da data designada para a abertura da sessão pública, qualquer pessoa poderá impugnar este Edital.</w:t>
      </w:r>
    </w:p>
    <w:p>
      <w:pPr>
        <w:pStyle w:val="81"/>
        <w:keepNext w:val="0"/>
        <w:numPr>
          <w:ilvl w:val="2"/>
          <w:numId w:val="15"/>
        </w:numPr>
        <w:rPr>
          <w:rFonts w:ascii="Verdana" w:hAnsi="Verdana" w:cs="Arial"/>
          <w:color w:val="000000"/>
          <w:szCs w:val="20"/>
          <w:lang w:eastAsia="en-US"/>
        </w:rPr>
      </w:pPr>
      <w:r>
        <w:rPr>
          <w:rFonts w:ascii="Verdana" w:hAnsi="Verdana" w:cs="Arial"/>
          <w:color w:val="000000"/>
          <w:szCs w:val="20"/>
          <w:lang w:eastAsia="en-US"/>
        </w:rPr>
        <w:t xml:space="preserve">A Comissão do RDC deverá </w:t>
      </w:r>
      <w:r>
        <w:rPr>
          <w:rFonts w:ascii="Verdana" w:hAnsi="Verdana" w:cs="Arial" w:eastAsiaTheme="minorHAnsi"/>
          <w:szCs w:val="20"/>
          <w:lang w:eastAsia="en-US" w:bidi="ar-SA"/>
        </w:rPr>
        <w:t>julgar e responder à impugnação interposta em até</w:t>
      </w:r>
      <w:r>
        <w:rPr>
          <w:rFonts w:ascii="Verdana" w:hAnsi="Verdana" w:cs="Arial"/>
          <w:color w:val="000000"/>
          <w:szCs w:val="20"/>
          <w:lang w:eastAsia="en-US"/>
        </w:rPr>
        <w:t xml:space="preserve"> 03 (três) dias úteis, conforme determinação constante no § 1º do art. 41 da Lei 8.666/93.</w:t>
      </w:r>
    </w:p>
    <w:p>
      <w:pPr>
        <w:pStyle w:val="81"/>
        <w:keepNext w:val="0"/>
        <w:numPr>
          <w:ilvl w:val="1"/>
          <w:numId w:val="15"/>
        </w:numPr>
        <w:ind w:left="851" w:hanging="284"/>
        <w:rPr>
          <w:rFonts w:ascii="Verdana" w:hAnsi="Verdana" w:cs="Arial"/>
          <w:color w:val="000000"/>
          <w:szCs w:val="20"/>
        </w:rPr>
      </w:pPr>
      <w:r>
        <w:rPr>
          <w:rFonts w:ascii="Verdana" w:hAnsi="Verdana" w:cs="Arial"/>
          <w:color w:val="000000"/>
          <w:szCs w:val="20"/>
          <w:lang w:eastAsia="en-US"/>
        </w:rPr>
        <w:t xml:space="preserve">A impugnação poderá ser realizada por forma eletrônica, pelo e-mail </w:t>
      </w:r>
      <w:r>
        <w:fldChar w:fldCharType="begin"/>
      </w:r>
      <w:r>
        <w:instrText xml:space="preserve"> HYPERLINK "mailto:cpl@id.uff.br" </w:instrText>
      </w:r>
      <w:r>
        <w:fldChar w:fldCharType="separate"/>
      </w:r>
      <w:r>
        <w:rPr>
          <w:rStyle w:val="13"/>
          <w:rFonts w:ascii="Verdana" w:hAnsi="Verdana"/>
          <w:b/>
          <w:szCs w:val="20"/>
        </w:rPr>
        <w:t>rdc.cli.proad@id.uff.br</w:t>
      </w:r>
      <w:r>
        <w:rPr>
          <w:rStyle w:val="13"/>
          <w:rFonts w:ascii="Verdana" w:hAnsi="Verdana"/>
          <w:b/>
          <w:szCs w:val="20"/>
        </w:rPr>
        <w:fldChar w:fldCharType="end"/>
      </w:r>
      <w:r>
        <w:rPr>
          <w:rFonts w:ascii="Verdana" w:hAnsi="Verdana"/>
          <w:b/>
          <w:szCs w:val="20"/>
        </w:rPr>
        <w:t>.</w:t>
      </w:r>
      <w:r>
        <w:rPr>
          <w:rFonts w:ascii="Verdana" w:hAnsi="Verdana"/>
          <w:szCs w:val="20"/>
        </w:rPr>
        <w:t xml:space="preserve"> para a Comissão do RDC</w:t>
      </w:r>
      <w:r>
        <w:rPr>
          <w:rFonts w:ascii="Verdana" w:hAnsi="Verdana" w:cs="Arial"/>
          <w:color w:val="000000"/>
          <w:szCs w:val="20"/>
          <w:lang w:eastAsia="en-US"/>
        </w:rPr>
        <w:t xml:space="preserve">, ou por petição dirigida ou protocolada </w:t>
      </w:r>
      <w:r>
        <w:rPr>
          <w:rFonts w:ascii="Verdana" w:hAnsi="Verdana" w:cs="Arial"/>
          <w:szCs w:val="20"/>
        </w:rPr>
        <w:t>no Protocolo Geral da Reitoria, situado na Rua Miguel de Frias n.º 09, Icaraí, Niterói – RJ</w:t>
      </w:r>
      <w:r>
        <w:rPr>
          <w:rFonts w:ascii="Verdana" w:hAnsi="Verdana" w:cs="Arial"/>
          <w:color w:val="000000"/>
          <w:szCs w:val="20"/>
        </w:rPr>
        <w:t>.</w:t>
      </w:r>
    </w:p>
    <w:p>
      <w:pPr>
        <w:pStyle w:val="81"/>
        <w:keepNext w:val="0"/>
        <w:numPr>
          <w:ilvl w:val="1"/>
          <w:numId w:val="15"/>
        </w:numPr>
        <w:ind w:left="851" w:hanging="284"/>
        <w:rPr>
          <w:rFonts w:ascii="Verdana" w:hAnsi="Verdana" w:cs="Arial"/>
          <w:color w:val="000000"/>
          <w:szCs w:val="20"/>
          <w:lang w:eastAsia="en-US"/>
        </w:rPr>
      </w:pPr>
      <w:r>
        <w:rPr>
          <w:rFonts w:ascii="Verdana" w:hAnsi="Verdana" w:cs="Arial"/>
          <w:color w:val="000000"/>
          <w:szCs w:val="20"/>
          <w:lang w:eastAsia="en-US"/>
        </w:rPr>
        <w:t>Acolhida a impugnação, será definida e publicada nova data para a realização do certame.</w:t>
      </w:r>
    </w:p>
    <w:p>
      <w:pPr>
        <w:pStyle w:val="81"/>
        <w:keepNext w:val="0"/>
        <w:numPr>
          <w:ilvl w:val="1"/>
          <w:numId w:val="15"/>
        </w:numPr>
        <w:ind w:left="851" w:hanging="284"/>
        <w:rPr>
          <w:rFonts w:ascii="Verdana" w:hAnsi="Verdana" w:cs="Arial"/>
          <w:color w:val="000000"/>
          <w:szCs w:val="20"/>
          <w:lang w:eastAsia="en-US"/>
        </w:rPr>
      </w:pPr>
      <w:r>
        <w:rPr>
          <w:rFonts w:ascii="Verdana" w:hAnsi="Verdana" w:cs="Arial"/>
          <w:color w:val="000000"/>
          <w:szCs w:val="20"/>
          <w:lang w:eastAsia="en-US"/>
        </w:rPr>
        <w:t>Os pedidos de esclarecimentos referentes a este processo licitatório deverão ser enviados à Comissão de Licitação até 05 (cinco) dias úteis anteriores à data designada para abertura da sessão pública, exclusivamente por meio eletrônico via internet.</w:t>
      </w:r>
      <w:r>
        <w:rPr>
          <w:rFonts w:ascii="Verdana" w:hAnsi="Verdana"/>
          <w:szCs w:val="20"/>
        </w:rPr>
        <w:t xml:space="preserve"> </w:t>
      </w:r>
    </w:p>
    <w:p>
      <w:pPr>
        <w:pStyle w:val="81"/>
        <w:keepNext w:val="0"/>
        <w:numPr>
          <w:ilvl w:val="2"/>
          <w:numId w:val="15"/>
        </w:numPr>
        <w:ind w:left="1134" w:hanging="283"/>
        <w:rPr>
          <w:rFonts w:ascii="Verdana" w:hAnsi="Verdana" w:cs="Arial"/>
          <w:color w:val="000000"/>
          <w:szCs w:val="20"/>
          <w:lang w:eastAsia="en-US"/>
        </w:rPr>
      </w:pPr>
      <w:r>
        <w:rPr>
          <w:rFonts w:ascii="Verdana" w:hAnsi="Verdana"/>
          <w:szCs w:val="20"/>
        </w:rPr>
        <w:t xml:space="preserve">Os interessados que tiverem dúvidas, quanto às especificações dos serviços técnicos a serem realizados, planilhas de orçamento ou cronograma, deverão formular </w:t>
      </w:r>
      <w:r>
        <w:rPr>
          <w:rFonts w:ascii="Verdana" w:hAnsi="Verdana"/>
          <w:b/>
          <w:szCs w:val="20"/>
        </w:rPr>
        <w:t>consulta por escrito</w:t>
      </w:r>
      <w:r>
        <w:rPr>
          <w:rFonts w:ascii="Verdana" w:hAnsi="Verdana"/>
          <w:szCs w:val="20"/>
        </w:rPr>
        <w:t xml:space="preserve">, informando </w:t>
      </w:r>
      <w:r>
        <w:rPr>
          <w:rFonts w:ascii="Verdana" w:hAnsi="Verdana"/>
          <w:b/>
          <w:szCs w:val="20"/>
        </w:rPr>
        <w:t>o número da licitação, modalidade, objeto e nº do processo</w:t>
      </w:r>
      <w:r>
        <w:rPr>
          <w:rFonts w:ascii="Verdana" w:hAnsi="Verdana"/>
          <w:szCs w:val="20"/>
        </w:rPr>
        <w:t xml:space="preserve">, por e-mail: </w:t>
      </w:r>
      <w:r>
        <w:fldChar w:fldCharType="begin"/>
      </w:r>
      <w:r>
        <w:instrText xml:space="preserve"> HYPERLINK "mailto:cpl@id.uff.br" </w:instrText>
      </w:r>
      <w:r>
        <w:fldChar w:fldCharType="separate"/>
      </w:r>
      <w:r>
        <w:rPr>
          <w:rStyle w:val="13"/>
          <w:rFonts w:ascii="Verdana" w:hAnsi="Verdana"/>
          <w:b/>
          <w:szCs w:val="20"/>
        </w:rPr>
        <w:t>rdc.cli.proad@id.uff.br</w:t>
      </w:r>
      <w:r>
        <w:rPr>
          <w:rStyle w:val="13"/>
          <w:rFonts w:ascii="Verdana" w:hAnsi="Verdana"/>
          <w:b/>
          <w:szCs w:val="20"/>
        </w:rPr>
        <w:fldChar w:fldCharType="end"/>
      </w:r>
      <w:r>
        <w:rPr>
          <w:rFonts w:ascii="Verdana" w:hAnsi="Verdana"/>
          <w:b/>
          <w:szCs w:val="20"/>
        </w:rPr>
        <w:t>.</w:t>
      </w:r>
      <w:r>
        <w:rPr>
          <w:rFonts w:ascii="Verdana" w:hAnsi="Verdana"/>
          <w:szCs w:val="20"/>
        </w:rPr>
        <w:t xml:space="preserve"> para a Comissão do RDC que os reencaminhará para a Coordenadoria de Arquitetura/CArq da Divisão de Projetos/DDP da Superintendência de Arquitetura, Engenharia e Patrimônio/SAEP, para que os esclarecimentos possam ser prestados.</w:t>
      </w:r>
    </w:p>
    <w:p>
      <w:pPr>
        <w:pStyle w:val="81"/>
        <w:keepNext w:val="0"/>
        <w:numPr>
          <w:ilvl w:val="1"/>
          <w:numId w:val="15"/>
        </w:numPr>
        <w:ind w:left="851" w:hanging="284"/>
        <w:rPr>
          <w:rFonts w:ascii="Verdana" w:hAnsi="Verdana" w:cs="Arial"/>
          <w:color w:val="000000"/>
          <w:szCs w:val="20"/>
          <w:lang w:eastAsia="en-US"/>
        </w:rPr>
      </w:pPr>
      <w:r>
        <w:rPr>
          <w:rFonts w:ascii="Verdana" w:hAnsi="Verdana" w:cs="Arial"/>
          <w:color w:val="000000"/>
          <w:szCs w:val="20"/>
          <w:lang w:eastAsia="en-US"/>
        </w:rPr>
        <w:t>As impugnações e pedidos de esclarecimentos não suspendem os prazos previstos no certame.</w:t>
      </w:r>
    </w:p>
    <w:p>
      <w:pPr>
        <w:pStyle w:val="81"/>
        <w:keepNext w:val="0"/>
        <w:numPr>
          <w:ilvl w:val="1"/>
          <w:numId w:val="15"/>
        </w:numPr>
        <w:ind w:left="851" w:hanging="284"/>
        <w:rPr>
          <w:rFonts w:ascii="Verdana" w:hAnsi="Verdana" w:cs="Arial"/>
          <w:color w:val="000000"/>
          <w:szCs w:val="20"/>
          <w:lang w:eastAsia="en-US"/>
        </w:rPr>
      </w:pPr>
      <w:r>
        <w:rPr>
          <w:rFonts w:ascii="Verdana" w:hAnsi="Verdana" w:cs="Arial"/>
          <w:color w:val="000000"/>
          <w:szCs w:val="20"/>
          <w:lang w:eastAsia="en-US"/>
        </w:rPr>
        <w:t>A concessão de efeito suspensivo à impugnação é medida excepcional e deverá ser motivada pelo pregoeiro, nos autos do processo de licitação.</w:t>
      </w:r>
    </w:p>
    <w:p>
      <w:pPr>
        <w:pStyle w:val="81"/>
        <w:keepNext w:val="0"/>
        <w:numPr>
          <w:ilvl w:val="1"/>
          <w:numId w:val="15"/>
        </w:numPr>
        <w:ind w:left="851" w:hanging="284"/>
        <w:rPr>
          <w:rFonts w:ascii="Verdana" w:hAnsi="Verdana" w:cs="Arial"/>
          <w:color w:val="000000"/>
          <w:szCs w:val="20"/>
          <w:lang w:eastAsia="en-US"/>
        </w:rPr>
      </w:pPr>
      <w:r>
        <w:rPr>
          <w:rFonts w:ascii="Verdana" w:hAnsi="Verdana" w:cs="Arial"/>
          <w:color w:val="000000"/>
          <w:szCs w:val="20"/>
          <w:lang w:eastAsia="en-US"/>
        </w:rPr>
        <w:t>As respostas aos pedidos de esclarecimentos serão divulgadas pelo sistema e vincularão os participantes e a Administração.</w:t>
      </w:r>
    </w:p>
    <w:p>
      <w:pPr>
        <w:pStyle w:val="81"/>
        <w:keepNext w:val="0"/>
        <w:ind w:firstLine="0"/>
        <w:rPr>
          <w:rFonts w:ascii="Verdana" w:hAnsi="Verdana" w:cs="Arial"/>
          <w:b/>
          <w:color w:val="000000"/>
          <w:szCs w:val="20"/>
        </w:rPr>
      </w:pPr>
    </w:p>
    <w:p>
      <w:pPr>
        <w:pStyle w:val="81"/>
        <w:keepNext w:val="0"/>
        <w:numPr>
          <w:ilvl w:val="0"/>
          <w:numId w:val="15"/>
        </w:numPr>
        <w:ind w:left="284" w:hanging="284"/>
        <w:rPr>
          <w:rFonts w:ascii="Verdana" w:hAnsi="Verdana" w:cs="Arial"/>
          <w:b/>
          <w:color w:val="000000"/>
          <w:szCs w:val="20"/>
        </w:rPr>
      </w:pPr>
      <w:r>
        <w:rPr>
          <w:rFonts w:ascii="Verdana" w:hAnsi="Verdana" w:cs="Arial"/>
          <w:b/>
          <w:color w:val="000000"/>
          <w:szCs w:val="20"/>
        </w:rPr>
        <w:t>DAS DISPOSIÇÕES GERAIS</w:t>
      </w:r>
    </w:p>
    <w:p>
      <w:pPr>
        <w:pStyle w:val="81"/>
        <w:keepNext w:val="0"/>
        <w:numPr>
          <w:ilvl w:val="1"/>
          <w:numId w:val="15"/>
        </w:numPr>
        <w:ind w:left="851" w:hanging="284"/>
        <w:rPr>
          <w:rFonts w:ascii="Verdana" w:hAnsi="Verdana" w:cs="Arial"/>
          <w:color w:val="000000"/>
          <w:szCs w:val="20"/>
          <w:lang w:eastAsia="en-US"/>
        </w:rPr>
      </w:pPr>
      <w:r>
        <w:rPr>
          <w:rFonts w:ascii="Verdana" w:hAnsi="Verdana" w:cs="Arial"/>
          <w:color w:val="000000"/>
          <w:szCs w:val="20"/>
          <w:lang w:eastAsia="en-US"/>
        </w:rPr>
        <w:t>Da sessão pública do RDC divulgar-se-á Ata no sistema eletrônico.</w:t>
      </w:r>
    </w:p>
    <w:p>
      <w:pPr>
        <w:pStyle w:val="81"/>
        <w:keepNext w:val="0"/>
        <w:numPr>
          <w:ilvl w:val="1"/>
          <w:numId w:val="15"/>
        </w:numPr>
        <w:ind w:left="851" w:hanging="284"/>
        <w:rPr>
          <w:rFonts w:ascii="Verdana" w:hAnsi="Verdana" w:cs="Arial"/>
          <w:color w:val="000000"/>
          <w:szCs w:val="20"/>
          <w:lang w:eastAsia="en-US"/>
        </w:rPr>
      </w:pPr>
      <w:r>
        <w:rPr>
          <w:rFonts w:ascii="Verdana" w:hAnsi="Verdana" w:cs="Arial"/>
          <w:color w:val="000000"/>
          <w:szCs w:val="20"/>
          <w:lang w:eastAsia="en-US"/>
        </w:rPr>
        <w:t xml:space="preserve">Não havendo expediente ou ocorrendo qualquer fato superveniente que impeça a realização do certame na data marcada, a sessão será automaticamente transferida para o primeiro dia útil subsequente, no mesmo horário anteriormente estabelecido, desde que não haja comunicação em contrário, pela Comissão de Licitação.  </w:t>
      </w:r>
    </w:p>
    <w:p>
      <w:pPr>
        <w:pStyle w:val="81"/>
        <w:keepNext w:val="0"/>
        <w:numPr>
          <w:ilvl w:val="1"/>
          <w:numId w:val="15"/>
        </w:numPr>
        <w:ind w:left="851" w:hanging="284"/>
        <w:rPr>
          <w:rFonts w:ascii="Verdana" w:hAnsi="Verdana" w:cs="Arial"/>
          <w:color w:val="000000"/>
          <w:szCs w:val="20"/>
          <w:lang w:eastAsia="en-US"/>
        </w:rPr>
      </w:pPr>
      <w:r>
        <w:rPr>
          <w:rFonts w:ascii="Verdana" w:hAnsi="Verdana" w:cs="Arial"/>
          <w:color w:val="000000"/>
          <w:szCs w:val="20"/>
          <w:lang w:eastAsia="en-US"/>
        </w:rPr>
        <w:t>Todas as referências de tempo no Edital, no aviso e durante a sessão pública observarão o horário de Brasília – DF.</w:t>
      </w:r>
    </w:p>
    <w:p>
      <w:pPr>
        <w:pStyle w:val="81"/>
        <w:keepNext w:val="0"/>
        <w:numPr>
          <w:ilvl w:val="1"/>
          <w:numId w:val="15"/>
        </w:numPr>
        <w:ind w:left="851" w:hanging="284"/>
        <w:rPr>
          <w:rFonts w:ascii="Verdana" w:hAnsi="Verdana" w:cs="Arial"/>
          <w:color w:val="000000"/>
          <w:szCs w:val="20"/>
          <w:lang w:eastAsia="en-US"/>
        </w:rPr>
      </w:pPr>
      <w:r>
        <w:rPr>
          <w:rFonts w:ascii="Verdana" w:hAnsi="Verdana" w:cs="Arial"/>
          <w:color w:val="000000"/>
          <w:szCs w:val="20"/>
          <w:lang w:eastAsia="en-US"/>
        </w:rPr>
        <w:t>No julgamento das propostas e da habilitação, a Comissão do RDC poderá sanar erros ou falhas que não alterem a substância das propostas, dos documentos e sua validade jurídica, mediante despacho fundamentado, registrado em ata e acessível a todos, atribuindo-lhes validade e eficácia para fins de habilitação e classificação.</w:t>
      </w:r>
    </w:p>
    <w:p>
      <w:pPr>
        <w:pStyle w:val="81"/>
        <w:keepNext w:val="0"/>
        <w:numPr>
          <w:ilvl w:val="1"/>
          <w:numId w:val="15"/>
        </w:numPr>
        <w:ind w:left="851" w:hanging="284"/>
        <w:rPr>
          <w:rFonts w:ascii="Verdana" w:hAnsi="Verdana" w:cs="Arial"/>
          <w:color w:val="000000"/>
          <w:szCs w:val="20"/>
          <w:lang w:eastAsia="en-US"/>
        </w:rPr>
      </w:pPr>
      <w:r>
        <w:rPr>
          <w:rFonts w:ascii="Verdana" w:hAnsi="Verdana" w:cs="Arial"/>
          <w:color w:val="000000"/>
          <w:szCs w:val="20"/>
          <w:lang w:eastAsia="en-US"/>
        </w:rPr>
        <w:t>A homologação do resultado desta licitação não implicará direito à contratação.</w:t>
      </w:r>
    </w:p>
    <w:p>
      <w:pPr>
        <w:pStyle w:val="81"/>
        <w:keepNext w:val="0"/>
        <w:numPr>
          <w:ilvl w:val="1"/>
          <w:numId w:val="15"/>
        </w:numPr>
        <w:ind w:left="851" w:hanging="284"/>
        <w:rPr>
          <w:rFonts w:ascii="Verdana" w:hAnsi="Verdana" w:cs="Arial"/>
          <w:color w:val="000000"/>
          <w:szCs w:val="20"/>
          <w:lang w:eastAsia="en-US"/>
        </w:rPr>
      </w:pPr>
      <w:r>
        <w:rPr>
          <w:rFonts w:ascii="Verdana" w:hAnsi="Verdana" w:cs="Arial"/>
          <w:color w:val="000000"/>
          <w:szCs w:val="20"/>
          <w:lang w:eastAsia="en-US"/>
        </w:rPr>
        <w:t>As normas disciplinadoras da licitação serão sempre interpretadas em favor da ampliação da disputa entre os interessados, desde que não comprometam o interesse da Administração, o princípio da isonomia, a finalidade e a segurança da contratação.</w:t>
      </w:r>
    </w:p>
    <w:p>
      <w:pPr>
        <w:pStyle w:val="81"/>
        <w:keepNext w:val="0"/>
        <w:numPr>
          <w:ilvl w:val="1"/>
          <w:numId w:val="15"/>
        </w:numPr>
        <w:ind w:left="851" w:hanging="284"/>
        <w:rPr>
          <w:rFonts w:ascii="Verdana" w:hAnsi="Verdana" w:cs="Arial"/>
          <w:color w:val="000000"/>
          <w:szCs w:val="20"/>
          <w:lang w:eastAsia="en-US"/>
        </w:rPr>
      </w:pPr>
      <w:r>
        <w:rPr>
          <w:rFonts w:ascii="Verdana" w:hAnsi="Verdana" w:cs="Arial"/>
          <w:color w:val="000000"/>
          <w:szCs w:val="20"/>
          <w:lang w:eastAsia="en-US"/>
        </w:rPr>
        <w:t>As licitantes assumem todos os custos de preparação e apresentação de suas propostas e a Administração não será, em nenhum caso, responsável por esses custos, independentemente da condução ou do resultado do processo licitatório.</w:t>
      </w:r>
    </w:p>
    <w:p>
      <w:pPr>
        <w:pStyle w:val="81"/>
        <w:keepNext w:val="0"/>
        <w:numPr>
          <w:ilvl w:val="1"/>
          <w:numId w:val="15"/>
        </w:numPr>
        <w:ind w:left="851" w:hanging="284"/>
        <w:rPr>
          <w:rFonts w:ascii="Verdana" w:hAnsi="Verdana" w:cs="Arial"/>
          <w:color w:val="000000"/>
          <w:szCs w:val="20"/>
          <w:lang w:eastAsia="en-US"/>
        </w:rPr>
      </w:pPr>
      <w:r>
        <w:rPr>
          <w:rFonts w:ascii="Verdana" w:hAnsi="Verdana" w:cs="Arial"/>
          <w:color w:val="000000"/>
          <w:szCs w:val="20"/>
          <w:lang w:eastAsia="en-US"/>
        </w:rPr>
        <w:t>Na contagem dos prazos estabelecidos neste Edital e seus Anexos, excluir-se-á o dia do início e incluir-se-á o do vencimento. Só se iniciam e vencem os prazos em dias de expediente na Administração.</w:t>
      </w:r>
    </w:p>
    <w:p>
      <w:pPr>
        <w:pStyle w:val="81"/>
        <w:keepNext w:val="0"/>
        <w:numPr>
          <w:ilvl w:val="1"/>
          <w:numId w:val="15"/>
        </w:numPr>
        <w:ind w:left="851" w:hanging="284"/>
        <w:rPr>
          <w:rFonts w:ascii="Verdana" w:hAnsi="Verdana" w:cs="Arial"/>
          <w:color w:val="000000"/>
          <w:szCs w:val="20"/>
          <w:lang w:eastAsia="en-US"/>
        </w:rPr>
      </w:pPr>
      <w:r>
        <w:rPr>
          <w:rFonts w:ascii="Verdana" w:hAnsi="Verdana" w:cs="Arial"/>
          <w:color w:val="000000"/>
          <w:szCs w:val="20"/>
          <w:lang w:eastAsia="en-US"/>
        </w:rPr>
        <w:t>O desatendimento de exigências formais não essenciais não importará o afastamento da licitante, desde que seja possível o aproveitamento do ato, observados os princípios da isonomia e do interesse público.</w:t>
      </w:r>
    </w:p>
    <w:p>
      <w:pPr>
        <w:pStyle w:val="81"/>
        <w:keepNext w:val="0"/>
        <w:numPr>
          <w:ilvl w:val="1"/>
          <w:numId w:val="15"/>
        </w:numPr>
        <w:ind w:left="851" w:hanging="284"/>
        <w:rPr>
          <w:rFonts w:ascii="Verdana" w:hAnsi="Verdana" w:cs="Arial"/>
          <w:color w:val="000000"/>
          <w:szCs w:val="20"/>
          <w:lang w:eastAsia="en-US"/>
        </w:rPr>
      </w:pPr>
      <w:r>
        <w:rPr>
          <w:rFonts w:ascii="Verdana" w:hAnsi="Verdana" w:cs="Arial"/>
          <w:color w:val="000000"/>
          <w:szCs w:val="20"/>
          <w:lang w:eastAsia="en-US"/>
        </w:rPr>
        <w:t>Em caso de divergência entre disposições deste Edital e de seus anexos ou demais peças que compõem o processo, prevalecerá as deste Edital.</w:t>
      </w:r>
    </w:p>
    <w:p>
      <w:pPr>
        <w:pStyle w:val="81"/>
        <w:keepNext w:val="0"/>
        <w:numPr>
          <w:ilvl w:val="1"/>
          <w:numId w:val="15"/>
        </w:numPr>
        <w:ind w:left="851" w:hanging="284"/>
        <w:rPr>
          <w:rFonts w:ascii="Verdana" w:hAnsi="Verdana" w:cs="Arial"/>
          <w:color w:val="000000"/>
          <w:szCs w:val="20"/>
          <w:lang w:eastAsia="en-US"/>
        </w:rPr>
      </w:pPr>
      <w:r>
        <w:rPr>
          <w:rFonts w:ascii="Verdana" w:hAnsi="Verdana"/>
          <w:color w:val="000000"/>
          <w:szCs w:val="20"/>
          <w:shd w:val="clear" w:color="auto" w:fill="FFFFFF"/>
        </w:rPr>
        <w:t xml:space="preserve">O Edital está disponibilizado, na íntegra, no endereço eletrônico </w:t>
      </w:r>
      <w:r>
        <w:fldChar w:fldCharType="begin"/>
      </w:r>
      <w:r>
        <w:instrText xml:space="preserve"> HYPERLINK "http://comprasnet.gov.br/ConsultaLicitacoes/ConsLicitacao_Filtro.asp" </w:instrText>
      </w:r>
      <w:r>
        <w:fldChar w:fldCharType="separate"/>
      </w:r>
      <w:r>
        <w:rPr>
          <w:rStyle w:val="13"/>
          <w:rFonts w:ascii="Verdana" w:hAnsi="Verdana"/>
          <w:szCs w:val="20"/>
          <w:shd w:val="clear" w:color="auto" w:fill="FFFFFF"/>
        </w:rPr>
        <w:t>http://comprasnet.gov.br/ConsultaLicitacoes/ConsLicitacao_Filtro.asp</w:t>
      </w:r>
      <w:r>
        <w:rPr>
          <w:rStyle w:val="13"/>
          <w:rFonts w:ascii="Verdana" w:hAnsi="Verdana"/>
          <w:szCs w:val="20"/>
          <w:shd w:val="clear" w:color="auto" w:fill="FFFFFF"/>
        </w:rPr>
        <w:fldChar w:fldCharType="end"/>
      </w:r>
      <w:r>
        <w:rPr>
          <w:rFonts w:ascii="Verdana" w:hAnsi="Verdana"/>
          <w:color w:val="000000"/>
          <w:szCs w:val="20"/>
          <w:shd w:val="clear" w:color="auto" w:fill="FFFFFF"/>
        </w:rPr>
        <w:t xml:space="preserve"> </w:t>
      </w:r>
      <w:r>
        <w:rPr>
          <w:rFonts w:ascii="Verdana" w:hAnsi="Verdana"/>
          <w:szCs w:val="20"/>
        </w:rPr>
        <w:t xml:space="preserve">ou </w:t>
      </w:r>
      <w:r>
        <w:fldChar w:fldCharType="begin"/>
      </w:r>
      <w:r>
        <w:instrText xml:space="preserve"> HYPERLINK "http://www.uff.br/licitacoes" </w:instrText>
      </w:r>
      <w:r>
        <w:fldChar w:fldCharType="separate"/>
      </w:r>
      <w:r>
        <w:rPr>
          <w:rStyle w:val="13"/>
          <w:rFonts w:ascii="Verdana" w:hAnsi="Verdana" w:cs="Arial"/>
          <w:szCs w:val="20"/>
          <w:shd w:val="clear" w:color="auto" w:fill="FFFFFF"/>
        </w:rPr>
        <w:t>www.uff.br/licitacoes</w:t>
      </w:r>
      <w:r>
        <w:rPr>
          <w:rStyle w:val="13"/>
          <w:rFonts w:ascii="Verdana" w:hAnsi="Verdana" w:cs="Arial"/>
          <w:szCs w:val="20"/>
          <w:shd w:val="clear" w:color="auto" w:fill="FFFFFF"/>
        </w:rPr>
        <w:fldChar w:fldCharType="end"/>
      </w:r>
      <w:r>
        <w:rPr>
          <w:rFonts w:ascii="Verdana" w:hAnsi="Verdana"/>
          <w:szCs w:val="20"/>
        </w:rPr>
        <w:t>.</w:t>
      </w:r>
      <w:r>
        <w:rPr>
          <w:rFonts w:ascii="Verdana" w:hAnsi="Verdana"/>
          <w:color w:val="000000"/>
          <w:szCs w:val="20"/>
          <w:shd w:val="clear" w:color="auto" w:fill="FFFFFF"/>
        </w:rPr>
        <w:t xml:space="preserve"> Os autos do processo administrativo são digitais e podem ser consultados, por qualquer interessado, por meio do clique no nº do processo, constantes também do endereço eletrônico &lt;</w:t>
      </w:r>
      <w:r>
        <w:fldChar w:fldCharType="begin"/>
      </w:r>
      <w:r>
        <w:instrText xml:space="preserve"> HYPERLINK "http://www.uff.br/licitacoes" </w:instrText>
      </w:r>
      <w:r>
        <w:fldChar w:fldCharType="separate"/>
      </w:r>
      <w:r>
        <w:rPr>
          <w:rStyle w:val="13"/>
          <w:rFonts w:ascii="Verdana" w:hAnsi="Verdana" w:cs="Arial"/>
          <w:szCs w:val="20"/>
          <w:shd w:val="clear" w:color="auto" w:fill="FFFFFF"/>
        </w:rPr>
        <w:t>www.uff.br/licitacoes</w:t>
      </w:r>
      <w:r>
        <w:rPr>
          <w:rStyle w:val="13"/>
          <w:rFonts w:ascii="Verdana" w:hAnsi="Verdana" w:cs="Arial"/>
          <w:szCs w:val="20"/>
          <w:shd w:val="clear" w:color="auto" w:fill="FFFFFF"/>
        </w:rPr>
        <w:fldChar w:fldCharType="end"/>
      </w:r>
      <w:r>
        <w:rPr>
          <w:rFonts w:ascii="Verdana" w:hAnsi="Verdana" w:cs="Arial"/>
          <w:szCs w:val="20"/>
          <w:shd w:val="clear" w:color="auto" w:fill="FFFFFF"/>
        </w:rPr>
        <w:t>&gt;</w:t>
      </w:r>
      <w:r>
        <w:rPr>
          <w:rFonts w:ascii="Verdana" w:hAnsi="Verdana" w:cs="Arial"/>
          <w:color w:val="000000"/>
          <w:szCs w:val="20"/>
          <w:lang w:eastAsia="en-US"/>
        </w:rPr>
        <w:t>.</w:t>
      </w:r>
    </w:p>
    <w:p>
      <w:pPr>
        <w:pStyle w:val="81"/>
        <w:keepNext w:val="0"/>
        <w:ind w:left="851" w:hanging="284"/>
        <w:rPr>
          <w:rFonts w:ascii="Verdana" w:hAnsi="Verdana" w:cs="Arial"/>
          <w:color w:val="000000"/>
          <w:szCs w:val="20"/>
          <w:lang w:eastAsia="en-US"/>
        </w:rPr>
      </w:pPr>
    </w:p>
    <w:p>
      <w:pPr>
        <w:pStyle w:val="81"/>
        <w:keepNext w:val="0"/>
        <w:numPr>
          <w:ilvl w:val="1"/>
          <w:numId w:val="15"/>
        </w:numPr>
        <w:ind w:left="851" w:hanging="284"/>
        <w:rPr>
          <w:rFonts w:ascii="Verdana" w:hAnsi="Verdana" w:cs="Arial"/>
          <w:color w:val="000000"/>
          <w:sz w:val="18"/>
          <w:szCs w:val="18"/>
          <w:lang w:eastAsia="en-US"/>
        </w:rPr>
      </w:pPr>
      <w:r>
        <w:rPr>
          <w:rFonts w:ascii="Verdana" w:hAnsi="Verdana" w:cs="Arial"/>
          <w:color w:val="000000"/>
          <w:szCs w:val="20"/>
          <w:lang w:eastAsia="en-US"/>
        </w:rPr>
        <w:t>Integram este Edital, para todos os fins e efeitos, os seguintes anexos:</w:t>
      </w:r>
    </w:p>
    <w:p>
      <w:pPr>
        <w:pStyle w:val="81"/>
        <w:keepNext w:val="0"/>
        <w:numPr>
          <w:ilvl w:val="2"/>
          <w:numId w:val="15"/>
        </w:numPr>
        <w:ind w:left="1134" w:hanging="283"/>
        <w:rPr>
          <w:rFonts w:ascii="Verdana" w:hAnsi="Verdana" w:cs="Arial"/>
          <w:color w:val="auto"/>
          <w:sz w:val="18"/>
          <w:szCs w:val="18"/>
        </w:rPr>
      </w:pPr>
      <w:bookmarkStart w:id="23" w:name="_Hlk107934781"/>
      <w:r>
        <w:rPr>
          <w:rFonts w:ascii="Verdana" w:hAnsi="Verdana" w:cs="Arial"/>
          <w:color w:val="auto"/>
          <w:sz w:val="18"/>
          <w:szCs w:val="18"/>
        </w:rPr>
        <w:t>ANEXO I – Termo de Referência;</w:t>
      </w:r>
    </w:p>
    <w:p>
      <w:pPr>
        <w:pStyle w:val="81"/>
        <w:keepNext w:val="0"/>
        <w:numPr>
          <w:ilvl w:val="2"/>
          <w:numId w:val="15"/>
        </w:numPr>
        <w:ind w:left="1134" w:hanging="283"/>
        <w:rPr>
          <w:rFonts w:ascii="Verdana" w:hAnsi="Verdana" w:cs="Arial"/>
          <w:color w:val="auto"/>
          <w:sz w:val="18"/>
          <w:szCs w:val="18"/>
        </w:rPr>
      </w:pPr>
      <w:r>
        <w:rPr>
          <w:rFonts w:ascii="Verdana" w:hAnsi="Verdana" w:cs="Arial"/>
          <w:color w:val="auto"/>
          <w:sz w:val="18"/>
          <w:szCs w:val="18"/>
        </w:rPr>
        <w:t>ANEXO II-A – Planilha Resumo de Preços;</w:t>
      </w:r>
    </w:p>
    <w:p>
      <w:pPr>
        <w:pStyle w:val="81"/>
        <w:keepNext w:val="0"/>
        <w:numPr>
          <w:ilvl w:val="2"/>
          <w:numId w:val="15"/>
        </w:numPr>
        <w:ind w:left="1134" w:hanging="283"/>
        <w:rPr>
          <w:rFonts w:ascii="Verdana" w:hAnsi="Verdana" w:cs="Arial"/>
          <w:color w:val="auto"/>
          <w:sz w:val="18"/>
          <w:szCs w:val="18"/>
        </w:rPr>
      </w:pPr>
      <w:r>
        <w:rPr>
          <w:rFonts w:ascii="Verdana" w:hAnsi="Verdana" w:cs="Arial"/>
          <w:color w:val="auto"/>
          <w:sz w:val="18"/>
          <w:szCs w:val="18"/>
        </w:rPr>
        <w:t>ANEXO II-B – Planilha de Custos e Formação de Preços</w:t>
      </w:r>
      <w:r>
        <w:rPr>
          <w:rFonts w:hint="default" w:ascii="Verdana" w:hAnsi="Verdana" w:cs="Arial"/>
          <w:color w:val="auto"/>
          <w:sz w:val="18"/>
          <w:szCs w:val="18"/>
          <w:lang w:val="pt-BR"/>
        </w:rPr>
        <w:t xml:space="preserve"> (Anexo XIII do Termo de Referência)</w:t>
      </w:r>
      <w:r>
        <w:rPr>
          <w:rFonts w:ascii="Verdana" w:hAnsi="Verdana" w:cs="Arial"/>
          <w:color w:val="auto"/>
          <w:sz w:val="18"/>
          <w:szCs w:val="18"/>
        </w:rPr>
        <w:t>;</w:t>
      </w:r>
    </w:p>
    <w:p>
      <w:pPr>
        <w:pStyle w:val="81"/>
        <w:keepNext w:val="0"/>
        <w:numPr>
          <w:ilvl w:val="2"/>
          <w:numId w:val="15"/>
        </w:numPr>
        <w:ind w:left="1134" w:hanging="283"/>
        <w:rPr>
          <w:rFonts w:ascii="Verdana" w:hAnsi="Verdana" w:cs="Arial"/>
          <w:color w:val="auto"/>
          <w:sz w:val="18"/>
          <w:szCs w:val="18"/>
        </w:rPr>
      </w:pPr>
      <w:r>
        <w:rPr>
          <w:rFonts w:ascii="Verdana" w:hAnsi="Verdana" w:cs="Arial"/>
          <w:color w:val="auto"/>
          <w:sz w:val="18"/>
          <w:szCs w:val="18"/>
        </w:rPr>
        <w:t>ANEXO II-C – Modelo de Cronograma Físico-Financeiro</w:t>
      </w:r>
      <w:r>
        <w:rPr>
          <w:rFonts w:hint="default" w:ascii="Verdana" w:hAnsi="Verdana" w:cs="Arial"/>
          <w:color w:val="auto"/>
          <w:sz w:val="18"/>
          <w:szCs w:val="18"/>
          <w:lang w:val="pt-BR"/>
        </w:rPr>
        <w:t xml:space="preserve"> (Anexo XVI do Termo de Referência)</w:t>
      </w:r>
      <w:r>
        <w:rPr>
          <w:rFonts w:ascii="Verdana" w:hAnsi="Verdana" w:cs="Arial"/>
          <w:color w:val="auto"/>
          <w:sz w:val="18"/>
          <w:szCs w:val="18"/>
        </w:rPr>
        <w:t>;</w:t>
      </w:r>
    </w:p>
    <w:p>
      <w:pPr>
        <w:pStyle w:val="81"/>
        <w:keepNext w:val="0"/>
        <w:numPr>
          <w:ilvl w:val="2"/>
          <w:numId w:val="15"/>
        </w:numPr>
        <w:ind w:left="1134" w:hanging="283"/>
        <w:rPr>
          <w:rFonts w:ascii="Verdana" w:hAnsi="Verdana" w:cs="Arial"/>
          <w:color w:val="auto"/>
          <w:sz w:val="18"/>
          <w:szCs w:val="18"/>
        </w:rPr>
      </w:pPr>
      <w:r>
        <w:rPr>
          <w:rFonts w:hint="default" w:ascii="Verdana" w:hAnsi="Verdana" w:cs="Arial"/>
          <w:color w:val="auto"/>
          <w:sz w:val="18"/>
          <w:szCs w:val="18"/>
          <w:lang w:val="pt-BR"/>
        </w:rPr>
        <w:t xml:space="preserve">ANEXO II-D - </w:t>
      </w:r>
      <w:r>
        <w:rPr>
          <w:rFonts w:hint="default" w:ascii="Verdana" w:hAnsi="Verdana"/>
          <w:color w:val="auto"/>
          <w:sz w:val="18"/>
          <w:szCs w:val="18"/>
          <w:lang w:val="pt-BR"/>
        </w:rPr>
        <w:t xml:space="preserve">Composições de Preços Unitários Prévias; </w:t>
      </w:r>
    </w:p>
    <w:p>
      <w:pPr>
        <w:pStyle w:val="81"/>
        <w:keepNext w:val="0"/>
        <w:numPr>
          <w:ilvl w:val="2"/>
          <w:numId w:val="15"/>
        </w:numPr>
        <w:ind w:left="1134" w:hanging="283"/>
        <w:rPr>
          <w:rFonts w:ascii="Verdana" w:hAnsi="Verdana" w:cs="Arial"/>
          <w:color w:val="auto"/>
          <w:sz w:val="18"/>
          <w:szCs w:val="18"/>
        </w:rPr>
      </w:pPr>
      <w:r>
        <w:rPr>
          <w:rFonts w:ascii="Verdana" w:hAnsi="Verdana" w:cs="Arial"/>
          <w:color w:val="auto"/>
          <w:sz w:val="18"/>
          <w:szCs w:val="18"/>
        </w:rPr>
        <w:t>ANEXO III – Modelo de Composição do BDI</w:t>
      </w:r>
      <w:r>
        <w:rPr>
          <w:rFonts w:hint="default" w:ascii="Verdana" w:hAnsi="Verdana" w:cs="Arial"/>
          <w:color w:val="auto"/>
          <w:sz w:val="18"/>
          <w:szCs w:val="18"/>
          <w:lang w:val="pt-BR"/>
        </w:rPr>
        <w:t xml:space="preserve"> (Anexo XIV do Termo de Referência)</w:t>
      </w:r>
      <w:r>
        <w:rPr>
          <w:rFonts w:ascii="Verdana" w:hAnsi="Verdana" w:cs="Arial"/>
          <w:color w:val="auto"/>
          <w:sz w:val="18"/>
          <w:szCs w:val="18"/>
        </w:rPr>
        <w:t>;</w:t>
      </w:r>
    </w:p>
    <w:p>
      <w:pPr>
        <w:pStyle w:val="81"/>
        <w:keepNext w:val="0"/>
        <w:numPr>
          <w:ilvl w:val="2"/>
          <w:numId w:val="15"/>
        </w:numPr>
        <w:ind w:left="1134" w:hanging="283"/>
        <w:rPr>
          <w:rFonts w:ascii="Verdana" w:hAnsi="Verdana" w:cs="Arial"/>
          <w:color w:val="auto"/>
          <w:sz w:val="18"/>
          <w:szCs w:val="18"/>
        </w:rPr>
      </w:pPr>
      <w:r>
        <w:rPr>
          <w:rFonts w:ascii="Verdana" w:hAnsi="Verdana" w:cs="Arial"/>
          <w:color w:val="auto"/>
          <w:sz w:val="18"/>
          <w:szCs w:val="18"/>
        </w:rPr>
        <w:t>ANEXO IV – Modelo de Encargos Sociais e Trabalhistas</w:t>
      </w:r>
      <w:r>
        <w:rPr>
          <w:rFonts w:hint="default" w:ascii="Verdana" w:hAnsi="Verdana" w:cs="Arial"/>
          <w:color w:val="auto"/>
          <w:sz w:val="18"/>
          <w:szCs w:val="18"/>
          <w:lang w:val="pt-BR"/>
        </w:rPr>
        <w:t xml:space="preserve"> (Anexo XV do Termo de Referência)</w:t>
      </w:r>
      <w:r>
        <w:rPr>
          <w:rFonts w:ascii="Verdana" w:hAnsi="Verdana" w:cs="Arial"/>
          <w:color w:val="auto"/>
          <w:sz w:val="18"/>
          <w:szCs w:val="18"/>
        </w:rPr>
        <w:t>;</w:t>
      </w:r>
    </w:p>
    <w:p>
      <w:pPr>
        <w:pStyle w:val="81"/>
        <w:keepNext w:val="0"/>
        <w:numPr>
          <w:ilvl w:val="2"/>
          <w:numId w:val="15"/>
        </w:numPr>
        <w:ind w:left="1134" w:hanging="283"/>
        <w:rPr>
          <w:rFonts w:ascii="Verdana" w:hAnsi="Verdana" w:cs="Arial"/>
          <w:color w:val="auto"/>
          <w:sz w:val="18"/>
          <w:szCs w:val="18"/>
        </w:rPr>
      </w:pPr>
      <w:r>
        <w:rPr>
          <w:rFonts w:ascii="Verdana" w:hAnsi="Verdana" w:cs="Arial"/>
          <w:color w:val="auto"/>
          <w:sz w:val="18"/>
          <w:szCs w:val="18"/>
        </w:rPr>
        <w:t>ANEXO V – Modelo de Carta Proposta;</w:t>
      </w:r>
    </w:p>
    <w:p>
      <w:pPr>
        <w:pStyle w:val="81"/>
        <w:keepNext w:val="0"/>
        <w:numPr>
          <w:ilvl w:val="2"/>
          <w:numId w:val="15"/>
        </w:numPr>
        <w:ind w:left="1134" w:hanging="283"/>
        <w:rPr>
          <w:rFonts w:ascii="Verdana" w:hAnsi="Verdana" w:cs="Arial"/>
          <w:color w:val="auto"/>
          <w:sz w:val="18"/>
          <w:szCs w:val="18"/>
        </w:rPr>
      </w:pPr>
      <w:r>
        <w:rPr>
          <w:rFonts w:ascii="Verdana" w:hAnsi="Verdana" w:cs="Arial"/>
          <w:iCs/>
          <w:color w:val="auto"/>
          <w:sz w:val="18"/>
          <w:szCs w:val="18"/>
        </w:rPr>
        <w:t>ANEXO</w:t>
      </w:r>
      <w:r>
        <w:rPr>
          <w:rFonts w:ascii="Verdana" w:hAnsi="Verdana" w:cs="Arial"/>
          <w:color w:val="auto"/>
          <w:sz w:val="18"/>
          <w:szCs w:val="18"/>
        </w:rPr>
        <w:t xml:space="preserve"> VI – Modelo de Termo de Realização de Vistoria;</w:t>
      </w:r>
    </w:p>
    <w:p>
      <w:pPr>
        <w:pStyle w:val="81"/>
        <w:keepNext w:val="0"/>
        <w:numPr>
          <w:ilvl w:val="2"/>
          <w:numId w:val="15"/>
        </w:numPr>
        <w:ind w:left="1134" w:hanging="283"/>
        <w:rPr>
          <w:rFonts w:ascii="Verdana" w:hAnsi="Verdana" w:cs="Arial"/>
          <w:color w:val="auto"/>
          <w:sz w:val="18"/>
          <w:szCs w:val="18"/>
        </w:rPr>
      </w:pPr>
      <w:r>
        <w:rPr>
          <w:rFonts w:ascii="Verdana" w:hAnsi="Verdana" w:cs="Arial"/>
          <w:color w:val="auto"/>
          <w:sz w:val="18"/>
          <w:szCs w:val="18"/>
        </w:rPr>
        <w:t>ANEXO VII – Modelo de Termo de não Realização de Vistoria;</w:t>
      </w:r>
    </w:p>
    <w:p>
      <w:pPr>
        <w:pStyle w:val="81"/>
        <w:keepNext w:val="0"/>
        <w:numPr>
          <w:ilvl w:val="2"/>
          <w:numId w:val="15"/>
        </w:numPr>
        <w:ind w:left="1134" w:hanging="283"/>
        <w:rPr>
          <w:rFonts w:ascii="Verdana" w:hAnsi="Verdana" w:cs="Arial"/>
          <w:color w:val="auto"/>
          <w:sz w:val="18"/>
          <w:szCs w:val="18"/>
        </w:rPr>
      </w:pPr>
      <w:r>
        <w:rPr>
          <w:rFonts w:ascii="Verdana" w:hAnsi="Verdana" w:cs="Arial"/>
          <w:iCs/>
          <w:color w:val="auto"/>
          <w:sz w:val="18"/>
          <w:szCs w:val="18"/>
        </w:rPr>
        <w:t>ANEXO VIII– Modelo de Declaração de Responsabilidade</w:t>
      </w:r>
    </w:p>
    <w:p>
      <w:pPr>
        <w:pStyle w:val="81"/>
        <w:keepNext w:val="0"/>
        <w:numPr>
          <w:ilvl w:val="2"/>
          <w:numId w:val="15"/>
        </w:numPr>
        <w:ind w:left="1134" w:hanging="283"/>
        <w:rPr>
          <w:rFonts w:ascii="Verdana" w:hAnsi="Verdana" w:cs="Arial"/>
          <w:color w:val="auto"/>
          <w:sz w:val="18"/>
          <w:szCs w:val="18"/>
        </w:rPr>
      </w:pPr>
      <w:r>
        <w:rPr>
          <w:rFonts w:ascii="Verdana" w:hAnsi="Verdana" w:cs="Arial"/>
          <w:iCs/>
          <w:color w:val="auto"/>
          <w:sz w:val="18"/>
          <w:szCs w:val="18"/>
        </w:rPr>
        <w:t xml:space="preserve">ANEXO IX - </w:t>
      </w:r>
      <w:r>
        <w:rPr>
          <w:rFonts w:ascii="Verdana" w:hAnsi="Verdana" w:cs="Arial"/>
          <w:bCs/>
          <w:iCs/>
          <w:color w:val="auto"/>
          <w:sz w:val="18"/>
          <w:szCs w:val="18"/>
        </w:rPr>
        <w:t>Minuta de Termo de Contrato;</w:t>
      </w:r>
    </w:p>
    <w:p>
      <w:pPr>
        <w:pStyle w:val="81"/>
        <w:keepNext w:val="0"/>
        <w:numPr>
          <w:ilvl w:val="2"/>
          <w:numId w:val="15"/>
        </w:numPr>
        <w:ind w:left="1134" w:hanging="283"/>
        <w:rPr>
          <w:rFonts w:ascii="Verdana" w:hAnsi="Verdana" w:cs="Arial"/>
          <w:color w:val="auto"/>
          <w:sz w:val="18"/>
          <w:szCs w:val="18"/>
        </w:rPr>
      </w:pPr>
      <w:r>
        <w:rPr>
          <w:rFonts w:ascii="Verdana" w:hAnsi="Verdana" w:cs="Arial"/>
          <w:iCs/>
          <w:color w:val="auto"/>
          <w:sz w:val="18"/>
          <w:szCs w:val="18"/>
        </w:rPr>
        <w:t>ANEXO</w:t>
      </w:r>
      <w:r>
        <w:rPr>
          <w:rFonts w:ascii="Verdana" w:hAnsi="Verdana" w:cs="Arial"/>
          <w:bCs/>
          <w:iCs/>
          <w:color w:val="auto"/>
          <w:sz w:val="18"/>
          <w:szCs w:val="18"/>
        </w:rPr>
        <w:t xml:space="preserve"> X – </w:t>
      </w:r>
      <w:r>
        <w:rPr>
          <w:rFonts w:ascii="Verdana" w:hAnsi="Verdana" w:cstheme="minorHAnsi"/>
          <w:color w:val="auto"/>
          <w:sz w:val="18"/>
          <w:szCs w:val="18"/>
        </w:rPr>
        <w:t>Projeto Executivo de Arquitetura e Complementares (Anexo I a XII do Termo de Referência)</w:t>
      </w:r>
      <w:r>
        <w:rPr>
          <w:rFonts w:hint="default" w:ascii="Verdana" w:hAnsi="Verdana" w:cstheme="minorHAnsi"/>
          <w:color w:val="auto"/>
          <w:sz w:val="18"/>
          <w:szCs w:val="18"/>
          <w:lang w:val="pt-BR"/>
        </w:rPr>
        <w:t xml:space="preserve"> </w:t>
      </w:r>
      <w:r>
        <w:rPr>
          <w:rFonts w:hint="default" w:ascii="Verdana" w:hAnsi="Verdana" w:cstheme="minorHAnsi"/>
          <w:b/>
          <w:bCs/>
          <w:color w:val="auto"/>
          <w:sz w:val="20"/>
          <w:szCs w:val="20"/>
          <w:lang w:val="pt-BR"/>
        </w:rPr>
        <w:t xml:space="preserve">LINK DRIVE: </w:t>
      </w:r>
      <w:r>
        <w:rPr>
          <w:rFonts w:hint="default" w:ascii="Verdana" w:hAnsi="Verdana"/>
          <w:b/>
          <w:bCs/>
          <w:color w:val="auto"/>
          <w:sz w:val="20"/>
          <w:szCs w:val="20"/>
          <w:lang w:val="pt-BR"/>
        </w:rPr>
        <w:t>https://drive.google.com/drive/folders/1f-8Rdkug9-L2oD0ReuAYitzPWO4CJhxL?usp=share_link</w:t>
      </w:r>
      <w:r>
        <w:rPr>
          <w:rFonts w:ascii="Verdana" w:hAnsi="Verdana" w:cstheme="minorHAnsi"/>
          <w:color w:val="auto"/>
          <w:sz w:val="18"/>
          <w:szCs w:val="18"/>
        </w:rPr>
        <w:t>.</w:t>
      </w:r>
    </w:p>
    <w:p>
      <w:pPr>
        <w:pStyle w:val="81"/>
        <w:keepNext w:val="0"/>
        <w:ind w:left="1854" w:firstLine="0"/>
        <w:rPr>
          <w:rFonts w:ascii="Verdana" w:hAnsi="Verdana" w:cs="Arial"/>
          <w:sz w:val="18"/>
          <w:szCs w:val="18"/>
        </w:rPr>
      </w:pPr>
      <w:bookmarkStart w:id="24" w:name="_GoBack"/>
      <w:bookmarkEnd w:id="24"/>
    </w:p>
    <w:bookmarkEnd w:id="23"/>
    <w:p>
      <w:pPr>
        <w:pStyle w:val="81"/>
        <w:keepNext w:val="0"/>
        <w:rPr>
          <w:rFonts w:ascii="Verdana" w:hAnsi="Verdana" w:cs="Arial"/>
          <w:color w:val="000000"/>
          <w:sz w:val="18"/>
          <w:szCs w:val="18"/>
        </w:rPr>
      </w:pPr>
    </w:p>
    <w:p>
      <w:pPr>
        <w:pStyle w:val="81"/>
        <w:keepNext w:val="0"/>
        <w:jc w:val="center"/>
        <w:rPr>
          <w:rFonts w:ascii="Verdana" w:hAnsi="Verdana" w:cs="Arial"/>
          <w:color w:val="auto"/>
          <w:sz w:val="18"/>
          <w:szCs w:val="18"/>
        </w:rPr>
      </w:pPr>
      <w:r>
        <w:rPr>
          <w:rFonts w:ascii="Verdana" w:hAnsi="Verdana" w:cs="Arial"/>
          <w:color w:val="auto"/>
          <w:sz w:val="18"/>
          <w:szCs w:val="18"/>
        </w:rPr>
        <w:t xml:space="preserve">Niterói, </w:t>
      </w:r>
      <w:r>
        <w:rPr>
          <w:rFonts w:hint="default" w:ascii="Verdana" w:hAnsi="Verdana" w:cs="Arial"/>
          <w:color w:val="auto"/>
          <w:sz w:val="18"/>
          <w:szCs w:val="18"/>
          <w:lang w:val="pt-BR"/>
        </w:rPr>
        <w:t>05</w:t>
      </w:r>
      <w:r>
        <w:rPr>
          <w:rFonts w:ascii="Verdana" w:hAnsi="Verdana" w:cs="Arial"/>
          <w:color w:val="auto"/>
          <w:sz w:val="18"/>
          <w:szCs w:val="18"/>
        </w:rPr>
        <w:t xml:space="preserve"> de dezembro 2022.</w:t>
      </w:r>
    </w:p>
    <w:p>
      <w:pPr>
        <w:pStyle w:val="81"/>
        <w:keepNext w:val="0"/>
        <w:jc w:val="center"/>
        <w:rPr>
          <w:rFonts w:ascii="Verdana" w:hAnsi="Verdana" w:cs="Arial"/>
          <w:color w:val="000000"/>
          <w:sz w:val="18"/>
          <w:szCs w:val="18"/>
        </w:rPr>
      </w:pPr>
    </w:p>
    <w:p>
      <w:pPr>
        <w:pStyle w:val="81"/>
        <w:keepNext w:val="0"/>
        <w:spacing w:before="0" w:after="0" w:line="240" w:lineRule="auto"/>
        <w:jc w:val="center"/>
        <w:rPr>
          <w:rFonts w:ascii="Verdana" w:hAnsi="Verdana" w:cs="Arial"/>
          <w:color w:val="000000"/>
          <w:sz w:val="18"/>
          <w:szCs w:val="18"/>
        </w:rPr>
      </w:pPr>
    </w:p>
    <w:p>
      <w:pPr>
        <w:pStyle w:val="81"/>
        <w:keepNext w:val="0"/>
        <w:spacing w:before="0" w:after="0" w:line="240" w:lineRule="auto"/>
        <w:jc w:val="center"/>
        <w:rPr>
          <w:rFonts w:ascii="Verdana" w:hAnsi="Verdana" w:cs="Arial"/>
          <w:b/>
          <w:bCs/>
          <w:iCs/>
          <w:color w:val="000000"/>
          <w:sz w:val="16"/>
          <w:szCs w:val="16"/>
        </w:rPr>
      </w:pPr>
      <w:r>
        <w:rPr>
          <w:rFonts w:ascii="Verdana" w:hAnsi="Verdana" w:cs="Arial"/>
          <w:b/>
          <w:bCs/>
          <w:iCs/>
          <w:color w:val="000000"/>
          <w:sz w:val="16"/>
          <w:szCs w:val="16"/>
        </w:rPr>
        <w:t>Coordenação de Licitação/AD/UFF</w:t>
      </w:r>
    </w:p>
    <w:p>
      <w:pPr>
        <w:pStyle w:val="81"/>
        <w:keepNext w:val="0"/>
        <w:spacing w:before="0" w:after="0" w:line="240" w:lineRule="auto"/>
        <w:jc w:val="center"/>
        <w:rPr>
          <w:rFonts w:hint="default" w:ascii="Verdana" w:hAnsi="Verdana" w:cs="Arial"/>
          <w:b/>
          <w:bCs/>
          <w:iCs/>
          <w:color w:val="000000"/>
          <w:sz w:val="16"/>
          <w:szCs w:val="16"/>
          <w:lang w:val="pt-BR"/>
        </w:rPr>
      </w:pPr>
      <w:r>
        <w:rPr>
          <w:rFonts w:hint="default" w:ascii="Verdana" w:hAnsi="Verdana" w:cs="Arial"/>
          <w:b/>
          <w:bCs/>
          <w:iCs/>
          <w:color w:val="000000"/>
          <w:sz w:val="16"/>
          <w:szCs w:val="16"/>
          <w:lang w:val="pt-BR"/>
        </w:rPr>
        <w:t>CLI/PROAD/UFF</w:t>
      </w:r>
    </w:p>
    <w:p>
      <w:pPr>
        <w:pStyle w:val="81"/>
        <w:keepNext w:val="0"/>
        <w:jc w:val="center"/>
        <w:rPr>
          <w:rFonts w:ascii="Verdana" w:hAnsi="Verdana" w:cs="Arial"/>
          <w:b/>
          <w:bCs/>
          <w:iCs/>
          <w:color w:val="000000"/>
          <w:sz w:val="18"/>
          <w:szCs w:val="18"/>
        </w:rPr>
      </w:pPr>
    </w:p>
    <w:sectPr>
      <w:headerReference r:id="rId3" w:type="default"/>
      <w:footerReference r:id="rId4" w:type="default"/>
      <w:pgSz w:w="11906" w:h="16838"/>
      <w:pgMar w:top="851" w:right="1134" w:bottom="851" w:left="1701" w:header="426" w:footer="0" w:gutter="0"/>
      <w:cols w:space="720" w:num="1"/>
      <w:formProt w:val="0"/>
      <w:docGrid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EFF" w:usb1="C000785B" w:usb2="00000009" w:usb3="00000000" w:csb0="400001FF" w:csb1="FFFF0000"/>
  </w:font>
  <w:font w:name="Courier New">
    <w:panose1 w:val="02070309020205020404"/>
    <w:charset w:val="00"/>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SimHei">
    <w:altName w:val="SimSun"/>
    <w:panose1 w:val="02010609060101010101"/>
    <w:charset w:val="86"/>
    <w:family w:val="modern"/>
    <w:pitch w:val="default"/>
    <w:sig w:usb0="800002BF" w:usb1="38CF7CFA" w:usb2="00000016" w:usb3="00000000" w:csb0="00040001"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86"/>
    <w:family w:val="swiss"/>
    <w:pitch w:val="default"/>
    <w:sig w:usb0="E4002EFF" w:usb1="C000247B" w:usb2="00000009" w:usb3="00000000" w:csb0="200001FF" w:csb1="00000000"/>
  </w:font>
  <w:font w:name="Calibri">
    <w:panose1 w:val="020F0502020204030204"/>
    <w:charset w:val="00"/>
    <w:family w:val="auto"/>
    <w:pitch w:val="default"/>
    <w:sig w:usb0="E4002EFF" w:usb1="C000247B" w:usb2="00000009" w:usb3="00000000" w:csb0="200001FF" w:csb1="00000000"/>
  </w:font>
  <w:font w:name="Ecofont_Spranq_eco_Sans">
    <w:altName w:val="Calibri"/>
    <w:panose1 w:val="00000000000000000000"/>
    <w:charset w:val="00"/>
    <w:family w:val="roman"/>
    <w:pitch w:val="default"/>
    <w:sig w:usb0="00000000" w:usb1="00000000" w:usb2="00000000" w:usb3="00000000" w:csb0="00000000" w:csb1="00000000"/>
  </w:font>
  <w:font w:name="Tahoma">
    <w:panose1 w:val="020B0604030504040204"/>
    <w:charset w:val="00"/>
    <w:family w:val="swiss"/>
    <w:pitch w:val="default"/>
    <w:sig w:usb0="E1002EFF" w:usb1="C000605B" w:usb2="00000029" w:usb3="00000000" w:csb0="200101FF" w:csb1="20280000"/>
  </w:font>
  <w:font w:name="Liberation Sans">
    <w:altName w:val="Segoe Print"/>
    <w:panose1 w:val="00000000000000000000"/>
    <w:charset w:val="00"/>
    <w:family w:val="swiss"/>
    <w:pitch w:val="default"/>
    <w:sig w:usb0="00000000" w:usb1="00000000" w:usb2="00000021" w:usb3="00000000" w:csb0="000001BF" w:csb1="00000000"/>
  </w:font>
  <w:font w:name="Segoe Print">
    <w:panose1 w:val="02000600000000000000"/>
    <w:charset w:val="00"/>
    <w:family w:val="auto"/>
    <w:pitch w:val="default"/>
    <w:sig w:usb0="0000028F" w:usb1="00000000" w:usb2="00000000" w:usb3="00000000" w:csb0="2000009F" w:csb1="47010000"/>
  </w:font>
  <w:font w:name="WenQuanYi Micro Hei">
    <w:altName w:val="Times New Roman"/>
    <w:panose1 w:val="00000000000000000000"/>
    <w:charset w:val="00"/>
    <w:family w:val="roman"/>
    <w:pitch w:val="default"/>
    <w:sig w:usb0="00000000" w:usb1="00000000" w:usb2="00000000" w:usb3="00000000" w:csb0="00000000" w:csb1="00000000"/>
  </w:font>
  <w:font w:name="Lohit Hindi">
    <w:altName w:val="Times New Roman"/>
    <w:panose1 w:val="00000000000000000000"/>
    <w:charset w:val="00"/>
    <w:family w:val="roman"/>
    <w:pitch w:val="default"/>
    <w:sig w:usb0="00000000" w:usb1="00000000" w:usb2="00000000" w:usb3="00000000" w:csb0="00000000" w:csb1="00000000"/>
  </w:font>
  <w:font w:name="Arial Unicode MS">
    <w:altName w:val="Arial"/>
    <w:panose1 w:val="020B0604020202020204"/>
    <w:charset w:val="80"/>
    <w:family w:val="swiss"/>
    <w:pitch w:val="default"/>
    <w:sig w:usb0="00000000" w:usb1="00000000" w:usb2="0000003F" w:usb3="00000000" w:csb0="003F01FF" w:csb1="00000000"/>
  </w:font>
  <w:font w:name="Liberation Serif">
    <w:altName w:val="Times New Roman"/>
    <w:panose1 w:val="00000000000000000000"/>
    <w:charset w:val="00"/>
    <w:family w:val="roman"/>
    <w:pitch w:val="default"/>
    <w:sig w:usb0="00000000" w:usb1="00000000" w:usb2="00000021" w:usb3="00000000" w:csb0="000001BF" w:csb1="00000000"/>
  </w:font>
  <w:font w:name="Mangal">
    <w:altName w:val="Segoe Print"/>
    <w:panose1 w:val="00000400000000000000"/>
    <w:charset w:val="00"/>
    <w:family w:val="roman"/>
    <w:pitch w:val="default"/>
    <w:sig w:usb0="00000000" w:usb1="00000000" w:usb2="00000000" w:usb3="00000000" w:csb0="00000001" w:csb1="00000000"/>
  </w:font>
  <w:font w:name="Verdana">
    <w:panose1 w:val="020B0604030504040204"/>
    <w:charset w:val="00"/>
    <w:family w:val="swiss"/>
    <w:pitch w:val="default"/>
    <w:sig w:usb0="A00006FF" w:usb1="4000205B" w:usb2="00000010" w:usb3="00000000" w:csb0="2000019F" w:csb1="00000000"/>
  </w:font>
  <w:font w:name="Times-Roman">
    <w:altName w:val="Times New Roman"/>
    <w:panose1 w:val="00000000000000000000"/>
    <w:charset w:val="00"/>
    <w:family w:val="auto"/>
    <w:pitch w:val="default"/>
    <w:sig w:usb0="00000000" w:usb1="00000000" w:usb2="00000000" w:usb3="00000000" w:csb0="00000001" w:csb1="00000000"/>
  </w:font>
  <w:font w:name="Times-Bold">
    <w:altName w:val="Times New Roman"/>
    <w:panose1 w:val="00000000000000000000"/>
    <w:charset w:val="00"/>
    <w:family w:val="auto"/>
    <w:pitch w:val="default"/>
    <w:sig w:usb0="00000000" w:usb1="00000000" w:usb2="00000000" w:usb3="00000000" w:csb0="00000001" w:csb1="00000000"/>
  </w:font>
  <w:font w:name="Zurich BT">
    <w:altName w:val="Segoe Print"/>
    <w:panose1 w:val="00000000000000000000"/>
    <w:charset w:val="00"/>
    <w:family w:val="roman"/>
    <w:pitch w:val="default"/>
    <w:sig w:usb0="00000000" w:usb1="00000000" w:usb2="00000000" w:usb3="00000000" w:csb0="00000000" w:csb1="00000000"/>
  </w:font>
  <w:font w:name="TTE4E87780t00">
    <w:altName w:val="Calibri"/>
    <w:panose1 w:val="00000000000000000000"/>
    <w:charset w:val="00"/>
    <w:family w:val="auto"/>
    <w:pitch w:val="default"/>
    <w:sig w:usb0="00000000" w:usb1="00000000" w:usb2="00000000" w:usb3="00000000" w:csb0="00000001" w:csb1="00000000"/>
  </w:font>
  <w:font w:name="TTE431A0A0t00">
    <w:altName w:val="Calibri"/>
    <w:panose1 w:val="00000000000000000000"/>
    <w:charset w:val="00"/>
    <w:family w:val="auto"/>
    <w:pitch w:val="default"/>
    <w:sig w:usb0="00000000" w:usb1="00000000" w:usb2="00000000" w:usb3="00000000" w:csb0="00000001" w:csb1="00000000"/>
  </w:font>
  <w:font w:name="Times-Italic">
    <w:altName w:val="Segoe Print"/>
    <w:panose1 w:val="00000000000000000000"/>
    <w:charset w:val="00"/>
    <w:family w:val="auto"/>
    <w:pitch w:val="default"/>
    <w:sig w:usb0="00000000" w:usb1="00000000" w:usb2="00000000" w:usb3="00000000" w:csb0="00000001" w:csb1="00000000"/>
  </w:font>
  <w:font w:name="Times-BoldItalic">
    <w:altName w:val="Segoe Print"/>
    <w:panose1 w:val="00000000000000000000"/>
    <w:charset w:val="00"/>
    <w:family w:val="auto"/>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sz w:val="14"/>
        <w:szCs w:val="14"/>
      </w:rPr>
      <w:id w:val="250395305"/>
      <w:docPartObj>
        <w:docPartGallery w:val="autotext"/>
      </w:docPartObj>
    </w:sdtPr>
    <w:sdtEndPr>
      <w:rPr>
        <w:sz w:val="14"/>
        <w:szCs w:val="14"/>
      </w:rPr>
    </w:sdtEndPr>
    <w:sdtContent>
      <w:p>
        <w:pPr>
          <w:jc w:val="right"/>
          <w:rPr>
            <w:sz w:val="14"/>
            <w:szCs w:val="14"/>
          </w:rPr>
        </w:pPr>
        <w:r>
          <w:rPr>
            <w:sz w:val="14"/>
            <w:szCs w:val="14"/>
          </w:rPr>
          <w:t xml:space="preserve">Página </w:t>
        </w:r>
        <w:r>
          <w:rPr>
            <w:sz w:val="14"/>
            <w:szCs w:val="14"/>
          </w:rPr>
          <w:fldChar w:fldCharType="begin"/>
        </w:r>
        <w:r>
          <w:rPr>
            <w:sz w:val="14"/>
            <w:szCs w:val="14"/>
          </w:rPr>
          <w:instrText xml:space="preserve"> PAGE </w:instrText>
        </w:r>
        <w:r>
          <w:rPr>
            <w:sz w:val="14"/>
            <w:szCs w:val="14"/>
          </w:rPr>
          <w:fldChar w:fldCharType="separate"/>
        </w:r>
        <w:r>
          <w:rPr>
            <w:sz w:val="14"/>
            <w:szCs w:val="14"/>
          </w:rPr>
          <w:t>25</w:t>
        </w:r>
        <w:r>
          <w:rPr>
            <w:sz w:val="14"/>
            <w:szCs w:val="14"/>
          </w:rPr>
          <w:fldChar w:fldCharType="end"/>
        </w:r>
        <w:r>
          <w:rPr>
            <w:sz w:val="14"/>
            <w:szCs w:val="14"/>
          </w:rPr>
          <w:t xml:space="preserve"> de </w:t>
        </w:r>
        <w:r>
          <w:rPr>
            <w:sz w:val="14"/>
            <w:szCs w:val="14"/>
          </w:rPr>
          <w:fldChar w:fldCharType="begin"/>
        </w:r>
        <w:r>
          <w:rPr>
            <w:sz w:val="14"/>
            <w:szCs w:val="14"/>
          </w:rPr>
          <w:instrText xml:space="preserve"> NUMPAGES  </w:instrText>
        </w:r>
        <w:r>
          <w:rPr>
            <w:sz w:val="14"/>
            <w:szCs w:val="14"/>
          </w:rPr>
          <w:fldChar w:fldCharType="separate"/>
        </w:r>
        <w:r>
          <w:rPr>
            <w:sz w:val="14"/>
            <w:szCs w:val="14"/>
          </w:rPr>
          <w:t>25</w:t>
        </w:r>
        <w:r>
          <w:rPr>
            <w:sz w:val="14"/>
            <w:szCs w:val="14"/>
          </w:rPr>
          <w:fldChar w:fldCharType="end"/>
        </w:r>
      </w:p>
    </w:sdtContent>
  </w:sdt>
  <w:p>
    <w:pPr>
      <w:pStyle w:val="21"/>
      <w:keepNext w:val="0"/>
      <w:rPr>
        <w:sz w:val="16"/>
        <w:szCs w:val="16"/>
      </w:rPr>
    </w:pPr>
    <w:r>
      <w:t>___________________________________________________________________</w:t>
    </w:r>
  </w:p>
  <w:p>
    <w:pPr>
      <w:pStyle w:val="21"/>
      <w:rPr>
        <w:rFonts w:cs="Arial"/>
        <w:sz w:val="12"/>
        <w:szCs w:val="12"/>
      </w:rPr>
    </w:pPr>
    <w:r>
      <w:rPr>
        <w:rFonts w:cs="Arial"/>
        <w:sz w:val="12"/>
        <w:szCs w:val="12"/>
      </w:rPr>
      <w:t>Câmara Nacional de Modelos de Licitações e Contratos Administrativos da Consultoria-Geral da União</w:t>
    </w:r>
  </w:p>
  <w:p>
    <w:pPr>
      <w:pStyle w:val="21"/>
      <w:rPr>
        <w:rFonts w:cs="Arial"/>
        <w:sz w:val="12"/>
        <w:szCs w:val="12"/>
      </w:rPr>
    </w:pPr>
    <w:r>
      <w:rPr>
        <w:rFonts w:cs="Arial"/>
        <w:sz w:val="12"/>
        <w:szCs w:val="12"/>
      </w:rPr>
      <w:t>Edital modelo para Regime Diferenciado de Contratações. Obras</w:t>
    </w:r>
  </w:p>
  <w:p>
    <w:pPr>
      <w:pStyle w:val="21"/>
      <w:keepNext w:val="0"/>
    </w:pPr>
  </w:p>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9"/>
      <w:jc w:val="right"/>
      <w:rPr>
        <w:sz w:val="16"/>
        <w:szCs w:val="16"/>
      </w:rPr>
    </w:pPr>
    <w:r>
      <w:rPr>
        <w:sz w:val="16"/>
        <w:szCs w:val="16"/>
      </w:rPr>
      <w:t>Processo n.º 23069.190357/2022-03</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3377B35"/>
    <w:multiLevelType w:val="multilevel"/>
    <w:tmpl w:val="03377B35"/>
    <w:lvl w:ilvl="0" w:tentative="0">
      <w:start w:val="8"/>
      <w:numFmt w:val="decimal"/>
      <w:lvlText w:val="%1."/>
      <w:lvlJc w:val="left"/>
      <w:pPr>
        <w:ind w:left="375" w:hanging="375"/>
      </w:pPr>
      <w:rPr>
        <w:rFonts w:hint="default" w:cs="Times New Roman"/>
        <w:color w:val="000000"/>
      </w:rPr>
    </w:lvl>
    <w:lvl w:ilvl="1" w:tentative="0">
      <w:start w:val="1"/>
      <w:numFmt w:val="decimal"/>
      <w:lvlText w:val="%1.%2."/>
      <w:lvlJc w:val="left"/>
      <w:pPr>
        <w:ind w:left="1287" w:hanging="720"/>
      </w:pPr>
      <w:rPr>
        <w:rFonts w:hint="default" w:cs="Times New Roman"/>
        <w:color w:val="000000"/>
      </w:rPr>
    </w:lvl>
    <w:lvl w:ilvl="2" w:tentative="0">
      <w:start w:val="1"/>
      <w:numFmt w:val="lowerLetter"/>
      <w:lvlText w:val="%3)"/>
      <w:lvlJc w:val="left"/>
      <w:pPr>
        <w:ind w:left="1854" w:hanging="720"/>
      </w:pPr>
      <w:rPr>
        <w:rFonts w:hint="default"/>
        <w:color w:val="000000"/>
      </w:rPr>
    </w:lvl>
    <w:lvl w:ilvl="3" w:tentative="0">
      <w:start w:val="1"/>
      <w:numFmt w:val="decimal"/>
      <w:lvlText w:val="%1.%2.%3.%4."/>
      <w:lvlJc w:val="left"/>
      <w:pPr>
        <w:ind w:left="2781" w:hanging="1080"/>
      </w:pPr>
      <w:rPr>
        <w:rFonts w:hint="default" w:cs="Times New Roman"/>
        <w:color w:val="000000"/>
      </w:rPr>
    </w:lvl>
    <w:lvl w:ilvl="4" w:tentative="0">
      <w:start w:val="1"/>
      <w:numFmt w:val="decimal"/>
      <w:lvlText w:val="%1.%2.%3.%4.%5."/>
      <w:lvlJc w:val="left"/>
      <w:pPr>
        <w:ind w:left="3708" w:hanging="1440"/>
      </w:pPr>
      <w:rPr>
        <w:rFonts w:hint="default" w:cs="Times New Roman"/>
        <w:color w:val="000000"/>
      </w:rPr>
    </w:lvl>
    <w:lvl w:ilvl="5" w:tentative="0">
      <w:start w:val="1"/>
      <w:numFmt w:val="decimal"/>
      <w:lvlText w:val="%1.%2.%3.%4.%5.%6."/>
      <w:lvlJc w:val="left"/>
      <w:pPr>
        <w:ind w:left="4275" w:hanging="1440"/>
      </w:pPr>
      <w:rPr>
        <w:rFonts w:hint="default" w:cs="Times New Roman"/>
        <w:color w:val="000000"/>
      </w:rPr>
    </w:lvl>
    <w:lvl w:ilvl="6" w:tentative="0">
      <w:start w:val="1"/>
      <w:numFmt w:val="decimal"/>
      <w:lvlText w:val="%1.%2.%3.%4.%5.%6.%7."/>
      <w:lvlJc w:val="left"/>
      <w:pPr>
        <w:ind w:left="5202" w:hanging="1800"/>
      </w:pPr>
      <w:rPr>
        <w:rFonts w:hint="default" w:cs="Times New Roman"/>
        <w:color w:val="000000"/>
      </w:rPr>
    </w:lvl>
    <w:lvl w:ilvl="7" w:tentative="0">
      <w:start w:val="1"/>
      <w:numFmt w:val="decimal"/>
      <w:lvlText w:val="%1.%2.%3.%4.%5.%6.%7.%8."/>
      <w:lvlJc w:val="left"/>
      <w:pPr>
        <w:ind w:left="6129" w:hanging="2160"/>
      </w:pPr>
      <w:rPr>
        <w:rFonts w:hint="default" w:cs="Times New Roman"/>
        <w:color w:val="000000"/>
      </w:rPr>
    </w:lvl>
    <w:lvl w:ilvl="8" w:tentative="0">
      <w:start w:val="1"/>
      <w:numFmt w:val="decimal"/>
      <w:lvlText w:val="%1.%2.%3.%4.%5.%6.%7.%8.%9."/>
      <w:lvlJc w:val="left"/>
      <w:pPr>
        <w:ind w:left="6696" w:hanging="2160"/>
      </w:pPr>
      <w:rPr>
        <w:rFonts w:hint="default" w:cs="Times New Roman"/>
        <w:color w:val="000000"/>
      </w:rPr>
    </w:lvl>
  </w:abstractNum>
  <w:abstractNum w:abstractNumId="1">
    <w:nsid w:val="07A15581"/>
    <w:multiLevelType w:val="multilevel"/>
    <w:tmpl w:val="07A15581"/>
    <w:lvl w:ilvl="0" w:tentative="0">
      <w:start w:val="1"/>
      <w:numFmt w:val="none"/>
      <w:pStyle w:val="2"/>
      <w:suff w:val="nothing"/>
      <w:lvlText w:val=""/>
      <w:lvlJc w:val="left"/>
      <w:pPr>
        <w:tabs>
          <w:tab w:val="left" w:pos="432"/>
        </w:tabs>
        <w:ind w:left="432" w:hanging="432"/>
      </w:pPr>
    </w:lvl>
    <w:lvl w:ilvl="1" w:tentative="0">
      <w:start w:val="1"/>
      <w:numFmt w:val="none"/>
      <w:pStyle w:val="5"/>
      <w:suff w:val="nothing"/>
      <w:lvlText w:val=""/>
      <w:lvlJc w:val="left"/>
      <w:pPr>
        <w:ind w:left="0" w:firstLine="0"/>
      </w:pPr>
    </w:lvl>
    <w:lvl w:ilvl="2" w:tentative="0">
      <w:start w:val="1"/>
      <w:numFmt w:val="none"/>
      <w:pStyle w:val="6"/>
      <w:suff w:val="nothing"/>
      <w:lvlText w:val=""/>
      <w:lvlJc w:val="left"/>
      <w:pPr>
        <w:tabs>
          <w:tab w:val="left" w:pos="720"/>
        </w:tabs>
        <w:ind w:left="720" w:hanging="720"/>
      </w:pPr>
    </w:lvl>
    <w:lvl w:ilvl="3" w:tentative="0">
      <w:start w:val="1"/>
      <w:numFmt w:val="none"/>
      <w:suff w:val="nothing"/>
      <w:lvlText w:val=""/>
      <w:lvlJc w:val="left"/>
      <w:pPr>
        <w:tabs>
          <w:tab w:val="left" w:pos="864"/>
        </w:tabs>
        <w:ind w:left="864" w:hanging="864"/>
      </w:pPr>
    </w:lvl>
    <w:lvl w:ilvl="4" w:tentative="0">
      <w:start w:val="1"/>
      <w:numFmt w:val="none"/>
      <w:suff w:val="nothing"/>
      <w:lvlText w:val=""/>
      <w:lvlJc w:val="left"/>
      <w:pPr>
        <w:tabs>
          <w:tab w:val="left" w:pos="1008"/>
        </w:tabs>
        <w:ind w:left="1008" w:hanging="1008"/>
      </w:pPr>
    </w:lvl>
    <w:lvl w:ilvl="5" w:tentative="0">
      <w:start w:val="1"/>
      <w:numFmt w:val="none"/>
      <w:suff w:val="nothing"/>
      <w:lvlText w:val=""/>
      <w:lvlJc w:val="left"/>
      <w:pPr>
        <w:tabs>
          <w:tab w:val="left" w:pos="1152"/>
        </w:tabs>
        <w:ind w:left="1152" w:hanging="1152"/>
      </w:pPr>
    </w:lvl>
    <w:lvl w:ilvl="6" w:tentative="0">
      <w:start w:val="1"/>
      <w:numFmt w:val="none"/>
      <w:suff w:val="nothing"/>
      <w:lvlText w:val=""/>
      <w:lvlJc w:val="left"/>
      <w:pPr>
        <w:tabs>
          <w:tab w:val="left" w:pos="1296"/>
        </w:tabs>
        <w:ind w:left="1296" w:hanging="1296"/>
      </w:pPr>
    </w:lvl>
    <w:lvl w:ilvl="7" w:tentative="0">
      <w:start w:val="1"/>
      <w:numFmt w:val="none"/>
      <w:suff w:val="nothing"/>
      <w:lvlText w:val=""/>
      <w:lvlJc w:val="left"/>
      <w:pPr>
        <w:tabs>
          <w:tab w:val="left" w:pos="1440"/>
        </w:tabs>
        <w:ind w:left="1440" w:hanging="1440"/>
      </w:pPr>
    </w:lvl>
    <w:lvl w:ilvl="8" w:tentative="0">
      <w:start w:val="1"/>
      <w:numFmt w:val="none"/>
      <w:suff w:val="nothing"/>
      <w:lvlText w:val=""/>
      <w:lvlJc w:val="left"/>
      <w:pPr>
        <w:tabs>
          <w:tab w:val="left" w:pos="1584"/>
        </w:tabs>
        <w:ind w:left="1584" w:hanging="1584"/>
      </w:pPr>
    </w:lvl>
  </w:abstractNum>
  <w:abstractNum w:abstractNumId="2">
    <w:nsid w:val="0999760F"/>
    <w:multiLevelType w:val="multilevel"/>
    <w:tmpl w:val="0999760F"/>
    <w:lvl w:ilvl="0" w:tentative="0">
      <w:start w:val="4"/>
      <w:numFmt w:val="decimal"/>
      <w:lvlText w:val="%1."/>
      <w:lvlJc w:val="left"/>
      <w:pPr>
        <w:ind w:left="660" w:hanging="660"/>
      </w:pPr>
      <w:rPr>
        <w:rFonts w:hint="default"/>
        <w:color w:val="000000"/>
      </w:rPr>
    </w:lvl>
    <w:lvl w:ilvl="1" w:tentative="0">
      <w:start w:val="6"/>
      <w:numFmt w:val="decimal"/>
      <w:lvlText w:val="%1.%2."/>
      <w:lvlJc w:val="left"/>
      <w:pPr>
        <w:ind w:left="1038" w:hanging="660"/>
      </w:pPr>
      <w:rPr>
        <w:rFonts w:hint="default"/>
        <w:color w:val="000000"/>
      </w:rPr>
    </w:lvl>
    <w:lvl w:ilvl="2" w:tentative="0">
      <w:start w:val="1"/>
      <w:numFmt w:val="decimal"/>
      <w:lvlText w:val="%1.%2.%3."/>
      <w:lvlJc w:val="left"/>
      <w:pPr>
        <w:ind w:left="1476" w:hanging="720"/>
      </w:pPr>
      <w:rPr>
        <w:rFonts w:hint="default"/>
        <w:color w:val="000000"/>
      </w:rPr>
    </w:lvl>
    <w:lvl w:ilvl="3" w:tentative="0">
      <w:start w:val="1"/>
      <w:numFmt w:val="decimal"/>
      <w:lvlText w:val="%1.%2.%3.%4."/>
      <w:lvlJc w:val="left"/>
      <w:pPr>
        <w:ind w:left="1854" w:hanging="720"/>
      </w:pPr>
      <w:rPr>
        <w:rFonts w:hint="default"/>
        <w:color w:val="000000"/>
      </w:rPr>
    </w:lvl>
    <w:lvl w:ilvl="4" w:tentative="0">
      <w:start w:val="1"/>
      <w:numFmt w:val="decimal"/>
      <w:lvlText w:val="%1.%2.%3.%4.%5."/>
      <w:lvlJc w:val="left"/>
      <w:pPr>
        <w:ind w:left="2592" w:hanging="1080"/>
      </w:pPr>
      <w:rPr>
        <w:rFonts w:hint="default"/>
        <w:color w:val="000000"/>
      </w:rPr>
    </w:lvl>
    <w:lvl w:ilvl="5" w:tentative="0">
      <w:start w:val="1"/>
      <w:numFmt w:val="decimal"/>
      <w:lvlText w:val="%1.%2.%3.%4.%5.%6."/>
      <w:lvlJc w:val="left"/>
      <w:pPr>
        <w:ind w:left="2970" w:hanging="1080"/>
      </w:pPr>
      <w:rPr>
        <w:rFonts w:hint="default"/>
        <w:color w:val="000000"/>
      </w:rPr>
    </w:lvl>
    <w:lvl w:ilvl="6" w:tentative="0">
      <w:start w:val="1"/>
      <w:numFmt w:val="decimal"/>
      <w:lvlText w:val="%1.%2.%3.%4.%5.%6.%7."/>
      <w:lvlJc w:val="left"/>
      <w:pPr>
        <w:ind w:left="3708" w:hanging="1440"/>
      </w:pPr>
      <w:rPr>
        <w:rFonts w:hint="default"/>
        <w:color w:val="000000"/>
      </w:rPr>
    </w:lvl>
    <w:lvl w:ilvl="7" w:tentative="0">
      <w:start w:val="1"/>
      <w:numFmt w:val="decimal"/>
      <w:lvlText w:val="%1.%2.%3.%4.%5.%6.%7.%8."/>
      <w:lvlJc w:val="left"/>
      <w:pPr>
        <w:ind w:left="4086" w:hanging="1440"/>
      </w:pPr>
      <w:rPr>
        <w:rFonts w:hint="default"/>
        <w:color w:val="000000"/>
      </w:rPr>
    </w:lvl>
    <w:lvl w:ilvl="8" w:tentative="0">
      <w:start w:val="1"/>
      <w:numFmt w:val="decimal"/>
      <w:lvlText w:val="%1.%2.%3.%4.%5.%6.%7.%8.%9."/>
      <w:lvlJc w:val="left"/>
      <w:pPr>
        <w:ind w:left="4824" w:hanging="1800"/>
      </w:pPr>
      <w:rPr>
        <w:rFonts w:hint="default"/>
        <w:color w:val="000000"/>
      </w:rPr>
    </w:lvl>
  </w:abstractNum>
  <w:abstractNum w:abstractNumId="3">
    <w:nsid w:val="1F8B3FEA"/>
    <w:multiLevelType w:val="multilevel"/>
    <w:tmpl w:val="1F8B3FEA"/>
    <w:lvl w:ilvl="0" w:tentative="0">
      <w:start w:val="4"/>
      <w:numFmt w:val="decimal"/>
      <w:lvlText w:val="%1"/>
      <w:lvlJc w:val="left"/>
      <w:pPr>
        <w:tabs>
          <w:tab w:val="left" w:pos="360"/>
        </w:tabs>
        <w:ind w:left="360" w:hanging="360"/>
      </w:pPr>
      <w:rPr>
        <w:rFonts w:hint="default"/>
        <w:b/>
      </w:rPr>
    </w:lvl>
    <w:lvl w:ilvl="1" w:tentative="0">
      <w:start w:val="1"/>
      <w:numFmt w:val="decimal"/>
      <w:lvlText w:val="%1.%2"/>
      <w:lvlJc w:val="left"/>
      <w:pPr>
        <w:tabs>
          <w:tab w:val="left" w:pos="1211"/>
        </w:tabs>
        <w:ind w:left="1211" w:hanging="644"/>
      </w:pPr>
      <w:rPr>
        <w:rFonts w:hint="default" w:ascii="Verdana" w:hAnsi="Verdana"/>
        <w:b w:val="0"/>
        <w:sz w:val="18"/>
        <w:szCs w:val="18"/>
      </w:rPr>
    </w:lvl>
    <w:lvl w:ilvl="2" w:tentative="0">
      <w:start w:val="1"/>
      <w:numFmt w:val="decimal"/>
      <w:lvlText w:val="%1.%2.%3"/>
      <w:lvlJc w:val="left"/>
      <w:pPr>
        <w:tabs>
          <w:tab w:val="left" w:pos="2130"/>
        </w:tabs>
        <w:ind w:left="2130" w:hanging="720"/>
      </w:pPr>
      <w:rPr>
        <w:rFonts w:hint="default" w:ascii="Verdana" w:hAnsi="Verdana"/>
        <w:b w:val="0"/>
        <w:sz w:val="18"/>
        <w:szCs w:val="18"/>
      </w:rPr>
    </w:lvl>
    <w:lvl w:ilvl="3" w:tentative="0">
      <w:start w:val="1"/>
      <w:numFmt w:val="decimal"/>
      <w:lvlText w:val="%1.%2.%3.%4"/>
      <w:lvlJc w:val="left"/>
      <w:pPr>
        <w:tabs>
          <w:tab w:val="left" w:pos="2835"/>
        </w:tabs>
        <w:ind w:left="2835" w:hanging="720"/>
      </w:pPr>
      <w:rPr>
        <w:rFonts w:hint="default" w:ascii="Verdana" w:hAnsi="Verdana"/>
        <w:b w:val="0"/>
        <w:sz w:val="18"/>
        <w:szCs w:val="18"/>
      </w:rPr>
    </w:lvl>
    <w:lvl w:ilvl="4" w:tentative="0">
      <w:start w:val="1"/>
      <w:numFmt w:val="decimal"/>
      <w:lvlText w:val="%1.%2.%3.%4.%5"/>
      <w:lvlJc w:val="left"/>
      <w:pPr>
        <w:tabs>
          <w:tab w:val="left" w:pos="3540"/>
        </w:tabs>
        <w:ind w:left="3540" w:hanging="720"/>
      </w:pPr>
      <w:rPr>
        <w:rFonts w:hint="default"/>
        <w:b w:val="0"/>
      </w:rPr>
    </w:lvl>
    <w:lvl w:ilvl="5" w:tentative="0">
      <w:start w:val="1"/>
      <w:numFmt w:val="decimal"/>
      <w:lvlText w:val="%1.%2.%3.%4.%5.%6"/>
      <w:lvlJc w:val="left"/>
      <w:pPr>
        <w:tabs>
          <w:tab w:val="left" w:pos="4605"/>
        </w:tabs>
        <w:ind w:left="4605" w:hanging="1080"/>
      </w:pPr>
      <w:rPr>
        <w:rFonts w:hint="default"/>
        <w:b w:val="0"/>
      </w:rPr>
    </w:lvl>
    <w:lvl w:ilvl="6" w:tentative="0">
      <w:start w:val="1"/>
      <w:numFmt w:val="decimal"/>
      <w:lvlText w:val="%1.%2.%3.%4.%5.%6.%7"/>
      <w:lvlJc w:val="left"/>
      <w:pPr>
        <w:tabs>
          <w:tab w:val="left" w:pos="5310"/>
        </w:tabs>
        <w:ind w:left="5310" w:hanging="1080"/>
      </w:pPr>
      <w:rPr>
        <w:rFonts w:hint="default"/>
        <w:b w:val="0"/>
      </w:rPr>
    </w:lvl>
    <w:lvl w:ilvl="7" w:tentative="0">
      <w:start w:val="1"/>
      <w:numFmt w:val="decimal"/>
      <w:lvlText w:val="%1.%2.%3.%4.%5.%6.%7.%8"/>
      <w:lvlJc w:val="left"/>
      <w:pPr>
        <w:tabs>
          <w:tab w:val="left" w:pos="6375"/>
        </w:tabs>
        <w:ind w:left="6375" w:hanging="1440"/>
      </w:pPr>
      <w:rPr>
        <w:rFonts w:hint="default"/>
        <w:b/>
      </w:rPr>
    </w:lvl>
    <w:lvl w:ilvl="8" w:tentative="0">
      <w:start w:val="1"/>
      <w:numFmt w:val="decimal"/>
      <w:lvlText w:val="%1.%2.%3.%4.%5.%6.%7.%8.%9"/>
      <w:lvlJc w:val="left"/>
      <w:pPr>
        <w:tabs>
          <w:tab w:val="left" w:pos="7080"/>
        </w:tabs>
        <w:ind w:left="7080" w:hanging="1440"/>
      </w:pPr>
      <w:rPr>
        <w:rFonts w:hint="default"/>
        <w:b/>
      </w:rPr>
    </w:lvl>
  </w:abstractNum>
  <w:abstractNum w:abstractNumId="4">
    <w:nsid w:val="26A417A3"/>
    <w:multiLevelType w:val="multilevel"/>
    <w:tmpl w:val="26A417A3"/>
    <w:lvl w:ilvl="0" w:tentative="0">
      <w:start w:val="3"/>
      <w:numFmt w:val="decimal"/>
      <w:lvlText w:val="%1."/>
      <w:lvlJc w:val="left"/>
      <w:pPr>
        <w:ind w:left="375" w:hanging="375"/>
      </w:pPr>
      <w:rPr>
        <w:rFonts w:hint="default" w:cs="Times New Roman"/>
        <w:color w:val="000000"/>
      </w:rPr>
    </w:lvl>
    <w:lvl w:ilvl="1" w:tentative="0">
      <w:start w:val="1"/>
      <w:numFmt w:val="decimal"/>
      <w:lvlText w:val="%1.%2."/>
      <w:lvlJc w:val="left"/>
      <w:pPr>
        <w:ind w:left="1287" w:hanging="720"/>
      </w:pPr>
      <w:rPr>
        <w:rFonts w:hint="default" w:cs="Times New Roman"/>
        <w:color w:val="000000"/>
      </w:rPr>
    </w:lvl>
    <w:lvl w:ilvl="2" w:tentative="0">
      <w:start w:val="1"/>
      <w:numFmt w:val="decimal"/>
      <w:lvlText w:val="%1.%2.%3."/>
      <w:lvlJc w:val="left"/>
      <w:pPr>
        <w:ind w:left="1854" w:hanging="720"/>
      </w:pPr>
      <w:rPr>
        <w:rFonts w:hint="default" w:cs="Times New Roman"/>
        <w:color w:val="000000"/>
      </w:rPr>
    </w:lvl>
    <w:lvl w:ilvl="3" w:tentative="0">
      <w:start w:val="1"/>
      <w:numFmt w:val="decimal"/>
      <w:lvlText w:val="%1.%2.%3.%4."/>
      <w:lvlJc w:val="left"/>
      <w:pPr>
        <w:ind w:left="2781" w:hanging="1080"/>
      </w:pPr>
      <w:rPr>
        <w:rFonts w:hint="default" w:cs="Times New Roman"/>
        <w:color w:val="000000"/>
      </w:rPr>
    </w:lvl>
    <w:lvl w:ilvl="4" w:tentative="0">
      <w:start w:val="1"/>
      <w:numFmt w:val="decimal"/>
      <w:lvlText w:val="%1.%2.%3.%4.%5."/>
      <w:lvlJc w:val="left"/>
      <w:pPr>
        <w:ind w:left="3708" w:hanging="1440"/>
      </w:pPr>
      <w:rPr>
        <w:rFonts w:hint="default" w:cs="Times New Roman"/>
        <w:color w:val="000000"/>
      </w:rPr>
    </w:lvl>
    <w:lvl w:ilvl="5" w:tentative="0">
      <w:start w:val="1"/>
      <w:numFmt w:val="decimal"/>
      <w:lvlText w:val="%1.%2.%3.%4.%5.%6."/>
      <w:lvlJc w:val="left"/>
      <w:pPr>
        <w:ind w:left="4275" w:hanging="1440"/>
      </w:pPr>
      <w:rPr>
        <w:rFonts w:hint="default" w:cs="Times New Roman"/>
        <w:color w:val="000000"/>
      </w:rPr>
    </w:lvl>
    <w:lvl w:ilvl="6" w:tentative="0">
      <w:start w:val="1"/>
      <w:numFmt w:val="decimal"/>
      <w:lvlText w:val="%1.%2.%3.%4.%5.%6.%7."/>
      <w:lvlJc w:val="left"/>
      <w:pPr>
        <w:ind w:left="5202" w:hanging="1800"/>
      </w:pPr>
      <w:rPr>
        <w:rFonts w:hint="default" w:cs="Times New Roman"/>
        <w:color w:val="000000"/>
      </w:rPr>
    </w:lvl>
    <w:lvl w:ilvl="7" w:tentative="0">
      <w:start w:val="1"/>
      <w:numFmt w:val="decimal"/>
      <w:lvlText w:val="%1.%2.%3.%4.%5.%6.%7.%8."/>
      <w:lvlJc w:val="left"/>
      <w:pPr>
        <w:ind w:left="6129" w:hanging="2160"/>
      </w:pPr>
      <w:rPr>
        <w:rFonts w:hint="default" w:cs="Times New Roman"/>
        <w:color w:val="000000"/>
      </w:rPr>
    </w:lvl>
    <w:lvl w:ilvl="8" w:tentative="0">
      <w:start w:val="1"/>
      <w:numFmt w:val="decimal"/>
      <w:lvlText w:val="%1.%2.%3.%4.%5.%6.%7.%8.%9."/>
      <w:lvlJc w:val="left"/>
      <w:pPr>
        <w:ind w:left="6696" w:hanging="2160"/>
      </w:pPr>
      <w:rPr>
        <w:rFonts w:hint="default" w:cs="Times New Roman"/>
        <w:color w:val="000000"/>
      </w:rPr>
    </w:lvl>
  </w:abstractNum>
  <w:abstractNum w:abstractNumId="5">
    <w:nsid w:val="297F27BF"/>
    <w:multiLevelType w:val="multilevel"/>
    <w:tmpl w:val="297F27BF"/>
    <w:lvl w:ilvl="0" w:tentative="0">
      <w:start w:val="2"/>
      <w:numFmt w:val="decimal"/>
      <w:lvlText w:val="%1."/>
      <w:lvlJc w:val="left"/>
      <w:pPr>
        <w:ind w:left="375" w:hanging="375"/>
      </w:pPr>
      <w:rPr>
        <w:rFonts w:hint="default" w:cs="Times New Roman"/>
        <w:b/>
        <w:color w:val="000000"/>
      </w:rPr>
    </w:lvl>
    <w:lvl w:ilvl="1" w:tentative="0">
      <w:start w:val="1"/>
      <w:numFmt w:val="decimal"/>
      <w:lvlText w:val="%1.%2."/>
      <w:lvlJc w:val="left"/>
      <w:pPr>
        <w:ind w:left="1287" w:hanging="720"/>
      </w:pPr>
      <w:rPr>
        <w:rFonts w:hint="default" w:cs="Times New Roman"/>
        <w:b w:val="0"/>
        <w:color w:val="000000"/>
      </w:rPr>
    </w:lvl>
    <w:lvl w:ilvl="2" w:tentative="0">
      <w:start w:val="1"/>
      <w:numFmt w:val="decimal"/>
      <w:lvlText w:val="%1.%2.%3."/>
      <w:lvlJc w:val="left"/>
      <w:pPr>
        <w:ind w:left="1854" w:hanging="720"/>
      </w:pPr>
      <w:rPr>
        <w:rFonts w:hint="default" w:cs="Times New Roman"/>
        <w:b w:val="0"/>
        <w:color w:val="000000"/>
      </w:rPr>
    </w:lvl>
    <w:lvl w:ilvl="3" w:tentative="0">
      <w:start w:val="1"/>
      <w:numFmt w:val="decimal"/>
      <w:lvlText w:val="%1.%2.%3.%4."/>
      <w:lvlJc w:val="left"/>
      <w:pPr>
        <w:ind w:left="2781" w:hanging="1080"/>
      </w:pPr>
      <w:rPr>
        <w:rFonts w:hint="default" w:cs="Times New Roman"/>
        <w:color w:val="000000"/>
      </w:rPr>
    </w:lvl>
    <w:lvl w:ilvl="4" w:tentative="0">
      <w:start w:val="1"/>
      <w:numFmt w:val="decimal"/>
      <w:lvlText w:val="%1.%2.%3.%4.%5."/>
      <w:lvlJc w:val="left"/>
      <w:pPr>
        <w:ind w:left="3708" w:hanging="1440"/>
      </w:pPr>
      <w:rPr>
        <w:rFonts w:hint="default" w:cs="Times New Roman"/>
        <w:color w:val="000000"/>
      </w:rPr>
    </w:lvl>
    <w:lvl w:ilvl="5" w:tentative="0">
      <w:start w:val="1"/>
      <w:numFmt w:val="decimal"/>
      <w:lvlText w:val="%1.%2.%3.%4.%5.%6."/>
      <w:lvlJc w:val="left"/>
      <w:pPr>
        <w:ind w:left="4275" w:hanging="1440"/>
      </w:pPr>
      <w:rPr>
        <w:rFonts w:hint="default" w:cs="Times New Roman"/>
        <w:color w:val="000000"/>
      </w:rPr>
    </w:lvl>
    <w:lvl w:ilvl="6" w:tentative="0">
      <w:start w:val="1"/>
      <w:numFmt w:val="decimal"/>
      <w:lvlText w:val="%1.%2.%3.%4.%5.%6.%7."/>
      <w:lvlJc w:val="left"/>
      <w:pPr>
        <w:ind w:left="5202" w:hanging="1800"/>
      </w:pPr>
      <w:rPr>
        <w:rFonts w:hint="default" w:cs="Times New Roman"/>
        <w:color w:val="000000"/>
      </w:rPr>
    </w:lvl>
    <w:lvl w:ilvl="7" w:tentative="0">
      <w:start w:val="1"/>
      <w:numFmt w:val="decimal"/>
      <w:lvlText w:val="%1.%2.%3.%4.%5.%6.%7.%8."/>
      <w:lvlJc w:val="left"/>
      <w:pPr>
        <w:ind w:left="6129" w:hanging="2160"/>
      </w:pPr>
      <w:rPr>
        <w:rFonts w:hint="default" w:cs="Times New Roman"/>
        <w:color w:val="000000"/>
      </w:rPr>
    </w:lvl>
    <w:lvl w:ilvl="8" w:tentative="0">
      <w:start w:val="1"/>
      <w:numFmt w:val="decimal"/>
      <w:lvlText w:val="%1.%2.%3.%4.%5.%6.%7.%8.%9."/>
      <w:lvlJc w:val="left"/>
      <w:pPr>
        <w:ind w:left="6696" w:hanging="2160"/>
      </w:pPr>
      <w:rPr>
        <w:rFonts w:hint="default" w:cs="Times New Roman"/>
        <w:color w:val="000000"/>
      </w:rPr>
    </w:lvl>
  </w:abstractNum>
  <w:abstractNum w:abstractNumId="6">
    <w:nsid w:val="2A536525"/>
    <w:multiLevelType w:val="multilevel"/>
    <w:tmpl w:val="2A536525"/>
    <w:lvl w:ilvl="0" w:tentative="0">
      <w:start w:val="1"/>
      <w:numFmt w:val="lowerLetter"/>
      <w:lvlText w:val="%1)"/>
      <w:lvlJc w:val="left"/>
      <w:pPr>
        <w:ind w:left="2574" w:hanging="360"/>
      </w:pPr>
    </w:lvl>
    <w:lvl w:ilvl="1" w:tentative="0">
      <w:start w:val="1"/>
      <w:numFmt w:val="lowerLetter"/>
      <w:lvlText w:val="%2."/>
      <w:lvlJc w:val="left"/>
      <w:pPr>
        <w:ind w:left="3294" w:hanging="360"/>
      </w:pPr>
    </w:lvl>
    <w:lvl w:ilvl="2" w:tentative="0">
      <w:start w:val="1"/>
      <w:numFmt w:val="lowerRoman"/>
      <w:lvlText w:val="%3."/>
      <w:lvlJc w:val="right"/>
      <w:pPr>
        <w:ind w:left="4014" w:hanging="180"/>
      </w:pPr>
    </w:lvl>
    <w:lvl w:ilvl="3" w:tentative="0">
      <w:start w:val="1"/>
      <w:numFmt w:val="decimal"/>
      <w:lvlText w:val="%4."/>
      <w:lvlJc w:val="left"/>
      <w:pPr>
        <w:ind w:left="4734" w:hanging="360"/>
      </w:pPr>
    </w:lvl>
    <w:lvl w:ilvl="4" w:tentative="0">
      <w:start w:val="1"/>
      <w:numFmt w:val="lowerLetter"/>
      <w:lvlText w:val="%5."/>
      <w:lvlJc w:val="left"/>
      <w:pPr>
        <w:ind w:left="5454" w:hanging="360"/>
      </w:pPr>
    </w:lvl>
    <w:lvl w:ilvl="5" w:tentative="0">
      <w:start w:val="1"/>
      <w:numFmt w:val="lowerRoman"/>
      <w:lvlText w:val="%6."/>
      <w:lvlJc w:val="right"/>
      <w:pPr>
        <w:ind w:left="6174" w:hanging="180"/>
      </w:pPr>
    </w:lvl>
    <w:lvl w:ilvl="6" w:tentative="0">
      <w:start w:val="1"/>
      <w:numFmt w:val="decimal"/>
      <w:lvlText w:val="%7."/>
      <w:lvlJc w:val="left"/>
      <w:pPr>
        <w:ind w:left="6894" w:hanging="360"/>
      </w:pPr>
    </w:lvl>
    <w:lvl w:ilvl="7" w:tentative="0">
      <w:start w:val="1"/>
      <w:numFmt w:val="lowerLetter"/>
      <w:lvlText w:val="%8."/>
      <w:lvlJc w:val="left"/>
      <w:pPr>
        <w:ind w:left="7614" w:hanging="360"/>
      </w:pPr>
    </w:lvl>
    <w:lvl w:ilvl="8" w:tentative="0">
      <w:start w:val="1"/>
      <w:numFmt w:val="lowerRoman"/>
      <w:lvlText w:val="%9."/>
      <w:lvlJc w:val="right"/>
      <w:pPr>
        <w:ind w:left="8334" w:hanging="180"/>
      </w:pPr>
    </w:lvl>
  </w:abstractNum>
  <w:abstractNum w:abstractNumId="7">
    <w:nsid w:val="2A6A53B5"/>
    <w:multiLevelType w:val="multilevel"/>
    <w:tmpl w:val="2A6A53B5"/>
    <w:lvl w:ilvl="0" w:tentative="0">
      <w:start w:val="3"/>
      <w:numFmt w:val="decimal"/>
      <w:lvlText w:val="%1."/>
      <w:lvlJc w:val="left"/>
      <w:pPr>
        <w:ind w:left="375" w:hanging="375"/>
      </w:pPr>
      <w:rPr>
        <w:rFonts w:hint="default" w:cs="Times New Roman"/>
        <w:color w:val="000000"/>
      </w:rPr>
    </w:lvl>
    <w:lvl w:ilvl="1" w:tentative="0">
      <w:start w:val="1"/>
      <w:numFmt w:val="decimal"/>
      <w:lvlText w:val="%1.%2."/>
      <w:lvlJc w:val="left"/>
      <w:pPr>
        <w:ind w:left="1287" w:hanging="720"/>
      </w:pPr>
      <w:rPr>
        <w:rFonts w:hint="default" w:cs="Times New Roman"/>
        <w:b w:val="0"/>
        <w:color w:val="000000"/>
      </w:rPr>
    </w:lvl>
    <w:lvl w:ilvl="2" w:tentative="0">
      <w:start w:val="1"/>
      <w:numFmt w:val="decimal"/>
      <w:lvlText w:val="%1.%2.%3."/>
      <w:lvlJc w:val="left"/>
      <w:pPr>
        <w:ind w:left="1854" w:hanging="720"/>
      </w:pPr>
      <w:rPr>
        <w:rFonts w:hint="default" w:cs="Times New Roman"/>
        <w:color w:val="000000"/>
      </w:rPr>
    </w:lvl>
    <w:lvl w:ilvl="3" w:tentative="0">
      <w:start w:val="1"/>
      <w:numFmt w:val="decimal"/>
      <w:lvlText w:val="%1.%2.%3.%4."/>
      <w:lvlJc w:val="left"/>
      <w:pPr>
        <w:ind w:left="2781" w:hanging="1080"/>
      </w:pPr>
      <w:rPr>
        <w:rFonts w:hint="default" w:cs="Times New Roman"/>
        <w:color w:val="000000"/>
      </w:rPr>
    </w:lvl>
    <w:lvl w:ilvl="4" w:tentative="0">
      <w:start w:val="1"/>
      <w:numFmt w:val="decimal"/>
      <w:lvlText w:val="%1.%2.%3.%4.%5."/>
      <w:lvlJc w:val="left"/>
      <w:pPr>
        <w:ind w:left="3708" w:hanging="1440"/>
      </w:pPr>
      <w:rPr>
        <w:rFonts w:hint="default" w:cs="Times New Roman"/>
        <w:color w:val="000000"/>
      </w:rPr>
    </w:lvl>
    <w:lvl w:ilvl="5" w:tentative="0">
      <w:start w:val="1"/>
      <w:numFmt w:val="decimal"/>
      <w:lvlText w:val="%1.%2.%3.%4.%5.%6."/>
      <w:lvlJc w:val="left"/>
      <w:pPr>
        <w:ind w:left="4275" w:hanging="1440"/>
      </w:pPr>
      <w:rPr>
        <w:rFonts w:hint="default" w:cs="Times New Roman"/>
        <w:color w:val="000000"/>
      </w:rPr>
    </w:lvl>
    <w:lvl w:ilvl="6" w:tentative="0">
      <w:start w:val="1"/>
      <w:numFmt w:val="decimal"/>
      <w:lvlText w:val="%1.%2.%3.%4.%5.%6.%7."/>
      <w:lvlJc w:val="left"/>
      <w:pPr>
        <w:ind w:left="5202" w:hanging="1800"/>
      </w:pPr>
      <w:rPr>
        <w:rFonts w:hint="default" w:cs="Times New Roman"/>
        <w:color w:val="000000"/>
      </w:rPr>
    </w:lvl>
    <w:lvl w:ilvl="7" w:tentative="0">
      <w:start w:val="1"/>
      <w:numFmt w:val="decimal"/>
      <w:lvlText w:val="%1.%2.%3.%4.%5.%6.%7.%8."/>
      <w:lvlJc w:val="left"/>
      <w:pPr>
        <w:ind w:left="6129" w:hanging="2160"/>
      </w:pPr>
      <w:rPr>
        <w:rFonts w:hint="default" w:cs="Times New Roman"/>
        <w:color w:val="000000"/>
      </w:rPr>
    </w:lvl>
    <w:lvl w:ilvl="8" w:tentative="0">
      <w:start w:val="1"/>
      <w:numFmt w:val="decimal"/>
      <w:lvlText w:val="%1.%2.%3.%4.%5.%6.%7.%8.%9."/>
      <w:lvlJc w:val="left"/>
      <w:pPr>
        <w:ind w:left="6696" w:hanging="2160"/>
      </w:pPr>
      <w:rPr>
        <w:rFonts w:hint="default" w:cs="Times New Roman"/>
        <w:color w:val="000000"/>
      </w:rPr>
    </w:lvl>
  </w:abstractNum>
  <w:abstractNum w:abstractNumId="8">
    <w:nsid w:val="36CB5ACA"/>
    <w:multiLevelType w:val="multilevel"/>
    <w:tmpl w:val="36CB5ACA"/>
    <w:lvl w:ilvl="0" w:tentative="0">
      <w:start w:val="1"/>
      <w:numFmt w:val="lowerLetter"/>
      <w:lvlText w:val="%1)"/>
      <w:lvlJc w:val="left"/>
      <w:pPr>
        <w:ind w:left="720" w:hanging="360"/>
      </w:pPr>
      <w:rPr>
        <w:rFonts w:hint="default"/>
        <w:color w:val="auto"/>
      </w:rPr>
    </w:lvl>
    <w:lvl w:ilvl="1" w:tentative="0">
      <w:start w:val="1"/>
      <w:numFmt w:val="lowerLetter"/>
      <w:lvlText w:val="%2."/>
      <w:lvlJc w:val="left"/>
      <w:pPr>
        <w:ind w:left="1440" w:hanging="360"/>
      </w:pPr>
    </w:lvl>
    <w:lvl w:ilvl="2" w:tentative="0">
      <w:start w:val="1"/>
      <w:numFmt w:val="lowerRoman"/>
      <w:lvlText w:val="%3."/>
      <w:lvlJc w:val="right"/>
      <w:pPr>
        <w:ind w:left="2160" w:hanging="180"/>
      </w:pPr>
    </w:lvl>
    <w:lvl w:ilvl="3" w:tentative="0">
      <w:start w:val="1"/>
      <w:numFmt w:val="decimal"/>
      <w:lvlText w:val="%4."/>
      <w:lvlJc w:val="left"/>
      <w:pPr>
        <w:ind w:left="2880" w:hanging="360"/>
      </w:pPr>
    </w:lvl>
    <w:lvl w:ilvl="4" w:tentative="0">
      <w:start w:val="1"/>
      <w:numFmt w:val="lowerLetter"/>
      <w:lvlText w:val="%5."/>
      <w:lvlJc w:val="left"/>
      <w:pPr>
        <w:ind w:left="3600" w:hanging="360"/>
      </w:pPr>
    </w:lvl>
    <w:lvl w:ilvl="5" w:tentative="0">
      <w:start w:val="1"/>
      <w:numFmt w:val="lowerRoman"/>
      <w:lvlText w:val="%6."/>
      <w:lvlJc w:val="right"/>
      <w:pPr>
        <w:ind w:left="4320" w:hanging="180"/>
      </w:pPr>
    </w:lvl>
    <w:lvl w:ilvl="6" w:tentative="0">
      <w:start w:val="1"/>
      <w:numFmt w:val="decimal"/>
      <w:lvlText w:val="%7."/>
      <w:lvlJc w:val="left"/>
      <w:pPr>
        <w:ind w:left="5040" w:hanging="360"/>
      </w:pPr>
    </w:lvl>
    <w:lvl w:ilvl="7" w:tentative="0">
      <w:start w:val="1"/>
      <w:numFmt w:val="lowerLetter"/>
      <w:lvlText w:val="%8."/>
      <w:lvlJc w:val="left"/>
      <w:pPr>
        <w:ind w:left="5760" w:hanging="360"/>
      </w:pPr>
    </w:lvl>
    <w:lvl w:ilvl="8" w:tentative="0">
      <w:start w:val="1"/>
      <w:numFmt w:val="lowerRoman"/>
      <w:lvlText w:val="%9."/>
      <w:lvlJc w:val="right"/>
      <w:pPr>
        <w:ind w:left="6480" w:hanging="180"/>
      </w:pPr>
    </w:lvl>
  </w:abstractNum>
  <w:abstractNum w:abstractNumId="9">
    <w:nsid w:val="37516B2C"/>
    <w:multiLevelType w:val="multilevel"/>
    <w:tmpl w:val="37516B2C"/>
    <w:lvl w:ilvl="0" w:tentative="0">
      <w:start w:val="1"/>
      <w:numFmt w:val="decimal"/>
      <w:lvlText w:val="%1."/>
      <w:lvlJc w:val="left"/>
      <w:pPr>
        <w:ind w:left="0" w:firstLine="0"/>
      </w:pPr>
      <w:rPr>
        <w:b/>
      </w:rPr>
    </w:lvl>
    <w:lvl w:ilvl="1" w:tentative="0">
      <w:start w:val="1"/>
      <w:numFmt w:val="decimal"/>
      <w:lvlText w:val="%1.%2."/>
      <w:lvlJc w:val="left"/>
      <w:pPr>
        <w:ind w:left="567" w:firstLine="0"/>
      </w:pPr>
    </w:lvl>
    <w:lvl w:ilvl="2" w:tentative="0">
      <w:start w:val="1"/>
      <w:numFmt w:val="decimal"/>
      <w:lvlText w:val="%1.%2.%3."/>
      <w:lvlJc w:val="left"/>
      <w:pPr>
        <w:ind w:left="1134" w:firstLine="0"/>
      </w:pPr>
      <w:rPr>
        <w:b w:val="0"/>
      </w:rPr>
    </w:lvl>
    <w:lvl w:ilvl="3" w:tentative="0">
      <w:start w:val="1"/>
      <w:numFmt w:val="decimal"/>
      <w:lvlText w:val="%1.%2.%3.%4."/>
      <w:lvlJc w:val="left"/>
      <w:pPr>
        <w:ind w:left="1701" w:firstLine="0"/>
      </w:pPr>
    </w:lvl>
    <w:lvl w:ilvl="4" w:tentative="0">
      <w:start w:val="1"/>
      <w:numFmt w:val="decimal"/>
      <w:lvlText w:val="%1.%2.%3.%4.%5."/>
      <w:lvlJc w:val="left"/>
      <w:pPr>
        <w:ind w:left="2232"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10">
    <w:nsid w:val="42806A5A"/>
    <w:multiLevelType w:val="multilevel"/>
    <w:tmpl w:val="42806A5A"/>
    <w:lvl w:ilvl="0" w:tentative="0">
      <w:start w:val="8"/>
      <w:numFmt w:val="decimal"/>
      <w:lvlText w:val="%1."/>
      <w:lvlJc w:val="left"/>
      <w:pPr>
        <w:ind w:left="375" w:hanging="375"/>
      </w:pPr>
      <w:rPr>
        <w:rFonts w:hint="default" w:cs="Times New Roman"/>
        <w:color w:val="000000"/>
      </w:rPr>
    </w:lvl>
    <w:lvl w:ilvl="1" w:tentative="0">
      <w:start w:val="1"/>
      <w:numFmt w:val="decimal"/>
      <w:lvlText w:val="%1.%2."/>
      <w:lvlJc w:val="left"/>
      <w:pPr>
        <w:ind w:left="1287" w:hanging="720"/>
      </w:pPr>
      <w:rPr>
        <w:rFonts w:hint="default" w:cs="Times New Roman"/>
        <w:color w:val="000000"/>
      </w:rPr>
    </w:lvl>
    <w:lvl w:ilvl="2" w:tentative="0">
      <w:start w:val="1"/>
      <w:numFmt w:val="lowerLetter"/>
      <w:lvlText w:val="%3)"/>
      <w:lvlJc w:val="left"/>
      <w:pPr>
        <w:ind w:left="1854" w:hanging="720"/>
      </w:pPr>
      <w:rPr>
        <w:rFonts w:hint="default"/>
        <w:color w:val="000000"/>
      </w:rPr>
    </w:lvl>
    <w:lvl w:ilvl="3" w:tentative="0">
      <w:start w:val="1"/>
      <w:numFmt w:val="decimal"/>
      <w:lvlText w:val="%1.%2.%3.%4."/>
      <w:lvlJc w:val="left"/>
      <w:pPr>
        <w:ind w:left="2781" w:hanging="1080"/>
      </w:pPr>
      <w:rPr>
        <w:rFonts w:hint="default" w:cs="Times New Roman"/>
        <w:color w:val="000000"/>
      </w:rPr>
    </w:lvl>
    <w:lvl w:ilvl="4" w:tentative="0">
      <w:start w:val="1"/>
      <w:numFmt w:val="decimal"/>
      <w:lvlText w:val="%1.%2.%3.%4.%5."/>
      <w:lvlJc w:val="left"/>
      <w:pPr>
        <w:ind w:left="3708" w:hanging="1440"/>
      </w:pPr>
      <w:rPr>
        <w:rFonts w:hint="default" w:cs="Times New Roman"/>
        <w:color w:val="000000"/>
      </w:rPr>
    </w:lvl>
    <w:lvl w:ilvl="5" w:tentative="0">
      <w:start w:val="1"/>
      <w:numFmt w:val="decimal"/>
      <w:lvlText w:val="%1.%2.%3.%4.%5.%6."/>
      <w:lvlJc w:val="left"/>
      <w:pPr>
        <w:ind w:left="4275" w:hanging="1440"/>
      </w:pPr>
      <w:rPr>
        <w:rFonts w:hint="default" w:cs="Times New Roman"/>
        <w:color w:val="000000"/>
      </w:rPr>
    </w:lvl>
    <w:lvl w:ilvl="6" w:tentative="0">
      <w:start w:val="1"/>
      <w:numFmt w:val="decimal"/>
      <w:lvlText w:val="%1.%2.%3.%4.%5.%6.%7."/>
      <w:lvlJc w:val="left"/>
      <w:pPr>
        <w:ind w:left="5202" w:hanging="1800"/>
      </w:pPr>
      <w:rPr>
        <w:rFonts w:hint="default" w:cs="Times New Roman"/>
        <w:color w:val="000000"/>
      </w:rPr>
    </w:lvl>
    <w:lvl w:ilvl="7" w:tentative="0">
      <w:start w:val="1"/>
      <w:numFmt w:val="decimal"/>
      <w:lvlText w:val="%1.%2.%3.%4.%5.%6.%7.%8."/>
      <w:lvlJc w:val="left"/>
      <w:pPr>
        <w:ind w:left="6129" w:hanging="2160"/>
      </w:pPr>
      <w:rPr>
        <w:rFonts w:hint="default" w:cs="Times New Roman"/>
        <w:color w:val="000000"/>
      </w:rPr>
    </w:lvl>
    <w:lvl w:ilvl="8" w:tentative="0">
      <w:start w:val="1"/>
      <w:numFmt w:val="decimal"/>
      <w:lvlText w:val="%1.%2.%3.%4.%5.%6.%7.%8.%9."/>
      <w:lvlJc w:val="left"/>
      <w:pPr>
        <w:ind w:left="6696" w:hanging="2160"/>
      </w:pPr>
      <w:rPr>
        <w:rFonts w:hint="default" w:cs="Times New Roman"/>
        <w:color w:val="000000"/>
      </w:rPr>
    </w:lvl>
  </w:abstractNum>
  <w:abstractNum w:abstractNumId="11">
    <w:nsid w:val="472343CA"/>
    <w:multiLevelType w:val="multilevel"/>
    <w:tmpl w:val="472343CA"/>
    <w:lvl w:ilvl="0" w:tentative="0">
      <w:start w:val="4"/>
      <w:numFmt w:val="decimal"/>
      <w:lvlText w:val="%1."/>
      <w:lvlJc w:val="left"/>
      <w:pPr>
        <w:ind w:left="660" w:hanging="660"/>
      </w:pPr>
      <w:rPr>
        <w:rFonts w:hint="default"/>
        <w:color w:val="000000"/>
      </w:rPr>
    </w:lvl>
    <w:lvl w:ilvl="1" w:tentative="0">
      <w:start w:val="4"/>
      <w:numFmt w:val="decimal"/>
      <w:lvlText w:val="%1.%2."/>
      <w:lvlJc w:val="left"/>
      <w:pPr>
        <w:ind w:left="1038" w:hanging="660"/>
      </w:pPr>
      <w:rPr>
        <w:rFonts w:hint="default"/>
        <w:color w:val="000000"/>
      </w:rPr>
    </w:lvl>
    <w:lvl w:ilvl="2" w:tentative="0">
      <w:start w:val="1"/>
      <w:numFmt w:val="decimal"/>
      <w:lvlText w:val="%1.%2.%3."/>
      <w:lvlJc w:val="left"/>
      <w:pPr>
        <w:ind w:left="1713" w:hanging="720"/>
      </w:pPr>
      <w:rPr>
        <w:rFonts w:hint="default"/>
        <w:color w:val="000000"/>
      </w:rPr>
    </w:lvl>
    <w:lvl w:ilvl="3" w:tentative="0">
      <w:start w:val="2"/>
      <w:numFmt w:val="decimal"/>
      <w:lvlText w:val="%1.%2.%3.%4."/>
      <w:lvlJc w:val="left"/>
      <w:pPr>
        <w:ind w:left="1854" w:hanging="720"/>
      </w:pPr>
      <w:rPr>
        <w:rFonts w:hint="default"/>
        <w:color w:val="000000"/>
      </w:rPr>
    </w:lvl>
    <w:lvl w:ilvl="4" w:tentative="0">
      <w:start w:val="1"/>
      <w:numFmt w:val="decimal"/>
      <w:lvlText w:val="%1.%2.%3.%4.%5."/>
      <w:lvlJc w:val="left"/>
      <w:pPr>
        <w:ind w:left="2592" w:hanging="1080"/>
      </w:pPr>
      <w:rPr>
        <w:rFonts w:hint="default"/>
        <w:color w:val="000000"/>
      </w:rPr>
    </w:lvl>
    <w:lvl w:ilvl="5" w:tentative="0">
      <w:start w:val="1"/>
      <w:numFmt w:val="decimal"/>
      <w:lvlText w:val="%1.%2.%3.%4.%5.%6."/>
      <w:lvlJc w:val="left"/>
      <w:pPr>
        <w:ind w:left="2970" w:hanging="1080"/>
      </w:pPr>
      <w:rPr>
        <w:rFonts w:hint="default"/>
        <w:color w:val="000000"/>
      </w:rPr>
    </w:lvl>
    <w:lvl w:ilvl="6" w:tentative="0">
      <w:start w:val="1"/>
      <w:numFmt w:val="decimal"/>
      <w:lvlText w:val="%1.%2.%3.%4.%5.%6.%7."/>
      <w:lvlJc w:val="left"/>
      <w:pPr>
        <w:ind w:left="3708" w:hanging="1440"/>
      </w:pPr>
      <w:rPr>
        <w:rFonts w:hint="default"/>
        <w:color w:val="000000"/>
      </w:rPr>
    </w:lvl>
    <w:lvl w:ilvl="7" w:tentative="0">
      <w:start w:val="1"/>
      <w:numFmt w:val="decimal"/>
      <w:lvlText w:val="%1.%2.%3.%4.%5.%6.%7.%8."/>
      <w:lvlJc w:val="left"/>
      <w:pPr>
        <w:ind w:left="4086" w:hanging="1440"/>
      </w:pPr>
      <w:rPr>
        <w:rFonts w:hint="default"/>
        <w:color w:val="000000"/>
      </w:rPr>
    </w:lvl>
    <w:lvl w:ilvl="8" w:tentative="0">
      <w:start w:val="1"/>
      <w:numFmt w:val="decimal"/>
      <w:lvlText w:val="%1.%2.%3.%4.%5.%6.%7.%8.%9."/>
      <w:lvlJc w:val="left"/>
      <w:pPr>
        <w:ind w:left="4824" w:hanging="1800"/>
      </w:pPr>
      <w:rPr>
        <w:rFonts w:hint="default"/>
        <w:color w:val="000000"/>
      </w:rPr>
    </w:lvl>
  </w:abstractNum>
  <w:abstractNum w:abstractNumId="12">
    <w:nsid w:val="502135CA"/>
    <w:multiLevelType w:val="multilevel"/>
    <w:tmpl w:val="502135CA"/>
    <w:lvl w:ilvl="0" w:tentative="0">
      <w:start w:val="4"/>
      <w:numFmt w:val="decimal"/>
      <w:lvlText w:val="%1."/>
      <w:lvlJc w:val="left"/>
      <w:pPr>
        <w:ind w:left="720" w:hanging="720"/>
      </w:pPr>
      <w:rPr>
        <w:rFonts w:hint="default"/>
      </w:rPr>
    </w:lvl>
    <w:lvl w:ilvl="1" w:tentative="0">
      <w:start w:val="1"/>
      <w:numFmt w:val="decimal"/>
      <w:lvlText w:val="%1.%2."/>
      <w:lvlJc w:val="left"/>
      <w:pPr>
        <w:ind w:left="1003" w:hanging="720"/>
      </w:pPr>
      <w:rPr>
        <w:rFonts w:hint="default"/>
      </w:rPr>
    </w:lvl>
    <w:lvl w:ilvl="2" w:tentative="0">
      <w:start w:val="1"/>
      <w:numFmt w:val="decimal"/>
      <w:lvlText w:val="%1.%2.%3."/>
      <w:lvlJc w:val="left"/>
      <w:pPr>
        <w:ind w:left="1646" w:hanging="1080"/>
      </w:pPr>
      <w:rPr>
        <w:rFonts w:hint="default"/>
      </w:rPr>
    </w:lvl>
    <w:lvl w:ilvl="3" w:tentative="0">
      <w:start w:val="1"/>
      <w:numFmt w:val="decimal"/>
      <w:lvlText w:val="%1.%2.%3.%4."/>
      <w:lvlJc w:val="left"/>
      <w:pPr>
        <w:ind w:left="2289" w:hanging="1440"/>
      </w:pPr>
      <w:rPr>
        <w:rFonts w:hint="default"/>
      </w:rPr>
    </w:lvl>
    <w:lvl w:ilvl="4" w:tentative="0">
      <w:start w:val="1"/>
      <w:numFmt w:val="decimal"/>
      <w:lvlText w:val="%1.%2.%3.%4.%5."/>
      <w:lvlJc w:val="left"/>
      <w:pPr>
        <w:ind w:left="2572" w:hanging="1440"/>
      </w:pPr>
      <w:rPr>
        <w:rFonts w:hint="default"/>
      </w:rPr>
    </w:lvl>
    <w:lvl w:ilvl="5" w:tentative="0">
      <w:start w:val="1"/>
      <w:numFmt w:val="decimal"/>
      <w:lvlText w:val="%1.%2.%3.%4.%5.%6."/>
      <w:lvlJc w:val="left"/>
      <w:pPr>
        <w:ind w:left="3215" w:hanging="1800"/>
      </w:pPr>
      <w:rPr>
        <w:rFonts w:hint="default"/>
      </w:rPr>
    </w:lvl>
    <w:lvl w:ilvl="6" w:tentative="0">
      <w:start w:val="1"/>
      <w:numFmt w:val="decimal"/>
      <w:lvlText w:val="%1.%2.%3.%4.%5.%6.%7."/>
      <w:lvlJc w:val="left"/>
      <w:pPr>
        <w:ind w:left="3858" w:hanging="2160"/>
      </w:pPr>
      <w:rPr>
        <w:rFonts w:hint="default"/>
      </w:rPr>
    </w:lvl>
    <w:lvl w:ilvl="7" w:tentative="0">
      <w:start w:val="1"/>
      <w:numFmt w:val="decimal"/>
      <w:lvlText w:val="%1.%2.%3.%4.%5.%6.%7.%8."/>
      <w:lvlJc w:val="left"/>
      <w:pPr>
        <w:ind w:left="4501" w:hanging="2520"/>
      </w:pPr>
      <w:rPr>
        <w:rFonts w:hint="default"/>
      </w:rPr>
    </w:lvl>
    <w:lvl w:ilvl="8" w:tentative="0">
      <w:start w:val="1"/>
      <w:numFmt w:val="decimal"/>
      <w:lvlText w:val="%1.%2.%3.%4.%5.%6.%7.%8.%9."/>
      <w:lvlJc w:val="left"/>
      <w:pPr>
        <w:ind w:left="5144" w:hanging="2880"/>
      </w:pPr>
      <w:rPr>
        <w:rFonts w:hint="default"/>
      </w:rPr>
    </w:lvl>
  </w:abstractNum>
  <w:abstractNum w:abstractNumId="13">
    <w:nsid w:val="51D05B32"/>
    <w:multiLevelType w:val="multilevel"/>
    <w:tmpl w:val="51D05B32"/>
    <w:lvl w:ilvl="0" w:tentative="0">
      <w:start w:val="7"/>
      <w:numFmt w:val="decimal"/>
      <w:lvlText w:val="%1."/>
      <w:lvlJc w:val="left"/>
      <w:pPr>
        <w:ind w:left="375" w:hanging="375"/>
      </w:pPr>
      <w:rPr>
        <w:rFonts w:hint="default" w:cs="Times New Roman"/>
        <w:b/>
        <w:color w:val="000000"/>
      </w:rPr>
    </w:lvl>
    <w:lvl w:ilvl="1" w:tentative="0">
      <w:start w:val="1"/>
      <w:numFmt w:val="decimal"/>
      <w:lvlText w:val="%1.%2."/>
      <w:lvlJc w:val="left"/>
      <w:pPr>
        <w:ind w:left="1287" w:hanging="720"/>
      </w:pPr>
      <w:rPr>
        <w:rFonts w:hint="default" w:cs="Times New Roman"/>
        <w:b w:val="0"/>
        <w:bCs w:val="0"/>
        <w:i w:val="0"/>
        <w:color w:val="000000"/>
      </w:rPr>
    </w:lvl>
    <w:lvl w:ilvl="2" w:tentative="0">
      <w:start w:val="1"/>
      <w:numFmt w:val="decimal"/>
      <w:lvlText w:val="%1.%2.%3."/>
      <w:lvlJc w:val="left"/>
      <w:pPr>
        <w:ind w:left="1997" w:hanging="720"/>
      </w:pPr>
      <w:rPr>
        <w:rFonts w:hint="default" w:cs="Times New Roman"/>
        <w:i w:val="0"/>
        <w:color w:val="000000"/>
        <w:sz w:val="18"/>
        <w:szCs w:val="18"/>
      </w:rPr>
    </w:lvl>
    <w:lvl w:ilvl="3" w:tentative="0">
      <w:start w:val="1"/>
      <w:numFmt w:val="decimal"/>
      <w:lvlText w:val="%1.%2.%3.%4."/>
      <w:lvlJc w:val="left"/>
      <w:pPr>
        <w:ind w:left="2781" w:hanging="1080"/>
      </w:pPr>
      <w:rPr>
        <w:rFonts w:hint="default" w:cs="Times New Roman"/>
        <w:i w:val="0"/>
        <w:color w:val="000000"/>
        <w:sz w:val="18"/>
        <w:szCs w:val="18"/>
      </w:rPr>
    </w:lvl>
    <w:lvl w:ilvl="4" w:tentative="0">
      <w:start w:val="1"/>
      <w:numFmt w:val="decimal"/>
      <w:lvlText w:val="%1.%2.%3.%4.%5."/>
      <w:lvlJc w:val="left"/>
      <w:pPr>
        <w:ind w:left="3708" w:hanging="1440"/>
      </w:pPr>
      <w:rPr>
        <w:rFonts w:hint="default" w:cs="Times New Roman"/>
        <w:i w:val="0"/>
        <w:color w:val="000000"/>
      </w:rPr>
    </w:lvl>
    <w:lvl w:ilvl="5" w:tentative="0">
      <w:start w:val="1"/>
      <w:numFmt w:val="decimal"/>
      <w:lvlText w:val="%1.%2.%3.%4.%5.%6."/>
      <w:lvlJc w:val="left"/>
      <w:pPr>
        <w:ind w:left="4275" w:hanging="1440"/>
      </w:pPr>
      <w:rPr>
        <w:rFonts w:hint="default" w:cs="Times New Roman"/>
        <w:i w:val="0"/>
        <w:color w:val="000000"/>
      </w:rPr>
    </w:lvl>
    <w:lvl w:ilvl="6" w:tentative="0">
      <w:start w:val="1"/>
      <w:numFmt w:val="decimal"/>
      <w:lvlText w:val="%1.%2.%3.%4.%5.%6.%7."/>
      <w:lvlJc w:val="left"/>
      <w:pPr>
        <w:ind w:left="5202" w:hanging="1800"/>
      </w:pPr>
      <w:rPr>
        <w:rFonts w:hint="default" w:cs="Times New Roman"/>
        <w:color w:val="000000"/>
      </w:rPr>
    </w:lvl>
    <w:lvl w:ilvl="7" w:tentative="0">
      <w:start w:val="1"/>
      <w:numFmt w:val="decimal"/>
      <w:lvlText w:val="%1.%2.%3.%4.%5.%6.%7.%8."/>
      <w:lvlJc w:val="left"/>
      <w:pPr>
        <w:ind w:left="6129" w:hanging="2160"/>
      </w:pPr>
      <w:rPr>
        <w:rFonts w:hint="default" w:cs="Times New Roman"/>
        <w:color w:val="000000"/>
      </w:rPr>
    </w:lvl>
    <w:lvl w:ilvl="8" w:tentative="0">
      <w:start w:val="1"/>
      <w:numFmt w:val="decimal"/>
      <w:lvlText w:val="%1.%2.%3.%4.%5.%6.%7.%8.%9."/>
      <w:lvlJc w:val="left"/>
      <w:pPr>
        <w:ind w:left="6696" w:hanging="2160"/>
      </w:pPr>
      <w:rPr>
        <w:rFonts w:hint="default" w:cs="Times New Roman"/>
        <w:color w:val="000000"/>
      </w:rPr>
    </w:lvl>
  </w:abstractNum>
  <w:abstractNum w:abstractNumId="14">
    <w:nsid w:val="55DA64AB"/>
    <w:multiLevelType w:val="multilevel"/>
    <w:tmpl w:val="55DA64AB"/>
    <w:lvl w:ilvl="0" w:tentative="0">
      <w:start w:val="3"/>
      <w:numFmt w:val="decimal"/>
      <w:lvlText w:val="%1."/>
      <w:lvlJc w:val="left"/>
      <w:pPr>
        <w:ind w:left="0" w:firstLine="0"/>
      </w:pPr>
      <w:rPr>
        <w:rFonts w:hint="default"/>
        <w:b/>
      </w:rPr>
    </w:lvl>
    <w:lvl w:ilvl="1" w:tentative="0">
      <w:start w:val="1"/>
      <w:numFmt w:val="decimal"/>
      <w:lvlText w:val="%1.%2."/>
      <w:lvlJc w:val="left"/>
      <w:pPr>
        <w:ind w:left="567" w:firstLine="0"/>
      </w:pPr>
      <w:rPr>
        <w:rFonts w:hint="default"/>
      </w:rPr>
    </w:lvl>
    <w:lvl w:ilvl="2" w:tentative="0">
      <w:start w:val="1"/>
      <w:numFmt w:val="decimal"/>
      <w:lvlText w:val="%1.%2.%3."/>
      <w:lvlJc w:val="left"/>
      <w:pPr>
        <w:ind w:left="1134" w:firstLine="0"/>
      </w:pPr>
      <w:rPr>
        <w:rFonts w:hint="default"/>
        <w:b w:val="0"/>
      </w:rPr>
    </w:lvl>
    <w:lvl w:ilvl="3" w:tentative="0">
      <w:start w:val="1"/>
      <w:numFmt w:val="decimal"/>
      <w:lvlText w:val="%1.%2.%3.%4."/>
      <w:lvlJc w:val="left"/>
      <w:pPr>
        <w:ind w:left="1701" w:firstLine="0"/>
      </w:pPr>
      <w:rPr>
        <w:rFonts w:hint="default"/>
      </w:rPr>
    </w:lvl>
    <w:lvl w:ilvl="4" w:tentative="0">
      <w:start w:val="1"/>
      <w:numFmt w:val="decimal"/>
      <w:lvlText w:val="%1.%2.%3.%4.%5."/>
      <w:lvlJc w:val="left"/>
      <w:pPr>
        <w:ind w:left="2232" w:hanging="792"/>
      </w:pPr>
      <w:rPr>
        <w:rFonts w:hint="default"/>
      </w:rPr>
    </w:lvl>
    <w:lvl w:ilvl="5" w:tentative="0">
      <w:start w:val="1"/>
      <w:numFmt w:val="decimal"/>
      <w:lvlText w:val="%1.%2.%3.%4.%5.%6."/>
      <w:lvlJc w:val="left"/>
      <w:pPr>
        <w:ind w:left="2736" w:hanging="936"/>
      </w:pPr>
      <w:rPr>
        <w:rFonts w:hint="default"/>
      </w:rPr>
    </w:lvl>
    <w:lvl w:ilvl="6" w:tentative="0">
      <w:start w:val="1"/>
      <w:numFmt w:val="decimal"/>
      <w:lvlText w:val="%1.%2.%3.%4.%5.%6.%7."/>
      <w:lvlJc w:val="left"/>
      <w:pPr>
        <w:ind w:left="3240" w:hanging="1080"/>
      </w:pPr>
      <w:rPr>
        <w:rFonts w:hint="default"/>
      </w:rPr>
    </w:lvl>
    <w:lvl w:ilvl="7" w:tentative="0">
      <w:start w:val="1"/>
      <w:numFmt w:val="decimal"/>
      <w:lvlText w:val="%1.%2.%3.%4.%5.%6.%7.%8."/>
      <w:lvlJc w:val="left"/>
      <w:pPr>
        <w:ind w:left="3744" w:hanging="1224"/>
      </w:pPr>
      <w:rPr>
        <w:rFonts w:hint="default"/>
      </w:rPr>
    </w:lvl>
    <w:lvl w:ilvl="8" w:tentative="0">
      <w:start w:val="1"/>
      <w:numFmt w:val="decimal"/>
      <w:lvlText w:val="%1.%2.%3.%4.%5.%6.%7.%8.%9."/>
      <w:lvlJc w:val="left"/>
      <w:pPr>
        <w:ind w:left="4320" w:hanging="1440"/>
      </w:pPr>
      <w:rPr>
        <w:rFonts w:hint="default"/>
      </w:rPr>
    </w:lvl>
  </w:abstractNum>
  <w:abstractNum w:abstractNumId="15">
    <w:nsid w:val="58C70088"/>
    <w:multiLevelType w:val="multilevel"/>
    <w:tmpl w:val="58C70088"/>
    <w:lvl w:ilvl="0" w:tentative="0">
      <w:start w:val="1"/>
      <w:numFmt w:val="decimal"/>
      <w:pStyle w:val="88"/>
      <w:lvlText w:val="%1."/>
      <w:lvlJc w:val="left"/>
      <w:pPr>
        <w:ind w:left="502" w:hanging="360"/>
      </w:pPr>
      <w:rPr>
        <w:b/>
        <w:i w:val="0"/>
        <w:strike w:val="0"/>
        <w:dstrike w:val="0"/>
      </w:rPr>
    </w:lvl>
    <w:lvl w:ilvl="1" w:tentative="0">
      <w:start w:val="1"/>
      <w:numFmt w:val="decimal"/>
      <w:pStyle w:val="86"/>
      <w:lvlText w:val="%1.%2."/>
      <w:lvlJc w:val="left"/>
      <w:pPr>
        <w:ind w:left="858" w:hanging="432"/>
      </w:pPr>
      <w:rPr>
        <w:b w:val="0"/>
        <w:strike w:val="0"/>
      </w:rPr>
    </w:lvl>
    <w:lvl w:ilvl="2" w:tentative="0">
      <w:start w:val="1"/>
      <w:numFmt w:val="decimal"/>
      <w:lvlText w:val="%1.%2.%3."/>
      <w:lvlJc w:val="left"/>
      <w:pPr>
        <w:ind w:left="1224" w:hanging="504"/>
      </w:pPr>
      <w:rPr>
        <w:i w:val="0"/>
        <w:strike w:val="0"/>
      </w:rPr>
    </w:lvl>
    <w:lvl w:ilvl="3" w:tentative="0">
      <w:start w:val="1"/>
      <w:numFmt w:val="decimal"/>
      <w:lvlText w:val="%1.%2.%3.%4."/>
      <w:lvlJc w:val="left"/>
      <w:pPr>
        <w:ind w:left="1728" w:hanging="648"/>
      </w:pPr>
    </w:lvl>
    <w:lvl w:ilvl="4" w:tentative="0">
      <w:start w:val="1"/>
      <w:numFmt w:val="decimal"/>
      <w:lvlText w:val="%1.%2.%3.%4.%5."/>
      <w:lvlJc w:val="left"/>
      <w:pPr>
        <w:ind w:left="4053" w:hanging="792"/>
      </w:pPr>
    </w:lvl>
    <w:lvl w:ilvl="5" w:tentative="0">
      <w:start w:val="1"/>
      <w:numFmt w:val="decimal"/>
      <w:lvlText w:val="%1.%2.%3.%4.%5.%6."/>
      <w:lvlJc w:val="left"/>
      <w:pPr>
        <w:ind w:left="2736" w:hanging="936"/>
      </w:pPr>
    </w:lvl>
    <w:lvl w:ilvl="6" w:tentative="0">
      <w:start w:val="1"/>
      <w:numFmt w:val="decimal"/>
      <w:lvlText w:val="%1.%2.%3.%4.%5.%6.%7."/>
      <w:lvlJc w:val="left"/>
      <w:pPr>
        <w:ind w:left="3240" w:hanging="1080"/>
      </w:pPr>
    </w:lvl>
    <w:lvl w:ilvl="7" w:tentative="0">
      <w:start w:val="1"/>
      <w:numFmt w:val="decimal"/>
      <w:lvlText w:val="%1.%2.%3.%4.%5.%6.%7.%8."/>
      <w:lvlJc w:val="left"/>
      <w:pPr>
        <w:ind w:left="3744" w:hanging="1224"/>
      </w:pPr>
    </w:lvl>
    <w:lvl w:ilvl="8" w:tentative="0">
      <w:start w:val="1"/>
      <w:numFmt w:val="decimal"/>
      <w:lvlText w:val="%1.%2.%3.%4.%5.%6.%7.%8.%9."/>
      <w:lvlJc w:val="left"/>
      <w:pPr>
        <w:ind w:left="4320" w:hanging="1440"/>
      </w:pPr>
    </w:lvl>
  </w:abstractNum>
  <w:abstractNum w:abstractNumId="16">
    <w:nsid w:val="5FA91080"/>
    <w:multiLevelType w:val="multilevel"/>
    <w:tmpl w:val="5FA91080"/>
    <w:lvl w:ilvl="0" w:tentative="0">
      <w:start w:val="3"/>
      <w:numFmt w:val="decimal"/>
      <w:lvlText w:val="%1."/>
      <w:lvlJc w:val="left"/>
      <w:pPr>
        <w:ind w:left="375" w:hanging="375"/>
      </w:pPr>
      <w:rPr>
        <w:rFonts w:hint="default" w:cs="Times New Roman"/>
        <w:color w:val="000000"/>
      </w:rPr>
    </w:lvl>
    <w:lvl w:ilvl="1" w:tentative="0">
      <w:start w:val="1"/>
      <w:numFmt w:val="decimal"/>
      <w:lvlText w:val="%1.%2."/>
      <w:lvlJc w:val="left"/>
      <w:pPr>
        <w:ind w:left="1287" w:hanging="720"/>
      </w:pPr>
      <w:rPr>
        <w:rFonts w:hint="default" w:cs="Times New Roman"/>
        <w:color w:val="000000"/>
      </w:rPr>
    </w:lvl>
    <w:lvl w:ilvl="2" w:tentative="0">
      <w:start w:val="1"/>
      <w:numFmt w:val="decimal"/>
      <w:lvlText w:val="%1.%2.%3."/>
      <w:lvlJc w:val="left"/>
      <w:pPr>
        <w:ind w:left="1854" w:hanging="720"/>
      </w:pPr>
      <w:rPr>
        <w:rFonts w:hint="default" w:cs="Times New Roman"/>
        <w:color w:val="000000"/>
      </w:rPr>
    </w:lvl>
    <w:lvl w:ilvl="3" w:tentative="0">
      <w:start w:val="1"/>
      <w:numFmt w:val="lowerLetter"/>
      <w:lvlText w:val="%4)"/>
      <w:lvlJc w:val="left"/>
      <w:pPr>
        <w:ind w:left="2781" w:hanging="1080"/>
      </w:pPr>
      <w:rPr>
        <w:rFonts w:hint="default"/>
        <w:color w:val="000000"/>
      </w:rPr>
    </w:lvl>
    <w:lvl w:ilvl="4" w:tentative="0">
      <w:start w:val="1"/>
      <w:numFmt w:val="decimal"/>
      <w:lvlText w:val="%1.%2.%3.%4.%5."/>
      <w:lvlJc w:val="left"/>
      <w:pPr>
        <w:ind w:left="3708" w:hanging="1440"/>
      </w:pPr>
      <w:rPr>
        <w:rFonts w:hint="default" w:cs="Times New Roman"/>
        <w:color w:val="000000"/>
      </w:rPr>
    </w:lvl>
    <w:lvl w:ilvl="5" w:tentative="0">
      <w:start w:val="1"/>
      <w:numFmt w:val="decimal"/>
      <w:lvlText w:val="%1.%2.%3.%4.%5.%6."/>
      <w:lvlJc w:val="left"/>
      <w:pPr>
        <w:ind w:left="4275" w:hanging="1440"/>
      </w:pPr>
      <w:rPr>
        <w:rFonts w:hint="default" w:cs="Times New Roman"/>
        <w:color w:val="000000"/>
      </w:rPr>
    </w:lvl>
    <w:lvl w:ilvl="6" w:tentative="0">
      <w:start w:val="1"/>
      <w:numFmt w:val="decimal"/>
      <w:lvlText w:val="%1.%2.%3.%4.%5.%6.%7."/>
      <w:lvlJc w:val="left"/>
      <w:pPr>
        <w:ind w:left="5202" w:hanging="1800"/>
      </w:pPr>
      <w:rPr>
        <w:rFonts w:hint="default" w:cs="Times New Roman"/>
        <w:color w:val="000000"/>
      </w:rPr>
    </w:lvl>
    <w:lvl w:ilvl="7" w:tentative="0">
      <w:start w:val="1"/>
      <w:numFmt w:val="decimal"/>
      <w:lvlText w:val="%1.%2.%3.%4.%5.%6.%7.%8."/>
      <w:lvlJc w:val="left"/>
      <w:pPr>
        <w:ind w:left="6129" w:hanging="2160"/>
      </w:pPr>
      <w:rPr>
        <w:rFonts w:hint="default" w:cs="Times New Roman"/>
        <w:color w:val="000000"/>
      </w:rPr>
    </w:lvl>
    <w:lvl w:ilvl="8" w:tentative="0">
      <w:start w:val="1"/>
      <w:numFmt w:val="decimal"/>
      <w:lvlText w:val="%1.%2.%3.%4.%5.%6.%7.%8.%9."/>
      <w:lvlJc w:val="left"/>
      <w:pPr>
        <w:ind w:left="6696" w:hanging="2160"/>
      </w:pPr>
      <w:rPr>
        <w:rFonts w:hint="default" w:cs="Times New Roman"/>
        <w:color w:val="000000"/>
      </w:rPr>
    </w:lvl>
  </w:abstractNum>
  <w:abstractNum w:abstractNumId="17">
    <w:nsid w:val="73DE6386"/>
    <w:multiLevelType w:val="multilevel"/>
    <w:tmpl w:val="73DE6386"/>
    <w:lvl w:ilvl="0" w:tentative="0">
      <w:start w:val="3"/>
      <w:numFmt w:val="decimal"/>
      <w:lvlText w:val="%1."/>
      <w:lvlJc w:val="left"/>
      <w:pPr>
        <w:ind w:left="375" w:hanging="375"/>
      </w:pPr>
      <w:rPr>
        <w:rFonts w:hint="default" w:cs="Times New Roman"/>
        <w:color w:val="000000"/>
      </w:rPr>
    </w:lvl>
    <w:lvl w:ilvl="1" w:tentative="0">
      <w:start w:val="1"/>
      <w:numFmt w:val="decimal"/>
      <w:lvlText w:val="%1.%2."/>
      <w:lvlJc w:val="left"/>
      <w:pPr>
        <w:ind w:left="1287" w:hanging="720"/>
      </w:pPr>
      <w:rPr>
        <w:rFonts w:hint="default" w:cs="Times New Roman"/>
        <w:b w:val="0"/>
        <w:color w:val="000000"/>
      </w:rPr>
    </w:lvl>
    <w:lvl w:ilvl="2" w:tentative="0">
      <w:start w:val="1"/>
      <w:numFmt w:val="decimal"/>
      <w:lvlText w:val="%1.%2.%3."/>
      <w:lvlJc w:val="left"/>
      <w:pPr>
        <w:ind w:left="1854" w:hanging="720"/>
      </w:pPr>
      <w:rPr>
        <w:rFonts w:hint="default" w:cs="Times New Roman"/>
        <w:b w:val="0"/>
        <w:bCs w:val="0"/>
        <w:color w:val="000000"/>
        <w:sz w:val="18"/>
        <w:szCs w:val="18"/>
      </w:rPr>
    </w:lvl>
    <w:lvl w:ilvl="3" w:tentative="0">
      <w:start w:val="1"/>
      <w:numFmt w:val="decimal"/>
      <w:lvlText w:val="%1.%2.%3.%4."/>
      <w:lvlJc w:val="left"/>
      <w:pPr>
        <w:ind w:left="2781" w:hanging="1080"/>
      </w:pPr>
      <w:rPr>
        <w:rFonts w:hint="default" w:cs="Times New Roman"/>
        <w:color w:val="000000"/>
      </w:rPr>
    </w:lvl>
    <w:lvl w:ilvl="4" w:tentative="0">
      <w:start w:val="1"/>
      <w:numFmt w:val="decimal"/>
      <w:lvlText w:val="%1.%2.%3.%4.%5."/>
      <w:lvlJc w:val="left"/>
      <w:pPr>
        <w:ind w:left="3708" w:hanging="1440"/>
      </w:pPr>
      <w:rPr>
        <w:rFonts w:hint="default" w:cs="Times New Roman"/>
        <w:color w:val="000000"/>
      </w:rPr>
    </w:lvl>
    <w:lvl w:ilvl="5" w:tentative="0">
      <w:start w:val="1"/>
      <w:numFmt w:val="decimal"/>
      <w:lvlText w:val="%1.%2.%3.%4.%5.%6."/>
      <w:lvlJc w:val="left"/>
      <w:pPr>
        <w:ind w:left="4275" w:hanging="1440"/>
      </w:pPr>
      <w:rPr>
        <w:rFonts w:hint="default" w:cs="Times New Roman"/>
        <w:color w:val="000000"/>
      </w:rPr>
    </w:lvl>
    <w:lvl w:ilvl="6" w:tentative="0">
      <w:start w:val="1"/>
      <w:numFmt w:val="decimal"/>
      <w:lvlText w:val="%1.%2.%3.%4.%5.%6.%7."/>
      <w:lvlJc w:val="left"/>
      <w:pPr>
        <w:ind w:left="5202" w:hanging="1800"/>
      </w:pPr>
      <w:rPr>
        <w:rFonts w:hint="default" w:cs="Times New Roman"/>
        <w:color w:val="000000"/>
      </w:rPr>
    </w:lvl>
    <w:lvl w:ilvl="7" w:tentative="0">
      <w:start w:val="1"/>
      <w:numFmt w:val="decimal"/>
      <w:lvlText w:val="%1.%2.%3.%4.%5.%6.%7.%8."/>
      <w:lvlJc w:val="left"/>
      <w:pPr>
        <w:ind w:left="6129" w:hanging="2160"/>
      </w:pPr>
      <w:rPr>
        <w:rFonts w:hint="default" w:cs="Times New Roman"/>
        <w:color w:val="000000"/>
      </w:rPr>
    </w:lvl>
    <w:lvl w:ilvl="8" w:tentative="0">
      <w:start w:val="1"/>
      <w:numFmt w:val="decimal"/>
      <w:lvlText w:val="%1.%2.%3.%4.%5.%6.%7.%8.%9."/>
      <w:lvlJc w:val="left"/>
      <w:pPr>
        <w:ind w:left="6696" w:hanging="2160"/>
      </w:pPr>
      <w:rPr>
        <w:rFonts w:hint="default" w:cs="Times New Roman"/>
        <w:color w:val="000000"/>
      </w:rPr>
    </w:lvl>
  </w:abstractNum>
  <w:num w:numId="1">
    <w:abstractNumId w:val="1"/>
  </w:num>
  <w:num w:numId="2">
    <w:abstractNumId w:val="15"/>
  </w:num>
  <w:num w:numId="3">
    <w:abstractNumId w:val="9"/>
  </w:num>
  <w:num w:numId="4">
    <w:abstractNumId w:val="5"/>
  </w:num>
  <w:num w:numId="5">
    <w:abstractNumId w:val="14"/>
  </w:num>
  <w:num w:numId="6">
    <w:abstractNumId w:val="7"/>
  </w:num>
  <w:num w:numId="7">
    <w:abstractNumId w:val="3"/>
  </w:num>
  <w:num w:numId="8">
    <w:abstractNumId w:val="12"/>
  </w:num>
  <w:num w:numId="9">
    <w:abstractNumId w:val="17"/>
  </w:num>
  <w:num w:numId="10">
    <w:abstractNumId w:val="16"/>
  </w:num>
  <w:num w:numId="11">
    <w:abstractNumId w:val="8"/>
  </w:num>
  <w:num w:numId="12">
    <w:abstractNumId w:val="11"/>
  </w:num>
  <w:num w:numId="13">
    <w:abstractNumId w:val="2"/>
  </w:num>
  <w:num w:numId="14">
    <w:abstractNumId w:val="4"/>
  </w:num>
  <w:num w:numId="15">
    <w:abstractNumId w:val="13"/>
  </w:num>
  <w:num w:numId="16">
    <w:abstractNumId w:val="0"/>
  </w:num>
  <w:num w:numId="17">
    <w:abstractNumId w:val="6"/>
  </w:num>
  <w:num w:numId="1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web"/>
  <w:zoom w:percent="120"/>
  <w:documentProtection w:enforcement="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00339"/>
    <w:rsid w:val="0000272F"/>
    <w:rsid w:val="00002BE7"/>
    <w:rsid w:val="0000572D"/>
    <w:rsid w:val="00007DF5"/>
    <w:rsid w:val="00011CE3"/>
    <w:rsid w:val="00012341"/>
    <w:rsid w:val="00012656"/>
    <w:rsid w:val="000132E3"/>
    <w:rsid w:val="00013F23"/>
    <w:rsid w:val="00016480"/>
    <w:rsid w:val="000171AC"/>
    <w:rsid w:val="000209B3"/>
    <w:rsid w:val="00021EE5"/>
    <w:rsid w:val="00024431"/>
    <w:rsid w:val="00024F0C"/>
    <w:rsid w:val="00025E2C"/>
    <w:rsid w:val="00026867"/>
    <w:rsid w:val="00030981"/>
    <w:rsid w:val="00032969"/>
    <w:rsid w:val="000333FC"/>
    <w:rsid w:val="00033D67"/>
    <w:rsid w:val="0003598D"/>
    <w:rsid w:val="00035BE1"/>
    <w:rsid w:val="00036CE0"/>
    <w:rsid w:val="00037C67"/>
    <w:rsid w:val="00037CA9"/>
    <w:rsid w:val="00040670"/>
    <w:rsid w:val="00040B7F"/>
    <w:rsid w:val="00041932"/>
    <w:rsid w:val="000420FE"/>
    <w:rsid w:val="00042438"/>
    <w:rsid w:val="00042DB4"/>
    <w:rsid w:val="00043942"/>
    <w:rsid w:val="00044607"/>
    <w:rsid w:val="000469F5"/>
    <w:rsid w:val="000477C8"/>
    <w:rsid w:val="00050A75"/>
    <w:rsid w:val="00051A5C"/>
    <w:rsid w:val="00052C9F"/>
    <w:rsid w:val="0005392C"/>
    <w:rsid w:val="00057489"/>
    <w:rsid w:val="00061A42"/>
    <w:rsid w:val="00064256"/>
    <w:rsid w:val="00067ABD"/>
    <w:rsid w:val="00071AA5"/>
    <w:rsid w:val="00073D03"/>
    <w:rsid w:val="00073EAE"/>
    <w:rsid w:val="000768F4"/>
    <w:rsid w:val="000769C0"/>
    <w:rsid w:val="000771CA"/>
    <w:rsid w:val="00080DDF"/>
    <w:rsid w:val="00081279"/>
    <w:rsid w:val="00082356"/>
    <w:rsid w:val="00087DA8"/>
    <w:rsid w:val="000919CD"/>
    <w:rsid w:val="00092A09"/>
    <w:rsid w:val="000936C6"/>
    <w:rsid w:val="00095632"/>
    <w:rsid w:val="00096672"/>
    <w:rsid w:val="00097854"/>
    <w:rsid w:val="00097E33"/>
    <w:rsid w:val="000A0FFA"/>
    <w:rsid w:val="000A1335"/>
    <w:rsid w:val="000A1660"/>
    <w:rsid w:val="000A3019"/>
    <w:rsid w:val="000A3474"/>
    <w:rsid w:val="000A4AD4"/>
    <w:rsid w:val="000A547D"/>
    <w:rsid w:val="000A7A67"/>
    <w:rsid w:val="000B0521"/>
    <w:rsid w:val="000B0872"/>
    <w:rsid w:val="000B45BF"/>
    <w:rsid w:val="000B57B8"/>
    <w:rsid w:val="000B5CA5"/>
    <w:rsid w:val="000B7A66"/>
    <w:rsid w:val="000C082E"/>
    <w:rsid w:val="000C10A6"/>
    <w:rsid w:val="000C1A13"/>
    <w:rsid w:val="000D015E"/>
    <w:rsid w:val="000D0B19"/>
    <w:rsid w:val="000D4968"/>
    <w:rsid w:val="000D4CE0"/>
    <w:rsid w:val="000D52F6"/>
    <w:rsid w:val="000E0CF8"/>
    <w:rsid w:val="000E2EA0"/>
    <w:rsid w:val="000E3A57"/>
    <w:rsid w:val="000E489C"/>
    <w:rsid w:val="000E69FD"/>
    <w:rsid w:val="000F0302"/>
    <w:rsid w:val="000F0FC8"/>
    <w:rsid w:val="000F3959"/>
    <w:rsid w:val="0010156C"/>
    <w:rsid w:val="0010186B"/>
    <w:rsid w:val="00101D0A"/>
    <w:rsid w:val="001026F7"/>
    <w:rsid w:val="00104990"/>
    <w:rsid w:val="00105939"/>
    <w:rsid w:val="00107E05"/>
    <w:rsid w:val="001107D8"/>
    <w:rsid w:val="001108F0"/>
    <w:rsid w:val="00111997"/>
    <w:rsid w:val="001119EE"/>
    <w:rsid w:val="00113088"/>
    <w:rsid w:val="001142F0"/>
    <w:rsid w:val="00115091"/>
    <w:rsid w:val="00117D18"/>
    <w:rsid w:val="0012095F"/>
    <w:rsid w:val="00120C1D"/>
    <w:rsid w:val="001225CA"/>
    <w:rsid w:val="00122846"/>
    <w:rsid w:val="00124D3B"/>
    <w:rsid w:val="001330F4"/>
    <w:rsid w:val="00133477"/>
    <w:rsid w:val="0013376D"/>
    <w:rsid w:val="00134551"/>
    <w:rsid w:val="00134ECE"/>
    <w:rsid w:val="00135690"/>
    <w:rsid w:val="00135917"/>
    <w:rsid w:val="00136E4B"/>
    <w:rsid w:val="0013777B"/>
    <w:rsid w:val="00141563"/>
    <w:rsid w:val="0014212E"/>
    <w:rsid w:val="00143D88"/>
    <w:rsid w:val="00144994"/>
    <w:rsid w:val="001460F9"/>
    <w:rsid w:val="00146A4B"/>
    <w:rsid w:val="0014702A"/>
    <w:rsid w:val="00151EC5"/>
    <w:rsid w:val="00152366"/>
    <w:rsid w:val="00152E32"/>
    <w:rsid w:val="0015413B"/>
    <w:rsid w:val="00154A72"/>
    <w:rsid w:val="00157582"/>
    <w:rsid w:val="00166DE1"/>
    <w:rsid w:val="001675C3"/>
    <w:rsid w:val="001716A7"/>
    <w:rsid w:val="00176815"/>
    <w:rsid w:val="001777DA"/>
    <w:rsid w:val="001820B6"/>
    <w:rsid w:val="00184688"/>
    <w:rsid w:val="00184FA3"/>
    <w:rsid w:val="001856C3"/>
    <w:rsid w:val="00187247"/>
    <w:rsid w:val="0018774C"/>
    <w:rsid w:val="00193BB9"/>
    <w:rsid w:val="00193C31"/>
    <w:rsid w:val="00194920"/>
    <w:rsid w:val="0019713F"/>
    <w:rsid w:val="001A5DE3"/>
    <w:rsid w:val="001A6762"/>
    <w:rsid w:val="001A6848"/>
    <w:rsid w:val="001B0659"/>
    <w:rsid w:val="001B2CF6"/>
    <w:rsid w:val="001B3B2F"/>
    <w:rsid w:val="001B3D3A"/>
    <w:rsid w:val="001B60C7"/>
    <w:rsid w:val="001B7B58"/>
    <w:rsid w:val="001C2143"/>
    <w:rsid w:val="001C2510"/>
    <w:rsid w:val="001C2A00"/>
    <w:rsid w:val="001C37C7"/>
    <w:rsid w:val="001C52B6"/>
    <w:rsid w:val="001C6779"/>
    <w:rsid w:val="001C72BF"/>
    <w:rsid w:val="001D0428"/>
    <w:rsid w:val="001D55DD"/>
    <w:rsid w:val="001D7DCE"/>
    <w:rsid w:val="001E031F"/>
    <w:rsid w:val="001E06F1"/>
    <w:rsid w:val="001E4ACD"/>
    <w:rsid w:val="001E4D33"/>
    <w:rsid w:val="001E5220"/>
    <w:rsid w:val="001E624D"/>
    <w:rsid w:val="001E68A8"/>
    <w:rsid w:val="001F0134"/>
    <w:rsid w:val="001F1D42"/>
    <w:rsid w:val="001F2A64"/>
    <w:rsid w:val="001F378C"/>
    <w:rsid w:val="00201CE5"/>
    <w:rsid w:val="002028CA"/>
    <w:rsid w:val="0020293A"/>
    <w:rsid w:val="002029D4"/>
    <w:rsid w:val="00202B86"/>
    <w:rsid w:val="00204AC6"/>
    <w:rsid w:val="0020699C"/>
    <w:rsid w:val="00206DB7"/>
    <w:rsid w:val="00207785"/>
    <w:rsid w:val="0020781F"/>
    <w:rsid w:val="00212C0E"/>
    <w:rsid w:val="00212FD2"/>
    <w:rsid w:val="0021674E"/>
    <w:rsid w:val="0022283D"/>
    <w:rsid w:val="00222AA6"/>
    <w:rsid w:val="00223DE4"/>
    <w:rsid w:val="0023199C"/>
    <w:rsid w:val="00233B40"/>
    <w:rsid w:val="00236F91"/>
    <w:rsid w:val="002403A0"/>
    <w:rsid w:val="002404E6"/>
    <w:rsid w:val="00242422"/>
    <w:rsid w:val="00244CC9"/>
    <w:rsid w:val="00244D18"/>
    <w:rsid w:val="002479A1"/>
    <w:rsid w:val="0025064A"/>
    <w:rsid w:val="00251D88"/>
    <w:rsid w:val="00252A11"/>
    <w:rsid w:val="00256656"/>
    <w:rsid w:val="00262EBF"/>
    <w:rsid w:val="00264576"/>
    <w:rsid w:val="00264654"/>
    <w:rsid w:val="00266573"/>
    <w:rsid w:val="00267037"/>
    <w:rsid w:val="00270579"/>
    <w:rsid w:val="00270B02"/>
    <w:rsid w:val="00270F76"/>
    <w:rsid w:val="00272208"/>
    <w:rsid w:val="002743C0"/>
    <w:rsid w:val="00274B72"/>
    <w:rsid w:val="002753F9"/>
    <w:rsid w:val="00276040"/>
    <w:rsid w:val="00276E75"/>
    <w:rsid w:val="0027781C"/>
    <w:rsid w:val="00281A0E"/>
    <w:rsid w:val="002826CA"/>
    <w:rsid w:val="0028336C"/>
    <w:rsid w:val="002838E5"/>
    <w:rsid w:val="0028529B"/>
    <w:rsid w:val="002860E7"/>
    <w:rsid w:val="00290E7A"/>
    <w:rsid w:val="00291065"/>
    <w:rsid w:val="00291FB3"/>
    <w:rsid w:val="00294D07"/>
    <w:rsid w:val="002968A4"/>
    <w:rsid w:val="002A01C3"/>
    <w:rsid w:val="002A0FE8"/>
    <w:rsid w:val="002A4FE2"/>
    <w:rsid w:val="002B2A86"/>
    <w:rsid w:val="002B4DC1"/>
    <w:rsid w:val="002B5AF9"/>
    <w:rsid w:val="002B789D"/>
    <w:rsid w:val="002C017F"/>
    <w:rsid w:val="002C5E8C"/>
    <w:rsid w:val="002D0297"/>
    <w:rsid w:val="002D1ED4"/>
    <w:rsid w:val="002D3CF1"/>
    <w:rsid w:val="002D5E31"/>
    <w:rsid w:val="002D7462"/>
    <w:rsid w:val="002D7755"/>
    <w:rsid w:val="002D7941"/>
    <w:rsid w:val="002E032B"/>
    <w:rsid w:val="002E26B7"/>
    <w:rsid w:val="002E3048"/>
    <w:rsid w:val="002E31BF"/>
    <w:rsid w:val="002E61A4"/>
    <w:rsid w:val="002E62AC"/>
    <w:rsid w:val="002F205D"/>
    <w:rsid w:val="002F46A1"/>
    <w:rsid w:val="00301559"/>
    <w:rsid w:val="003066DE"/>
    <w:rsid w:val="00306B55"/>
    <w:rsid w:val="003116C2"/>
    <w:rsid w:val="00313D85"/>
    <w:rsid w:val="00314DBF"/>
    <w:rsid w:val="00317368"/>
    <w:rsid w:val="00317B7C"/>
    <w:rsid w:val="00320AF8"/>
    <w:rsid w:val="00327BC9"/>
    <w:rsid w:val="00330333"/>
    <w:rsid w:val="00330451"/>
    <w:rsid w:val="00330D0A"/>
    <w:rsid w:val="00331BCD"/>
    <w:rsid w:val="00332136"/>
    <w:rsid w:val="003341B0"/>
    <w:rsid w:val="00335D00"/>
    <w:rsid w:val="00340D56"/>
    <w:rsid w:val="00344E1A"/>
    <w:rsid w:val="00345A4D"/>
    <w:rsid w:val="00345E52"/>
    <w:rsid w:val="00345ED5"/>
    <w:rsid w:val="003462E4"/>
    <w:rsid w:val="00347730"/>
    <w:rsid w:val="00351091"/>
    <w:rsid w:val="003517F0"/>
    <w:rsid w:val="00351997"/>
    <w:rsid w:val="003521E6"/>
    <w:rsid w:val="00352DFB"/>
    <w:rsid w:val="003556B7"/>
    <w:rsid w:val="0035594F"/>
    <w:rsid w:val="00360371"/>
    <w:rsid w:val="00363C29"/>
    <w:rsid w:val="0036724B"/>
    <w:rsid w:val="00372DDF"/>
    <w:rsid w:val="003730C9"/>
    <w:rsid w:val="00373E85"/>
    <w:rsid w:val="0037549B"/>
    <w:rsid w:val="00375D6D"/>
    <w:rsid w:val="003764D9"/>
    <w:rsid w:val="0038050C"/>
    <w:rsid w:val="00380697"/>
    <w:rsid w:val="00385FFD"/>
    <w:rsid w:val="00387F7B"/>
    <w:rsid w:val="003964AC"/>
    <w:rsid w:val="00396ADA"/>
    <w:rsid w:val="003A5E09"/>
    <w:rsid w:val="003B1D7A"/>
    <w:rsid w:val="003B2401"/>
    <w:rsid w:val="003B6419"/>
    <w:rsid w:val="003B7202"/>
    <w:rsid w:val="003C0988"/>
    <w:rsid w:val="003C2252"/>
    <w:rsid w:val="003C6A5D"/>
    <w:rsid w:val="003D1F7F"/>
    <w:rsid w:val="003D4389"/>
    <w:rsid w:val="003D5088"/>
    <w:rsid w:val="003E1412"/>
    <w:rsid w:val="003E1BA8"/>
    <w:rsid w:val="003E6064"/>
    <w:rsid w:val="003E6625"/>
    <w:rsid w:val="003F5259"/>
    <w:rsid w:val="003F6B77"/>
    <w:rsid w:val="004013A9"/>
    <w:rsid w:val="004015B3"/>
    <w:rsid w:val="00402747"/>
    <w:rsid w:val="0040329A"/>
    <w:rsid w:val="004053D1"/>
    <w:rsid w:val="00407492"/>
    <w:rsid w:val="004137B1"/>
    <w:rsid w:val="00413C0F"/>
    <w:rsid w:val="004155F3"/>
    <w:rsid w:val="00421E96"/>
    <w:rsid w:val="00422BBE"/>
    <w:rsid w:val="00423FCF"/>
    <w:rsid w:val="00424A95"/>
    <w:rsid w:val="004307FA"/>
    <w:rsid w:val="0043140F"/>
    <w:rsid w:val="00431630"/>
    <w:rsid w:val="00435CEF"/>
    <w:rsid w:val="00436AD6"/>
    <w:rsid w:val="00440F3F"/>
    <w:rsid w:val="004410DF"/>
    <w:rsid w:val="00443C35"/>
    <w:rsid w:val="0044424A"/>
    <w:rsid w:val="0044659C"/>
    <w:rsid w:val="00447667"/>
    <w:rsid w:val="004479A4"/>
    <w:rsid w:val="004538E9"/>
    <w:rsid w:val="00453B64"/>
    <w:rsid w:val="00454F62"/>
    <w:rsid w:val="0045560F"/>
    <w:rsid w:val="00455669"/>
    <w:rsid w:val="0046022B"/>
    <w:rsid w:val="004606C6"/>
    <w:rsid w:val="0046240D"/>
    <w:rsid w:val="00465AD0"/>
    <w:rsid w:val="0046717A"/>
    <w:rsid w:val="00473A6E"/>
    <w:rsid w:val="00473DC3"/>
    <w:rsid w:val="00474B8F"/>
    <w:rsid w:val="00476152"/>
    <w:rsid w:val="00480079"/>
    <w:rsid w:val="00482F6E"/>
    <w:rsid w:val="00483252"/>
    <w:rsid w:val="004833F6"/>
    <w:rsid w:val="004846F2"/>
    <w:rsid w:val="00485B8E"/>
    <w:rsid w:val="004860EA"/>
    <w:rsid w:val="00486743"/>
    <w:rsid w:val="00486C35"/>
    <w:rsid w:val="00486F6B"/>
    <w:rsid w:val="004870D4"/>
    <w:rsid w:val="00490344"/>
    <w:rsid w:val="00490B5D"/>
    <w:rsid w:val="00493058"/>
    <w:rsid w:val="00494EAD"/>
    <w:rsid w:val="004A32BA"/>
    <w:rsid w:val="004A3C0A"/>
    <w:rsid w:val="004A6021"/>
    <w:rsid w:val="004A6552"/>
    <w:rsid w:val="004A65BB"/>
    <w:rsid w:val="004A7D47"/>
    <w:rsid w:val="004B0AEA"/>
    <w:rsid w:val="004B35B0"/>
    <w:rsid w:val="004B4A70"/>
    <w:rsid w:val="004B5A04"/>
    <w:rsid w:val="004B68B8"/>
    <w:rsid w:val="004C02C8"/>
    <w:rsid w:val="004C2241"/>
    <w:rsid w:val="004C3F44"/>
    <w:rsid w:val="004C6D38"/>
    <w:rsid w:val="004D0F3B"/>
    <w:rsid w:val="004D2748"/>
    <w:rsid w:val="004D3ED5"/>
    <w:rsid w:val="004D576B"/>
    <w:rsid w:val="004D622F"/>
    <w:rsid w:val="004D7D29"/>
    <w:rsid w:val="004E0406"/>
    <w:rsid w:val="004E0969"/>
    <w:rsid w:val="004E108A"/>
    <w:rsid w:val="004E16F0"/>
    <w:rsid w:val="004E2401"/>
    <w:rsid w:val="004E26B9"/>
    <w:rsid w:val="004E2A48"/>
    <w:rsid w:val="004E30DE"/>
    <w:rsid w:val="004E36E7"/>
    <w:rsid w:val="004E659C"/>
    <w:rsid w:val="004E6F77"/>
    <w:rsid w:val="004F150D"/>
    <w:rsid w:val="004F1B6A"/>
    <w:rsid w:val="004F2A83"/>
    <w:rsid w:val="004F3F26"/>
    <w:rsid w:val="004F464C"/>
    <w:rsid w:val="004F5C9E"/>
    <w:rsid w:val="004F5F5A"/>
    <w:rsid w:val="005025A7"/>
    <w:rsid w:val="005039B3"/>
    <w:rsid w:val="005041B3"/>
    <w:rsid w:val="0050656F"/>
    <w:rsid w:val="00507C07"/>
    <w:rsid w:val="00511290"/>
    <w:rsid w:val="005115BA"/>
    <w:rsid w:val="0051235F"/>
    <w:rsid w:val="00513003"/>
    <w:rsid w:val="00513214"/>
    <w:rsid w:val="00513C9B"/>
    <w:rsid w:val="005143FD"/>
    <w:rsid w:val="00514B33"/>
    <w:rsid w:val="005160E2"/>
    <w:rsid w:val="005206FC"/>
    <w:rsid w:val="00522B74"/>
    <w:rsid w:val="00523CCB"/>
    <w:rsid w:val="00523F2B"/>
    <w:rsid w:val="00524865"/>
    <w:rsid w:val="0052533B"/>
    <w:rsid w:val="005321BF"/>
    <w:rsid w:val="00533C39"/>
    <w:rsid w:val="00535049"/>
    <w:rsid w:val="00535415"/>
    <w:rsid w:val="00536C30"/>
    <w:rsid w:val="005371E7"/>
    <w:rsid w:val="00537AF0"/>
    <w:rsid w:val="00540846"/>
    <w:rsid w:val="00540CF5"/>
    <w:rsid w:val="00540FF0"/>
    <w:rsid w:val="00541685"/>
    <w:rsid w:val="0054679D"/>
    <w:rsid w:val="00547F7A"/>
    <w:rsid w:val="00550A4A"/>
    <w:rsid w:val="00550E79"/>
    <w:rsid w:val="00552325"/>
    <w:rsid w:val="00552ADA"/>
    <w:rsid w:val="00552E85"/>
    <w:rsid w:val="00555155"/>
    <w:rsid w:val="005551A3"/>
    <w:rsid w:val="00555468"/>
    <w:rsid w:val="00555615"/>
    <w:rsid w:val="005600AE"/>
    <w:rsid w:val="00562074"/>
    <w:rsid w:val="0056403C"/>
    <w:rsid w:val="0056435C"/>
    <w:rsid w:val="005668D7"/>
    <w:rsid w:val="00566A5A"/>
    <w:rsid w:val="0056771B"/>
    <w:rsid w:val="005701E4"/>
    <w:rsid w:val="005710B0"/>
    <w:rsid w:val="00571B66"/>
    <w:rsid w:val="00574A86"/>
    <w:rsid w:val="0057595A"/>
    <w:rsid w:val="0057637C"/>
    <w:rsid w:val="005765B7"/>
    <w:rsid w:val="00577B6E"/>
    <w:rsid w:val="005814FB"/>
    <w:rsid w:val="0058255C"/>
    <w:rsid w:val="005825FE"/>
    <w:rsid w:val="00585086"/>
    <w:rsid w:val="00587981"/>
    <w:rsid w:val="00590527"/>
    <w:rsid w:val="005928B2"/>
    <w:rsid w:val="00594BD3"/>
    <w:rsid w:val="005A289E"/>
    <w:rsid w:val="005A5BE9"/>
    <w:rsid w:val="005B7AEC"/>
    <w:rsid w:val="005C13B9"/>
    <w:rsid w:val="005C19EA"/>
    <w:rsid w:val="005C1DB0"/>
    <w:rsid w:val="005C310C"/>
    <w:rsid w:val="005C5AFC"/>
    <w:rsid w:val="005C6C70"/>
    <w:rsid w:val="005C7574"/>
    <w:rsid w:val="005D2A6B"/>
    <w:rsid w:val="005D37CA"/>
    <w:rsid w:val="005D4592"/>
    <w:rsid w:val="005D676A"/>
    <w:rsid w:val="005D6E05"/>
    <w:rsid w:val="005E0CF2"/>
    <w:rsid w:val="005E3DEE"/>
    <w:rsid w:val="005E5E81"/>
    <w:rsid w:val="005E6D7E"/>
    <w:rsid w:val="005F20B4"/>
    <w:rsid w:val="005F2499"/>
    <w:rsid w:val="005F2BE3"/>
    <w:rsid w:val="005F2DFD"/>
    <w:rsid w:val="005F3085"/>
    <w:rsid w:val="005F54E6"/>
    <w:rsid w:val="005F72E0"/>
    <w:rsid w:val="006003D5"/>
    <w:rsid w:val="00600BAE"/>
    <w:rsid w:val="00604008"/>
    <w:rsid w:val="00605297"/>
    <w:rsid w:val="00606DAB"/>
    <w:rsid w:val="00607A90"/>
    <w:rsid w:val="00612552"/>
    <w:rsid w:val="00612C44"/>
    <w:rsid w:val="00615035"/>
    <w:rsid w:val="00621AD5"/>
    <w:rsid w:val="00621B20"/>
    <w:rsid w:val="0062370B"/>
    <w:rsid w:val="00623B54"/>
    <w:rsid w:val="00623D73"/>
    <w:rsid w:val="0062533E"/>
    <w:rsid w:val="006254D1"/>
    <w:rsid w:val="00625D98"/>
    <w:rsid w:val="00625F8F"/>
    <w:rsid w:val="00626512"/>
    <w:rsid w:val="006304DA"/>
    <w:rsid w:val="00630E67"/>
    <w:rsid w:val="0063438D"/>
    <w:rsid w:val="00637E4D"/>
    <w:rsid w:val="006433D3"/>
    <w:rsid w:val="00643690"/>
    <w:rsid w:val="00644336"/>
    <w:rsid w:val="0064459C"/>
    <w:rsid w:val="00645871"/>
    <w:rsid w:val="00645AC1"/>
    <w:rsid w:val="006502F8"/>
    <w:rsid w:val="006552A2"/>
    <w:rsid w:val="00661324"/>
    <w:rsid w:val="0066356C"/>
    <w:rsid w:val="0066475C"/>
    <w:rsid w:val="0066686A"/>
    <w:rsid w:val="00667241"/>
    <w:rsid w:val="0067021D"/>
    <w:rsid w:val="00672E8E"/>
    <w:rsid w:val="00673556"/>
    <w:rsid w:val="00673B29"/>
    <w:rsid w:val="00676173"/>
    <w:rsid w:val="006804AA"/>
    <w:rsid w:val="00681580"/>
    <w:rsid w:val="006818F2"/>
    <w:rsid w:val="00683054"/>
    <w:rsid w:val="006863F1"/>
    <w:rsid w:val="00686F0D"/>
    <w:rsid w:val="006903D5"/>
    <w:rsid w:val="00692FAD"/>
    <w:rsid w:val="00695357"/>
    <w:rsid w:val="00696B46"/>
    <w:rsid w:val="006A0B1C"/>
    <w:rsid w:val="006A1583"/>
    <w:rsid w:val="006A19D8"/>
    <w:rsid w:val="006A2B12"/>
    <w:rsid w:val="006A468D"/>
    <w:rsid w:val="006A494E"/>
    <w:rsid w:val="006A79A4"/>
    <w:rsid w:val="006B51B4"/>
    <w:rsid w:val="006B718F"/>
    <w:rsid w:val="006B731A"/>
    <w:rsid w:val="006C2BA5"/>
    <w:rsid w:val="006C311B"/>
    <w:rsid w:val="006C3BD5"/>
    <w:rsid w:val="006C7F31"/>
    <w:rsid w:val="006D06E8"/>
    <w:rsid w:val="006D1D60"/>
    <w:rsid w:val="006D25F1"/>
    <w:rsid w:val="006D4D12"/>
    <w:rsid w:val="006D7A6F"/>
    <w:rsid w:val="006E2FBD"/>
    <w:rsid w:val="006E355F"/>
    <w:rsid w:val="006E455B"/>
    <w:rsid w:val="006E6201"/>
    <w:rsid w:val="006E7A15"/>
    <w:rsid w:val="006F03A1"/>
    <w:rsid w:val="006F1622"/>
    <w:rsid w:val="006F3082"/>
    <w:rsid w:val="006F4124"/>
    <w:rsid w:val="006F44C6"/>
    <w:rsid w:val="006F6C2A"/>
    <w:rsid w:val="006F7262"/>
    <w:rsid w:val="007004F5"/>
    <w:rsid w:val="00700792"/>
    <w:rsid w:val="00703A82"/>
    <w:rsid w:val="0070436B"/>
    <w:rsid w:val="007138A2"/>
    <w:rsid w:val="0071409D"/>
    <w:rsid w:val="007141BB"/>
    <w:rsid w:val="007141DB"/>
    <w:rsid w:val="007143BB"/>
    <w:rsid w:val="00714E88"/>
    <w:rsid w:val="0071772A"/>
    <w:rsid w:val="007206FA"/>
    <w:rsid w:val="007207A3"/>
    <w:rsid w:val="00720CE1"/>
    <w:rsid w:val="0072118F"/>
    <w:rsid w:val="007216C5"/>
    <w:rsid w:val="00723E54"/>
    <w:rsid w:val="0072435D"/>
    <w:rsid w:val="007246EE"/>
    <w:rsid w:val="00724D49"/>
    <w:rsid w:val="00726268"/>
    <w:rsid w:val="0073392F"/>
    <w:rsid w:val="00734A74"/>
    <w:rsid w:val="007366EB"/>
    <w:rsid w:val="0074188A"/>
    <w:rsid w:val="007459F5"/>
    <w:rsid w:val="007460E4"/>
    <w:rsid w:val="00747A33"/>
    <w:rsid w:val="007506F4"/>
    <w:rsid w:val="00751DC2"/>
    <w:rsid w:val="00752541"/>
    <w:rsid w:val="00753446"/>
    <w:rsid w:val="007545F4"/>
    <w:rsid w:val="00754C05"/>
    <w:rsid w:val="00756241"/>
    <w:rsid w:val="00765D1B"/>
    <w:rsid w:val="00766684"/>
    <w:rsid w:val="00772C9A"/>
    <w:rsid w:val="00774EDF"/>
    <w:rsid w:val="00775337"/>
    <w:rsid w:val="007769F6"/>
    <w:rsid w:val="00777549"/>
    <w:rsid w:val="007815D3"/>
    <w:rsid w:val="007837CD"/>
    <w:rsid w:val="007839F7"/>
    <w:rsid w:val="00785876"/>
    <w:rsid w:val="00786E59"/>
    <w:rsid w:val="007912E9"/>
    <w:rsid w:val="007945AD"/>
    <w:rsid w:val="0079712C"/>
    <w:rsid w:val="007A02BC"/>
    <w:rsid w:val="007A14E6"/>
    <w:rsid w:val="007A17F0"/>
    <w:rsid w:val="007A4958"/>
    <w:rsid w:val="007A60AC"/>
    <w:rsid w:val="007A618C"/>
    <w:rsid w:val="007B1277"/>
    <w:rsid w:val="007B3D65"/>
    <w:rsid w:val="007B607D"/>
    <w:rsid w:val="007C096A"/>
    <w:rsid w:val="007C1C8E"/>
    <w:rsid w:val="007C212B"/>
    <w:rsid w:val="007C409C"/>
    <w:rsid w:val="007C5358"/>
    <w:rsid w:val="007C5FD5"/>
    <w:rsid w:val="007C74E6"/>
    <w:rsid w:val="007D10D7"/>
    <w:rsid w:val="007D148D"/>
    <w:rsid w:val="007D1B67"/>
    <w:rsid w:val="007D36B5"/>
    <w:rsid w:val="007D36FB"/>
    <w:rsid w:val="007E0AAF"/>
    <w:rsid w:val="007E2F29"/>
    <w:rsid w:val="007E589A"/>
    <w:rsid w:val="007F0730"/>
    <w:rsid w:val="007F2286"/>
    <w:rsid w:val="007F25CE"/>
    <w:rsid w:val="007F388A"/>
    <w:rsid w:val="007F3E22"/>
    <w:rsid w:val="007F3F3A"/>
    <w:rsid w:val="007F428B"/>
    <w:rsid w:val="007F4EA9"/>
    <w:rsid w:val="007F5E59"/>
    <w:rsid w:val="007F6CD0"/>
    <w:rsid w:val="007F78D0"/>
    <w:rsid w:val="0080068C"/>
    <w:rsid w:val="0080262C"/>
    <w:rsid w:val="008028D0"/>
    <w:rsid w:val="00802C5D"/>
    <w:rsid w:val="008045EC"/>
    <w:rsid w:val="00805C58"/>
    <w:rsid w:val="00805F1C"/>
    <w:rsid w:val="00806179"/>
    <w:rsid w:val="00811252"/>
    <w:rsid w:val="0081189A"/>
    <w:rsid w:val="008144CB"/>
    <w:rsid w:val="00814DA7"/>
    <w:rsid w:val="0082247E"/>
    <w:rsid w:val="008232AF"/>
    <w:rsid w:val="00823CFC"/>
    <w:rsid w:val="0082567D"/>
    <w:rsid w:val="00826136"/>
    <w:rsid w:val="008316F2"/>
    <w:rsid w:val="00833F20"/>
    <w:rsid w:val="00834CFE"/>
    <w:rsid w:val="00837C0C"/>
    <w:rsid w:val="008439C9"/>
    <w:rsid w:val="0084442E"/>
    <w:rsid w:val="00844F2A"/>
    <w:rsid w:val="00845EBD"/>
    <w:rsid w:val="00851B27"/>
    <w:rsid w:val="00851F90"/>
    <w:rsid w:val="008535A2"/>
    <w:rsid w:val="00856B86"/>
    <w:rsid w:val="00861D14"/>
    <w:rsid w:val="00862DD1"/>
    <w:rsid w:val="00862EB5"/>
    <w:rsid w:val="00863D84"/>
    <w:rsid w:val="00863F04"/>
    <w:rsid w:val="00865A00"/>
    <w:rsid w:val="00866427"/>
    <w:rsid w:val="00871606"/>
    <w:rsid w:val="0087170F"/>
    <w:rsid w:val="008735DE"/>
    <w:rsid w:val="00874234"/>
    <w:rsid w:val="00874DCD"/>
    <w:rsid w:val="00876C01"/>
    <w:rsid w:val="00876DE2"/>
    <w:rsid w:val="00877622"/>
    <w:rsid w:val="00877A47"/>
    <w:rsid w:val="0088114D"/>
    <w:rsid w:val="008857D4"/>
    <w:rsid w:val="00891438"/>
    <w:rsid w:val="008941F1"/>
    <w:rsid w:val="00894692"/>
    <w:rsid w:val="00895484"/>
    <w:rsid w:val="008A446B"/>
    <w:rsid w:val="008A71F6"/>
    <w:rsid w:val="008A7A1D"/>
    <w:rsid w:val="008B1CBB"/>
    <w:rsid w:val="008B45F8"/>
    <w:rsid w:val="008B4B96"/>
    <w:rsid w:val="008B5FAF"/>
    <w:rsid w:val="008B7096"/>
    <w:rsid w:val="008B7A45"/>
    <w:rsid w:val="008C0839"/>
    <w:rsid w:val="008C0A1D"/>
    <w:rsid w:val="008C0CA4"/>
    <w:rsid w:val="008C5B35"/>
    <w:rsid w:val="008D1EA2"/>
    <w:rsid w:val="008D3F3C"/>
    <w:rsid w:val="008D467A"/>
    <w:rsid w:val="008E006F"/>
    <w:rsid w:val="008E08ED"/>
    <w:rsid w:val="008E7B82"/>
    <w:rsid w:val="008F1E50"/>
    <w:rsid w:val="008F2111"/>
    <w:rsid w:val="008F5DEC"/>
    <w:rsid w:val="0090111E"/>
    <w:rsid w:val="00901B35"/>
    <w:rsid w:val="009060FF"/>
    <w:rsid w:val="00907B4E"/>
    <w:rsid w:val="00910337"/>
    <w:rsid w:val="0091061E"/>
    <w:rsid w:val="00914DF0"/>
    <w:rsid w:val="00917C71"/>
    <w:rsid w:val="00920722"/>
    <w:rsid w:val="00921405"/>
    <w:rsid w:val="00924BAC"/>
    <w:rsid w:val="00931C3C"/>
    <w:rsid w:val="009326D6"/>
    <w:rsid w:val="00935E62"/>
    <w:rsid w:val="00936828"/>
    <w:rsid w:val="00942AF0"/>
    <w:rsid w:val="0094375F"/>
    <w:rsid w:val="00944DCF"/>
    <w:rsid w:val="00945CA2"/>
    <w:rsid w:val="00951EC0"/>
    <w:rsid w:val="009549A8"/>
    <w:rsid w:val="00954BD3"/>
    <w:rsid w:val="00956899"/>
    <w:rsid w:val="00965175"/>
    <w:rsid w:val="00965F62"/>
    <w:rsid w:val="00967F69"/>
    <w:rsid w:val="009701D8"/>
    <w:rsid w:val="00971FFC"/>
    <w:rsid w:val="009724FC"/>
    <w:rsid w:val="00980DDD"/>
    <w:rsid w:val="009831B0"/>
    <w:rsid w:val="009845D1"/>
    <w:rsid w:val="00984D68"/>
    <w:rsid w:val="00987EB6"/>
    <w:rsid w:val="00990D0D"/>
    <w:rsid w:val="00993F91"/>
    <w:rsid w:val="0099567E"/>
    <w:rsid w:val="0099598E"/>
    <w:rsid w:val="0099689B"/>
    <w:rsid w:val="0099763B"/>
    <w:rsid w:val="00997AC7"/>
    <w:rsid w:val="009A0971"/>
    <w:rsid w:val="009A2EC2"/>
    <w:rsid w:val="009A3CAD"/>
    <w:rsid w:val="009A5982"/>
    <w:rsid w:val="009A6DA2"/>
    <w:rsid w:val="009B15E7"/>
    <w:rsid w:val="009B5615"/>
    <w:rsid w:val="009B694B"/>
    <w:rsid w:val="009C02FC"/>
    <w:rsid w:val="009C320E"/>
    <w:rsid w:val="009C3754"/>
    <w:rsid w:val="009C618A"/>
    <w:rsid w:val="009C61D3"/>
    <w:rsid w:val="009C6E3A"/>
    <w:rsid w:val="009C774D"/>
    <w:rsid w:val="009D0DE2"/>
    <w:rsid w:val="009D19A8"/>
    <w:rsid w:val="009D2B5A"/>
    <w:rsid w:val="009D3ABC"/>
    <w:rsid w:val="009D7FC1"/>
    <w:rsid w:val="009E0398"/>
    <w:rsid w:val="009E2BE7"/>
    <w:rsid w:val="009E400B"/>
    <w:rsid w:val="009E6F5F"/>
    <w:rsid w:val="009E790A"/>
    <w:rsid w:val="009E7919"/>
    <w:rsid w:val="009E7A7F"/>
    <w:rsid w:val="009F1CC7"/>
    <w:rsid w:val="009F22BD"/>
    <w:rsid w:val="009F41C4"/>
    <w:rsid w:val="009F55E0"/>
    <w:rsid w:val="009F5FB9"/>
    <w:rsid w:val="009F7238"/>
    <w:rsid w:val="009F7F7D"/>
    <w:rsid w:val="00A0059B"/>
    <w:rsid w:val="00A01E93"/>
    <w:rsid w:val="00A028C3"/>
    <w:rsid w:val="00A0308D"/>
    <w:rsid w:val="00A048D5"/>
    <w:rsid w:val="00A054A9"/>
    <w:rsid w:val="00A05C00"/>
    <w:rsid w:val="00A05E8B"/>
    <w:rsid w:val="00A07C89"/>
    <w:rsid w:val="00A07D1F"/>
    <w:rsid w:val="00A10FFB"/>
    <w:rsid w:val="00A1126D"/>
    <w:rsid w:val="00A128A6"/>
    <w:rsid w:val="00A17269"/>
    <w:rsid w:val="00A200AD"/>
    <w:rsid w:val="00A2162F"/>
    <w:rsid w:val="00A2522B"/>
    <w:rsid w:val="00A25933"/>
    <w:rsid w:val="00A27CF6"/>
    <w:rsid w:val="00A27FF1"/>
    <w:rsid w:val="00A30138"/>
    <w:rsid w:val="00A325A6"/>
    <w:rsid w:val="00A34BFC"/>
    <w:rsid w:val="00A34DA7"/>
    <w:rsid w:val="00A34E67"/>
    <w:rsid w:val="00A40DB8"/>
    <w:rsid w:val="00A426A0"/>
    <w:rsid w:val="00A430C1"/>
    <w:rsid w:val="00A45321"/>
    <w:rsid w:val="00A45740"/>
    <w:rsid w:val="00A462B0"/>
    <w:rsid w:val="00A46D16"/>
    <w:rsid w:val="00A52A56"/>
    <w:rsid w:val="00A53E6B"/>
    <w:rsid w:val="00A55F94"/>
    <w:rsid w:val="00A57AAA"/>
    <w:rsid w:val="00A57F98"/>
    <w:rsid w:val="00A61898"/>
    <w:rsid w:val="00A620F6"/>
    <w:rsid w:val="00A629B1"/>
    <w:rsid w:val="00A6362A"/>
    <w:rsid w:val="00A64062"/>
    <w:rsid w:val="00A6550F"/>
    <w:rsid w:val="00A714F8"/>
    <w:rsid w:val="00A7616C"/>
    <w:rsid w:val="00A8340B"/>
    <w:rsid w:val="00A84B69"/>
    <w:rsid w:val="00A8627C"/>
    <w:rsid w:val="00A90BCC"/>
    <w:rsid w:val="00A9328A"/>
    <w:rsid w:val="00A932C9"/>
    <w:rsid w:val="00A95EDD"/>
    <w:rsid w:val="00A96A3C"/>
    <w:rsid w:val="00AA099C"/>
    <w:rsid w:val="00AA09E1"/>
    <w:rsid w:val="00AA17B1"/>
    <w:rsid w:val="00AA55B4"/>
    <w:rsid w:val="00AA5A0A"/>
    <w:rsid w:val="00AA7D85"/>
    <w:rsid w:val="00AB0144"/>
    <w:rsid w:val="00AB5A1D"/>
    <w:rsid w:val="00AB6D01"/>
    <w:rsid w:val="00AC02AE"/>
    <w:rsid w:val="00AC6076"/>
    <w:rsid w:val="00AD1300"/>
    <w:rsid w:val="00AD35F8"/>
    <w:rsid w:val="00AD394E"/>
    <w:rsid w:val="00AD4ED4"/>
    <w:rsid w:val="00AE14DC"/>
    <w:rsid w:val="00AE6D45"/>
    <w:rsid w:val="00AE6F62"/>
    <w:rsid w:val="00AF0E2F"/>
    <w:rsid w:val="00AF1206"/>
    <w:rsid w:val="00B00339"/>
    <w:rsid w:val="00B00ABD"/>
    <w:rsid w:val="00B01F4F"/>
    <w:rsid w:val="00B1027F"/>
    <w:rsid w:val="00B12452"/>
    <w:rsid w:val="00B13D1F"/>
    <w:rsid w:val="00B15DF9"/>
    <w:rsid w:val="00B15EA3"/>
    <w:rsid w:val="00B1628C"/>
    <w:rsid w:val="00B173E1"/>
    <w:rsid w:val="00B17A1A"/>
    <w:rsid w:val="00B20451"/>
    <w:rsid w:val="00B21CE1"/>
    <w:rsid w:val="00B22D74"/>
    <w:rsid w:val="00B22D96"/>
    <w:rsid w:val="00B22E86"/>
    <w:rsid w:val="00B2346C"/>
    <w:rsid w:val="00B234C3"/>
    <w:rsid w:val="00B26EFE"/>
    <w:rsid w:val="00B27E8B"/>
    <w:rsid w:val="00B30801"/>
    <w:rsid w:val="00B30B27"/>
    <w:rsid w:val="00B32E36"/>
    <w:rsid w:val="00B35C9F"/>
    <w:rsid w:val="00B36C40"/>
    <w:rsid w:val="00B40B00"/>
    <w:rsid w:val="00B41E1B"/>
    <w:rsid w:val="00B41EF4"/>
    <w:rsid w:val="00B4236E"/>
    <w:rsid w:val="00B50B8E"/>
    <w:rsid w:val="00B50E33"/>
    <w:rsid w:val="00B51BBE"/>
    <w:rsid w:val="00B51F31"/>
    <w:rsid w:val="00B5400E"/>
    <w:rsid w:val="00B541BD"/>
    <w:rsid w:val="00B556FB"/>
    <w:rsid w:val="00B61169"/>
    <w:rsid w:val="00B614EA"/>
    <w:rsid w:val="00B620AB"/>
    <w:rsid w:val="00B632AA"/>
    <w:rsid w:val="00B63676"/>
    <w:rsid w:val="00B63C4A"/>
    <w:rsid w:val="00B6723A"/>
    <w:rsid w:val="00B71CFE"/>
    <w:rsid w:val="00B72B66"/>
    <w:rsid w:val="00B7368E"/>
    <w:rsid w:val="00B74605"/>
    <w:rsid w:val="00B74663"/>
    <w:rsid w:val="00B74892"/>
    <w:rsid w:val="00B80219"/>
    <w:rsid w:val="00B865E5"/>
    <w:rsid w:val="00B90031"/>
    <w:rsid w:val="00B9016F"/>
    <w:rsid w:val="00B90A3D"/>
    <w:rsid w:val="00B96216"/>
    <w:rsid w:val="00B97D6B"/>
    <w:rsid w:val="00B97E9E"/>
    <w:rsid w:val="00BA19D2"/>
    <w:rsid w:val="00BA3A36"/>
    <w:rsid w:val="00BA6D57"/>
    <w:rsid w:val="00BB15AA"/>
    <w:rsid w:val="00BB1C1A"/>
    <w:rsid w:val="00BB3218"/>
    <w:rsid w:val="00BB4DCD"/>
    <w:rsid w:val="00BB6D98"/>
    <w:rsid w:val="00BB7A27"/>
    <w:rsid w:val="00BC2020"/>
    <w:rsid w:val="00BC2360"/>
    <w:rsid w:val="00BC28E3"/>
    <w:rsid w:val="00BC50E4"/>
    <w:rsid w:val="00BC5C00"/>
    <w:rsid w:val="00BC7453"/>
    <w:rsid w:val="00BD2A59"/>
    <w:rsid w:val="00BD3430"/>
    <w:rsid w:val="00BD537D"/>
    <w:rsid w:val="00BD66A3"/>
    <w:rsid w:val="00BE287A"/>
    <w:rsid w:val="00BE4A5C"/>
    <w:rsid w:val="00BE599D"/>
    <w:rsid w:val="00BE7005"/>
    <w:rsid w:val="00BF14C4"/>
    <w:rsid w:val="00BF2C92"/>
    <w:rsid w:val="00BF39FC"/>
    <w:rsid w:val="00BF5AD7"/>
    <w:rsid w:val="00BF79BA"/>
    <w:rsid w:val="00C021DF"/>
    <w:rsid w:val="00C02511"/>
    <w:rsid w:val="00C0308D"/>
    <w:rsid w:val="00C05321"/>
    <w:rsid w:val="00C0550B"/>
    <w:rsid w:val="00C05B96"/>
    <w:rsid w:val="00C069AF"/>
    <w:rsid w:val="00C10DD1"/>
    <w:rsid w:val="00C132D0"/>
    <w:rsid w:val="00C14CBE"/>
    <w:rsid w:val="00C15F8C"/>
    <w:rsid w:val="00C15FB9"/>
    <w:rsid w:val="00C17D7E"/>
    <w:rsid w:val="00C17E64"/>
    <w:rsid w:val="00C17E9B"/>
    <w:rsid w:val="00C21978"/>
    <w:rsid w:val="00C24F8A"/>
    <w:rsid w:val="00C269DE"/>
    <w:rsid w:val="00C27477"/>
    <w:rsid w:val="00C278AD"/>
    <w:rsid w:val="00C307BE"/>
    <w:rsid w:val="00C32C06"/>
    <w:rsid w:val="00C32F3F"/>
    <w:rsid w:val="00C33A90"/>
    <w:rsid w:val="00C344FB"/>
    <w:rsid w:val="00C37B8A"/>
    <w:rsid w:val="00C404EF"/>
    <w:rsid w:val="00C40BD8"/>
    <w:rsid w:val="00C41A21"/>
    <w:rsid w:val="00C42ED1"/>
    <w:rsid w:val="00C44BCE"/>
    <w:rsid w:val="00C45967"/>
    <w:rsid w:val="00C45BD1"/>
    <w:rsid w:val="00C45C58"/>
    <w:rsid w:val="00C47885"/>
    <w:rsid w:val="00C51D19"/>
    <w:rsid w:val="00C55002"/>
    <w:rsid w:val="00C60898"/>
    <w:rsid w:val="00C60988"/>
    <w:rsid w:val="00C61268"/>
    <w:rsid w:val="00C64D45"/>
    <w:rsid w:val="00C65788"/>
    <w:rsid w:val="00C657C0"/>
    <w:rsid w:val="00C6656E"/>
    <w:rsid w:val="00C7076B"/>
    <w:rsid w:val="00C70E94"/>
    <w:rsid w:val="00C715D1"/>
    <w:rsid w:val="00C8103E"/>
    <w:rsid w:val="00C81619"/>
    <w:rsid w:val="00C81C87"/>
    <w:rsid w:val="00C826DA"/>
    <w:rsid w:val="00C82883"/>
    <w:rsid w:val="00C836CE"/>
    <w:rsid w:val="00C83D29"/>
    <w:rsid w:val="00C864AA"/>
    <w:rsid w:val="00C87A23"/>
    <w:rsid w:val="00C87D2E"/>
    <w:rsid w:val="00C91BEC"/>
    <w:rsid w:val="00C92ABC"/>
    <w:rsid w:val="00C94700"/>
    <w:rsid w:val="00C9608B"/>
    <w:rsid w:val="00C97908"/>
    <w:rsid w:val="00CA03D4"/>
    <w:rsid w:val="00CA0ABC"/>
    <w:rsid w:val="00CA0FFE"/>
    <w:rsid w:val="00CA10FF"/>
    <w:rsid w:val="00CA2C8C"/>
    <w:rsid w:val="00CA3B28"/>
    <w:rsid w:val="00CA512A"/>
    <w:rsid w:val="00CB00A4"/>
    <w:rsid w:val="00CB26AC"/>
    <w:rsid w:val="00CB60F0"/>
    <w:rsid w:val="00CC02E7"/>
    <w:rsid w:val="00CC0A1A"/>
    <w:rsid w:val="00CC1489"/>
    <w:rsid w:val="00CC1CA1"/>
    <w:rsid w:val="00CC4268"/>
    <w:rsid w:val="00CD01C7"/>
    <w:rsid w:val="00CD028E"/>
    <w:rsid w:val="00CD04F9"/>
    <w:rsid w:val="00CD30FF"/>
    <w:rsid w:val="00CD4266"/>
    <w:rsid w:val="00CD542C"/>
    <w:rsid w:val="00CD61AA"/>
    <w:rsid w:val="00CD6BC8"/>
    <w:rsid w:val="00CE252F"/>
    <w:rsid w:val="00CE3A68"/>
    <w:rsid w:val="00CE3BC0"/>
    <w:rsid w:val="00CE5D2C"/>
    <w:rsid w:val="00CF101E"/>
    <w:rsid w:val="00CF15C4"/>
    <w:rsid w:val="00CF1923"/>
    <w:rsid w:val="00CF3B18"/>
    <w:rsid w:val="00CF7B55"/>
    <w:rsid w:val="00D03A92"/>
    <w:rsid w:val="00D052B6"/>
    <w:rsid w:val="00D0564D"/>
    <w:rsid w:val="00D057B1"/>
    <w:rsid w:val="00D116A3"/>
    <w:rsid w:val="00D11CC1"/>
    <w:rsid w:val="00D179DA"/>
    <w:rsid w:val="00D17C97"/>
    <w:rsid w:val="00D2069C"/>
    <w:rsid w:val="00D2069F"/>
    <w:rsid w:val="00D267F7"/>
    <w:rsid w:val="00D3125E"/>
    <w:rsid w:val="00D3611B"/>
    <w:rsid w:val="00D417C3"/>
    <w:rsid w:val="00D4270A"/>
    <w:rsid w:val="00D43829"/>
    <w:rsid w:val="00D44FC7"/>
    <w:rsid w:val="00D47CAC"/>
    <w:rsid w:val="00D47D0D"/>
    <w:rsid w:val="00D50985"/>
    <w:rsid w:val="00D50F81"/>
    <w:rsid w:val="00D51763"/>
    <w:rsid w:val="00D55C65"/>
    <w:rsid w:val="00D55C92"/>
    <w:rsid w:val="00D56F67"/>
    <w:rsid w:val="00D575DF"/>
    <w:rsid w:val="00D65386"/>
    <w:rsid w:val="00D677B0"/>
    <w:rsid w:val="00D67CDC"/>
    <w:rsid w:val="00D70675"/>
    <w:rsid w:val="00D8176A"/>
    <w:rsid w:val="00D82821"/>
    <w:rsid w:val="00D85226"/>
    <w:rsid w:val="00D86309"/>
    <w:rsid w:val="00D92BDC"/>
    <w:rsid w:val="00D943DF"/>
    <w:rsid w:val="00D96AD9"/>
    <w:rsid w:val="00DA169E"/>
    <w:rsid w:val="00DA29DB"/>
    <w:rsid w:val="00DB06F1"/>
    <w:rsid w:val="00DB34F2"/>
    <w:rsid w:val="00DB3A53"/>
    <w:rsid w:val="00DB4456"/>
    <w:rsid w:val="00DC051F"/>
    <w:rsid w:val="00DC2D5F"/>
    <w:rsid w:val="00DC481A"/>
    <w:rsid w:val="00DC4B01"/>
    <w:rsid w:val="00DD5716"/>
    <w:rsid w:val="00DD7E2B"/>
    <w:rsid w:val="00DE200D"/>
    <w:rsid w:val="00DE234E"/>
    <w:rsid w:val="00DE31B2"/>
    <w:rsid w:val="00DE377A"/>
    <w:rsid w:val="00DE7A2D"/>
    <w:rsid w:val="00DF3BC8"/>
    <w:rsid w:val="00DF4A4B"/>
    <w:rsid w:val="00DF571A"/>
    <w:rsid w:val="00DF58D7"/>
    <w:rsid w:val="00E011BE"/>
    <w:rsid w:val="00E01D64"/>
    <w:rsid w:val="00E061B4"/>
    <w:rsid w:val="00E06831"/>
    <w:rsid w:val="00E10828"/>
    <w:rsid w:val="00E113DA"/>
    <w:rsid w:val="00E11B82"/>
    <w:rsid w:val="00E13769"/>
    <w:rsid w:val="00E15885"/>
    <w:rsid w:val="00E20707"/>
    <w:rsid w:val="00E22B03"/>
    <w:rsid w:val="00E238D6"/>
    <w:rsid w:val="00E24598"/>
    <w:rsid w:val="00E25840"/>
    <w:rsid w:val="00E26868"/>
    <w:rsid w:val="00E26E4F"/>
    <w:rsid w:val="00E3399C"/>
    <w:rsid w:val="00E346B9"/>
    <w:rsid w:val="00E36174"/>
    <w:rsid w:val="00E3695E"/>
    <w:rsid w:val="00E43569"/>
    <w:rsid w:val="00E4595F"/>
    <w:rsid w:val="00E47A5D"/>
    <w:rsid w:val="00E50014"/>
    <w:rsid w:val="00E52CC1"/>
    <w:rsid w:val="00E52FB1"/>
    <w:rsid w:val="00E62AF3"/>
    <w:rsid w:val="00E63630"/>
    <w:rsid w:val="00E66B8A"/>
    <w:rsid w:val="00E6736A"/>
    <w:rsid w:val="00E67C0D"/>
    <w:rsid w:val="00E67E0A"/>
    <w:rsid w:val="00E72106"/>
    <w:rsid w:val="00E72146"/>
    <w:rsid w:val="00E72A1C"/>
    <w:rsid w:val="00E73BDE"/>
    <w:rsid w:val="00E745BC"/>
    <w:rsid w:val="00E74C93"/>
    <w:rsid w:val="00E76D45"/>
    <w:rsid w:val="00E82BB7"/>
    <w:rsid w:val="00E8334B"/>
    <w:rsid w:val="00E83FFD"/>
    <w:rsid w:val="00E85536"/>
    <w:rsid w:val="00E95957"/>
    <w:rsid w:val="00E959ED"/>
    <w:rsid w:val="00E95C00"/>
    <w:rsid w:val="00E969CB"/>
    <w:rsid w:val="00EA0AD5"/>
    <w:rsid w:val="00EA2A6D"/>
    <w:rsid w:val="00EA33D5"/>
    <w:rsid w:val="00EA454D"/>
    <w:rsid w:val="00EA4CDD"/>
    <w:rsid w:val="00EA4D14"/>
    <w:rsid w:val="00EA6C98"/>
    <w:rsid w:val="00EA7AFF"/>
    <w:rsid w:val="00EA7E77"/>
    <w:rsid w:val="00EB0042"/>
    <w:rsid w:val="00EB08BC"/>
    <w:rsid w:val="00EB7B44"/>
    <w:rsid w:val="00EC0FF8"/>
    <w:rsid w:val="00EC1A7A"/>
    <w:rsid w:val="00EC20EA"/>
    <w:rsid w:val="00EC3A36"/>
    <w:rsid w:val="00EC3EB2"/>
    <w:rsid w:val="00EC5D57"/>
    <w:rsid w:val="00EC68D8"/>
    <w:rsid w:val="00EC6CA2"/>
    <w:rsid w:val="00EC6FA6"/>
    <w:rsid w:val="00ED1B1C"/>
    <w:rsid w:val="00ED2DD7"/>
    <w:rsid w:val="00ED2F42"/>
    <w:rsid w:val="00ED3F80"/>
    <w:rsid w:val="00ED403B"/>
    <w:rsid w:val="00ED5164"/>
    <w:rsid w:val="00EE0B61"/>
    <w:rsid w:val="00EE1DE1"/>
    <w:rsid w:val="00EE2749"/>
    <w:rsid w:val="00EE3627"/>
    <w:rsid w:val="00EE3C99"/>
    <w:rsid w:val="00EE41EF"/>
    <w:rsid w:val="00EE4599"/>
    <w:rsid w:val="00EE51B2"/>
    <w:rsid w:val="00EE7CAC"/>
    <w:rsid w:val="00EF069A"/>
    <w:rsid w:val="00EF0D86"/>
    <w:rsid w:val="00EF183D"/>
    <w:rsid w:val="00EF26A4"/>
    <w:rsid w:val="00EF41E5"/>
    <w:rsid w:val="00EF486A"/>
    <w:rsid w:val="00EF4A2E"/>
    <w:rsid w:val="00EF5651"/>
    <w:rsid w:val="00EF5A91"/>
    <w:rsid w:val="00EF6D85"/>
    <w:rsid w:val="00EF7BA7"/>
    <w:rsid w:val="00F0003B"/>
    <w:rsid w:val="00F0586B"/>
    <w:rsid w:val="00F07420"/>
    <w:rsid w:val="00F07970"/>
    <w:rsid w:val="00F13F9C"/>
    <w:rsid w:val="00F22B17"/>
    <w:rsid w:val="00F2508F"/>
    <w:rsid w:val="00F31DDE"/>
    <w:rsid w:val="00F323CE"/>
    <w:rsid w:val="00F34EC2"/>
    <w:rsid w:val="00F352F1"/>
    <w:rsid w:val="00F36000"/>
    <w:rsid w:val="00F375E4"/>
    <w:rsid w:val="00F401E5"/>
    <w:rsid w:val="00F43BFB"/>
    <w:rsid w:val="00F44EAC"/>
    <w:rsid w:val="00F4616E"/>
    <w:rsid w:val="00F46421"/>
    <w:rsid w:val="00F47095"/>
    <w:rsid w:val="00F47716"/>
    <w:rsid w:val="00F47C85"/>
    <w:rsid w:val="00F50587"/>
    <w:rsid w:val="00F5354A"/>
    <w:rsid w:val="00F5513B"/>
    <w:rsid w:val="00F55520"/>
    <w:rsid w:val="00F5583D"/>
    <w:rsid w:val="00F55A25"/>
    <w:rsid w:val="00F56179"/>
    <w:rsid w:val="00F565C7"/>
    <w:rsid w:val="00F56EE2"/>
    <w:rsid w:val="00F572FD"/>
    <w:rsid w:val="00F63C3A"/>
    <w:rsid w:val="00F64982"/>
    <w:rsid w:val="00F65CCD"/>
    <w:rsid w:val="00F7323C"/>
    <w:rsid w:val="00F749DA"/>
    <w:rsid w:val="00F76307"/>
    <w:rsid w:val="00F77B7B"/>
    <w:rsid w:val="00F82D57"/>
    <w:rsid w:val="00F82FCD"/>
    <w:rsid w:val="00F8370D"/>
    <w:rsid w:val="00F86A8B"/>
    <w:rsid w:val="00F87D97"/>
    <w:rsid w:val="00F90099"/>
    <w:rsid w:val="00F97DB5"/>
    <w:rsid w:val="00FA1E7B"/>
    <w:rsid w:val="00FA24D2"/>
    <w:rsid w:val="00FA39D3"/>
    <w:rsid w:val="00FA492A"/>
    <w:rsid w:val="00FA4D31"/>
    <w:rsid w:val="00FA5215"/>
    <w:rsid w:val="00FA68B3"/>
    <w:rsid w:val="00FA6D95"/>
    <w:rsid w:val="00FB213F"/>
    <w:rsid w:val="00FB282E"/>
    <w:rsid w:val="00FB4E7C"/>
    <w:rsid w:val="00FB6323"/>
    <w:rsid w:val="00FB681B"/>
    <w:rsid w:val="00FC0799"/>
    <w:rsid w:val="00FC41F0"/>
    <w:rsid w:val="00FC552C"/>
    <w:rsid w:val="00FC59EF"/>
    <w:rsid w:val="00FC5B0B"/>
    <w:rsid w:val="00FC5C7C"/>
    <w:rsid w:val="00FC5CFA"/>
    <w:rsid w:val="00FD3C0A"/>
    <w:rsid w:val="00FD3F3E"/>
    <w:rsid w:val="00FD6673"/>
    <w:rsid w:val="00FD7E65"/>
    <w:rsid w:val="00FE2AB8"/>
    <w:rsid w:val="00FE3CAD"/>
    <w:rsid w:val="00FE4DE2"/>
    <w:rsid w:val="00FE56C9"/>
    <w:rsid w:val="00FE5BFE"/>
    <w:rsid w:val="00FF177B"/>
    <w:rsid w:val="00FF1EB6"/>
    <w:rsid w:val="00FF25E0"/>
    <w:rsid w:val="00FF27C8"/>
    <w:rsid w:val="00FF2A67"/>
    <w:rsid w:val="00FF54BC"/>
    <w:rsid w:val="00FF6BDD"/>
    <w:rsid w:val="00FF739D"/>
    <w:rsid w:val="00FF7A25"/>
    <w:rsid w:val="00FF7E8F"/>
    <w:rsid w:val="00FF7F5B"/>
    <w:rsid w:val="133C40D2"/>
    <w:rsid w:val="13CE5AEE"/>
    <w:rsid w:val="28CE1420"/>
    <w:rsid w:val="43A56D43"/>
    <w:rsid w:val="60432868"/>
    <w:rsid w:val="7AD349DA"/>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nhideWhenUsed="0" w:uiPriority="0" w:semiHidden="0" w:name="header"/>
    <w:lsdException w:qFormat="1" w:unhideWhenUsed="0"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qFormat="1" w:unhideWhenUsed="0" w:uiPriority="0" w:semiHidden="0"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qFormat="1" w:unhideWhenUsed="0" w:uiPriority="34" w:semiHidden="0" w:name="List Paragraph"/>
    <w:lsdException w:qFormat="1" w:unhideWhenUsed="0" w:uiPriority="0" w:semiHidden="0" w:name="Quote"/>
    <w:lsdException w:qFormat="1" w:uiPriority="0" w:name="Medium Grid 2 Accent 2"/>
  </w:latentStyles>
  <w:style w:type="paragraph" w:default="1" w:styleId="1">
    <w:name w:val="Normal"/>
    <w:qFormat/>
    <w:uiPriority w:val="0"/>
    <w:pPr>
      <w:keepNext/>
      <w:shd w:val="clear" w:color="auto" w:fill="FFFFFF"/>
      <w:tabs>
        <w:tab w:val="left" w:pos="708"/>
      </w:tabs>
      <w:suppressAutoHyphens/>
      <w:overflowPunct w:val="0"/>
      <w:textAlignment w:val="baseline"/>
    </w:pPr>
    <w:rPr>
      <w:rFonts w:ascii="Ecofont_Spranq_eco_Sans" w:hAnsi="Ecofont_Spranq_eco_Sans" w:eastAsia="Times New Roman" w:cs="Tahoma"/>
      <w:color w:val="00000A"/>
      <w:sz w:val="24"/>
      <w:szCs w:val="24"/>
      <w:lang w:val="pt-BR" w:eastAsia="pt-BR" w:bidi="ar-SA"/>
    </w:rPr>
  </w:style>
  <w:style w:type="paragraph" w:styleId="2">
    <w:name w:val="heading 1"/>
    <w:basedOn w:val="3"/>
    <w:next w:val="4"/>
    <w:link w:val="27"/>
    <w:qFormat/>
    <w:uiPriority w:val="0"/>
    <w:pPr>
      <w:numPr>
        <w:ilvl w:val="0"/>
        <w:numId w:val="1"/>
      </w:numPr>
      <w:tabs>
        <w:tab w:val="left" w:pos="708"/>
      </w:tabs>
      <w:outlineLvl w:val="0"/>
    </w:pPr>
    <w:rPr>
      <w:b/>
      <w:bCs/>
      <w:sz w:val="36"/>
      <w:szCs w:val="36"/>
    </w:rPr>
  </w:style>
  <w:style w:type="paragraph" w:styleId="5">
    <w:name w:val="heading 2"/>
    <w:basedOn w:val="1"/>
    <w:next w:val="4"/>
    <w:link w:val="28"/>
    <w:qFormat/>
    <w:uiPriority w:val="0"/>
    <w:pPr>
      <w:numPr>
        <w:ilvl w:val="1"/>
        <w:numId w:val="1"/>
      </w:numPr>
      <w:tabs>
        <w:tab w:val="left" w:pos="1701"/>
      </w:tabs>
      <w:ind w:right="-1"/>
      <w:jc w:val="center"/>
      <w:outlineLvl w:val="1"/>
    </w:pPr>
    <w:rPr>
      <w:rFonts w:ascii="Times New Roman" w:hAnsi="Times New Roman" w:cs="Times New Roman"/>
      <w:b/>
      <w:color w:val="000000"/>
      <w:szCs w:val="20"/>
    </w:rPr>
  </w:style>
  <w:style w:type="paragraph" w:styleId="6">
    <w:name w:val="heading 3"/>
    <w:basedOn w:val="3"/>
    <w:next w:val="4"/>
    <w:link w:val="29"/>
    <w:qFormat/>
    <w:uiPriority w:val="0"/>
    <w:pPr>
      <w:numPr>
        <w:ilvl w:val="2"/>
        <w:numId w:val="1"/>
      </w:numPr>
      <w:tabs>
        <w:tab w:val="left" w:pos="708"/>
        <w:tab w:val="clear" w:pos="720"/>
      </w:tabs>
      <w:spacing w:before="140"/>
      <w:outlineLvl w:val="2"/>
    </w:pPr>
    <w:rPr>
      <w:b/>
      <w:bCs/>
      <w:color w:val="808080"/>
    </w:rPr>
  </w:style>
  <w:style w:type="character" w:default="1" w:styleId="7">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Title"/>
    <w:basedOn w:val="1"/>
    <w:next w:val="4"/>
    <w:link w:val="26"/>
    <w:qFormat/>
    <w:uiPriority w:val="0"/>
    <w:pPr>
      <w:spacing w:before="240" w:after="120"/>
    </w:pPr>
    <w:rPr>
      <w:rFonts w:ascii="Liberation Sans" w:hAnsi="Liberation Sans" w:eastAsia="WenQuanYi Micro Hei" w:cs="Lohit Hindi"/>
      <w:sz w:val="28"/>
      <w:szCs w:val="28"/>
    </w:rPr>
  </w:style>
  <w:style w:type="paragraph" w:customStyle="1" w:styleId="4">
    <w:name w:val="Corpo do texto"/>
    <w:basedOn w:val="1"/>
    <w:qFormat/>
    <w:uiPriority w:val="0"/>
    <w:pPr>
      <w:spacing w:after="120"/>
    </w:pPr>
  </w:style>
  <w:style w:type="character" w:styleId="9">
    <w:name w:val="Strong"/>
    <w:basedOn w:val="7"/>
    <w:qFormat/>
    <w:uiPriority w:val="22"/>
    <w:rPr>
      <w:b/>
      <w:bCs/>
    </w:rPr>
  </w:style>
  <w:style w:type="character" w:styleId="10">
    <w:name w:val="annotation reference"/>
    <w:basedOn w:val="7"/>
    <w:unhideWhenUsed/>
    <w:qFormat/>
    <w:uiPriority w:val="99"/>
    <w:rPr>
      <w:sz w:val="16"/>
      <w:szCs w:val="16"/>
    </w:rPr>
  </w:style>
  <w:style w:type="character" w:styleId="11">
    <w:name w:val="FollowedHyperlink"/>
    <w:basedOn w:val="7"/>
    <w:semiHidden/>
    <w:unhideWhenUsed/>
    <w:qFormat/>
    <w:uiPriority w:val="99"/>
    <w:rPr>
      <w:color w:val="954F72" w:themeColor="followedHyperlink"/>
      <w:u w:val="single"/>
      <w14:textFill>
        <w14:solidFill>
          <w14:schemeClr w14:val="folHlink"/>
        </w14:solidFill>
      </w14:textFill>
    </w:rPr>
  </w:style>
  <w:style w:type="character" w:styleId="12">
    <w:name w:val="Emphasis"/>
    <w:basedOn w:val="7"/>
    <w:qFormat/>
    <w:uiPriority w:val="20"/>
    <w:rPr>
      <w:i/>
      <w:iCs/>
    </w:rPr>
  </w:style>
  <w:style w:type="character" w:styleId="13">
    <w:name w:val="Hyperlink"/>
    <w:basedOn w:val="7"/>
    <w:qFormat/>
    <w:uiPriority w:val="0"/>
    <w:rPr>
      <w:color w:val="0563C1"/>
      <w:u w:val="single"/>
    </w:rPr>
  </w:style>
  <w:style w:type="paragraph" w:styleId="14">
    <w:name w:val="List"/>
    <w:basedOn w:val="4"/>
    <w:qFormat/>
    <w:uiPriority w:val="0"/>
    <w:rPr>
      <w:rFonts w:cs="Lohit Hindi"/>
    </w:rPr>
  </w:style>
  <w:style w:type="paragraph" w:styleId="15">
    <w:name w:val="Body Text"/>
    <w:basedOn w:val="1"/>
    <w:link w:val="85"/>
    <w:qFormat/>
    <w:uiPriority w:val="0"/>
    <w:pPr>
      <w:keepNext w:val="0"/>
      <w:widowControl w:val="0"/>
      <w:shd w:val="clear" w:color="auto" w:fill="auto"/>
      <w:tabs>
        <w:tab w:val="clear" w:pos="708"/>
      </w:tabs>
      <w:overflowPunct/>
      <w:spacing w:after="120"/>
      <w:textAlignment w:val="auto"/>
    </w:pPr>
    <w:rPr>
      <w:rFonts w:ascii="Times New Roman" w:hAnsi="Times New Roman" w:eastAsia="Arial Unicode MS" w:cs="Times New Roman"/>
      <w:color w:val="auto"/>
      <w:szCs w:val="20"/>
    </w:rPr>
  </w:style>
  <w:style w:type="paragraph" w:styleId="16">
    <w:name w:val="annotation text"/>
    <w:basedOn w:val="1"/>
    <w:link w:val="84"/>
    <w:unhideWhenUsed/>
    <w:qFormat/>
    <w:uiPriority w:val="99"/>
    <w:rPr>
      <w:sz w:val="20"/>
      <w:szCs w:val="20"/>
    </w:rPr>
  </w:style>
  <w:style w:type="paragraph" w:styleId="17">
    <w:name w:val="List Bullet 5"/>
    <w:basedOn w:val="1"/>
    <w:qFormat/>
    <w:uiPriority w:val="0"/>
  </w:style>
  <w:style w:type="paragraph" w:styleId="18">
    <w:name w:val="Normal (Web)"/>
    <w:basedOn w:val="1"/>
    <w:qFormat/>
    <w:uiPriority w:val="99"/>
    <w:pPr>
      <w:spacing w:before="28" w:after="28"/>
    </w:pPr>
    <w:rPr>
      <w:rFonts w:ascii="Times New Roman" w:hAnsi="Times New Roman" w:cs="Times New Roman"/>
    </w:rPr>
  </w:style>
  <w:style w:type="paragraph" w:styleId="19">
    <w:name w:val="header"/>
    <w:basedOn w:val="1"/>
    <w:link w:val="74"/>
    <w:qFormat/>
    <w:uiPriority w:val="0"/>
    <w:pPr>
      <w:suppressLineNumbers/>
      <w:tabs>
        <w:tab w:val="center" w:pos="4252"/>
        <w:tab w:val="right" w:pos="8504"/>
      </w:tabs>
    </w:pPr>
  </w:style>
  <w:style w:type="paragraph" w:styleId="20">
    <w:name w:val="annotation subject"/>
    <w:basedOn w:val="16"/>
    <w:next w:val="16"/>
    <w:link w:val="96"/>
    <w:semiHidden/>
    <w:unhideWhenUsed/>
    <w:qFormat/>
    <w:uiPriority w:val="99"/>
    <w:rPr>
      <w:b/>
      <w:bCs/>
    </w:rPr>
  </w:style>
  <w:style w:type="paragraph" w:styleId="21">
    <w:name w:val="footer"/>
    <w:basedOn w:val="1"/>
    <w:link w:val="75"/>
    <w:qFormat/>
    <w:uiPriority w:val="99"/>
    <w:pPr>
      <w:suppressLineNumbers/>
      <w:tabs>
        <w:tab w:val="center" w:pos="4252"/>
        <w:tab w:val="right" w:pos="8504"/>
      </w:tabs>
    </w:pPr>
  </w:style>
  <w:style w:type="paragraph" w:styleId="22">
    <w:name w:val="caption"/>
    <w:basedOn w:val="1"/>
    <w:next w:val="1"/>
    <w:qFormat/>
    <w:uiPriority w:val="0"/>
    <w:pPr>
      <w:suppressLineNumbers/>
      <w:spacing w:before="120" w:after="120"/>
    </w:pPr>
    <w:rPr>
      <w:rFonts w:cs="Lohit Hindi"/>
      <w:i/>
      <w:iCs/>
    </w:rPr>
  </w:style>
  <w:style w:type="paragraph" w:styleId="23">
    <w:name w:val="Balloon Text"/>
    <w:basedOn w:val="1"/>
    <w:link w:val="69"/>
    <w:qFormat/>
    <w:uiPriority w:val="0"/>
    <w:rPr>
      <w:rFonts w:ascii="Tahoma" w:hAnsi="Tahoma"/>
      <w:sz w:val="16"/>
      <w:szCs w:val="16"/>
    </w:rPr>
  </w:style>
  <w:style w:type="paragraph" w:styleId="24">
    <w:name w:val="Subtitle"/>
    <w:basedOn w:val="3"/>
    <w:next w:val="4"/>
    <w:link w:val="80"/>
    <w:qFormat/>
    <w:uiPriority w:val="0"/>
    <w:pPr>
      <w:spacing w:before="60"/>
      <w:jc w:val="center"/>
    </w:pPr>
    <w:rPr>
      <w:sz w:val="36"/>
      <w:szCs w:val="36"/>
    </w:rPr>
  </w:style>
  <w:style w:type="table" w:styleId="25">
    <w:name w:val="Table Grid"/>
    <w:basedOn w:val="8"/>
    <w:qFormat/>
    <w:uiPriority w:val="59"/>
    <w:pPr>
      <w:textAlignment w:val="baseline"/>
    </w:pPr>
    <w:rPr>
      <w:rFonts w:ascii="Liberation Serif" w:hAnsi="Liberation Serif" w:eastAsia="WenQuanYi Micro Hei" w:cs="Lohit Hindi"/>
      <w:sz w:val="24"/>
      <w:szCs w:val="24"/>
      <w:lang w:eastAsia="zh-CN" w:bidi="hi-I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26">
    <w:name w:val="Título Char"/>
    <w:basedOn w:val="7"/>
    <w:link w:val="3"/>
    <w:qFormat/>
    <w:uiPriority w:val="0"/>
    <w:rPr>
      <w:rFonts w:ascii="Liberation Sans" w:hAnsi="Liberation Sans" w:eastAsia="WenQuanYi Micro Hei" w:cs="Lohit Hindi"/>
      <w:color w:val="00000A"/>
      <w:sz w:val="28"/>
      <w:szCs w:val="28"/>
      <w:shd w:val="clear" w:color="auto" w:fill="FFFFFF"/>
      <w:lang w:eastAsia="pt-BR"/>
    </w:rPr>
  </w:style>
  <w:style w:type="character" w:customStyle="1" w:styleId="27">
    <w:name w:val="Título 1 Char"/>
    <w:basedOn w:val="7"/>
    <w:link w:val="2"/>
    <w:qFormat/>
    <w:uiPriority w:val="0"/>
    <w:rPr>
      <w:rFonts w:ascii="Liberation Sans" w:hAnsi="Liberation Sans" w:eastAsia="WenQuanYi Micro Hei" w:cs="Lohit Hindi"/>
      <w:b/>
      <w:bCs/>
      <w:color w:val="00000A"/>
      <w:sz w:val="36"/>
      <w:szCs w:val="36"/>
      <w:shd w:val="clear" w:color="auto" w:fill="FFFFFF"/>
      <w:lang w:eastAsia="pt-BR"/>
    </w:rPr>
  </w:style>
  <w:style w:type="character" w:customStyle="1" w:styleId="28">
    <w:name w:val="Título 2 Char"/>
    <w:basedOn w:val="7"/>
    <w:link w:val="5"/>
    <w:qFormat/>
    <w:uiPriority w:val="0"/>
    <w:rPr>
      <w:rFonts w:ascii="Times New Roman" w:hAnsi="Times New Roman" w:eastAsia="Times New Roman" w:cs="Times New Roman"/>
      <w:b/>
      <w:color w:val="000000"/>
      <w:sz w:val="24"/>
      <w:szCs w:val="20"/>
      <w:shd w:val="clear" w:color="auto" w:fill="FFFFFF"/>
      <w:lang w:eastAsia="pt-BR"/>
    </w:rPr>
  </w:style>
  <w:style w:type="character" w:customStyle="1" w:styleId="29">
    <w:name w:val="Título 3 Char"/>
    <w:basedOn w:val="7"/>
    <w:link w:val="6"/>
    <w:qFormat/>
    <w:uiPriority w:val="0"/>
    <w:rPr>
      <w:rFonts w:ascii="Liberation Sans" w:hAnsi="Liberation Sans" w:eastAsia="WenQuanYi Micro Hei" w:cs="Lohit Hindi"/>
      <w:b/>
      <w:bCs/>
      <w:color w:val="808080"/>
      <w:sz w:val="28"/>
      <w:szCs w:val="28"/>
      <w:shd w:val="clear" w:color="auto" w:fill="FFFFFF"/>
      <w:lang w:eastAsia="pt-BR"/>
    </w:rPr>
  </w:style>
  <w:style w:type="character" w:customStyle="1" w:styleId="30">
    <w:name w:val="Texto de balão Char"/>
    <w:qFormat/>
    <w:uiPriority w:val="0"/>
    <w:rPr>
      <w:rFonts w:ascii="Tahoma" w:hAnsi="Tahoma" w:cs="Tahoma"/>
      <w:sz w:val="16"/>
      <w:szCs w:val="16"/>
    </w:rPr>
  </w:style>
  <w:style w:type="character" w:customStyle="1" w:styleId="31">
    <w:name w:val="normal__char1"/>
    <w:qFormat/>
    <w:uiPriority w:val="0"/>
    <w:rPr>
      <w:rFonts w:ascii="Arial" w:hAnsi="Arial" w:cs="Arial"/>
      <w:sz w:val="24"/>
      <w:szCs w:val="24"/>
      <w:u w:val="none"/>
    </w:rPr>
  </w:style>
  <w:style w:type="character" w:customStyle="1" w:styleId="32">
    <w:name w:val="apple-style-span"/>
    <w:basedOn w:val="7"/>
    <w:qFormat/>
    <w:uiPriority w:val="0"/>
  </w:style>
  <w:style w:type="character" w:customStyle="1" w:styleId="33">
    <w:name w:val="Link da Internet"/>
    <w:qFormat/>
    <w:uiPriority w:val="0"/>
    <w:rPr>
      <w:color w:val="000080"/>
      <w:u w:val="single"/>
      <w:lang w:val="en-US" w:eastAsia="en-US" w:bidi="en-US"/>
    </w:rPr>
  </w:style>
  <w:style w:type="character" w:customStyle="1" w:styleId="34">
    <w:name w:val="Citação Char"/>
    <w:qFormat/>
    <w:uiPriority w:val="0"/>
    <w:rPr>
      <w:rFonts w:ascii="Ecofont_Spranq_eco_Sans" w:hAnsi="Ecofont_Spranq_eco_Sans" w:eastAsia="Calibri" w:cs="Tahoma"/>
      <w:i/>
      <w:iCs/>
      <w:color w:val="000000"/>
      <w:szCs w:val="24"/>
      <w:shd w:val="clear" w:color="auto" w:fill="FFFFCC"/>
      <w:lang w:eastAsia="en-US"/>
    </w:rPr>
  </w:style>
  <w:style w:type="character" w:customStyle="1" w:styleId="35">
    <w:name w:val="citação 2 Char"/>
    <w:qFormat/>
    <w:uiPriority w:val="0"/>
    <w:rPr>
      <w:rFonts w:ascii="Ecofont_Spranq_eco_Sans" w:hAnsi="Ecofont_Spranq_eco_Sans" w:eastAsia="Calibri" w:cs="Tahoma"/>
      <w:i/>
      <w:iCs/>
      <w:color w:val="000000"/>
      <w:szCs w:val="24"/>
      <w:shd w:val="clear" w:color="auto" w:fill="FFFFCC"/>
      <w:lang w:eastAsia="en-US"/>
    </w:rPr>
  </w:style>
  <w:style w:type="character" w:customStyle="1" w:styleId="36">
    <w:name w:val="Cabeçalho Char"/>
    <w:qFormat/>
    <w:uiPriority w:val="0"/>
    <w:rPr>
      <w:rFonts w:ascii="Ecofont_Spranq_eco_Sans" w:hAnsi="Ecofont_Spranq_eco_Sans" w:cs="Tahoma"/>
      <w:sz w:val="24"/>
      <w:szCs w:val="24"/>
    </w:rPr>
  </w:style>
  <w:style w:type="character" w:customStyle="1" w:styleId="37">
    <w:name w:val="Rodapé Char"/>
    <w:qFormat/>
    <w:uiPriority w:val="99"/>
    <w:rPr>
      <w:rFonts w:ascii="Ecofont_Spranq_eco_Sans" w:hAnsi="Ecofont_Spranq_eco_Sans" w:cs="Tahoma"/>
      <w:sz w:val="24"/>
      <w:szCs w:val="24"/>
    </w:rPr>
  </w:style>
  <w:style w:type="character" w:customStyle="1" w:styleId="38">
    <w:name w:val="cp_0020corpodespacho__char1"/>
    <w:qFormat/>
    <w:uiPriority w:val="0"/>
    <w:rPr>
      <w:rFonts w:ascii="Times New Roman" w:hAnsi="Times New Roman" w:cs="Times New Roman"/>
      <w:sz w:val="26"/>
      <w:szCs w:val="26"/>
      <w:u w:val="none"/>
    </w:rPr>
  </w:style>
  <w:style w:type="character" w:customStyle="1" w:styleId="39">
    <w:name w:val="em_0020ementa__char1"/>
    <w:qFormat/>
    <w:uiPriority w:val="0"/>
    <w:rPr>
      <w:rFonts w:ascii="Times New Roman" w:hAnsi="Times New Roman" w:cs="Times New Roman"/>
      <w:sz w:val="28"/>
      <w:szCs w:val="28"/>
      <w:u w:val="none"/>
    </w:rPr>
  </w:style>
  <w:style w:type="character" w:customStyle="1" w:styleId="40">
    <w:name w:val="ListLabel 1"/>
    <w:qFormat/>
    <w:uiPriority w:val="0"/>
    <w:rPr>
      <w:b/>
    </w:rPr>
  </w:style>
  <w:style w:type="character" w:customStyle="1" w:styleId="41">
    <w:name w:val="ListLabel 2"/>
    <w:qFormat/>
    <w:uiPriority w:val="0"/>
  </w:style>
  <w:style w:type="character" w:customStyle="1" w:styleId="42">
    <w:name w:val="ListLabel 3"/>
    <w:qFormat/>
    <w:uiPriority w:val="0"/>
    <w:rPr>
      <w:rFonts w:eastAsia="Arial Unicode MS"/>
    </w:rPr>
  </w:style>
  <w:style w:type="character" w:customStyle="1" w:styleId="43">
    <w:name w:val="ListLabel 4"/>
    <w:qFormat/>
    <w:uiPriority w:val="0"/>
    <w:rPr>
      <w:rFonts w:cs="Arial"/>
      <w:i/>
      <w:color w:val="FF0000"/>
    </w:rPr>
  </w:style>
  <w:style w:type="character" w:customStyle="1" w:styleId="44">
    <w:name w:val="ListLabel 5"/>
    <w:qFormat/>
    <w:uiPriority w:val="0"/>
    <w:rPr>
      <w:color w:val="0000FF"/>
    </w:rPr>
  </w:style>
  <w:style w:type="character" w:customStyle="1" w:styleId="45">
    <w:name w:val="ListLabel 6"/>
    <w:qFormat/>
    <w:uiPriority w:val="0"/>
    <w:rPr>
      <w:b/>
    </w:rPr>
  </w:style>
  <w:style w:type="character" w:customStyle="1" w:styleId="46">
    <w:name w:val="ListLabel 7"/>
    <w:qFormat/>
    <w:uiPriority w:val="0"/>
    <w:rPr>
      <w:b/>
      <w:color w:val="00000A"/>
    </w:rPr>
  </w:style>
  <w:style w:type="character" w:customStyle="1" w:styleId="47">
    <w:name w:val="ListLabel 8"/>
    <w:qFormat/>
    <w:uiPriority w:val="0"/>
  </w:style>
  <w:style w:type="character" w:customStyle="1" w:styleId="48">
    <w:name w:val="ListLabel 9"/>
    <w:uiPriority w:val="0"/>
    <w:rPr>
      <w:color w:val="00000A"/>
    </w:rPr>
  </w:style>
  <w:style w:type="character" w:customStyle="1" w:styleId="49">
    <w:name w:val="ListLabel 10"/>
    <w:qFormat/>
    <w:uiPriority w:val="0"/>
    <w:rPr>
      <w:b/>
    </w:rPr>
  </w:style>
  <w:style w:type="character" w:customStyle="1" w:styleId="50">
    <w:name w:val="ListLabel 11"/>
    <w:qFormat/>
    <w:uiPriority w:val="0"/>
  </w:style>
  <w:style w:type="character" w:customStyle="1" w:styleId="51">
    <w:name w:val="ListLabel 12"/>
    <w:qFormat/>
    <w:uiPriority w:val="0"/>
    <w:rPr>
      <w:b/>
    </w:rPr>
  </w:style>
  <w:style w:type="character" w:customStyle="1" w:styleId="52">
    <w:name w:val="ListLabel 13"/>
    <w:qFormat/>
    <w:uiPriority w:val="0"/>
  </w:style>
  <w:style w:type="character" w:customStyle="1" w:styleId="53">
    <w:name w:val="WW_CharLFO2LVL1"/>
    <w:qFormat/>
    <w:uiPriority w:val="0"/>
    <w:rPr>
      <w:b/>
    </w:rPr>
  </w:style>
  <w:style w:type="character" w:customStyle="1" w:styleId="54">
    <w:name w:val="WW_CharLFO2LVL2"/>
    <w:uiPriority w:val="0"/>
  </w:style>
  <w:style w:type="character" w:customStyle="1" w:styleId="55">
    <w:name w:val="WW_CharLFO2LVL3"/>
    <w:uiPriority w:val="0"/>
  </w:style>
  <w:style w:type="character" w:customStyle="1" w:styleId="56">
    <w:name w:val="WW_CharLFO3LVL1"/>
    <w:qFormat/>
    <w:uiPriority w:val="0"/>
    <w:rPr>
      <w:b/>
    </w:rPr>
  </w:style>
  <w:style w:type="character" w:customStyle="1" w:styleId="57">
    <w:name w:val="WW_CharLFO3LVL2"/>
    <w:qFormat/>
    <w:uiPriority w:val="0"/>
  </w:style>
  <w:style w:type="character" w:customStyle="1" w:styleId="58">
    <w:name w:val="WW_CharLFO3LVL3"/>
    <w:qFormat/>
    <w:uiPriority w:val="0"/>
  </w:style>
  <w:style w:type="character" w:customStyle="1" w:styleId="59">
    <w:name w:val="WW_CharLFO4LVL1"/>
    <w:qFormat/>
    <w:uiPriority w:val="0"/>
    <w:rPr>
      <w:b/>
    </w:rPr>
  </w:style>
  <w:style w:type="character" w:customStyle="1" w:styleId="60">
    <w:name w:val="WW_CharLFO4LVL2"/>
    <w:qFormat/>
    <w:uiPriority w:val="0"/>
  </w:style>
  <w:style w:type="character" w:customStyle="1" w:styleId="61">
    <w:name w:val="WW_CharLFO4LVL3"/>
    <w:qFormat/>
    <w:uiPriority w:val="0"/>
  </w:style>
  <w:style w:type="character" w:customStyle="1" w:styleId="62">
    <w:name w:val="Comment Text Char"/>
    <w:basedOn w:val="7"/>
    <w:qFormat/>
    <w:uiPriority w:val="0"/>
    <w:rPr>
      <w:rFonts w:cs="Mangal"/>
      <w:sz w:val="20"/>
      <w:szCs w:val="18"/>
    </w:rPr>
  </w:style>
  <w:style w:type="character" w:customStyle="1" w:styleId="63">
    <w:name w:val="Quote Char"/>
    <w:basedOn w:val="7"/>
    <w:link w:val="64"/>
    <w:qFormat/>
    <w:uiPriority w:val="0"/>
    <w:rPr>
      <w:rFonts w:ascii="Ecofont_Spranq_eco_Sans" w:hAnsi="Ecofont_Spranq_eco_Sans" w:eastAsia="Calibri" w:cs="Tahoma"/>
      <w:i/>
      <w:iCs/>
      <w:color w:val="000000"/>
      <w:sz w:val="20"/>
      <w:shd w:val="clear" w:color="auto" w:fill="FFFFCC"/>
      <w:lang w:eastAsia="en-US" w:bidi="ar-SA"/>
    </w:rPr>
  </w:style>
  <w:style w:type="paragraph" w:customStyle="1" w:styleId="64">
    <w:name w:val="Citação1"/>
    <w:basedOn w:val="1"/>
    <w:next w:val="1"/>
    <w:link w:val="63"/>
    <w:qFormat/>
    <w:uiPriority w:val="0"/>
    <w:pPr>
      <w:keepNext w:val="0"/>
      <w:pBdr>
        <w:top w:val="single" w:color="1F497D" w:sz="4" w:space="1"/>
        <w:left w:val="single" w:color="1F497D" w:sz="4" w:space="4"/>
        <w:bottom w:val="single" w:color="1F497D" w:sz="4" w:space="1"/>
        <w:right w:val="single" w:color="1F497D" w:sz="4" w:space="4"/>
      </w:pBdr>
      <w:shd w:val="clear" w:color="auto" w:fill="FFFFCC"/>
      <w:tabs>
        <w:tab w:val="clear" w:pos="708"/>
      </w:tabs>
      <w:suppressAutoHyphens w:val="0"/>
      <w:overflowPunct/>
      <w:spacing w:before="120"/>
      <w:jc w:val="both"/>
      <w:textAlignment w:val="auto"/>
    </w:pPr>
    <w:rPr>
      <w:rFonts w:eastAsia="Calibri"/>
      <w:i/>
      <w:iCs/>
      <w:color w:val="000000"/>
      <w:sz w:val="20"/>
      <w:szCs w:val="22"/>
      <w:lang w:eastAsia="en-US"/>
    </w:rPr>
  </w:style>
  <w:style w:type="character" w:customStyle="1" w:styleId="65">
    <w:name w:val="Manoel"/>
    <w:qFormat/>
    <w:uiPriority w:val="0"/>
    <w:rPr>
      <w:rFonts w:ascii="Arial" w:hAnsi="Arial" w:cs="Arial"/>
      <w:color w:val="7030A0"/>
      <w:sz w:val="20"/>
    </w:rPr>
  </w:style>
  <w:style w:type="paragraph" w:customStyle="1" w:styleId="66">
    <w:name w:val="LO-Normal"/>
    <w:qFormat/>
    <w:uiPriority w:val="0"/>
    <w:pPr>
      <w:keepNext/>
      <w:widowControl w:val="0"/>
      <w:shd w:val="clear" w:color="auto" w:fill="FFFFFF"/>
      <w:suppressAutoHyphens/>
      <w:textAlignment w:val="baseline"/>
    </w:pPr>
    <w:rPr>
      <w:rFonts w:ascii="Liberation Serif" w:hAnsi="Liberation Serif" w:eastAsia="WenQuanYi Micro Hei" w:cs="Lohit Hindi"/>
      <w:sz w:val="24"/>
      <w:szCs w:val="24"/>
      <w:lang w:val="pt-BR" w:eastAsia="zh-CN" w:bidi="hi-IN"/>
    </w:rPr>
  </w:style>
  <w:style w:type="paragraph" w:customStyle="1" w:styleId="67">
    <w:name w:val="Índice"/>
    <w:basedOn w:val="1"/>
    <w:qFormat/>
    <w:uiPriority w:val="0"/>
    <w:pPr>
      <w:suppressLineNumbers/>
    </w:pPr>
    <w:rPr>
      <w:rFonts w:cs="Lohit Hindi"/>
    </w:rPr>
  </w:style>
  <w:style w:type="paragraph" w:styleId="68">
    <w:name w:val="List Paragraph"/>
    <w:basedOn w:val="1"/>
    <w:qFormat/>
    <w:uiPriority w:val="34"/>
    <w:pPr>
      <w:tabs>
        <w:tab w:val="left" w:pos="-12"/>
      </w:tabs>
      <w:ind w:left="720"/>
    </w:pPr>
  </w:style>
  <w:style w:type="character" w:customStyle="1" w:styleId="69">
    <w:name w:val="Texto de balão Char1"/>
    <w:basedOn w:val="7"/>
    <w:link w:val="23"/>
    <w:qFormat/>
    <w:uiPriority w:val="0"/>
    <w:rPr>
      <w:rFonts w:ascii="Tahoma" w:hAnsi="Tahoma" w:eastAsia="Times New Roman" w:cs="Tahoma"/>
      <w:color w:val="00000A"/>
      <w:sz w:val="16"/>
      <w:szCs w:val="16"/>
      <w:shd w:val="clear" w:color="auto" w:fill="FFFFFF"/>
      <w:lang w:eastAsia="pt-BR"/>
    </w:rPr>
  </w:style>
  <w:style w:type="paragraph" w:customStyle="1" w:styleId="70">
    <w:name w:val="Nível 2"/>
    <w:qFormat/>
    <w:uiPriority w:val="0"/>
    <w:pPr>
      <w:keepNext/>
      <w:widowControl w:val="0"/>
      <w:shd w:val="clear" w:color="auto" w:fill="FFFFFF"/>
      <w:suppressAutoHyphens/>
      <w:spacing w:before="119" w:after="119" w:line="276" w:lineRule="auto"/>
      <w:ind w:firstLine="567"/>
      <w:jc w:val="both"/>
      <w:textAlignment w:val="baseline"/>
    </w:pPr>
    <w:rPr>
      <w:rFonts w:ascii="Ecofont_Spranq_eco_Sans" w:hAnsi="Ecofont_Spranq_eco_Sans" w:eastAsia="WenQuanYi Micro Hei" w:cs="Times New Roman"/>
      <w:lang w:val="pt-BR" w:eastAsia="zh-CN" w:bidi="hi-IN"/>
    </w:rPr>
  </w:style>
  <w:style w:type="paragraph" w:styleId="71">
    <w:name w:val="Quote"/>
    <w:basedOn w:val="1"/>
    <w:link w:val="72"/>
    <w:qFormat/>
    <w:uiPriority w:val="0"/>
    <w:pPr>
      <w:pBdr>
        <w:top w:val="single" w:color="1F497D" w:sz="4" w:space="0"/>
        <w:left w:val="single" w:color="1F497D" w:sz="4" w:space="0"/>
        <w:bottom w:val="single" w:color="1F497D" w:sz="4" w:space="0"/>
        <w:right w:val="single" w:color="1F497D" w:sz="4" w:space="0"/>
      </w:pBdr>
      <w:shd w:val="clear" w:color="auto" w:fill="FFFFCC"/>
      <w:spacing w:before="120"/>
      <w:jc w:val="both"/>
    </w:pPr>
    <w:rPr>
      <w:rFonts w:eastAsia="Calibri"/>
      <w:i/>
      <w:iCs/>
      <w:color w:val="000000"/>
      <w:sz w:val="20"/>
      <w:lang w:eastAsia="en-US"/>
    </w:rPr>
  </w:style>
  <w:style w:type="character" w:customStyle="1" w:styleId="72">
    <w:name w:val="Citação Char1"/>
    <w:basedOn w:val="7"/>
    <w:link w:val="71"/>
    <w:qFormat/>
    <w:uiPriority w:val="0"/>
    <w:rPr>
      <w:rFonts w:ascii="Ecofont_Spranq_eco_Sans" w:hAnsi="Ecofont_Spranq_eco_Sans" w:eastAsia="Calibri" w:cs="Tahoma"/>
      <w:i/>
      <w:iCs/>
      <w:color w:val="000000"/>
      <w:sz w:val="20"/>
      <w:szCs w:val="24"/>
      <w:shd w:val="clear" w:color="auto" w:fill="FFFFCC"/>
    </w:rPr>
  </w:style>
  <w:style w:type="paragraph" w:customStyle="1" w:styleId="73">
    <w:name w:val="citação 2"/>
    <w:basedOn w:val="71"/>
    <w:qFormat/>
    <w:uiPriority w:val="0"/>
    <w:rPr>
      <w:szCs w:val="20"/>
    </w:rPr>
  </w:style>
  <w:style w:type="character" w:customStyle="1" w:styleId="74">
    <w:name w:val="Cabeçalho Char1"/>
    <w:basedOn w:val="7"/>
    <w:link w:val="19"/>
    <w:qFormat/>
    <w:uiPriority w:val="0"/>
    <w:rPr>
      <w:rFonts w:ascii="Ecofont_Spranq_eco_Sans" w:hAnsi="Ecofont_Spranq_eco_Sans" w:eastAsia="Times New Roman" w:cs="Tahoma"/>
      <w:color w:val="00000A"/>
      <w:sz w:val="24"/>
      <w:szCs w:val="24"/>
      <w:shd w:val="clear" w:color="auto" w:fill="FFFFFF"/>
      <w:lang w:eastAsia="pt-BR"/>
    </w:rPr>
  </w:style>
  <w:style w:type="character" w:customStyle="1" w:styleId="75">
    <w:name w:val="Rodapé Char1"/>
    <w:basedOn w:val="7"/>
    <w:link w:val="21"/>
    <w:qFormat/>
    <w:uiPriority w:val="99"/>
    <w:rPr>
      <w:rFonts w:ascii="Ecofont_Spranq_eco_Sans" w:hAnsi="Ecofont_Spranq_eco_Sans" w:eastAsia="Times New Roman" w:cs="Tahoma"/>
      <w:color w:val="00000A"/>
      <w:sz w:val="24"/>
      <w:szCs w:val="24"/>
      <w:shd w:val="clear" w:color="auto" w:fill="FFFFFF"/>
      <w:lang w:eastAsia="pt-BR"/>
    </w:rPr>
  </w:style>
  <w:style w:type="paragraph" w:customStyle="1" w:styleId="76">
    <w:name w:val="em_0020ementa"/>
    <w:basedOn w:val="1"/>
    <w:qFormat/>
    <w:uiPriority w:val="0"/>
    <w:pPr>
      <w:tabs>
        <w:tab w:val="left" w:pos="-3452"/>
      </w:tabs>
      <w:ind w:left="4160"/>
      <w:jc w:val="both"/>
    </w:pPr>
    <w:rPr>
      <w:rFonts w:ascii="Times New Roman" w:hAnsi="Times New Roman" w:cs="Times New Roman"/>
      <w:sz w:val="28"/>
      <w:szCs w:val="28"/>
    </w:rPr>
  </w:style>
  <w:style w:type="paragraph" w:customStyle="1" w:styleId="77">
    <w:name w:val="Conteúdo da tabela"/>
    <w:basedOn w:val="1"/>
    <w:qFormat/>
    <w:uiPriority w:val="0"/>
    <w:pPr>
      <w:suppressLineNumbers/>
    </w:pPr>
  </w:style>
  <w:style w:type="paragraph" w:customStyle="1" w:styleId="78">
    <w:name w:val="Citações"/>
    <w:basedOn w:val="1"/>
    <w:qFormat/>
    <w:uiPriority w:val="0"/>
    <w:pPr>
      <w:spacing w:after="283"/>
      <w:ind w:left="567" w:right="567"/>
    </w:pPr>
  </w:style>
  <w:style w:type="paragraph" w:customStyle="1" w:styleId="79">
    <w:name w:val="Título do documento"/>
    <w:basedOn w:val="3"/>
    <w:next w:val="4"/>
    <w:qFormat/>
    <w:uiPriority w:val="0"/>
    <w:pPr>
      <w:jc w:val="center"/>
    </w:pPr>
    <w:rPr>
      <w:b/>
      <w:bCs/>
      <w:sz w:val="56"/>
      <w:szCs w:val="56"/>
    </w:rPr>
  </w:style>
  <w:style w:type="character" w:customStyle="1" w:styleId="80">
    <w:name w:val="Subtítulo Char"/>
    <w:basedOn w:val="7"/>
    <w:link w:val="24"/>
    <w:qFormat/>
    <w:uiPriority w:val="0"/>
    <w:rPr>
      <w:rFonts w:ascii="Liberation Sans" w:hAnsi="Liberation Sans" w:eastAsia="WenQuanYi Micro Hei" w:cs="Lohit Hindi"/>
      <w:color w:val="00000A"/>
      <w:sz w:val="36"/>
      <w:szCs w:val="36"/>
      <w:shd w:val="clear" w:color="auto" w:fill="FFFFFF"/>
      <w:lang w:eastAsia="pt-BR"/>
    </w:rPr>
  </w:style>
  <w:style w:type="paragraph" w:customStyle="1" w:styleId="81">
    <w:name w:val="PADRÃO"/>
    <w:qFormat/>
    <w:uiPriority w:val="0"/>
    <w:pPr>
      <w:keepNext/>
      <w:widowControl w:val="0"/>
      <w:shd w:val="clear" w:color="auto" w:fill="FFFFFF"/>
      <w:spacing w:before="119" w:after="119" w:line="276" w:lineRule="auto"/>
      <w:ind w:firstLine="567"/>
      <w:jc w:val="both"/>
      <w:textAlignment w:val="baseline"/>
    </w:pPr>
    <w:rPr>
      <w:rFonts w:ascii="Ecofont_Spranq_eco_Sans" w:hAnsi="Ecofont_Spranq_eco_Sans" w:eastAsia="WenQuanYi Micro Hei" w:cs="Lohit Hindi"/>
      <w:szCs w:val="24"/>
      <w:lang w:val="pt-BR" w:eastAsia="zh-CN" w:bidi="hi-IN"/>
    </w:rPr>
  </w:style>
  <w:style w:type="paragraph" w:customStyle="1" w:styleId="82">
    <w:name w:val="Linha horizontal"/>
    <w:basedOn w:val="1"/>
    <w:next w:val="4"/>
    <w:qFormat/>
    <w:uiPriority w:val="0"/>
    <w:pPr>
      <w:suppressLineNumbers/>
      <w:pBdr>
        <w:bottom w:val="double" w:color="808080" w:sz="2" w:space="0"/>
      </w:pBdr>
      <w:spacing w:after="283"/>
    </w:pPr>
    <w:rPr>
      <w:sz w:val="12"/>
      <w:szCs w:val="12"/>
    </w:rPr>
  </w:style>
  <w:style w:type="paragraph" w:customStyle="1" w:styleId="83">
    <w:name w:val="Título de tabela"/>
    <w:basedOn w:val="77"/>
    <w:qFormat/>
    <w:uiPriority w:val="0"/>
    <w:pPr>
      <w:jc w:val="center"/>
    </w:pPr>
    <w:rPr>
      <w:b/>
      <w:bCs/>
    </w:rPr>
  </w:style>
  <w:style w:type="character" w:customStyle="1" w:styleId="84">
    <w:name w:val="Texto de comentário Char"/>
    <w:basedOn w:val="7"/>
    <w:link w:val="16"/>
    <w:qFormat/>
    <w:uiPriority w:val="99"/>
    <w:rPr>
      <w:rFonts w:ascii="Ecofont_Spranq_eco_Sans" w:hAnsi="Ecofont_Spranq_eco_Sans" w:eastAsia="Times New Roman" w:cs="Tahoma"/>
      <w:color w:val="00000A"/>
      <w:sz w:val="20"/>
      <w:szCs w:val="20"/>
      <w:shd w:val="clear" w:color="auto" w:fill="FFFFFF"/>
      <w:lang w:eastAsia="pt-BR"/>
    </w:rPr>
  </w:style>
  <w:style w:type="character" w:customStyle="1" w:styleId="85">
    <w:name w:val="Corpo de texto Char"/>
    <w:basedOn w:val="7"/>
    <w:link w:val="15"/>
    <w:qFormat/>
    <w:uiPriority w:val="0"/>
    <w:rPr>
      <w:rFonts w:ascii="Times New Roman" w:hAnsi="Times New Roman" w:eastAsia="Arial Unicode MS" w:cs="Times New Roman"/>
      <w:sz w:val="24"/>
      <w:szCs w:val="20"/>
      <w:lang w:eastAsia="pt-BR"/>
    </w:rPr>
  </w:style>
  <w:style w:type="paragraph" w:customStyle="1" w:styleId="86">
    <w:name w:val="Nivel 2"/>
    <w:link w:val="87"/>
    <w:qFormat/>
    <w:uiPriority w:val="0"/>
    <w:pPr>
      <w:numPr>
        <w:ilvl w:val="1"/>
        <w:numId w:val="2"/>
      </w:numPr>
      <w:spacing w:before="120" w:after="120" w:line="276" w:lineRule="auto"/>
      <w:jc w:val="both"/>
    </w:pPr>
    <w:rPr>
      <w:rFonts w:ascii="Ecofont_Spranq_eco_Sans" w:hAnsi="Ecofont_Spranq_eco_Sans" w:eastAsia="Arial Unicode MS" w:cs="Times New Roman"/>
      <w:lang w:val="pt-BR" w:eastAsia="pt-BR" w:bidi="ar-SA"/>
    </w:rPr>
  </w:style>
  <w:style w:type="character" w:customStyle="1" w:styleId="87">
    <w:name w:val="Nivel 2 Char"/>
    <w:basedOn w:val="7"/>
    <w:link w:val="86"/>
    <w:qFormat/>
    <w:uiPriority w:val="0"/>
    <w:rPr>
      <w:rFonts w:ascii="Ecofont_Spranq_eco_Sans" w:hAnsi="Ecofont_Spranq_eco_Sans" w:eastAsia="Arial Unicode MS" w:cs="Times New Roman"/>
      <w:sz w:val="20"/>
      <w:szCs w:val="20"/>
      <w:lang w:eastAsia="pt-BR"/>
    </w:rPr>
  </w:style>
  <w:style w:type="paragraph" w:customStyle="1" w:styleId="88">
    <w:name w:val="Nivel 1"/>
    <w:basedOn w:val="86"/>
    <w:next w:val="86"/>
    <w:qFormat/>
    <w:uiPriority w:val="0"/>
    <w:pPr>
      <w:numPr>
        <w:ilvl w:val="0"/>
      </w:numPr>
    </w:pPr>
    <w:rPr>
      <w:rFonts w:cs="Arial"/>
      <w:b/>
    </w:rPr>
  </w:style>
  <w:style w:type="paragraph" w:customStyle="1" w:styleId="89">
    <w:name w:val="Nivel 3"/>
    <w:basedOn w:val="86"/>
    <w:link w:val="90"/>
    <w:qFormat/>
    <w:uiPriority w:val="0"/>
    <w:pPr>
      <w:numPr>
        <w:ilvl w:val="0"/>
        <w:numId w:val="0"/>
      </w:numPr>
      <w:ind w:left="1224" w:hanging="504"/>
    </w:pPr>
    <w:rPr>
      <w:rFonts w:cs="Arial"/>
      <w:color w:val="000000"/>
    </w:rPr>
  </w:style>
  <w:style w:type="character" w:customStyle="1" w:styleId="90">
    <w:name w:val="Nivel 3 Char"/>
    <w:basedOn w:val="7"/>
    <w:link w:val="89"/>
    <w:qFormat/>
    <w:uiPriority w:val="0"/>
    <w:rPr>
      <w:rFonts w:ascii="Ecofont_Spranq_eco_Sans" w:hAnsi="Ecofont_Spranq_eco_Sans" w:eastAsia="Arial Unicode MS" w:cs="Arial"/>
      <w:color w:val="000000"/>
      <w:sz w:val="20"/>
      <w:szCs w:val="20"/>
      <w:lang w:eastAsia="pt-BR"/>
    </w:rPr>
  </w:style>
  <w:style w:type="paragraph" w:customStyle="1" w:styleId="91">
    <w:name w:val="Nivel 4"/>
    <w:basedOn w:val="89"/>
    <w:link w:val="92"/>
    <w:qFormat/>
    <w:uiPriority w:val="0"/>
    <w:pPr>
      <w:numPr>
        <w:ilvl w:val="3"/>
      </w:numPr>
      <w:ind w:left="1224" w:hanging="504"/>
    </w:pPr>
    <w:rPr>
      <w:color w:val="auto"/>
    </w:rPr>
  </w:style>
  <w:style w:type="character" w:customStyle="1" w:styleId="92">
    <w:name w:val="Nivel 4 Char"/>
    <w:basedOn w:val="7"/>
    <w:link w:val="91"/>
    <w:qFormat/>
    <w:uiPriority w:val="0"/>
    <w:rPr>
      <w:rFonts w:ascii="Ecofont_Spranq_eco_Sans" w:hAnsi="Ecofont_Spranq_eco_Sans" w:eastAsia="Arial Unicode MS" w:cs="Arial"/>
      <w:sz w:val="20"/>
      <w:szCs w:val="20"/>
      <w:lang w:eastAsia="pt-BR"/>
    </w:rPr>
  </w:style>
  <w:style w:type="paragraph" w:customStyle="1" w:styleId="93">
    <w:name w:val="Nivel 5"/>
    <w:basedOn w:val="91"/>
    <w:qFormat/>
    <w:uiPriority w:val="0"/>
    <w:pPr>
      <w:numPr>
        <w:ilvl w:val="4"/>
      </w:numPr>
      <w:tabs>
        <w:tab w:val="left" w:pos="360"/>
      </w:tabs>
      <w:ind w:left="2496" w:hanging="1080"/>
    </w:pPr>
  </w:style>
  <w:style w:type="paragraph" w:customStyle="1" w:styleId="94">
    <w:name w:val="Grade Colorida - Ênfase 11"/>
    <w:basedOn w:val="1"/>
    <w:next w:val="1"/>
    <w:link w:val="95"/>
    <w:qFormat/>
    <w:uiPriority w:val="29"/>
    <w:pPr>
      <w:keepNext w:val="0"/>
      <w:pBdr>
        <w:top w:val="single" w:color="1F497D" w:sz="4" w:space="1"/>
        <w:left w:val="single" w:color="1F497D" w:sz="4" w:space="4"/>
        <w:bottom w:val="single" w:color="1F497D" w:sz="4" w:space="1"/>
        <w:right w:val="single" w:color="1F497D" w:sz="4" w:space="4"/>
      </w:pBdr>
      <w:shd w:val="clear" w:color="auto" w:fill="FFFFCC"/>
      <w:tabs>
        <w:tab w:val="clear" w:pos="708"/>
      </w:tabs>
      <w:suppressAutoHyphens w:val="0"/>
      <w:overflowPunct/>
      <w:spacing w:before="120"/>
      <w:jc w:val="both"/>
      <w:textAlignment w:val="auto"/>
    </w:pPr>
    <w:rPr>
      <w:rFonts w:eastAsia="Calibri"/>
      <w:i/>
      <w:iCs/>
      <w:color w:val="000000"/>
      <w:sz w:val="20"/>
      <w:lang w:eastAsia="en-US"/>
    </w:rPr>
  </w:style>
  <w:style w:type="character" w:customStyle="1" w:styleId="95">
    <w:name w:val="Grade Colorida - Ênfase 1 Char"/>
    <w:link w:val="94"/>
    <w:qFormat/>
    <w:uiPriority w:val="29"/>
    <w:rPr>
      <w:rFonts w:ascii="Ecofont_Spranq_eco_Sans" w:hAnsi="Ecofont_Spranq_eco_Sans" w:eastAsia="Calibri" w:cs="Tahoma"/>
      <w:i/>
      <w:iCs/>
      <w:color w:val="000000"/>
      <w:sz w:val="20"/>
      <w:szCs w:val="24"/>
      <w:shd w:val="clear" w:color="auto" w:fill="FFFFCC"/>
    </w:rPr>
  </w:style>
  <w:style w:type="character" w:customStyle="1" w:styleId="96">
    <w:name w:val="Assunto do comentário Char"/>
    <w:basedOn w:val="84"/>
    <w:link w:val="20"/>
    <w:semiHidden/>
    <w:qFormat/>
    <w:uiPriority w:val="99"/>
    <w:rPr>
      <w:rFonts w:ascii="Ecofont_Spranq_eco_Sans" w:hAnsi="Ecofont_Spranq_eco_Sans" w:eastAsia="Times New Roman" w:cs="Tahoma"/>
      <w:b/>
      <w:bCs/>
      <w:color w:val="00000A"/>
      <w:sz w:val="20"/>
      <w:szCs w:val="20"/>
      <w:shd w:val="clear" w:color="auto" w:fill="FFFFFF"/>
      <w:lang w:eastAsia="pt-BR"/>
    </w:rPr>
  </w:style>
  <w:style w:type="table" w:styleId="97">
    <w:name w:val="Medium Grid 2 Accent 2"/>
    <w:basedOn w:val="8"/>
    <w:semiHidden/>
    <w:unhideWhenUsed/>
    <w:qFormat/>
    <w:uiPriority w:val="0"/>
    <w:pPr>
      <w:textAlignment w:val="baseline"/>
    </w:pPr>
    <w:rPr>
      <w:rFonts w:ascii="Ecofont_Spranq_eco_Sans" w:hAnsi="Ecofont_Spranq_eco_Sans" w:eastAsia="Calibri" w:cs="Ecofont_Spranq_eco_Sans"/>
      <w:i/>
      <w:iCs/>
      <w:color w:val="000000"/>
      <w:szCs w:val="24"/>
    </w:rPr>
    <w:tblPr>
      <w:tblBorders>
        <w:top w:val="single" w:color="ED7D31" w:themeColor="accent2" w:sz="8" w:space="0"/>
        <w:left w:val="single" w:color="ED7D31" w:themeColor="accent2" w:sz="8" w:space="0"/>
        <w:bottom w:val="single" w:color="ED7D31" w:themeColor="accent2" w:sz="8" w:space="0"/>
        <w:right w:val="single" w:color="ED7D31" w:themeColor="accent2" w:sz="8" w:space="0"/>
        <w:insideH w:val="single" w:color="ED7D31" w:themeColor="accent2" w:sz="8" w:space="0"/>
        <w:insideV w:val="single" w:color="ED7D31" w:themeColor="accent2" w:sz="8" w:space="0"/>
      </w:tblBorders>
    </w:tblPr>
    <w:tcPr>
      <w:shd w:val="clear" w:color="auto" w:fill="FADECC" w:themeFill="accent2" w:themeFillTint="3F"/>
    </w:tcPr>
    <w:tblStylePr w:type="firstRow">
      <w:tcPr>
        <w:shd w:val="clear" w:color="auto" w:fill="FDF2EA" w:themeFill="accent2" w:themeFillTint="19"/>
      </w:tcPr>
    </w:tblStylePr>
    <w:tblStylePr w:type="lastRow">
      <w:tcPr>
        <w:tcBorders>
          <w:top w:val="single" w:color="000000" w:themeColor="text1" w:sz="12" w:space="0"/>
          <w:left w:val="nil"/>
          <w:bottom w:val="nil"/>
          <w:right w:val="nil"/>
          <w:insideH w:val="nil"/>
          <w:insideV w:val="nil"/>
        </w:tcBorders>
        <w:shd w:val="clear" w:color="auto" w:fill="FFFFFF" w:themeFill="background1"/>
      </w:tcPr>
    </w:tblStylePr>
    <w:tblStylePr w:type="firstCol">
      <w:tcPr>
        <w:tcBorders>
          <w:top w:val="nil"/>
          <w:left w:val="nil"/>
          <w:bottom w:val="nil"/>
          <w:right w:val="nil"/>
          <w:insideH w:val="nil"/>
          <w:insideV w:val="nil"/>
        </w:tcBorders>
        <w:shd w:val="clear" w:color="auto" w:fill="FFFFFF" w:themeFill="background1"/>
      </w:tcPr>
    </w:tblStylePr>
    <w:tblStylePr w:type="lastCol">
      <w:tcPr>
        <w:tcBorders>
          <w:top w:val="nil"/>
          <w:left w:val="nil"/>
          <w:bottom w:val="nil"/>
          <w:right w:val="nil"/>
          <w:insideH w:val="nil"/>
          <w:insideV w:val="nil"/>
        </w:tcBorders>
        <w:shd w:val="clear" w:color="auto" w:fill="FBE4D5" w:themeFill="accent2" w:themeFillTint="33"/>
      </w:tcPr>
    </w:tblStylePr>
    <w:tblStylePr w:type="band1Vert">
      <w:tcPr>
        <w:shd w:val="clear" w:color="auto" w:fill="F6BE98" w:themeFill="accent2" w:themeFillTint="7F"/>
      </w:tcPr>
    </w:tblStylePr>
    <w:tblStylePr w:type="band1Horz">
      <w:tcPr>
        <w:tcBorders>
          <w:insideH w:val="single" w:sz="6" w:space="0"/>
          <w:insideV w:val="single" w:sz="6" w:space="0"/>
        </w:tcBorders>
        <w:shd w:val="clear" w:color="auto" w:fill="F6BE98" w:themeFill="accent2" w:themeFillTint="7F"/>
      </w:tcPr>
    </w:tblStylePr>
    <w:tblStylePr w:type="nwCell">
      <w:tcPr>
        <w:shd w:val="clear" w:color="auto" w:fill="FFFFFF" w:themeFill="background1"/>
      </w:tcPr>
    </w:tblStylePr>
  </w:style>
  <w:style w:type="character" w:customStyle="1" w:styleId="98">
    <w:name w:val="Grade Média 2 - Ênfase 2 Char"/>
    <w:semiHidden/>
    <w:qFormat/>
    <w:uiPriority w:val="0"/>
    <w:rPr>
      <w:rFonts w:ascii="Ecofont_Spranq_eco_Sans" w:hAnsi="Ecofont_Spranq_eco_Sans" w:eastAsia="Calibri" w:cs="Ecofont_Spranq_eco_Sans"/>
      <w:i/>
      <w:iCs/>
      <w:color w:val="000000"/>
      <w:szCs w:val="24"/>
      <w:shd w:val="clear" w:color="auto" w:fill="FFFFCC"/>
    </w:rPr>
  </w:style>
  <w:style w:type="paragraph" w:customStyle="1" w:styleId="99">
    <w:name w:val="Default"/>
    <w:qFormat/>
    <w:uiPriority w:val="0"/>
    <w:pPr>
      <w:autoSpaceDE w:val="0"/>
      <w:autoSpaceDN w:val="0"/>
      <w:adjustRightInd w:val="0"/>
    </w:pPr>
    <w:rPr>
      <w:rFonts w:ascii="Times New Roman" w:hAnsi="Times New Roman" w:eastAsia="Times New Roman" w:cs="Times New Roman"/>
      <w:color w:val="000000"/>
      <w:sz w:val="24"/>
      <w:szCs w:val="24"/>
      <w:lang w:val="pt-BR" w:eastAsia="pt-BR" w:bidi="ar-SA"/>
    </w:rPr>
  </w:style>
  <w:style w:type="paragraph" w:customStyle="1" w:styleId="100">
    <w:name w:val="Nivel 01"/>
    <w:basedOn w:val="2"/>
    <w:next w:val="1"/>
    <w:qFormat/>
    <w:uiPriority w:val="0"/>
    <w:pPr>
      <w:keepLines/>
      <w:numPr>
        <w:ilvl w:val="0"/>
        <w:numId w:val="0"/>
      </w:numPr>
      <w:shd w:val="clear" w:color="auto" w:fill="auto"/>
      <w:tabs>
        <w:tab w:val="clear" w:pos="708"/>
      </w:tabs>
      <w:suppressAutoHyphens w:val="0"/>
      <w:overflowPunct/>
      <w:spacing w:before="480" w:line="276" w:lineRule="auto"/>
      <w:ind w:left="360" w:right="-15" w:hanging="360"/>
      <w:jc w:val="both"/>
      <w:textAlignment w:val="auto"/>
    </w:pPr>
    <w:rPr>
      <w:rFonts w:ascii="Arial" w:hAnsi="Arial" w:cs="Times New Roman" w:eastAsiaTheme="majorEastAsia"/>
      <w:color w:val="000000"/>
      <w:sz w:val="20"/>
      <w:szCs w:val="20"/>
    </w:rPr>
  </w:style>
  <w:style w:type="paragraph" w:customStyle="1" w:styleId="101">
    <w:name w:val="x_western"/>
    <w:basedOn w:val="1"/>
    <w:qFormat/>
    <w:uiPriority w:val="0"/>
    <w:pPr>
      <w:keepNext w:val="0"/>
      <w:shd w:val="clear" w:color="auto" w:fill="auto"/>
      <w:tabs>
        <w:tab w:val="clear" w:pos="708"/>
      </w:tabs>
      <w:suppressAutoHyphens w:val="0"/>
      <w:overflowPunct/>
      <w:spacing w:before="100" w:beforeAutospacing="1" w:after="100" w:afterAutospacing="1"/>
      <w:textAlignment w:val="auto"/>
    </w:pPr>
    <w:rPr>
      <w:rFonts w:ascii="Times New Roman" w:hAnsi="Times New Roman" w:cs="Times New Roman"/>
      <w:color w:val="auto"/>
    </w:rPr>
  </w:style>
  <w:style w:type="character" w:customStyle="1" w:styleId="102">
    <w:name w:val="highlight"/>
    <w:basedOn w:val="7"/>
    <w:qFormat/>
    <w:uiPriority w:val="0"/>
  </w:style>
  <w:style w:type="paragraph" w:customStyle="1" w:styleId="103">
    <w:name w:val="Sombreamento Médio 1 - Ênfase 31"/>
    <w:basedOn w:val="1"/>
    <w:next w:val="1"/>
    <w:qFormat/>
    <w:uiPriority w:val="0"/>
    <w:pPr>
      <w:keepNext w:val="0"/>
      <w:pBdr>
        <w:top w:val="single" w:color="000080" w:sz="4" w:space="1"/>
        <w:left w:val="single" w:color="000080" w:sz="4" w:space="4"/>
        <w:bottom w:val="single" w:color="000080" w:sz="4" w:space="1"/>
        <w:right w:val="single" w:color="000080" w:sz="4" w:space="4"/>
      </w:pBdr>
      <w:shd w:val="clear" w:color="auto" w:fill="FFFFCC"/>
      <w:tabs>
        <w:tab w:val="clear" w:pos="708"/>
      </w:tabs>
      <w:overflowPunct/>
      <w:spacing w:before="120"/>
      <w:jc w:val="both"/>
      <w:textAlignment w:val="auto"/>
    </w:pPr>
    <w:rPr>
      <w:rFonts w:eastAsia="Calibri"/>
      <w:i/>
      <w:iCs/>
      <w:color w:val="000000"/>
      <w:sz w:val="20"/>
      <w:lang w:eastAsia="zh-CN"/>
    </w:rPr>
  </w:style>
  <w:style w:type="paragraph" w:customStyle="1" w:styleId="104">
    <w:name w:val="Normal numerado"/>
    <w:basedOn w:val="1"/>
    <w:qFormat/>
    <w:uiPriority w:val="0"/>
    <w:pPr>
      <w:keepNext w:val="0"/>
      <w:shd w:val="clear" w:color="auto" w:fill="auto"/>
      <w:tabs>
        <w:tab w:val="clear" w:pos="708"/>
      </w:tabs>
      <w:suppressAutoHyphens w:val="0"/>
      <w:overflowPunct/>
      <w:autoSpaceDN w:val="0"/>
      <w:spacing w:after="120"/>
      <w:ind w:left="425"/>
      <w:jc w:val="both"/>
      <w:textAlignment w:val="auto"/>
    </w:pPr>
    <w:rPr>
      <w:rFonts w:ascii="Times New Roman" w:hAnsi="Times New Roman" w:cs="Times New Roman"/>
      <w:color w:val="auto"/>
      <w:sz w:val="20"/>
      <w:szCs w:val="20"/>
    </w:rPr>
  </w:style>
  <w:style w:type="paragraph" w:customStyle="1" w:styleId="105">
    <w:name w:val="Revisão1"/>
    <w:hidden/>
    <w:semiHidden/>
    <w:qFormat/>
    <w:uiPriority w:val="99"/>
    <w:rPr>
      <w:rFonts w:ascii="Ecofont_Spranq_eco_Sans" w:hAnsi="Ecofont_Spranq_eco_Sans" w:eastAsia="Times New Roman" w:cs="Tahoma"/>
      <w:color w:val="00000A"/>
      <w:sz w:val="24"/>
      <w:szCs w:val="24"/>
      <w:lang w:val="pt-BR" w:eastAsia="pt-BR" w:bidi="ar-SA"/>
    </w:rPr>
  </w:style>
  <w:style w:type="character" w:customStyle="1" w:styleId="106">
    <w:name w:val="Comment Reference1"/>
    <w:basedOn w:val="7"/>
    <w:qFormat/>
    <w:uiPriority w:val="0"/>
    <w:rPr>
      <w:sz w:val="16"/>
      <w:szCs w:val="16"/>
    </w:rPr>
  </w:style>
  <w:style w:type="paragraph" w:customStyle="1" w:styleId="107">
    <w:name w:val="Comment Text1"/>
    <w:basedOn w:val="66"/>
    <w:qFormat/>
    <w:uiPriority w:val="0"/>
    <w:rPr>
      <w:rFonts w:cs="Mangal"/>
      <w:sz w:val="20"/>
      <w:szCs w:val="18"/>
    </w:rPr>
  </w:style>
  <w:style w:type="paragraph" w:customStyle="1" w:styleId="108">
    <w:name w:val="figura"/>
    <w:basedOn w:val="1"/>
    <w:qFormat/>
    <w:uiPriority w:val="0"/>
    <w:pPr>
      <w:keepNext w:val="0"/>
      <w:shd w:val="clear" w:color="auto" w:fill="auto"/>
      <w:tabs>
        <w:tab w:val="clear" w:pos="708"/>
      </w:tabs>
      <w:suppressAutoHyphens w:val="0"/>
      <w:overflowPunct/>
      <w:spacing w:before="100" w:after="100"/>
      <w:jc w:val="center"/>
      <w:textAlignment w:val="auto"/>
    </w:pPr>
    <w:rPr>
      <w:rFonts w:ascii="Verdana" w:hAnsi="Verdana" w:cs="Times New Roman"/>
      <w:color w:val="auto"/>
      <w:szCs w:val="20"/>
    </w:rPr>
  </w:style>
  <w:style w:type="paragraph" w:customStyle="1" w:styleId="109">
    <w:name w:val="xl59"/>
    <w:basedOn w:val="1"/>
    <w:qFormat/>
    <w:uiPriority w:val="0"/>
    <w:pPr>
      <w:keepNext w:val="0"/>
      <w:pBdr>
        <w:top w:val="single" w:color="auto" w:sz="4" w:space="0"/>
        <w:bottom w:val="single" w:color="auto" w:sz="4" w:space="0"/>
      </w:pBdr>
      <w:shd w:val="clear" w:color="auto" w:fill="auto"/>
      <w:tabs>
        <w:tab w:val="clear" w:pos="708"/>
      </w:tabs>
      <w:suppressAutoHyphens w:val="0"/>
      <w:overflowPunct/>
      <w:spacing w:before="100" w:beforeAutospacing="1" w:after="100" w:afterAutospacing="1"/>
      <w:jc w:val="right"/>
      <w:textAlignment w:val="center"/>
    </w:pPr>
    <w:rPr>
      <w:rFonts w:ascii="Arial" w:hAnsi="Arial" w:cs="Arial"/>
      <w:b/>
      <w:bCs/>
      <w:i/>
      <w:iCs/>
      <w:color w:val="auto"/>
      <w:sz w:val="22"/>
      <w:szCs w:val="22"/>
    </w:rPr>
  </w:style>
  <w:style w:type="character" w:customStyle="1" w:styleId="110">
    <w:name w:val="Unresolved Mention"/>
    <w:basedOn w:val="7"/>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2.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image" Target="media/image1.emf"/><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4.xml"/><Relationship Id="rId10" Type="http://schemas.openxmlformats.org/officeDocument/2006/relationships/customXml" Target="../customXml/item3.xml"/><Relationship Id="rId1" Type="http://schemas.openxmlformats.org/officeDocument/2006/relationships/styles" Target="style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12A2765E7DFD38469B2E626874CD0041" ma:contentTypeVersion="8" ma:contentTypeDescription="Create a new document." ma:contentTypeScope="" ma:versionID="37762aade61970cea1f26aae188e6c54">
  <xsd:schema xmlns:xsd="http://www.w3.org/2001/XMLSchema" xmlns:xs="http://www.w3.org/2001/XMLSchema" xmlns:p="http://schemas.microsoft.com/office/2006/metadata/properties" xmlns:ns2="52c93ea8-e2de-466c-b401-d7fabeb9490e" targetNamespace="http://schemas.microsoft.com/office/2006/metadata/properties" ma:root="true" ma:fieldsID="5b255f0827b1b01c62b300cf1fb7085a" ns2:_="">
    <xsd:import namespace="52c93ea8-e2de-466c-b401-d7fabeb9490e"/>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GenerationTime" minOccurs="0"/>
                <xsd:element ref="ns2:MediaServiceEventHashCode" minOccurs="0"/>
                <xsd:element ref="ns2:MediaServiceOCR"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c93ea8-e2de-466c-b401-d7fabeb9490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ADEDFD8-1C0B-4DE1-8047-3A259A0B5662}">
  <ds:schemaRefs/>
</ds:datastoreItem>
</file>

<file path=customXml/itemProps2.xml><?xml version="1.0" encoding="utf-8"?>
<ds:datastoreItem xmlns:ds="http://schemas.openxmlformats.org/officeDocument/2006/customXml" ds:itemID="{740EA113-2A24-4844-B05F-EF0B59C45434}">
  <ds:schemaRefs/>
</ds:datastoreItem>
</file>

<file path=customXml/itemProps3.xml><?xml version="1.0" encoding="utf-8"?>
<ds:datastoreItem xmlns:ds="http://schemas.openxmlformats.org/officeDocument/2006/customXml" ds:itemID="{0B0CDCF3-9132-4273-84E6-F2A645C93EFB}">
  <ds:schemaRefs/>
</ds:datastoreItem>
</file>

<file path=customXml/itemProps4.xml><?xml version="1.0" encoding="utf-8"?>
<ds:datastoreItem xmlns:ds="http://schemas.openxmlformats.org/officeDocument/2006/customXml" ds:itemID="{69F88508-67B7-47DD-A4DA-F344CC162BF5}">
  <ds:schemaRefs/>
</ds:datastoreItem>
</file>

<file path=docProps/app.xml><?xml version="1.0" encoding="utf-8"?>
<Properties xmlns="http://schemas.openxmlformats.org/officeDocument/2006/extended-properties" xmlns:vt="http://schemas.openxmlformats.org/officeDocument/2006/docPropsVTypes">
  <Template>Normal</Template>
  <Pages>1</Pages>
  <Words>11705</Words>
  <Characters>63208</Characters>
  <Lines>526</Lines>
  <Paragraphs>149</Paragraphs>
  <TotalTime>0</TotalTime>
  <ScaleCrop>false</ScaleCrop>
  <LinksUpToDate>false</LinksUpToDate>
  <CharactersWithSpaces>74764</CharactersWithSpaces>
  <Application>WPS Office_11.2.0.11417_F1E327BC-269C-435d-A152-05C5408002CA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2022-12-01T02:45:00Z</dcterms:created>
  <dc:creator>Isabella Silva Oliveira Cavalcanti</dc:creator>
  <cp:lastModifiedBy>JULY</cp:lastModifiedBy>
  <cp:lastPrinted>2022-03-30T15:11:00Z</cp:lastPrinted>
  <dcterms:modified xsi:type="dcterms:W3CDTF">2022-12-06T16:51:30Z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0x01010012A2765E7DFD38469B2E626874CD0041</vt:lpwstr>
  </property>
  <property fmtid="{D5CDD505-2E9C-101B-9397-08002B2CF9AE}" pid="3" name="KSOProductBuildVer">
    <vt:lpwstr>1046-11.2.0.11417</vt:lpwstr>
  </property>
  <property fmtid="{D5CDD505-2E9C-101B-9397-08002B2CF9AE}" pid="4" name="ICV">
    <vt:lpwstr>7BFEBD2AAA224E308C1B9B98D555F2DA</vt:lpwstr>
  </property>
</Properties>
</file>