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Calibri" w:hAnsi="Calibri" w:eastAsia="Calibri" w:cs="Calibri"/>
          <w:b/>
          <w:sz w:val="22"/>
          <w:szCs w:val="22"/>
        </w:rPr>
      </w:pPr>
    </w:p>
    <w:tbl>
      <w:tblPr>
        <w:tblStyle w:val="480"/>
        <w:tblW w:w="9953" w:type="dxa"/>
        <w:tblInd w:w="0" w:type="dxa"/>
        <w:tblLayout w:type="fixed"/>
        <w:tblCellMar>
          <w:top w:w="0" w:type="dxa"/>
          <w:left w:w="115" w:type="dxa"/>
          <w:bottom w:w="0" w:type="dxa"/>
          <w:right w:w="115" w:type="dxa"/>
        </w:tblCellMar>
      </w:tblPr>
      <w:tblGrid>
        <w:gridCol w:w="3009"/>
        <w:gridCol w:w="6944"/>
      </w:tblGrid>
      <w:tr>
        <w:tblPrEx>
          <w:tblCellMar>
            <w:top w:w="0" w:type="dxa"/>
            <w:left w:w="115" w:type="dxa"/>
            <w:bottom w:w="0" w:type="dxa"/>
            <w:right w:w="115" w:type="dxa"/>
          </w:tblCellMar>
        </w:tblPrEx>
        <w:trPr>
          <w:trHeight w:val="2552" w:hRule="atLeast"/>
        </w:trPr>
        <w:tc>
          <w:tcPr>
            <w:tcW w:w="995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rFonts w:cs="Arial"/>
                <w:color w:val="auto"/>
                <w:szCs w:val="20"/>
              </w:rPr>
            </w:pPr>
            <w:r>
              <w:rPr>
                <w:rFonts w:ascii="Verdana" w:hAnsi="Verdana" w:eastAsia="Verdana" w:cs="Verdana"/>
                <w:b/>
                <w:color w:val="FF0000"/>
                <w:szCs w:val="20"/>
              </w:rPr>
              <w:t xml:space="preserve"> </w:t>
            </w:r>
            <w:r>
              <w:rPr>
                <w:rFonts w:ascii="Verdana" w:hAnsi="Verdana" w:eastAsia="Verdana" w:cs="Verdana"/>
                <w:b/>
                <w:color w:val="auto"/>
                <w:szCs w:val="20"/>
              </w:rPr>
              <w:t>EDITAL DE LICITAÇÃO</w:t>
            </w:r>
          </w:p>
          <w:p>
            <w:pPr>
              <w:spacing w:before="100" w:after="100"/>
              <w:jc w:val="center"/>
              <w:rPr>
                <w:rFonts w:ascii="Verdana" w:hAnsi="Verdana" w:eastAsia="Verdana" w:cs="Verdana"/>
                <w:b/>
              </w:rPr>
            </w:pPr>
            <w:r>
              <w:rPr>
                <w:rFonts w:ascii="Verdana" w:hAnsi="Verdana" w:eastAsia="Verdana" w:cs="Verdana"/>
                <w:b/>
              </w:rPr>
              <w:t>PREGÃO ELETRÔNICO Nº 03/2021/AD</w:t>
            </w:r>
          </w:p>
          <w:p>
            <w:pPr>
              <w:spacing w:before="100" w:after="100"/>
              <w:jc w:val="center"/>
            </w:pPr>
            <w:r>
              <w:rPr>
                <w:rFonts w:ascii="Verdana" w:hAnsi="Verdana" w:eastAsia="Verdana" w:cs="Verdana"/>
                <w:b/>
              </w:rPr>
              <w:t>SISTEMA DE REGISTRO DE PREÇOS</w:t>
            </w:r>
          </w:p>
          <w:p>
            <w:pPr>
              <w:spacing w:before="100" w:after="100"/>
              <w:jc w:val="center"/>
            </w:pPr>
            <w:r>
              <w:rPr>
                <w:rFonts w:ascii="Verdana" w:hAnsi="Verdana" w:eastAsia="Verdana" w:cs="Verdana"/>
                <w:b/>
              </w:rPr>
              <w:t>PROCESSO Nº 23069.151410/2021-61</w:t>
            </w:r>
          </w:p>
          <w:p>
            <w:pPr>
              <w:spacing w:before="100" w:after="100"/>
              <w:jc w:val="both"/>
              <w:rPr>
                <w:b/>
              </w:rPr>
            </w:pPr>
          </w:p>
          <w:p>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pPr>
              <w:spacing w:before="100" w:after="100"/>
              <w:jc w:val="both"/>
              <w:rPr>
                <w:sz w:val="18"/>
                <w:szCs w:val="18"/>
              </w:rPr>
            </w:pPr>
          </w:p>
        </w:tc>
      </w:tr>
      <w:tr>
        <w:tblPrEx>
          <w:tblCellMar>
            <w:top w:w="0" w:type="dxa"/>
            <w:left w:w="115" w:type="dxa"/>
            <w:bottom w:w="0" w:type="dxa"/>
            <w:right w:w="115" w:type="dxa"/>
          </w:tblCellMar>
        </w:tblPrEx>
        <w:trPr>
          <w:trHeight w:val="1176"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OBJETO</w:t>
            </w:r>
          </w:p>
          <w:p>
            <w:pPr>
              <w:spacing w:before="100" w:after="100"/>
              <w:jc w:val="center"/>
              <w:rPr>
                <w:b/>
                <w:sz w:val="18"/>
                <w:szCs w:val="18"/>
              </w:rPr>
            </w:pP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 xml:space="preserve">O objeto da presente licitação é </w:t>
            </w:r>
            <w:r>
              <w:rPr>
                <w:sz w:val="18"/>
                <w:szCs w:val="18"/>
              </w:rPr>
              <w:t>a construção do Sistema de Registro de Preços para even</w:t>
            </w:r>
            <w:bookmarkStart w:id="2" w:name="_GoBack"/>
            <w:bookmarkEnd w:id="2"/>
            <w:r>
              <w:rPr>
                <w:sz w:val="18"/>
                <w:szCs w:val="18"/>
              </w:rPr>
              <w:t xml:space="preserve">tual </w:t>
            </w:r>
            <w:r>
              <w:rPr>
                <w:color w:val="000000"/>
                <w:sz w:val="18"/>
                <w:szCs w:val="18"/>
              </w:rPr>
              <w:t xml:space="preserve">aquisição de </w:t>
            </w:r>
            <w:r>
              <w:rPr>
                <w:b/>
                <w:bCs/>
                <w:color w:val="000000"/>
                <w:sz w:val="18"/>
                <w:szCs w:val="18"/>
              </w:rPr>
              <w:t>Material Hospitalar (Aulas Práticas 2021),</w:t>
            </w:r>
            <w:r>
              <w:rPr>
                <w:color w:val="000000"/>
                <w:sz w:val="18"/>
                <w:szCs w:val="18"/>
              </w:rPr>
              <w:t xml:space="preserve"> conforme condições, quantidades e exigências estabelecidas neste Edital e seus anexos.</w:t>
            </w:r>
          </w:p>
        </w:tc>
      </w:tr>
      <w:tr>
        <w:tblPrEx>
          <w:tblCellMar>
            <w:top w:w="0" w:type="dxa"/>
            <w:left w:w="115" w:type="dxa"/>
            <w:bottom w:w="0" w:type="dxa"/>
            <w:right w:w="115" w:type="dxa"/>
          </w:tblCellMar>
        </w:tblPrEx>
        <w:trPr>
          <w:trHeight w:val="90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ENCAMINHAMENTO DA PROPOSTA E ANEXOS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A partir da data de divulgação do Edital no site</w:t>
            </w:r>
            <w:r>
              <w:rPr>
                <w:sz w:val="18"/>
                <w:szCs w:val="18"/>
              </w:rPr>
              <w:t xml:space="preserve"> </w:t>
            </w:r>
            <w:r>
              <w:fldChar w:fldCharType="begin"/>
            </w:r>
            <w:r>
              <w:instrText xml:space="preserve"> HYPERLINK "https://www.gov.br/compras/pt-br" \h </w:instrText>
            </w:r>
            <w:r>
              <w:fldChar w:fldCharType="separate"/>
            </w:r>
            <w:r>
              <w:rPr>
                <w:sz w:val="18"/>
                <w:szCs w:val="18"/>
              </w:rPr>
              <w:t>www.gov.br/compras</w:t>
            </w:r>
            <w:r>
              <w:rPr>
                <w:sz w:val="18"/>
                <w:szCs w:val="18"/>
              </w:rPr>
              <w:fldChar w:fldCharType="end"/>
            </w:r>
            <w:r>
              <w:rPr>
                <w:sz w:val="18"/>
                <w:szCs w:val="18"/>
              </w:rPr>
              <w:t xml:space="preserve"> </w:t>
            </w:r>
            <w:r>
              <w:rPr>
                <w:color w:val="000000"/>
                <w:sz w:val="18"/>
                <w:szCs w:val="18"/>
              </w:rPr>
              <w:t xml:space="preserve">até a data e horário de realização da sessão pública. </w:t>
            </w:r>
          </w:p>
        </w:tc>
      </w:tr>
      <w:tr>
        <w:tblPrEx>
          <w:tblCellMar>
            <w:top w:w="0" w:type="dxa"/>
            <w:left w:w="115" w:type="dxa"/>
            <w:bottom w:w="0" w:type="dxa"/>
            <w:right w:w="115" w:type="dxa"/>
          </w:tblCellMar>
        </w:tblPrEx>
        <w:trPr>
          <w:trHeight w:val="56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DATA ABERTURA DAS PROPOSTAS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hint="default"/>
                <w:color w:val="000000"/>
                <w:sz w:val="18"/>
                <w:szCs w:val="18"/>
                <w:lang w:val="pt-BR"/>
              </w:rPr>
            </w:pPr>
            <w:r>
              <w:rPr>
                <w:sz w:val="18"/>
                <w:szCs w:val="18"/>
              </w:rPr>
              <w:t xml:space="preserve">Sessão Pública a ser realizada no endereço eletrônico informado no edital, às </w:t>
            </w:r>
            <w:r>
              <w:rPr>
                <w:b/>
                <w:sz w:val="18"/>
                <w:szCs w:val="18"/>
                <w:highlight w:val="none"/>
              </w:rPr>
              <w:t>10h00m</w:t>
            </w:r>
            <w:r>
              <w:rPr>
                <w:sz w:val="18"/>
                <w:szCs w:val="18"/>
                <w:highlight w:val="none"/>
              </w:rPr>
              <w:t xml:space="preserve"> </w:t>
            </w:r>
            <w:r>
              <w:rPr>
                <w:sz w:val="18"/>
                <w:szCs w:val="18"/>
              </w:rPr>
              <w:t xml:space="preserve">do dia </w:t>
            </w:r>
            <w:r>
              <w:rPr>
                <w:rFonts w:hint="default"/>
                <w:b/>
                <w:bCs/>
                <w:sz w:val="18"/>
                <w:szCs w:val="18"/>
                <w:lang w:val="pt-BR"/>
              </w:rPr>
              <w:t>22</w:t>
            </w:r>
            <w:r>
              <w:rPr>
                <w:rFonts w:hint="default"/>
                <w:b/>
                <w:sz w:val="18"/>
                <w:szCs w:val="18"/>
                <w:highlight w:val="none"/>
                <w:lang w:val="pt-BR"/>
              </w:rPr>
              <w:t>/03/2021.</w:t>
            </w:r>
          </w:p>
        </w:tc>
      </w:tr>
      <w:tr>
        <w:tblPrEx>
          <w:tblCellMar>
            <w:top w:w="0" w:type="dxa"/>
            <w:left w:w="115" w:type="dxa"/>
            <w:bottom w:w="0" w:type="dxa"/>
            <w:right w:w="115" w:type="dxa"/>
          </w:tblCellMar>
        </w:tblPrEx>
        <w:trPr>
          <w:trHeight w:val="2042"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ENDEREÇO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color w:val="000000"/>
                <w:sz w:val="18"/>
                <w:szCs w:val="18"/>
              </w:rPr>
            </w:pPr>
            <w:r>
              <w:rPr>
                <w:color w:val="000000"/>
                <w:sz w:val="18"/>
                <w:szCs w:val="18"/>
              </w:rPr>
              <w:t>Universidade Federal Fluminense</w:t>
            </w:r>
          </w:p>
          <w:p>
            <w:pPr>
              <w:jc w:val="both"/>
              <w:rPr>
                <w:color w:val="000000"/>
                <w:sz w:val="18"/>
                <w:szCs w:val="18"/>
              </w:rPr>
            </w:pPr>
            <w:r>
              <w:rPr>
                <w:color w:val="000000"/>
                <w:sz w:val="18"/>
                <w:szCs w:val="18"/>
              </w:rPr>
              <w:t>Pró-Reitoria de Administração - UASG: 150182</w:t>
            </w:r>
          </w:p>
          <w:p>
            <w:pPr>
              <w:jc w:val="both"/>
              <w:rPr>
                <w:color w:val="000000"/>
                <w:sz w:val="18"/>
                <w:szCs w:val="18"/>
              </w:rPr>
            </w:pPr>
            <w:r>
              <w:rPr>
                <w:color w:val="000000"/>
                <w:sz w:val="18"/>
                <w:szCs w:val="18"/>
              </w:rPr>
              <w:t>Coordenação de Licitação</w:t>
            </w:r>
          </w:p>
          <w:p>
            <w:pPr>
              <w:jc w:val="both"/>
              <w:rPr>
                <w:color w:val="000000"/>
                <w:sz w:val="18"/>
                <w:szCs w:val="18"/>
              </w:rPr>
            </w:pPr>
            <w:r>
              <w:rPr>
                <w:color w:val="000000"/>
                <w:sz w:val="18"/>
                <w:szCs w:val="18"/>
              </w:rPr>
              <w:t>Rua Miguel de Frias n.º 09, Bairro Icaraí, Niterói - RJ</w:t>
            </w:r>
          </w:p>
          <w:p>
            <w:pPr>
              <w:jc w:val="both"/>
              <w:rPr>
                <w:color w:val="000000"/>
                <w:sz w:val="18"/>
                <w:szCs w:val="18"/>
              </w:rPr>
            </w:pPr>
            <w:r>
              <w:rPr>
                <w:color w:val="000000"/>
                <w:sz w:val="18"/>
                <w:szCs w:val="18"/>
              </w:rPr>
              <w:t>CEP: 24.220-900</w:t>
            </w:r>
          </w:p>
          <w:p>
            <w:pPr>
              <w:jc w:val="both"/>
              <w:rPr>
                <w:color w:val="000000"/>
                <w:sz w:val="18"/>
                <w:szCs w:val="18"/>
              </w:rPr>
            </w:pPr>
            <w:r>
              <w:rPr>
                <w:color w:val="000000"/>
                <w:sz w:val="18"/>
                <w:szCs w:val="18"/>
              </w:rPr>
              <w:t>Telefones: (21) 2629-5386</w:t>
            </w:r>
          </w:p>
          <w:p>
            <w:pPr>
              <w:jc w:val="both"/>
              <w:rPr>
                <w:b/>
                <w:color w:val="0000FF"/>
                <w:sz w:val="18"/>
                <w:szCs w:val="18"/>
                <w:u w:val="single"/>
              </w:rPr>
            </w:pPr>
            <w:r>
              <w:rPr>
                <w:color w:val="000000"/>
                <w:sz w:val="18"/>
                <w:szCs w:val="18"/>
              </w:rPr>
              <w:t xml:space="preserve">E-mail: </w:t>
            </w:r>
            <w:r>
              <w:fldChar w:fldCharType="begin"/>
            </w:r>
            <w:r>
              <w:instrText xml:space="preserve"> HYPERLINK "mailto:cpl@id.uff.br" \h </w:instrText>
            </w:r>
            <w:r>
              <w:fldChar w:fldCharType="separate"/>
            </w:r>
            <w:r>
              <w:rPr>
                <w:b/>
                <w:color w:val="0000FF"/>
                <w:sz w:val="18"/>
                <w:szCs w:val="18"/>
                <w:u w:val="single"/>
              </w:rPr>
              <w:t>cpl@id.uff.br</w:t>
            </w:r>
            <w:r>
              <w:rPr>
                <w:b/>
                <w:color w:val="0000FF"/>
                <w:sz w:val="18"/>
                <w:szCs w:val="18"/>
                <w:u w:val="single"/>
              </w:rPr>
              <w:fldChar w:fldCharType="end"/>
            </w:r>
          </w:p>
          <w:p>
            <w:pPr>
              <w:jc w:val="both"/>
              <w:rPr>
                <w:color w:val="000000"/>
                <w:sz w:val="18"/>
                <w:szCs w:val="18"/>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TIPO DE LICITAÇÃO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Menor preço por item.</w:t>
            </w: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ACESSO ELETRÔNICO AO EDITAL</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b/>
                <w:color w:val="0000FF"/>
                <w:sz w:val="18"/>
                <w:szCs w:val="18"/>
                <w:u w:val="single"/>
              </w:rPr>
            </w:pPr>
            <w:r>
              <w:fldChar w:fldCharType="begin"/>
            </w:r>
            <w:r>
              <w:instrText xml:space="preserve"> HYPERLINK "https://www.gov.br/compras/pt-br" \h </w:instrText>
            </w:r>
            <w:r>
              <w:fldChar w:fldCharType="separate"/>
            </w:r>
            <w:r>
              <w:rPr>
                <w:b/>
                <w:color w:val="0000FF"/>
                <w:sz w:val="18"/>
                <w:szCs w:val="18"/>
                <w:u w:val="single"/>
              </w:rPr>
              <w:t>www.gov.br/compras</w:t>
            </w:r>
            <w:r>
              <w:rPr>
                <w:b/>
                <w:color w:val="0000FF"/>
                <w:sz w:val="18"/>
                <w:szCs w:val="18"/>
                <w:u w:val="single"/>
              </w:rPr>
              <w:fldChar w:fldCharType="end"/>
            </w:r>
          </w:p>
          <w:p>
            <w:pPr>
              <w:jc w:val="both"/>
              <w:rPr>
                <w:color w:val="000000"/>
                <w:sz w:val="18"/>
                <w:szCs w:val="18"/>
                <w:u w:val="single"/>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PREGOEIRO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pBdr>
                <w:top w:val="none" w:color="auto" w:sz="0" w:space="0"/>
                <w:left w:val="none" w:color="auto" w:sz="0" w:space="0"/>
                <w:bottom w:val="none" w:color="auto" w:sz="0" w:space="0"/>
                <w:right w:val="none" w:color="auto" w:sz="0" w:space="0"/>
                <w:between w:val="none" w:color="auto" w:sz="0" w:space="0"/>
              </w:pBdr>
              <w:spacing w:before="100" w:after="100"/>
              <w:jc w:val="both"/>
              <w:rPr>
                <w:rFonts w:hint="default" w:cs="Arial"/>
                <w:b/>
                <w:i/>
                <w:color w:val="000000"/>
                <w:sz w:val="18"/>
                <w:szCs w:val="18"/>
                <w:lang w:val="pt-BR"/>
              </w:rPr>
            </w:pPr>
            <w:r>
              <w:rPr>
                <w:rFonts w:hint="default" w:cs="Arial"/>
                <w:b/>
                <w:i/>
                <w:color w:val="000000"/>
                <w:sz w:val="18"/>
                <w:szCs w:val="18"/>
                <w:lang w:val="pt-BR"/>
              </w:rPr>
              <w:t>JULIANA P. BORSOI RICHA</w:t>
            </w:r>
          </w:p>
        </w:tc>
      </w:tr>
    </w:tbl>
    <w:p>
      <w:pP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rPr>
          <w:rFonts w:ascii="Calibri" w:hAnsi="Calibri" w:eastAsia="Calibri" w:cs="Calibri"/>
          <w:b/>
          <w:sz w:val="22"/>
          <w:szCs w:val="22"/>
        </w:rPr>
      </w:pPr>
      <w:r>
        <w:br w:type="page"/>
      </w:r>
    </w:p>
    <w:p>
      <w:pPr>
        <w:tabs>
          <w:tab w:val="left" w:pos="6284"/>
        </w:tabs>
        <w:jc w:val="center"/>
        <w:rPr>
          <w:rFonts w:ascii="Calibri" w:hAnsi="Calibri" w:eastAsia="Calibri" w:cs="Calibri"/>
          <w:b/>
          <w:sz w:val="22"/>
          <w:szCs w:val="22"/>
        </w:rPr>
      </w:pPr>
      <w:r>
        <w:drawing>
          <wp:anchor distT="0" distB="0" distL="114300" distR="114300" simplePos="0" relativeHeight="251659264"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6"/>
                    <a:srcRect/>
                    <a:stretch>
                      <a:fillRect/>
                    </a:stretch>
                  </pic:blipFill>
                  <pic:spPr>
                    <a:xfrm>
                      <a:off x="0" y="0"/>
                      <a:ext cx="640080" cy="628650"/>
                    </a:xfrm>
                    <a:prstGeom prst="rect">
                      <a:avLst/>
                    </a:prstGeom>
                  </pic:spPr>
                </pic:pic>
              </a:graphicData>
            </a:graphic>
          </wp:anchor>
        </w:drawing>
      </w: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 xml:space="preserve">COORDENAÇÃO DE LICITAÇÃO </w:t>
      </w:r>
    </w:p>
    <w:p>
      <w:pPr>
        <w:jc w:val="center"/>
        <w:rPr>
          <w:rFonts w:ascii="Calibri" w:hAnsi="Calibri" w:eastAsia="Calibri" w:cs="Calibri"/>
          <w:b/>
          <w:sz w:val="22"/>
          <w:szCs w:val="22"/>
        </w:rPr>
      </w:pPr>
    </w:p>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rFonts w:cs="Arial"/>
          <w:color w:val="auto"/>
          <w:szCs w:val="20"/>
        </w:rPr>
      </w:pPr>
      <w:r>
        <w:rPr>
          <w:rFonts w:ascii="Verdana" w:hAnsi="Verdana" w:eastAsia="Verdana" w:cs="Verdana"/>
          <w:b/>
          <w:color w:val="auto"/>
          <w:szCs w:val="20"/>
        </w:rPr>
        <w:t xml:space="preserve"> EDITAL DE LICITAÇÃO</w:t>
      </w:r>
    </w:p>
    <w:p>
      <w:pPr>
        <w:spacing w:before="100" w:after="100"/>
        <w:jc w:val="center"/>
        <w:rPr>
          <w:rFonts w:ascii="Verdana" w:hAnsi="Verdana" w:eastAsia="Verdana" w:cs="Verdana"/>
          <w:b/>
        </w:rPr>
      </w:pPr>
      <w:r>
        <w:rPr>
          <w:rFonts w:ascii="Verdana" w:hAnsi="Verdana" w:eastAsia="Verdana" w:cs="Verdana"/>
          <w:b/>
        </w:rPr>
        <w:t>PREGÃO ELETRÔNICO Nº 03/2021/AD</w:t>
      </w:r>
    </w:p>
    <w:p>
      <w:pPr>
        <w:spacing w:before="100" w:after="100"/>
        <w:jc w:val="center"/>
      </w:pPr>
      <w:r>
        <w:rPr>
          <w:rFonts w:ascii="Verdana" w:hAnsi="Verdana" w:eastAsia="Verdana" w:cs="Verdana"/>
          <w:b/>
        </w:rPr>
        <w:t>SISTEMA DE REGISTRO DE PREÇOS</w:t>
      </w:r>
    </w:p>
    <w:p>
      <w:pPr>
        <w:spacing w:before="100" w:after="100"/>
        <w:jc w:val="center"/>
        <w:rPr>
          <w:highlight w:val="yellow"/>
        </w:rPr>
      </w:pPr>
      <w:r>
        <w:rPr>
          <w:rFonts w:ascii="Verdana" w:hAnsi="Verdana" w:eastAsia="Verdana" w:cs="Verdana"/>
          <w:b/>
        </w:rPr>
        <w:t>PROCESSO Nº 23069.151410/2021-61</w:t>
      </w:r>
    </w:p>
    <w:p>
      <w:pPr>
        <w:spacing w:before="100" w:after="100"/>
        <w:jc w:val="center"/>
        <w:rPr>
          <w:b/>
          <w:color w:val="000000"/>
        </w:rPr>
      </w:pPr>
    </w:p>
    <w:p>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menor preço por item</w:t>
      </w:r>
      <w:r>
        <w:rPr>
          <w:i/>
          <w:color w:val="FF0000"/>
        </w:rP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pPr>
        <w:jc w:val="both"/>
      </w:pPr>
    </w:p>
    <w:p>
      <w:pPr>
        <w:pBdr>
          <w:bottom w:val="single" w:color="000000" w:sz="6" w:space="1"/>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r>
        <w:t xml:space="preserve">, na data de abertura e horário informados no mesmo (Consultas &gt; Pregões &gt; Agendados &gt; situação: Aberto para propostas / </w:t>
      </w:r>
      <w:r>
        <w:rPr>
          <w:b/>
        </w:rPr>
        <w:t>cód. UASG: 150182</w:t>
      </w:r>
    </w:p>
    <w:p>
      <w:pPr>
        <w:pBdr>
          <w:bottom w:val="single" w:color="000000" w:sz="6" w:space="1"/>
        </w:pBdr>
        <w:spacing w:after="240" w:line="276" w:lineRule="auto"/>
        <w:ind w:right="-30" w:firstLine="540"/>
        <w:jc w:val="both"/>
      </w:pPr>
    </w:p>
    <w:p>
      <w:pPr>
        <w:jc w:val="both"/>
      </w:pPr>
    </w:p>
    <w:p>
      <w:pPr>
        <w:jc w:val="both"/>
      </w:pPr>
    </w:p>
    <w:p>
      <w:pPr>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ind w:left="502"/>
        <w:jc w:val="both"/>
        <w:rPr>
          <w:color w:val="000000"/>
          <w:szCs w:val="20"/>
        </w:rPr>
      </w:pPr>
      <w:r>
        <w:rPr>
          <w:rFonts w:cs="Arial"/>
          <w:b/>
          <w:color w:val="000000"/>
          <w:szCs w:val="20"/>
        </w:rPr>
        <w:t>DO OBJETO</w:t>
      </w:r>
    </w:p>
    <w:p>
      <w:pPr>
        <w:numPr>
          <w:ilvl w:val="1"/>
          <w:numId w:val="8"/>
        </w:numPr>
        <w:spacing w:before="120" w:after="120" w:line="276" w:lineRule="auto"/>
        <w:jc w:val="both"/>
      </w:pPr>
      <w:r>
        <w:t xml:space="preserve">O objeto da presente licitação é a escolha da proposta mais vantajosa para a aquisição de </w:t>
      </w:r>
      <w:r>
        <w:rPr>
          <w:b/>
          <w:bCs/>
          <w:color w:val="000000"/>
          <w:sz w:val="18"/>
          <w:szCs w:val="18"/>
        </w:rPr>
        <w:t>Material  Hospitalar (Aulas Práticas 2021)</w:t>
      </w:r>
      <w:r>
        <w:t>, conforme condições, quantidades e exigências estabelecidas neste Edital e seus anexos.</w:t>
      </w:r>
    </w:p>
    <w:p>
      <w:pPr>
        <w:numPr>
          <w:ilvl w:val="1"/>
          <w:numId w:val="8"/>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pPr>
        <w:numPr>
          <w:ilvl w:val="1"/>
          <w:numId w:val="8"/>
        </w:numPr>
        <w:spacing w:before="120" w:after="120" w:line="276" w:lineRule="auto"/>
        <w:jc w:val="both"/>
      </w:pPr>
      <w:r>
        <w:t xml:space="preserve">O critério de julgamento adotado será o menor preço do item, observadas as exigências contidas neste Edital e seus Anexos quanto às especificações do objeto. </w:t>
      </w:r>
    </w:p>
    <w:p/>
    <w:p/>
    <w:p/>
    <w:p/>
    <w:p/>
    <w:p>
      <w:pPr>
        <w:tabs>
          <w:tab w:val="left" w:pos="5820"/>
        </w:tabs>
      </w:pPr>
      <w:r>
        <w:tab/>
      </w:r>
    </w:p>
    <w:p>
      <w:pPr>
        <w:spacing w:before="120" w:after="120" w:line="276" w:lineRule="auto"/>
        <w:ind w:left="1134"/>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pPr>
        <w:rPr>
          <w:b/>
          <w:i/>
        </w:rPr>
      </w:pPr>
    </w:p>
    <w:p>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pPr>
        <w:spacing w:before="120" w:after="120" w:line="276" w:lineRule="auto"/>
        <w:ind w:left="1134"/>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CREDENCIAMENTO</w:t>
      </w:r>
    </w:p>
    <w:p>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pPr>
        <w:numPr>
          <w:ilvl w:val="1"/>
          <w:numId w:val="3"/>
        </w:numPr>
        <w:spacing w:before="120" w:after="120" w:line="276" w:lineRule="auto"/>
        <w:jc w:val="both"/>
      </w:pPr>
      <w:r>
        <w:t xml:space="preserve">O cadastro no SICAF deverá ser feito no Portal de Compras do Governo Federal, no sítio </w:t>
      </w:r>
      <w:r>
        <w:fldChar w:fldCharType="begin"/>
      </w:r>
      <w:r>
        <w:instrText xml:space="preserve"> HYPERLINK "https://www.gov.br/compras/pt-br" \h </w:instrText>
      </w:r>
      <w:r>
        <w:fldChar w:fldCharType="separate"/>
      </w:r>
      <w:r>
        <w:t>www.gov.br/compras</w:t>
      </w:r>
      <w:r>
        <w:fldChar w:fldCharType="end"/>
      </w:r>
      <w:r>
        <w:t>, por meio de certificado digital conferido pela Infraestrutura de Chaves Públicas Brasileira – ICP - Brasil.</w:t>
      </w:r>
    </w:p>
    <w:p>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pPr>
        <w:numPr>
          <w:ilvl w:val="1"/>
          <w:numId w:val="3"/>
        </w:numPr>
        <w:spacing w:before="120" w:after="120" w:line="276" w:lineRule="auto"/>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3"/>
        </w:numPr>
        <w:spacing w:after="240" w:line="276" w:lineRule="auto"/>
        <w:jc w:val="both"/>
      </w:pPr>
      <w:r>
        <w:rPr>
          <w:color w:val="000000"/>
        </w:rPr>
        <w:t>A não observância do disposto no subitem anterior poderá ensejar desclassificação no momento da habilitação</w:t>
      </w:r>
    </w:p>
    <w:p>
      <w:pPr>
        <w:spacing w:before="120" w:after="120" w:line="276" w:lineRule="auto"/>
        <w:ind w:left="425"/>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PARTICIPAÇÃO NO PREGÃO.</w:t>
      </w:r>
    </w:p>
    <w:p>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3"/>
        </w:numPr>
        <w:spacing w:after="240" w:line="276" w:lineRule="auto"/>
        <w:jc w:val="both"/>
      </w:pPr>
      <w:r>
        <w:rPr>
          <w:color w:val="000000"/>
        </w:rPr>
        <w:t>Os licitantes deverão utilizar o certificado digital para acesso ao Sistema.</w:t>
      </w:r>
    </w:p>
    <w:p>
      <w:pPr>
        <w:numPr>
          <w:ilvl w:val="2"/>
          <w:numId w:val="3"/>
        </w:numPr>
        <w:spacing w:after="240" w:line="276" w:lineRule="auto"/>
        <w:jc w:val="both"/>
      </w:pPr>
      <w:r>
        <w:t>Para os itens indicados no Anexo I-A, a participação é exclusiva a microempresas e empresas de pequeno porte, nos termos do art. 48 da Lei Complementar nº 123, de 14 de dezembro de 2006.</w:t>
      </w:r>
    </w:p>
    <w:p>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pPr>
        <w:numPr>
          <w:ilvl w:val="1"/>
          <w:numId w:val="3"/>
        </w:numPr>
        <w:spacing w:before="120" w:after="120" w:line="276" w:lineRule="auto"/>
        <w:jc w:val="both"/>
      </w:pPr>
      <w:r>
        <w:t>Não poderão participar desta licitação os interessados:</w:t>
      </w:r>
    </w:p>
    <w:p>
      <w:pPr>
        <w:numPr>
          <w:ilvl w:val="2"/>
          <w:numId w:val="3"/>
        </w:numPr>
        <w:tabs>
          <w:tab w:val="left" w:pos="1440"/>
        </w:tabs>
        <w:spacing w:after="240" w:line="276" w:lineRule="auto"/>
        <w:jc w:val="both"/>
      </w:pPr>
      <w:r>
        <w:t>proibidos de participar de licitações e celebrar contratos administrativos, na forma da legislação vigente;</w:t>
      </w:r>
    </w:p>
    <w:p>
      <w:pPr>
        <w:numPr>
          <w:ilvl w:val="2"/>
          <w:numId w:val="3"/>
        </w:numPr>
        <w:tabs>
          <w:tab w:val="left" w:pos="1440"/>
        </w:tabs>
        <w:spacing w:after="240" w:line="276" w:lineRule="auto"/>
        <w:jc w:val="both"/>
      </w:pPr>
      <w:r>
        <w:t>que não atendam às condições deste Edital e seu(s) anexo(s);</w:t>
      </w:r>
    </w:p>
    <w:p>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pPr>
        <w:numPr>
          <w:ilvl w:val="2"/>
          <w:numId w:val="3"/>
        </w:numPr>
        <w:tabs>
          <w:tab w:val="left" w:pos="1440"/>
        </w:tabs>
        <w:spacing w:after="240" w:line="276" w:lineRule="auto"/>
        <w:jc w:val="both"/>
      </w:pPr>
      <w:r>
        <w:rPr>
          <w:color w:val="000000"/>
        </w:rPr>
        <w:t>que se enquadrem nas vedações previstas no artigo 9º da Lei nº 8.666, de 1993;</w:t>
      </w:r>
    </w:p>
    <w:p>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pPr>
        <w:numPr>
          <w:ilvl w:val="2"/>
          <w:numId w:val="3"/>
        </w:numPr>
        <w:tabs>
          <w:tab w:val="left" w:pos="1440"/>
        </w:tabs>
        <w:spacing w:after="240" w:line="276" w:lineRule="auto"/>
        <w:jc w:val="both"/>
      </w:pPr>
      <w:r>
        <w:t>entidades empresariais que estejam reunidas em consórcio;</w:t>
      </w:r>
    </w:p>
    <w:p>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pPr>
        <w:tabs>
          <w:tab w:val="left" w:pos="1440"/>
        </w:tabs>
        <w:spacing w:after="240" w:line="276" w:lineRule="auto"/>
        <w:jc w:val="both"/>
        <w:rPr>
          <w:color w:val="000000"/>
        </w:rPr>
      </w:pPr>
    </w:p>
    <w:p>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pPr>
        <w:numPr>
          <w:ilvl w:val="2"/>
          <w:numId w:val="3"/>
        </w:numPr>
        <w:tabs>
          <w:tab w:val="left" w:pos="1440"/>
        </w:tabs>
        <w:spacing w:after="240" w:line="276" w:lineRule="auto"/>
        <w:jc w:val="both"/>
      </w:pPr>
      <w:r>
        <w:rPr>
          <w:color w:val="000000"/>
        </w:rPr>
        <w:t>que está ciente e concorda com as condições contidas no Edital e seus anexos;</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pPr>
        <w:spacing w:before="120" w:after="120" w:line="276" w:lineRule="auto"/>
        <w:ind w:left="425"/>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SUSTENTABILIDADE AMBIENTAL</w:t>
      </w:r>
    </w:p>
    <w:p/>
    <w:p>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pPr>
        <w:numPr>
          <w:ilvl w:val="1"/>
          <w:numId w:val="3"/>
        </w:numPr>
        <w:spacing w:after="240"/>
        <w:jc w:val="both"/>
        <w:rPr>
          <w:color w:val="000000"/>
        </w:rPr>
      </w:pPr>
      <w:r>
        <w:rPr>
          <w:color w:val="000000"/>
        </w:rPr>
        <w:t>6.1.1</w:t>
      </w:r>
      <w:r>
        <w:rPr>
          <w:color w:val="000000"/>
        </w:rPr>
        <w:tab/>
      </w: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r>
        <w:fldChar w:fldCharType="begin"/>
      </w:r>
      <w:r>
        <w:instrText xml:space="preserve"> HYPERLINK "https://www.agu.gov.br/page/content/detail/id_conteudo/138067" \h </w:instrText>
      </w:r>
      <w:r>
        <w:fldChar w:fldCharType="separate"/>
      </w:r>
      <w:r>
        <w:rPr>
          <w:color w:val="000000"/>
        </w:rPr>
        <w:t>https://www.agu.gov.br/page/content/detail/id_conteudo/138067</w:t>
      </w:r>
      <w:r>
        <w:rPr>
          <w:color w:val="000000"/>
        </w:rPr>
        <w:fldChar w:fldCharType="end"/>
      </w:r>
      <w:r>
        <w:rPr>
          <w:color w:val="000000"/>
        </w:rPr>
        <w:t>.</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spacing w:before="240"/>
        <w:ind w:left="502"/>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APRESENTAÇÃO DA PROPOSTA E DOS DOCUMENTOS DE HABILITAÇÃO</w:t>
      </w:r>
    </w:p>
    <w:p/>
    <w:p>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numPr>
          <w:ilvl w:val="1"/>
          <w:numId w:val="3"/>
        </w:numPr>
        <w:spacing w:before="120" w:after="120" w:line="276" w:lineRule="auto"/>
        <w:jc w:val="both"/>
      </w:pPr>
      <w:r>
        <w:t>O envio da proposta, acompanhada dos documentos de habilitação exigidos neste Edital, ocorrerá por meio de chave de acesso e senha.</w:t>
      </w:r>
    </w:p>
    <w:p>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pPr>
        <w:spacing w:after="240" w:line="276" w:lineRule="auto"/>
        <w:ind w:left="425"/>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PREENCHIMENTO DA PROPOSTA</w:t>
      </w:r>
    </w:p>
    <w:p>
      <w:pPr>
        <w:numPr>
          <w:ilvl w:val="1"/>
          <w:numId w:val="3"/>
        </w:numPr>
        <w:spacing w:before="120" w:after="120" w:line="276" w:lineRule="auto"/>
        <w:jc w:val="both"/>
      </w:pPr>
      <w:r>
        <w:t>O licitante deverá enviar sua proposta mediante o preenchimento, no sistema eletrônico, dos seguintes campos:</w:t>
      </w:r>
    </w:p>
    <w:p>
      <w:pPr>
        <w:numPr>
          <w:ilvl w:val="2"/>
          <w:numId w:val="3"/>
        </w:numPr>
        <w:tabs>
          <w:tab w:val="left" w:pos="1440"/>
        </w:tabs>
        <w:spacing w:after="240"/>
        <w:jc w:val="both"/>
        <w:rPr>
          <w:i/>
        </w:rPr>
      </w:pPr>
      <w:r>
        <w:rPr>
          <w:i/>
        </w:rPr>
        <w:t>Valor unitário e total do item;</w:t>
      </w:r>
    </w:p>
    <w:p>
      <w:pPr>
        <w:numPr>
          <w:ilvl w:val="2"/>
          <w:numId w:val="3"/>
        </w:numPr>
        <w:tabs>
          <w:tab w:val="left" w:pos="1440"/>
        </w:tabs>
        <w:spacing w:after="240"/>
        <w:jc w:val="both"/>
      </w:pPr>
      <w:r>
        <w:rPr>
          <w:color w:val="000000"/>
        </w:rPr>
        <w:t>Marca e Modelo;</w:t>
      </w:r>
    </w:p>
    <w:p>
      <w:pPr>
        <w:numPr>
          <w:ilvl w:val="2"/>
          <w:numId w:val="3"/>
        </w:numPr>
        <w:tabs>
          <w:tab w:val="left" w:pos="1440"/>
        </w:tabs>
        <w:spacing w:after="240"/>
        <w:jc w:val="both"/>
      </w:pPr>
      <w:r>
        <w:rPr>
          <w:color w:val="000000"/>
        </w:rPr>
        <w:t xml:space="preserve">Fabricante; </w:t>
      </w:r>
    </w:p>
    <w:p>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pPr>
        <w:numPr>
          <w:ilvl w:val="1"/>
          <w:numId w:val="3"/>
        </w:numPr>
        <w:spacing w:before="120" w:after="120" w:line="276" w:lineRule="auto"/>
        <w:jc w:val="both"/>
      </w:pPr>
      <w:r>
        <w:t>Todas as especificações do objeto contidas na proposta vinculam a Contratada.</w:t>
      </w:r>
    </w:p>
    <w:p>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3"/>
        </w:numPr>
        <w:spacing w:before="120" w:after="120" w:line="276" w:lineRule="auto"/>
        <w:jc w:val="both"/>
      </w:pPr>
      <w:r>
        <w:t xml:space="preserve">O prazo de validade da proposta não será inferior a </w:t>
      </w:r>
      <w:r>
        <w:rPr>
          <w:b/>
        </w:rPr>
        <w:t>60 (sessenta) dias</w:t>
      </w:r>
      <w:r>
        <w:t xml:space="preserve">, a contar da data de sua apresentação. </w:t>
      </w:r>
    </w:p>
    <w:p>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p>
      <w:pPr>
        <w:numPr>
          <w:ilvl w:val="1"/>
          <w:numId w:val="3"/>
        </w:numPr>
        <w:spacing w:before="120" w:after="120" w:line="276" w:lineRule="auto"/>
        <w:jc w:val="both"/>
      </w:pPr>
      <w:r>
        <w:t>A abertura da presente licitação dar-se-á em sessão pública, por meio de sistema eletrônico, na data, horário e local indicados neste Edital.</w:t>
      </w:r>
    </w:p>
    <w:p>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pPr>
        <w:numPr>
          <w:ilvl w:val="2"/>
          <w:numId w:val="3"/>
        </w:numPr>
        <w:tabs>
          <w:tab w:val="left" w:pos="1440"/>
        </w:tabs>
        <w:spacing w:after="240"/>
        <w:jc w:val="both"/>
      </w:pPr>
      <w:r>
        <w:rPr>
          <w:color w:val="000000"/>
        </w:rPr>
        <w:t>Também será desclassificada a proposta que identifique o licitante.</w:t>
      </w:r>
    </w:p>
    <w:p>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pPr>
        <w:numPr>
          <w:ilvl w:val="1"/>
          <w:numId w:val="3"/>
        </w:numPr>
        <w:spacing w:before="120" w:after="120" w:line="276" w:lineRule="auto"/>
        <w:jc w:val="both"/>
      </w:pPr>
      <w:r>
        <w:t>O sistema ordenará automaticamente as propostas classificadas, sendo que somente estas participarão da fase de lances.</w:t>
      </w:r>
    </w:p>
    <w:p>
      <w:pPr>
        <w:numPr>
          <w:ilvl w:val="1"/>
          <w:numId w:val="3"/>
        </w:numPr>
        <w:spacing w:before="120" w:after="120" w:line="276" w:lineRule="auto"/>
        <w:jc w:val="both"/>
      </w:pPr>
      <w:r>
        <w:t>O sistema disponibilizará campo próprio para troca de mensagens entre o Pregoeiro e os licitantes.</w:t>
      </w:r>
    </w:p>
    <w:p>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pPr>
        <w:numPr>
          <w:ilvl w:val="2"/>
          <w:numId w:val="3"/>
        </w:numPr>
        <w:tabs>
          <w:tab w:val="left" w:pos="1440"/>
        </w:tabs>
        <w:spacing w:after="240"/>
        <w:jc w:val="both"/>
      </w:pPr>
      <w:r>
        <w:t>O lance deverá ser ofertado pelo unitário do item</w:t>
      </w:r>
      <w:r>
        <w:rPr>
          <w:i/>
        </w:rPr>
        <w:t>.</w:t>
      </w:r>
    </w:p>
    <w:p>
      <w:pPr>
        <w:numPr>
          <w:ilvl w:val="1"/>
          <w:numId w:val="3"/>
        </w:numPr>
        <w:spacing w:before="120" w:after="120" w:line="276" w:lineRule="auto"/>
        <w:jc w:val="both"/>
      </w:pPr>
      <w:r>
        <w:t>Os licitantes poderão oferecer lances sucessivos, observando o horário fixado para abertura da sessão e as regras estabelecidas no Edital.</w:t>
      </w:r>
    </w:p>
    <w:p>
      <w:pPr>
        <w:numPr>
          <w:ilvl w:val="1"/>
          <w:numId w:val="3"/>
        </w:numPr>
        <w:spacing w:before="120" w:after="120" w:line="276" w:lineRule="auto"/>
        <w:jc w:val="both"/>
      </w:pPr>
      <w:r>
        <w:t>O licitante somente poderá oferecer lance de valor inferior ao último por ele ofertado e registrado pelo sistema.</w:t>
      </w:r>
    </w:p>
    <w:p>
      <w:pPr>
        <w:numPr>
          <w:ilvl w:val="1"/>
          <w:numId w:val="3"/>
        </w:numPr>
        <w:spacing w:before="120" w:after="120" w:line="276" w:lineRule="auto"/>
        <w:jc w:val="both"/>
      </w:pPr>
      <w:r>
        <w:t>O intervalo mínimo de diferença de valores entre os lances, que incidirá tanto em relação aos lances intermediários quanto em relação à proposta que cobrir a melhor oferta deverá ser de acordo com o Anexo I-A - Planilha Estimativa.</w:t>
      </w:r>
    </w:p>
    <w:p>
      <w:pPr>
        <w:numPr>
          <w:ilvl w:val="1"/>
          <w:numId w:val="3"/>
        </w:numPr>
        <w:spacing w:before="120" w:after="120" w:line="276" w:lineRule="auto"/>
        <w:jc w:val="both"/>
      </w:pPr>
      <w:r>
        <w:t>Será adotado para o envio de lances no pregão eletrônico o modo de disputa “aberto”, em que os licitantes apresentarão lances públicos e sucessivos, com prorrogações.</w:t>
      </w:r>
    </w:p>
    <w:p>
      <w:pPr>
        <w:numPr>
          <w:ilvl w:val="1"/>
          <w:numId w:val="3"/>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pPr>
        <w:numPr>
          <w:ilvl w:val="1"/>
          <w:numId w:val="3"/>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pPr>
        <w:numPr>
          <w:ilvl w:val="1"/>
          <w:numId w:val="3"/>
        </w:numPr>
        <w:spacing w:before="120" w:after="120" w:line="276" w:lineRule="auto"/>
        <w:jc w:val="both"/>
      </w:pPr>
      <w:r>
        <w:t>Não havendo novos lances na forma estabelecida nos itens anteriores, a sessão pública encerrar-se-á automaticamente.</w:t>
      </w:r>
    </w:p>
    <w:p>
      <w:pPr>
        <w:numPr>
          <w:ilvl w:val="1"/>
          <w:numId w:val="3"/>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pPr>
        <w:numPr>
          <w:ilvl w:val="1"/>
          <w:numId w:val="3"/>
        </w:numPr>
        <w:spacing w:before="120" w:after="120" w:line="276" w:lineRule="auto"/>
        <w:jc w:val="both"/>
      </w:pPr>
      <w:r>
        <w:t xml:space="preserve">Não serão aceitos dois ou mais lances de mesmo valor, prevalecendo aquele que for recebido e registrado em primeiro lugar. </w:t>
      </w:r>
    </w:p>
    <w:p>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3"/>
        </w:numPr>
        <w:spacing w:before="120" w:after="120" w:line="276" w:lineRule="auto"/>
        <w:jc w:val="both"/>
      </w:pPr>
      <w:r>
        <w:t xml:space="preserve">O Critério de julgamento adotado será o menor preço, conforme definido neste Edital e seus anexos. </w:t>
      </w:r>
    </w:p>
    <w:p>
      <w:pPr>
        <w:numPr>
          <w:ilvl w:val="1"/>
          <w:numId w:val="3"/>
        </w:numPr>
        <w:spacing w:before="120" w:after="120" w:line="276" w:lineRule="auto"/>
        <w:jc w:val="both"/>
      </w:pPr>
      <w:r>
        <w:t>Caso o licitante não apresente lances, concorrerá com o valor de sua proposta.</w:t>
      </w:r>
    </w:p>
    <w:p>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pa</w:t>
      </w:r>
      <w:r>
        <w:t>í</w:t>
      </w:r>
      <w:r>
        <w:rPr>
          <w:rFonts w:cs="Arial"/>
          <w:color w:val="000000"/>
          <w:szCs w:val="20"/>
        </w:rPr>
        <w:t>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 xml:space="preserve">por empresas brasileiras; </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por empresas que invistam em pesquisa e no desenvolvimento de tecnologia no País;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pPr>
        <w:numPr>
          <w:ilvl w:val="1"/>
          <w:numId w:val="3"/>
        </w:numPr>
        <w:spacing w:before="120" w:after="120" w:line="276" w:lineRule="auto"/>
        <w:jc w:val="both"/>
      </w:pPr>
      <w:r>
        <w:t>Persistindo o empate, a proposta vencedora será sorteada pelo sistema eletrônico dentre as propostas ou os lances empatados.</w:t>
      </w:r>
    </w:p>
    <w:p>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A negociação será realizada por meio do sistema, podendo ser acompanhada pelos demais licitantes.</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pPr>
        <w:numPr>
          <w:ilvl w:val="1"/>
          <w:numId w:val="3"/>
        </w:numPr>
        <w:spacing w:before="120" w:after="120" w:line="276" w:lineRule="auto"/>
        <w:jc w:val="both"/>
      </w:pPr>
      <w:r>
        <w:t>Após a negociação do preço, o Pregoeiro iniciará a fase de aceitação e julgamento da proposta.</w:t>
      </w: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ACEITABILIDADE DA PROPOSTA VENCEDORA</w:t>
      </w:r>
    </w:p>
    <w:p>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pPr>
        <w:numPr>
          <w:ilvl w:val="2"/>
          <w:numId w:val="3"/>
        </w:numPr>
        <w:spacing w:before="120" w:after="120" w:line="276" w:lineRule="auto"/>
        <w:ind w:right="-15"/>
        <w:jc w:val="both"/>
      </w:pPr>
      <w:r>
        <w:rPr>
          <w:color w:val="000000"/>
        </w:rPr>
        <w:t xml:space="preserve"> É facultado ao pregoeiro prorrogar o prazo estabelecido, a partir de solicitação fundamentada feita no chat pelo licitante, antes de findo o prazo. </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pPr>
        <w:numPr>
          <w:ilvl w:val="1"/>
          <w:numId w:val="3"/>
        </w:numPr>
        <w:spacing w:before="120" w:after="120" w:line="276" w:lineRule="auto"/>
        <w:jc w:val="both"/>
      </w:pPr>
      <w:r>
        <w:t>Havendo necessidade, o Pregoeiro suspenderá a sessão, informando no “chat” a nova data e horário para a sua continuidade.</w:t>
      </w:r>
    </w:p>
    <w:p>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pPr>
        <w:numPr>
          <w:ilvl w:val="2"/>
          <w:numId w:val="3"/>
        </w:numPr>
        <w:tabs>
          <w:tab w:val="left" w:pos="1440"/>
        </w:tabs>
        <w:spacing w:after="240"/>
        <w:jc w:val="both"/>
      </w:pPr>
      <w:r>
        <w:rPr>
          <w:color w:val="000000"/>
        </w:rPr>
        <w:t>A negociação será realizada por meio do sistema, podendo ser acompanhada pelos demais licitantes.</w:t>
      </w:r>
    </w:p>
    <w:p>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3"/>
        </w:numPr>
        <w:spacing w:before="120" w:after="120" w:line="276" w:lineRule="auto"/>
        <w:jc w:val="both"/>
      </w:pPr>
      <w:r>
        <w:t>Encerrada a análise quanto à aceitação da proposta, o pregoeiro verificará a habilitação do licitante, observado o disposto neste Edital. </w:t>
      </w: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HABILITAÇÃO</w:t>
      </w:r>
    </w:p>
    <w:p/>
    <w:p>
      <w:pPr>
        <w:keepNext/>
        <w:keepLines/>
        <w:numPr>
          <w:ilvl w:val="1"/>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pPr>
        <w:pBdr>
          <w:top w:val="none" w:color="auto" w:sz="0" w:space="0"/>
          <w:left w:val="none" w:color="auto" w:sz="0" w:space="0"/>
          <w:bottom w:val="none" w:color="auto" w:sz="0" w:space="0"/>
          <w:right w:val="none" w:color="auto" w:sz="0" w:space="0"/>
          <w:between w:val="none" w:color="auto" w:sz="0" w:space="0"/>
        </w:pBdr>
        <w:spacing w:before="120" w:line="276" w:lineRule="auto"/>
        <w:ind w:left="1134"/>
        <w:jc w:val="both"/>
        <w:rPr>
          <w:rFonts w:cs="Arial"/>
          <w:color w:val="000000"/>
          <w:szCs w:val="20"/>
        </w:rPr>
      </w:pPr>
      <w:r>
        <w:rPr>
          <w:rFonts w:cs="Arial"/>
          <w:color w:val="000000"/>
          <w:szCs w:val="20"/>
        </w:rPr>
        <w:t xml:space="preserve">a) SICAF;  </w:t>
      </w:r>
    </w:p>
    <w:p>
      <w:pPr>
        <w:pBdr>
          <w:top w:val="none" w:color="auto" w:sz="0" w:space="0"/>
          <w:left w:val="none" w:color="auto" w:sz="0" w:space="0"/>
          <w:bottom w:val="none" w:color="auto" w:sz="0" w:space="0"/>
          <w:right w:val="none" w:color="auto" w:sz="0" w:space="0"/>
          <w:between w:val="none" w:color="auto" w:sz="0" w:space="0"/>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r>
        <w:fldChar w:fldCharType="begin"/>
      </w:r>
      <w:r>
        <w:instrText xml:space="preserve"> HYPERLINK "http://www.portaldatransparencia.gov.br/ceis" \h </w:instrText>
      </w:r>
      <w:r>
        <w:fldChar w:fldCharType="separate"/>
      </w:r>
      <w:r>
        <w:rPr>
          <w:b/>
          <w:color w:val="0000FF"/>
          <w:szCs w:val="20"/>
          <w:u w:val="single"/>
        </w:rPr>
        <w:t>www.portaldatransparencia.gov.br/ceis</w:t>
      </w:r>
      <w:r>
        <w:rPr>
          <w:b/>
          <w:color w:val="0000FF"/>
          <w:szCs w:val="20"/>
          <w:u w:val="single"/>
        </w:rPr>
        <w:fldChar w:fldCharType="end"/>
      </w:r>
      <w:r>
        <w:rPr>
          <w:b/>
          <w:color w:val="0000FF"/>
          <w:szCs w:val="20"/>
        </w:rPr>
        <w:t>)</w:t>
      </w:r>
      <w:r>
        <w:rPr>
          <w:rFonts w:cs="Arial"/>
          <w:color w:val="000000"/>
          <w:szCs w:val="20"/>
        </w:rPr>
        <w:t xml:space="preserve">;  </w:t>
      </w:r>
    </w:p>
    <w:p>
      <w:pPr>
        <w:pBdr>
          <w:top w:val="none" w:color="auto" w:sz="0" w:space="0"/>
          <w:left w:val="none" w:color="auto" w:sz="0" w:space="0"/>
          <w:bottom w:val="none" w:color="auto" w:sz="0" w:space="0"/>
          <w:right w:val="none" w:color="auto" w:sz="0" w:space="0"/>
          <w:between w:val="none" w:color="auto" w:sz="0" w:space="0"/>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r>
        <w:fldChar w:fldCharType="begin"/>
      </w:r>
      <w:r>
        <w:instrText xml:space="preserve"> HYPERLINK "http://www.cnj.jus.br/improbidade_adm/consultar_requerido.php" \h </w:instrText>
      </w:r>
      <w:r>
        <w:fldChar w:fldCharType="separate"/>
      </w:r>
      <w:r>
        <w:rPr>
          <w:b/>
          <w:color w:val="0000FF"/>
          <w:szCs w:val="20"/>
          <w:u w:val="single"/>
        </w:rPr>
        <w:t>www.cnj.jus.br/improbidade_adm/consultar_requerido.php</w:t>
      </w:r>
      <w:r>
        <w:rPr>
          <w:b/>
          <w:color w:val="0000FF"/>
          <w:szCs w:val="20"/>
          <w:u w:val="single"/>
        </w:rPr>
        <w:fldChar w:fldCharType="end"/>
      </w:r>
      <w:r>
        <w:rPr>
          <w:b/>
          <w:color w:val="0000FF"/>
          <w:szCs w:val="20"/>
        </w:rPr>
        <w:t>)</w:t>
      </w:r>
      <w:r>
        <w:rPr>
          <w:rFonts w:cs="Arial"/>
          <w:color w:val="000000"/>
          <w:szCs w:val="20"/>
        </w:rPr>
        <w:t xml:space="preserve">.  </w:t>
      </w:r>
    </w:p>
    <w:p>
      <w:pPr>
        <w:pBdr>
          <w:top w:val="none" w:color="auto" w:sz="0" w:space="0"/>
          <w:left w:val="none" w:color="auto" w:sz="0" w:space="0"/>
          <w:bottom w:val="none" w:color="auto" w:sz="0" w:space="0"/>
          <w:right w:val="none" w:color="auto" w:sz="0" w:space="0"/>
          <w:between w:val="none" w:color="auto" w:sz="0" w:space="0"/>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3"/>
        </w:numPr>
        <w:spacing w:before="120" w:after="120" w:line="276" w:lineRule="auto"/>
        <w:jc w:val="both"/>
      </w:pPr>
      <w:r>
        <w:t>Caso atendidas as condições de participação, a habilitação dos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pPr>
        <w:pStyle w:val="68"/>
        <w:numPr>
          <w:ilvl w:val="0"/>
          <w:numId w:val="1"/>
        </w:numPr>
        <w:pBdr>
          <w:top w:val="none" w:color="auto" w:sz="0" w:space="0"/>
          <w:left w:val="none" w:color="auto" w:sz="0" w:space="0"/>
          <w:bottom w:val="none" w:color="auto" w:sz="0" w:space="0"/>
          <w:right w:val="none" w:color="auto" w:sz="0" w:space="0"/>
          <w:between w:val="none" w:color="auto" w:sz="0" w:space="0"/>
        </w:pBdr>
        <w:spacing w:after="240"/>
        <w:contextualSpacing w:val="0"/>
        <w:jc w:val="both"/>
        <w:rPr>
          <w:rFonts w:cs="Arial"/>
          <w:vanish/>
          <w:color w:val="000000"/>
          <w:szCs w:val="20"/>
        </w:rPr>
      </w:pPr>
    </w:p>
    <w:p>
      <w:pPr>
        <w:pStyle w:val="68"/>
        <w:numPr>
          <w:ilvl w:val="0"/>
          <w:numId w:val="1"/>
        </w:numPr>
        <w:pBdr>
          <w:top w:val="none" w:color="auto" w:sz="0" w:space="0"/>
          <w:left w:val="none" w:color="auto" w:sz="0" w:space="0"/>
          <w:bottom w:val="none" w:color="auto" w:sz="0" w:space="0"/>
          <w:right w:val="none" w:color="auto" w:sz="0" w:space="0"/>
          <w:between w:val="none" w:color="auto" w:sz="0" w:space="0"/>
        </w:pBdr>
        <w:spacing w:after="240"/>
        <w:contextualSpacing w:val="0"/>
        <w:jc w:val="both"/>
        <w:rPr>
          <w:rFonts w:cs="Arial"/>
          <w:vanish/>
          <w:color w:val="000000"/>
          <w:szCs w:val="20"/>
        </w:rPr>
      </w:pPr>
    </w:p>
    <w:p>
      <w:pPr>
        <w:pStyle w:val="68"/>
        <w:numPr>
          <w:ilvl w:val="0"/>
          <w:numId w:val="1"/>
        </w:numPr>
        <w:pBdr>
          <w:top w:val="none" w:color="auto" w:sz="0" w:space="0"/>
          <w:left w:val="none" w:color="auto" w:sz="0" w:space="0"/>
          <w:bottom w:val="none" w:color="auto" w:sz="0" w:space="0"/>
          <w:right w:val="none" w:color="auto" w:sz="0" w:space="0"/>
          <w:between w:val="none" w:color="auto" w:sz="0" w:space="0"/>
        </w:pBdr>
        <w:spacing w:after="240"/>
        <w:contextualSpacing w:val="0"/>
        <w:jc w:val="both"/>
        <w:rPr>
          <w:rFonts w:cs="Arial"/>
          <w:vanish/>
          <w:color w:val="000000"/>
          <w:szCs w:val="20"/>
        </w:rPr>
      </w:pPr>
    </w:p>
    <w:p>
      <w:pPr>
        <w:pStyle w:val="68"/>
        <w:numPr>
          <w:ilvl w:val="1"/>
          <w:numId w:val="1"/>
        </w:numPr>
        <w:pBdr>
          <w:top w:val="none" w:color="auto" w:sz="0" w:space="0"/>
          <w:left w:val="none" w:color="auto" w:sz="0" w:space="0"/>
          <w:bottom w:val="none" w:color="auto" w:sz="0" w:space="0"/>
          <w:right w:val="none" w:color="auto" w:sz="0" w:space="0"/>
          <w:between w:val="none" w:color="auto" w:sz="0" w:space="0"/>
        </w:pBdr>
        <w:spacing w:after="240"/>
        <w:contextualSpacing w:val="0"/>
        <w:jc w:val="both"/>
        <w:rPr>
          <w:rFonts w:cs="Arial"/>
          <w:vanish/>
          <w:color w:val="000000"/>
          <w:szCs w:val="20"/>
        </w:rPr>
      </w:pPr>
    </w:p>
    <w:p>
      <w:pPr>
        <w:pStyle w:val="68"/>
        <w:numPr>
          <w:ilvl w:val="1"/>
          <w:numId w:val="1"/>
        </w:numPr>
        <w:pBdr>
          <w:top w:val="none" w:color="auto" w:sz="0" w:space="0"/>
          <w:left w:val="none" w:color="auto" w:sz="0" w:space="0"/>
          <w:bottom w:val="none" w:color="auto" w:sz="0" w:space="0"/>
          <w:right w:val="none" w:color="auto" w:sz="0" w:space="0"/>
          <w:between w:val="none" w:color="auto" w:sz="0" w:space="0"/>
        </w:pBdr>
        <w:spacing w:after="240"/>
        <w:contextualSpacing w:val="0"/>
        <w:jc w:val="both"/>
        <w:rPr>
          <w:rFonts w:cs="Arial"/>
          <w:vanish/>
          <w:color w:val="000000"/>
          <w:szCs w:val="20"/>
        </w:rPr>
      </w:pPr>
    </w:p>
    <w:p>
      <w:pPr>
        <w:pStyle w:val="4"/>
        <w:ind w:left="1638"/>
        <w:jc w:val="both"/>
        <w:rPr>
          <w:rFonts w:ascii="Arial" w:hAnsi="Arial" w:cs="Arial"/>
          <w:b w:val="0"/>
          <w:bCs/>
          <w:sz w:val="20"/>
        </w:rPr>
      </w:pPr>
      <w:r>
        <w:rPr>
          <w:rFonts w:ascii="Arial" w:hAnsi="Arial" w:cs="Arial"/>
          <w:b w:val="0"/>
          <w:bCs/>
          <w:sz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3"/>
        </w:numPr>
        <w:spacing w:before="120" w:after="120" w:line="276" w:lineRule="auto"/>
        <w:jc w:val="both"/>
      </w:pPr>
      <w:r>
        <w:t>Não serão aceitos documentos de habilitação com indicação de CNPJ/CPF diferentes, salvo aqueles legalmente permitidos.</w:t>
      </w:r>
    </w:p>
    <w:p>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68"/>
        <w:numPr>
          <w:ilvl w:val="0"/>
          <w:numId w:val="6"/>
        </w:numPr>
        <w:spacing w:after="120"/>
        <w:contextualSpacing w:val="0"/>
        <w:jc w:val="both"/>
        <w:rPr>
          <w:rFonts w:cs="Arial"/>
          <w:vanish/>
          <w:sz w:val="22"/>
          <w:szCs w:val="20"/>
          <w:lang w:eastAsia="zh-CN"/>
        </w:rPr>
      </w:pPr>
    </w:p>
    <w:p>
      <w:pPr>
        <w:pStyle w:val="68"/>
        <w:numPr>
          <w:ilvl w:val="0"/>
          <w:numId w:val="6"/>
        </w:numPr>
        <w:spacing w:after="120"/>
        <w:contextualSpacing w:val="0"/>
        <w:jc w:val="both"/>
        <w:rPr>
          <w:rFonts w:cs="Arial"/>
          <w:vanish/>
          <w:sz w:val="22"/>
          <w:szCs w:val="20"/>
          <w:lang w:eastAsia="zh-CN"/>
        </w:rPr>
      </w:pPr>
    </w:p>
    <w:p>
      <w:pPr>
        <w:pStyle w:val="68"/>
        <w:numPr>
          <w:ilvl w:val="1"/>
          <w:numId w:val="6"/>
        </w:numPr>
        <w:spacing w:after="120"/>
        <w:contextualSpacing w:val="0"/>
        <w:jc w:val="both"/>
        <w:rPr>
          <w:rFonts w:cs="Arial"/>
          <w:vanish/>
          <w:sz w:val="22"/>
          <w:szCs w:val="20"/>
          <w:lang w:eastAsia="zh-CN"/>
        </w:rPr>
      </w:pPr>
    </w:p>
    <w:p>
      <w:pPr>
        <w:pStyle w:val="68"/>
        <w:numPr>
          <w:ilvl w:val="1"/>
          <w:numId w:val="6"/>
        </w:numPr>
        <w:spacing w:after="120"/>
        <w:contextualSpacing w:val="0"/>
        <w:jc w:val="both"/>
        <w:rPr>
          <w:rFonts w:cs="Arial"/>
          <w:vanish/>
          <w:sz w:val="22"/>
          <w:szCs w:val="20"/>
          <w:lang w:eastAsia="zh-CN"/>
        </w:rPr>
      </w:pPr>
    </w:p>
    <w:p>
      <w:pPr>
        <w:pStyle w:val="68"/>
        <w:numPr>
          <w:ilvl w:val="2"/>
          <w:numId w:val="6"/>
        </w:numPr>
        <w:ind w:left="1638"/>
      </w:pPr>
      <w:r>
        <w:t>Serão aceitos registros de CNPJ de licitante matriz e filial com diferenças de números de documentos pertinentes ao CND e ao CRF/FGTS, quando for comprovada a centralização do recolhimento dessas contribuições.</w:t>
      </w:r>
    </w:p>
    <w:p>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pPr>
        <w:spacing w:before="120" w:after="120" w:line="276" w:lineRule="auto"/>
        <w:ind w:left="1141"/>
        <w:jc w:val="both"/>
      </w:pPr>
    </w:p>
    <w:p>
      <w:pPr>
        <w:numPr>
          <w:ilvl w:val="1"/>
          <w:numId w:val="3"/>
        </w:numPr>
        <w:spacing w:before="120" w:after="120" w:line="276" w:lineRule="auto"/>
        <w:jc w:val="both"/>
      </w:pPr>
      <w:r>
        <w:rPr>
          <w:b/>
        </w:rPr>
        <w:t xml:space="preserve">Habilitação jurídica: </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i/>
          <w:szCs w:val="20"/>
        </w:rPr>
      </w:pPr>
      <w:r>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i/>
          <w:szCs w:val="20"/>
        </w:rPr>
      </w:pPr>
      <w:r>
        <w:rPr>
          <w:rFonts w:cs="Arial"/>
          <w:i/>
          <w:szCs w:val="20"/>
        </w:rPr>
        <w:t>No caso de produtor rural: matrícula no Cadastro Específico do INSS – CEI, que comprove a qualificação como produtor rural pessoa física, nos termos da Instrução Normativa RFB n. 971, de 2009 (arts. 17 a 19 e 165).</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No caso de empresa ou sociedade estrangeira em funcionamento no País: decreto de autorização;</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Os documentos acima deverão estar acompanhados de todas as alterações ou da consolidação respectiva;</w:t>
      </w:r>
    </w:p>
    <w:p>
      <w:pPr>
        <w:numPr>
          <w:ilvl w:val="1"/>
          <w:numId w:val="3"/>
        </w:numPr>
        <w:spacing w:before="120" w:after="120" w:line="276" w:lineRule="auto"/>
        <w:jc w:val="both"/>
        <w:rPr>
          <w:color w:val="000000"/>
        </w:rPr>
      </w:pPr>
      <w:r>
        <w:rPr>
          <w:b/>
        </w:rPr>
        <w:t>Regularidade fiscal e trabalhista:</w:t>
      </w:r>
    </w:p>
    <w:p>
      <w:pPr>
        <w:numPr>
          <w:ilvl w:val="2"/>
          <w:numId w:val="3"/>
        </w:numPr>
        <w:tabs>
          <w:tab w:val="left" w:pos="1440"/>
        </w:tabs>
        <w:spacing w:after="240"/>
        <w:jc w:val="both"/>
      </w:pPr>
      <w:r>
        <w:t>prova de inscrição no Cadastro Nacional de Pessoas Jurídicas ou no Cadastro de Pessoas Físicas, conforme o caso;</w:t>
      </w:r>
    </w:p>
    <w:p>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3"/>
        </w:numPr>
        <w:tabs>
          <w:tab w:val="left" w:pos="1440"/>
        </w:tabs>
        <w:spacing w:after="240"/>
        <w:jc w:val="both"/>
      </w:pPr>
      <w:r>
        <w:rPr>
          <w:color w:val="000000"/>
        </w:rPr>
        <w:t>prova de regularidade com o Fundo de Garantia do Tempo de Serviço (FGTS);</w:t>
      </w:r>
    </w:p>
    <w:p>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pPr>
        <w:tabs>
          <w:tab w:val="left" w:pos="1440"/>
        </w:tabs>
        <w:spacing w:after="240"/>
        <w:ind w:left="1134"/>
        <w:jc w:val="both"/>
        <w:rPr>
          <w:i/>
        </w:rPr>
      </w:pPr>
    </w:p>
    <w:p>
      <w:pPr>
        <w:numPr>
          <w:ilvl w:val="1"/>
          <w:numId w:val="3"/>
        </w:numPr>
        <w:spacing w:before="120" w:after="120" w:line="276" w:lineRule="auto"/>
        <w:jc w:val="both"/>
      </w:pPr>
      <w:r>
        <w:rPr>
          <w:b/>
        </w:rPr>
        <w:t>Qualificação Econômico-Financeira.</w:t>
      </w:r>
    </w:p>
    <w:p>
      <w:pPr>
        <w:numPr>
          <w:ilvl w:val="2"/>
          <w:numId w:val="3"/>
        </w:numPr>
        <w:tabs>
          <w:tab w:val="left" w:pos="1440"/>
        </w:tabs>
        <w:spacing w:after="240"/>
        <w:jc w:val="both"/>
      </w:pPr>
      <w:r>
        <w:rPr>
          <w:color w:val="000000"/>
        </w:rPr>
        <w:t>certidão negativa de falência expedida pelo distribuidor da sede da pessoa jurídica;</w:t>
      </w:r>
    </w:p>
    <w:p>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pPr>
        <w:numPr>
          <w:ilvl w:val="3"/>
          <w:numId w:val="3"/>
        </w:numPr>
        <w:pBdr>
          <w:top w:val="none" w:color="auto" w:sz="0" w:space="0"/>
          <w:left w:val="none" w:color="auto" w:sz="0" w:space="0"/>
          <w:bottom w:val="none" w:color="auto" w:sz="0" w:space="0"/>
          <w:right w:val="none" w:color="auto" w:sz="0" w:space="0"/>
          <w:between w:val="none" w:color="auto" w:sz="0" w:space="0"/>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481"/>
        <w:tblW w:w="6487"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restart"/>
            <w:vAlign w:val="center"/>
          </w:tcPr>
          <w:p>
            <w:pPr>
              <w:tabs>
                <w:tab w:val="left" w:pos="1440"/>
              </w:tabs>
              <w:spacing w:after="240"/>
              <w:jc w:val="right"/>
              <w:rPr>
                <w:rFonts w:ascii="Calibri" w:hAnsi="Calibri" w:eastAsia="Calibri"/>
                <w:color w:val="000000"/>
                <w:sz w:val="20"/>
                <w:szCs w:val="20"/>
              </w:rPr>
            </w:pPr>
            <w:r>
              <w:rPr>
                <w:rFonts w:ascii="Calibri" w:hAnsi="Calibri" w:eastAsia="Calibri"/>
                <w:color w:val="000000"/>
                <w:sz w:val="20"/>
                <w:szCs w:val="20"/>
              </w:rPr>
              <w:t>LG =</w:t>
            </w:r>
          </w:p>
        </w:tc>
        <w:tc>
          <w:tcPr>
            <w:tcW w:w="4252" w:type="dxa"/>
            <w:tcBorders>
              <w:bottom w:val="single" w:color="000000" w:sz="4" w:space="0"/>
            </w:tcBorders>
            <w:vAlign w:val="bottom"/>
          </w:tcPr>
          <w:p>
            <w:pPr>
              <w:tabs>
                <w:tab w:val="left" w:pos="1440"/>
              </w:tabs>
              <w:spacing w:after="240"/>
              <w:rPr>
                <w:rFonts w:ascii="Calibri" w:hAnsi="Calibri" w:eastAsia="Calibri"/>
                <w:color w:val="000000"/>
                <w:sz w:val="20"/>
                <w:szCs w:val="20"/>
              </w:rPr>
            </w:pPr>
            <w:r>
              <w:rPr>
                <w:rFonts w:ascii="Calibri" w:hAnsi="Calibri" w:eastAsia="Calibri"/>
                <w:color w:val="000000"/>
                <w:sz w:val="20"/>
                <w:szCs w:val="20"/>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olor w:val="000000"/>
                <w:sz w:val="20"/>
                <w:szCs w:val="20"/>
              </w:rPr>
            </w:pPr>
          </w:p>
        </w:tc>
        <w:tc>
          <w:tcPr>
            <w:tcW w:w="4252" w:type="dxa"/>
            <w:tcBorders>
              <w:top w:val="single" w:color="000000" w:sz="4" w:space="0"/>
            </w:tcBorders>
          </w:tcPr>
          <w:p>
            <w:pPr>
              <w:tabs>
                <w:tab w:val="left" w:pos="1440"/>
              </w:tabs>
              <w:spacing w:after="240"/>
              <w:rPr>
                <w:rFonts w:ascii="Calibri" w:hAnsi="Calibri" w:eastAsia="Calibri"/>
                <w:color w:val="000000"/>
                <w:sz w:val="20"/>
                <w:szCs w:val="20"/>
              </w:rPr>
            </w:pPr>
            <w:r>
              <w:rPr>
                <w:rFonts w:ascii="Calibri" w:hAnsi="Calibri" w:eastAsia="Calibri"/>
                <w:color w:val="000000"/>
                <w:sz w:val="20"/>
                <w:szCs w:val="20"/>
              </w:rPr>
              <w:t>Passivo Circulante + Passivo Não Circulante</w:t>
            </w:r>
          </w:p>
        </w:tc>
      </w:tr>
    </w:tbl>
    <w:p>
      <w:pPr>
        <w:tabs>
          <w:tab w:val="left" w:pos="1440"/>
        </w:tabs>
        <w:spacing w:after="240"/>
        <w:ind w:left="1134"/>
        <w:jc w:val="both"/>
        <w:rPr>
          <w:color w:val="000000"/>
        </w:rPr>
      </w:pPr>
    </w:p>
    <w:tbl>
      <w:tblPr>
        <w:tblStyle w:val="482"/>
        <w:tblW w:w="6629"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after="240"/>
              <w:jc w:val="right"/>
              <w:rPr>
                <w:rFonts w:ascii="Calibri" w:hAnsi="Calibri" w:eastAsia="Calibri"/>
                <w:color w:val="000000"/>
                <w:sz w:val="20"/>
                <w:szCs w:val="20"/>
              </w:rPr>
            </w:pPr>
            <w:r>
              <w:rPr>
                <w:rFonts w:ascii="Calibri" w:hAnsi="Calibri" w:eastAsia="Calibri"/>
                <w:color w:val="000000"/>
                <w:sz w:val="20"/>
                <w:szCs w:val="20"/>
              </w:rPr>
              <w:t>SG =</w:t>
            </w:r>
          </w:p>
        </w:tc>
        <w:tc>
          <w:tcPr>
            <w:tcW w:w="4394" w:type="dxa"/>
            <w:tcBorders>
              <w:bottom w:val="single" w:color="000000" w:sz="4" w:space="0"/>
            </w:tcBorders>
            <w:vAlign w:val="bottom"/>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olor w:val="000000"/>
                <w:sz w:val="20"/>
                <w:szCs w:val="20"/>
              </w:rPr>
            </w:pPr>
          </w:p>
        </w:tc>
        <w:tc>
          <w:tcPr>
            <w:tcW w:w="4394" w:type="dxa"/>
            <w:tcBorders>
              <w:top w:val="single" w:color="000000" w:sz="4" w:space="0"/>
            </w:tcBorders>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Passivo Circulante + Passivo Não Circulante</w:t>
            </w:r>
          </w:p>
        </w:tc>
      </w:tr>
    </w:tbl>
    <w:p>
      <w:pPr>
        <w:tabs>
          <w:tab w:val="left" w:pos="1440"/>
        </w:tabs>
        <w:spacing w:after="240"/>
        <w:ind w:left="1134"/>
        <w:jc w:val="both"/>
        <w:rPr>
          <w:color w:val="000000"/>
        </w:rPr>
      </w:pPr>
    </w:p>
    <w:tbl>
      <w:tblPr>
        <w:tblStyle w:val="483"/>
        <w:tblW w:w="4786"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after="240"/>
              <w:jc w:val="right"/>
              <w:rPr>
                <w:rFonts w:ascii="Calibri" w:hAnsi="Calibri" w:eastAsia="Calibri"/>
                <w:color w:val="000000"/>
                <w:sz w:val="20"/>
                <w:szCs w:val="20"/>
              </w:rPr>
            </w:pPr>
            <w:r>
              <w:rPr>
                <w:rFonts w:ascii="Calibri" w:hAnsi="Calibri" w:eastAsia="Calibri"/>
                <w:color w:val="000000"/>
                <w:sz w:val="20"/>
                <w:szCs w:val="20"/>
              </w:rPr>
              <w:t>LC =</w:t>
            </w:r>
          </w:p>
        </w:tc>
        <w:tc>
          <w:tcPr>
            <w:tcW w:w="2551" w:type="dxa"/>
            <w:tcBorders>
              <w:bottom w:val="single" w:color="000000" w:sz="4" w:space="0"/>
            </w:tcBorders>
            <w:vAlign w:val="bottom"/>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olor w:val="000000"/>
                <w:sz w:val="20"/>
                <w:szCs w:val="20"/>
              </w:rPr>
            </w:pPr>
          </w:p>
        </w:tc>
        <w:tc>
          <w:tcPr>
            <w:tcW w:w="2551" w:type="dxa"/>
            <w:tcBorders>
              <w:top w:val="single" w:color="000000" w:sz="4" w:space="0"/>
            </w:tcBorders>
          </w:tcPr>
          <w:p>
            <w:pPr>
              <w:tabs>
                <w:tab w:val="left" w:pos="1440"/>
              </w:tabs>
              <w:spacing w:after="240"/>
              <w:jc w:val="center"/>
              <w:rPr>
                <w:rFonts w:ascii="Calibri" w:hAnsi="Calibri" w:eastAsia="Calibri"/>
                <w:color w:val="000000"/>
                <w:sz w:val="20"/>
                <w:szCs w:val="20"/>
              </w:rPr>
            </w:pPr>
            <w:r>
              <w:rPr>
                <w:rFonts w:ascii="Calibri" w:hAnsi="Calibri" w:eastAsia="Calibri"/>
                <w:color w:val="000000"/>
                <w:sz w:val="20"/>
                <w:szCs w:val="20"/>
              </w:rPr>
              <w:t>Passivo Circulante</w:t>
            </w:r>
          </w:p>
        </w:tc>
      </w:tr>
    </w:tbl>
    <w:p>
      <w:pPr>
        <w:tabs>
          <w:tab w:val="left" w:pos="1440"/>
        </w:tabs>
        <w:spacing w:after="240"/>
        <w:ind w:left="1134"/>
        <w:jc w:val="both"/>
        <w:rPr>
          <w:color w:val="000000"/>
        </w:rPr>
      </w:pPr>
    </w:p>
    <w:p>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pPr>
        <w:spacing w:after="240"/>
      </w:pPr>
    </w:p>
    <w:p>
      <w:pPr>
        <w:numPr>
          <w:ilvl w:val="1"/>
          <w:numId w:val="3"/>
        </w:numPr>
        <w:spacing w:before="120" w:after="120" w:line="276" w:lineRule="auto"/>
        <w:jc w:val="both"/>
      </w:pPr>
      <w:r>
        <w:rPr>
          <w:b/>
        </w:rPr>
        <w:t xml:space="preserve">Qualificação Técnica  </w:t>
      </w:r>
    </w:p>
    <w:p>
      <w:pPr>
        <w:pBdr>
          <w:top w:val="none" w:color="auto" w:sz="0" w:space="0"/>
          <w:left w:val="none" w:color="auto" w:sz="0" w:space="0"/>
          <w:bottom w:val="none" w:color="auto" w:sz="0" w:space="0"/>
          <w:right w:val="none" w:color="auto" w:sz="0" w:space="0"/>
          <w:between w:val="none" w:color="auto" w:sz="0" w:space="0"/>
        </w:pBdr>
        <w:ind w:left="1071"/>
        <w:jc w:val="both"/>
        <w:rPr>
          <w:rFonts w:cs="Arial"/>
          <w:strike/>
          <w:color w:val="000000"/>
          <w:szCs w:val="20"/>
          <w:highlight w:val="yellow"/>
        </w:rPr>
      </w:pP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7"/>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pPr>
        <w:numPr>
          <w:ilvl w:val="1"/>
          <w:numId w:val="3"/>
        </w:numPr>
        <w:spacing w:before="120" w:after="120" w:line="276" w:lineRule="auto"/>
        <w:jc w:val="both"/>
      </w:pPr>
      <w:r>
        <w:t>Constatado o atendimento às exigências de habilitação fixadas no Edital, o licitante será declarado vencedor.</w:t>
      </w:r>
    </w:p>
    <w:p>
      <w:pPr>
        <w:spacing w:after="240"/>
        <w:ind w:left="425"/>
        <w:jc w:val="both"/>
        <w:rPr>
          <w:color w:val="00000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i/>
          <w:color w:val="000000"/>
          <w:szCs w:val="20"/>
        </w:rPr>
      </w:pPr>
      <w:r>
        <w:rPr>
          <w:rFonts w:cs="Arial"/>
          <w:b/>
          <w:i/>
          <w:color w:val="000000"/>
          <w:szCs w:val="20"/>
        </w:rPr>
        <w:t>DO ENCAMINHAMENTO DA PROPOSTA VENCEDORA</w:t>
      </w:r>
    </w:p>
    <w:p>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pPr>
        <w:numPr>
          <w:ilvl w:val="2"/>
          <w:numId w:val="3"/>
        </w:numPr>
        <w:spacing w:after="240"/>
        <w:jc w:val="both"/>
      </w:pPr>
      <w:r>
        <w:t>conter a indicação do banco, número da conta e agência do licitante vencedor, para fins de pagamento.</w:t>
      </w:r>
    </w:p>
    <w:p>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pPr>
        <w:numPr>
          <w:ilvl w:val="2"/>
          <w:numId w:val="3"/>
        </w:numPr>
        <w:spacing w:after="240"/>
        <w:jc w:val="both"/>
      </w:pPr>
      <w:r>
        <w:t>Todas as especificações do objeto contidas na proposta, tais como marca, modelo, tipo, fabricante e procedência, vinculam a Contratada.</w:t>
      </w:r>
    </w:p>
    <w:p>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pPr>
        <w:numPr>
          <w:ilvl w:val="1"/>
          <w:numId w:val="3"/>
        </w:numPr>
        <w:spacing w:before="120" w:after="120" w:line="276" w:lineRule="auto"/>
        <w:jc w:val="both"/>
      </w:pPr>
      <w:r>
        <w:t>As propostas que contenham a descrição do objeto, o valor e os documentos complementares estarão disponíveis na internet, após a homologação.</w:t>
      </w:r>
    </w:p>
    <w:p>
      <w:pPr>
        <w:pBdr>
          <w:top w:val="none" w:color="auto" w:sz="0" w:space="0"/>
          <w:left w:val="none" w:color="auto" w:sz="0" w:space="0"/>
          <w:bottom w:val="none" w:color="auto" w:sz="0" w:space="0"/>
          <w:right w:val="none" w:color="auto" w:sz="0" w:space="0"/>
          <w:between w:val="none" w:color="auto" w:sz="0" w:space="0"/>
        </w:pBdr>
        <w:spacing w:after="240"/>
        <w:ind w:left="999"/>
        <w:jc w:val="both"/>
        <w:rPr>
          <w:rFonts w:cs="Arial"/>
          <w:i/>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DOS RECURSOS</w:t>
      </w:r>
    </w:p>
    <w:p>
      <w:pPr>
        <w:numPr>
          <w:ilvl w:val="1"/>
          <w:numId w:val="3"/>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pPr>
        <w:numPr>
          <w:ilvl w:val="2"/>
          <w:numId w:val="3"/>
        </w:numPr>
        <w:tabs>
          <w:tab w:val="left" w:pos="1440"/>
        </w:tabs>
        <w:spacing w:after="240"/>
        <w:jc w:val="both"/>
        <w:rPr>
          <w:u w:val="single"/>
        </w:rPr>
      </w:pPr>
      <w:r>
        <w:t>A falta de manifestação motivada do licitante quanto à intenção de recorrer importará a decadência desse direito.</w:t>
      </w:r>
    </w:p>
    <w:p>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3"/>
        </w:numPr>
        <w:spacing w:before="120" w:after="120" w:line="276" w:lineRule="auto"/>
        <w:jc w:val="both"/>
      </w:pPr>
      <w:r>
        <w:t xml:space="preserve">O acolhimento do recurso invalida tão somente os atos insuscetíveis de aproveitamento. </w:t>
      </w:r>
    </w:p>
    <w:p>
      <w:pPr>
        <w:numPr>
          <w:ilvl w:val="1"/>
          <w:numId w:val="3"/>
        </w:numPr>
        <w:spacing w:before="120" w:after="120" w:line="276" w:lineRule="auto"/>
        <w:jc w:val="both"/>
      </w:pPr>
      <w:r>
        <w:t>Os autos do processo permanecerão com vista franqueada aos interessados, no endereço constante neste Edital.</w:t>
      </w:r>
    </w:p>
    <w:p>
      <w:pPr>
        <w:pBdr>
          <w:top w:val="none" w:color="auto" w:sz="0" w:space="0"/>
          <w:left w:val="none" w:color="auto" w:sz="0" w:space="0"/>
          <w:bottom w:val="none" w:color="auto" w:sz="0" w:space="0"/>
          <w:right w:val="none" w:color="auto" w:sz="0" w:space="0"/>
          <w:between w:val="none" w:color="auto" w:sz="0" w:space="0"/>
        </w:pBdr>
        <w:spacing w:after="240"/>
        <w:ind w:left="425"/>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REABERTURA DA SESSÃO PÚBLICA</w:t>
      </w:r>
    </w:p>
    <w:p>
      <w:pPr>
        <w:numPr>
          <w:ilvl w:val="1"/>
          <w:numId w:val="3"/>
        </w:numPr>
        <w:spacing w:before="120" w:after="120" w:line="276" w:lineRule="auto"/>
        <w:jc w:val="both"/>
      </w:pPr>
      <w:r>
        <w:t>A sessão pública poderá ser reaberta:</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pPr>
        <w:numPr>
          <w:ilvl w:val="1"/>
          <w:numId w:val="3"/>
        </w:numPr>
        <w:spacing w:before="120" w:after="120" w:line="276" w:lineRule="auto"/>
        <w:jc w:val="both"/>
      </w:pPr>
      <w:r>
        <w:t>Todos os licitantes remanescentes deverão ser convocados para acompanhar a sessão reaberta.</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pPr>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ADJUDICAÇÃO E HOMOLOGAÇÃO </w:t>
      </w:r>
    </w:p>
    <w:p>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GARANTIA DE EXECUÇÃO </w:t>
      </w:r>
    </w:p>
    <w:p/>
    <w:p>
      <w:pPr>
        <w:numPr>
          <w:ilvl w:val="1"/>
          <w:numId w:val="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szCs w:val="20"/>
        </w:rPr>
      </w:pPr>
      <w:r>
        <w:rPr>
          <w:rFonts w:cs="Arial"/>
          <w:szCs w:val="20"/>
        </w:rPr>
        <w:t>Não haverá exigência de garantia de execução para a presente contratação.</w:t>
      </w: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szCs w:val="20"/>
        </w:rPr>
      </w:pPr>
      <w:r>
        <w:rPr>
          <w:rFonts w:cs="Arial"/>
          <w:b/>
          <w:color w:val="000000"/>
          <w:szCs w:val="20"/>
        </w:rPr>
        <w:t xml:space="preserve">DA GARANTIA CONTRATUAL DOS BENS </w:t>
      </w:r>
    </w:p>
    <w:p>
      <w:pPr>
        <w:pStyle w:val="68"/>
        <w:keepNext/>
        <w:keepLines/>
        <w:numPr>
          <w:ilvl w:val="0"/>
          <w:numId w:val="9"/>
        </w:numPr>
        <w:pBdr>
          <w:top w:val="none" w:color="auto" w:sz="0" w:space="0"/>
          <w:left w:val="none" w:color="auto" w:sz="0" w:space="0"/>
          <w:bottom w:val="none" w:color="auto" w:sz="0" w:space="0"/>
          <w:right w:val="none" w:color="auto" w:sz="0" w:space="0"/>
          <w:between w:val="none" w:color="auto" w:sz="0" w:space="0"/>
        </w:pBdr>
        <w:tabs>
          <w:tab w:val="left" w:pos="567"/>
        </w:tabs>
        <w:spacing w:before="240"/>
        <w:contextualSpacing w:val="0"/>
        <w:jc w:val="both"/>
        <w:rPr>
          <w:rFonts w:cs="Arial"/>
          <w:i/>
          <w:vanish/>
          <w:szCs w:val="20"/>
        </w:rPr>
      </w:pPr>
    </w:p>
    <w:p>
      <w:pPr>
        <w:pStyle w:val="68"/>
        <w:keepNext/>
        <w:keepLines/>
        <w:numPr>
          <w:ilvl w:val="0"/>
          <w:numId w:val="9"/>
        </w:numPr>
        <w:pBdr>
          <w:top w:val="none" w:color="auto" w:sz="0" w:space="0"/>
          <w:left w:val="none" w:color="auto" w:sz="0" w:space="0"/>
          <w:bottom w:val="none" w:color="auto" w:sz="0" w:space="0"/>
          <w:right w:val="none" w:color="auto" w:sz="0" w:space="0"/>
          <w:between w:val="none" w:color="auto" w:sz="0" w:space="0"/>
        </w:pBdr>
        <w:tabs>
          <w:tab w:val="left" w:pos="567"/>
        </w:tabs>
        <w:spacing w:before="240"/>
        <w:contextualSpacing w:val="0"/>
        <w:jc w:val="both"/>
        <w:rPr>
          <w:rFonts w:cs="Arial"/>
          <w:i/>
          <w:vanish/>
          <w:szCs w:val="20"/>
        </w:rPr>
      </w:pPr>
    </w:p>
    <w:p>
      <w:pPr>
        <w:pStyle w:val="68"/>
        <w:keepNext/>
        <w:keepLines/>
        <w:numPr>
          <w:ilvl w:val="0"/>
          <w:numId w:val="9"/>
        </w:numPr>
        <w:pBdr>
          <w:top w:val="none" w:color="auto" w:sz="0" w:space="0"/>
          <w:left w:val="none" w:color="auto" w:sz="0" w:space="0"/>
          <w:bottom w:val="none" w:color="auto" w:sz="0" w:space="0"/>
          <w:right w:val="none" w:color="auto" w:sz="0" w:space="0"/>
          <w:between w:val="none" w:color="auto" w:sz="0" w:space="0"/>
        </w:pBdr>
        <w:tabs>
          <w:tab w:val="left" w:pos="567"/>
        </w:tabs>
        <w:spacing w:before="240"/>
        <w:contextualSpacing w:val="0"/>
        <w:jc w:val="both"/>
        <w:rPr>
          <w:rFonts w:cs="Arial"/>
          <w:i/>
          <w:vanish/>
          <w:szCs w:val="20"/>
        </w:rPr>
      </w:pPr>
    </w:p>
    <w:p>
      <w:pPr>
        <w:keepNext/>
        <w:keepLines/>
        <w:numPr>
          <w:ilvl w:val="1"/>
          <w:numId w:val="9"/>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rFonts w:cs="Arial"/>
          <w:i/>
          <w:szCs w:val="20"/>
        </w:rPr>
      </w:pPr>
      <w:r>
        <w:rPr>
          <w:rFonts w:cs="Arial"/>
          <w:i/>
          <w:szCs w:val="20"/>
        </w:rPr>
        <w:t xml:space="preserve"> Não haverá exigência de garantia contratual dos bens fornecidos na presente contratação.</w:t>
      </w: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szCs w:val="20"/>
        </w:rPr>
      </w:pPr>
      <w:r>
        <w:rPr>
          <w:rFonts w:cs="Arial"/>
          <w:b/>
          <w:szCs w:val="20"/>
        </w:rPr>
        <w:t>DA ATA DE REGISTRO DE PREÇOS</w:t>
      </w:r>
    </w:p>
    <w:p>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i/>
          <w:szCs w:val="20"/>
          <w:highlight w:val="lightGray"/>
        </w:rPr>
      </w:pPr>
      <w:r>
        <w:rPr>
          <w:rFonts w:cs="Arial"/>
          <w:i/>
          <w:color w:val="000000"/>
          <w:szCs w:val="20"/>
          <w:highlight w:val="lightGray"/>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spacing w:after="240"/>
        <w:ind w:left="502"/>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TERMO DE CONTRATO OU INSTRUMENTO EQUIVALENTE</w:t>
      </w:r>
    </w:p>
    <w:p/>
    <w:p>
      <w:pPr>
        <w:numPr>
          <w:ilvl w:val="1"/>
          <w:numId w:val="3"/>
        </w:numPr>
        <w:spacing w:before="120" w:after="120" w:line="276" w:lineRule="auto"/>
        <w:jc w:val="both"/>
      </w:pPr>
      <w:r>
        <w:t>Após a homologação da licitação, em sendo realizada a contratação, será firmado Termo de Contrato ou emitido instrumento equivalente.</w:t>
      </w:r>
    </w:p>
    <w:p>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pPr>
        <w:pBdr>
          <w:top w:val="none" w:color="auto" w:sz="0" w:space="0"/>
          <w:left w:val="none" w:color="auto" w:sz="0" w:space="0"/>
          <w:bottom w:val="none" w:color="auto" w:sz="0" w:space="0"/>
          <w:right w:val="none" w:color="auto" w:sz="0" w:space="0"/>
          <w:between w:val="none" w:color="auto" w:sz="0" w:space="0"/>
        </w:pBdr>
        <w:spacing w:line="136" w:lineRule="auto"/>
        <w:ind w:left="360"/>
        <w:rPr>
          <w:rFonts w:cs="Arial"/>
          <w:color w:val="000000"/>
          <w:szCs w:val="20"/>
        </w:rPr>
      </w:pP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pPr>
        <w:numPr>
          <w:ilvl w:val="1"/>
          <w:numId w:val="3"/>
        </w:numPr>
        <w:spacing w:before="120" w:after="120" w:line="276" w:lineRule="auto"/>
        <w:jc w:val="both"/>
      </w:pPr>
      <w:r>
        <w:t>O Aceite da Nota de Empenho ou do instrumento equivalente, emitida à empresa adjudicada, implica no reconhecimento de que:</w:t>
      </w:r>
    </w:p>
    <w:p>
      <w:pPr>
        <w:numPr>
          <w:ilvl w:val="2"/>
          <w:numId w:val="3"/>
        </w:numPr>
        <w:pBdr>
          <w:top w:val="none" w:color="auto" w:sz="0" w:space="0"/>
          <w:left w:val="none" w:color="auto" w:sz="0" w:space="0"/>
          <w:bottom w:val="none" w:color="auto" w:sz="0" w:space="0"/>
          <w:right w:val="none" w:color="auto" w:sz="0" w:space="0"/>
          <w:between w:val="none" w:color="auto" w:sz="0" w:space="0"/>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pPr>
        <w:numPr>
          <w:ilvl w:val="2"/>
          <w:numId w:val="3"/>
        </w:numPr>
        <w:pBdr>
          <w:top w:val="none" w:color="auto" w:sz="0" w:space="0"/>
          <w:left w:val="none" w:color="auto" w:sz="0" w:space="0"/>
          <w:bottom w:val="none" w:color="auto" w:sz="0" w:space="0"/>
          <w:right w:val="none" w:color="auto" w:sz="0" w:space="0"/>
          <w:between w:val="none" w:color="auto" w:sz="0" w:space="0"/>
        </w:pBdr>
        <w:jc w:val="both"/>
        <w:rPr>
          <w:rFonts w:cs="Arial"/>
          <w:szCs w:val="20"/>
        </w:rPr>
      </w:pPr>
      <w:r>
        <w:rPr>
          <w:rFonts w:cs="Arial"/>
          <w:color w:val="000000"/>
          <w:szCs w:val="20"/>
        </w:rPr>
        <w:t>a contratada se vincula à sua proposta e às previsões contidas no edital e seus anexos;</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pPr>
        <w:numPr>
          <w:ilvl w:val="1"/>
          <w:numId w:val="3"/>
        </w:numPr>
        <w:spacing w:before="120" w:after="120" w:line="276" w:lineRule="auto"/>
        <w:jc w:val="both"/>
      </w:pPr>
      <w:r>
        <w:rPr>
          <w:b/>
        </w:rPr>
        <w:t xml:space="preserve">O prazo de vigência da contratação é de 12 (doze) meses, conforme previsão no instrumento contratual ou no termo de referência. </w:t>
      </w:r>
    </w:p>
    <w:p>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spacing w:before="120" w:after="120" w:line="276" w:lineRule="auto"/>
        <w:ind w:left="1141"/>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REAJUSTAMENTO EM SENTIDO GERAL</w:t>
      </w:r>
    </w:p>
    <w:p>
      <w:pPr>
        <w:numPr>
          <w:ilvl w:val="1"/>
          <w:numId w:val="3"/>
        </w:numPr>
        <w:spacing w:before="120" w:after="120" w:line="276" w:lineRule="auto"/>
        <w:jc w:val="both"/>
      </w:pPr>
      <w:r>
        <w:t>As regras acerca do reajustamento em sentido geral do valor contratual são as estabelecidas no Termo de Referência, anexo a este Edital.</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800"/>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DO RECEBIMENTO DO OBJETO E DA FISCALIZAÇÃO</w:t>
      </w:r>
    </w:p>
    <w:p>
      <w:pPr>
        <w:numPr>
          <w:ilvl w:val="1"/>
          <w:numId w:val="3"/>
        </w:numPr>
        <w:spacing w:before="120" w:after="120" w:line="276" w:lineRule="auto"/>
        <w:jc w:val="both"/>
      </w:pPr>
      <w:r>
        <w:t>Os critérios de recebimento e aceitação do objeto e de fiscalização estão previstos no Termo de Referência.</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99"/>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DAS OBRIGAÇÕES DA CONTRATANTE E DA CONTRATADA</w:t>
      </w:r>
    </w:p>
    <w:p>
      <w:pPr>
        <w:numPr>
          <w:ilvl w:val="1"/>
          <w:numId w:val="3"/>
        </w:numPr>
        <w:spacing w:before="120" w:after="120" w:line="276" w:lineRule="auto"/>
        <w:jc w:val="both"/>
      </w:pPr>
      <w:r>
        <w:t xml:space="preserve">As obrigações da Contratante e da Contratada são as estabelecidas no Termo de Referência. </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99"/>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pPr>
      <w:r>
        <w:rPr>
          <w:rFonts w:cs="Arial"/>
          <w:b/>
          <w:color w:val="000000"/>
          <w:szCs w:val="20"/>
        </w:rPr>
        <w:t>DO PAGAMENTO</w:t>
      </w:r>
    </w:p>
    <w:tbl>
      <w:tblPr>
        <w:tblStyle w:val="484"/>
        <w:tblW w:w="2802" w:type="dxa"/>
        <w:tblInd w:w="42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4"/>
        <w:gridCol w:w="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14" w:type="dxa"/>
          </w:tcPr>
          <w:p>
            <w:pPr>
              <w:rPr>
                <w:rFonts w:ascii="Calibri" w:hAnsi="Calibri" w:eastAsia="Calibri"/>
                <w:color w:val="000000"/>
                <w:sz w:val="20"/>
                <w:szCs w:val="20"/>
              </w:rPr>
            </w:pPr>
          </w:p>
        </w:tc>
        <w:tc>
          <w:tcPr>
            <w:tcW w:w="588" w:type="dxa"/>
          </w:tcPr>
          <w:p>
            <w:pPr>
              <w:tabs>
                <w:tab w:val="left" w:pos="1701"/>
              </w:tabs>
              <w:jc w:val="both"/>
              <w:rPr>
                <w:rFonts w:ascii="Calibri" w:hAnsi="Calibri" w:eastAsia="Calibri"/>
                <w:color w:val="000000"/>
                <w:sz w:val="20"/>
                <w:szCs w:val="20"/>
              </w:rPr>
            </w:pPr>
          </w:p>
        </w:tc>
      </w:tr>
    </w:tbl>
    <w:p>
      <w:pPr>
        <w:numPr>
          <w:ilvl w:val="1"/>
          <w:numId w:val="3"/>
        </w:numPr>
        <w:spacing w:before="120" w:after="120" w:line="276" w:lineRule="auto"/>
        <w:jc w:val="both"/>
      </w:pPr>
      <w:r>
        <w:t>As regras acerca do pagamento são as estabelecidas no Termo de Referência, anexo a este Edital.</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999"/>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DAS SANÇÕES ADMINISTRATIVAS</w:t>
      </w:r>
    </w:p>
    <w:p/>
    <w:p>
      <w:pPr>
        <w:numPr>
          <w:ilvl w:val="1"/>
          <w:numId w:val="3"/>
        </w:numPr>
        <w:spacing w:before="120" w:after="120" w:line="276" w:lineRule="auto"/>
        <w:jc w:val="both"/>
      </w:pPr>
      <w:r>
        <w:t xml:space="preserve">Comete infração administrativa, nos termos da Lei nº 10.520, de 2002, o licitante/adjudicatário que: </w:t>
      </w:r>
    </w:p>
    <w:p>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pPr>
        <w:numPr>
          <w:ilvl w:val="2"/>
          <w:numId w:val="3"/>
        </w:numPr>
        <w:pBdr>
          <w:top w:val="none" w:color="auto" w:sz="0" w:space="0"/>
          <w:left w:val="none" w:color="auto" w:sz="0" w:space="0"/>
          <w:bottom w:val="none" w:color="auto" w:sz="0" w:space="0"/>
          <w:right w:val="none" w:color="auto" w:sz="0" w:space="0"/>
          <w:between w:val="none" w:color="auto" w:sz="0" w:space="0"/>
        </w:pBdr>
        <w:spacing w:after="240"/>
        <w:rPr>
          <w:rFonts w:cs="Arial"/>
          <w:szCs w:val="20"/>
          <w:highlight w:val="white"/>
        </w:rPr>
      </w:pPr>
      <w:r>
        <w:rPr>
          <w:rFonts w:cs="Arial"/>
          <w:color w:val="000000"/>
          <w:szCs w:val="20"/>
          <w:highlight w:val="white"/>
        </w:rPr>
        <w:t>não assinar a ata de registro de preços, quando cabível;</w:t>
      </w:r>
    </w:p>
    <w:p>
      <w:pPr>
        <w:numPr>
          <w:ilvl w:val="2"/>
          <w:numId w:val="3"/>
        </w:numPr>
        <w:tabs>
          <w:tab w:val="left" w:pos="1440"/>
        </w:tabs>
        <w:spacing w:after="240"/>
        <w:jc w:val="both"/>
        <w:rPr>
          <w:highlight w:val="white"/>
        </w:rPr>
      </w:pPr>
      <w:r>
        <w:rPr>
          <w:highlight w:val="white"/>
        </w:rPr>
        <w:t>apresentar documentação falsa;</w:t>
      </w:r>
    </w:p>
    <w:p>
      <w:pPr>
        <w:numPr>
          <w:ilvl w:val="2"/>
          <w:numId w:val="3"/>
        </w:numPr>
        <w:tabs>
          <w:tab w:val="left" w:pos="1440"/>
        </w:tabs>
        <w:spacing w:after="240"/>
        <w:jc w:val="both"/>
        <w:rPr>
          <w:highlight w:val="white"/>
        </w:rPr>
      </w:pPr>
      <w:r>
        <w:rPr>
          <w:highlight w:val="white"/>
        </w:rPr>
        <w:t>deixar de entregar os documentos exigidos no certame;</w:t>
      </w:r>
    </w:p>
    <w:p>
      <w:pPr>
        <w:numPr>
          <w:ilvl w:val="2"/>
          <w:numId w:val="3"/>
        </w:numPr>
        <w:tabs>
          <w:tab w:val="left" w:pos="1440"/>
        </w:tabs>
        <w:spacing w:after="240"/>
        <w:jc w:val="both"/>
        <w:rPr>
          <w:highlight w:val="white"/>
        </w:rPr>
      </w:pPr>
      <w:r>
        <w:t>ensejar o retardamento da execução do objeto;</w:t>
      </w:r>
    </w:p>
    <w:p>
      <w:pPr>
        <w:numPr>
          <w:ilvl w:val="2"/>
          <w:numId w:val="3"/>
        </w:numPr>
        <w:tabs>
          <w:tab w:val="left" w:pos="1440"/>
        </w:tabs>
        <w:spacing w:after="240"/>
        <w:jc w:val="both"/>
        <w:rPr>
          <w:highlight w:val="white"/>
        </w:rPr>
      </w:pPr>
      <w:r>
        <w:rPr>
          <w:highlight w:val="white"/>
        </w:rPr>
        <w:t>não mantiver a proposta;</w:t>
      </w:r>
    </w:p>
    <w:p>
      <w:pPr>
        <w:numPr>
          <w:ilvl w:val="2"/>
          <w:numId w:val="3"/>
        </w:numPr>
        <w:tabs>
          <w:tab w:val="left" w:pos="1440"/>
        </w:tabs>
        <w:spacing w:after="240"/>
        <w:jc w:val="both"/>
        <w:rPr>
          <w:highlight w:val="white"/>
        </w:rPr>
      </w:pPr>
      <w:r>
        <w:rPr>
          <w:highlight w:val="white"/>
        </w:rPr>
        <w:t>cometer fraude fiscal;</w:t>
      </w:r>
    </w:p>
    <w:p>
      <w:pPr>
        <w:numPr>
          <w:ilvl w:val="2"/>
          <w:numId w:val="3"/>
        </w:numPr>
        <w:tabs>
          <w:tab w:val="left" w:pos="1440"/>
        </w:tabs>
        <w:spacing w:after="240"/>
        <w:jc w:val="both"/>
        <w:rPr>
          <w:highlight w:val="white"/>
        </w:rPr>
      </w:pPr>
      <w:r>
        <w:rPr>
          <w:highlight w:val="white"/>
        </w:rPr>
        <w:t>comportar-se de modo inidôneo;</w:t>
      </w:r>
    </w:p>
    <w:p/>
    <w:p>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pPr>
        <w:numPr>
          <w:ilvl w:val="2"/>
          <w:numId w:val="2"/>
        </w:numPr>
        <w:pBdr>
          <w:top w:val="none" w:color="auto" w:sz="0" w:space="0"/>
          <w:left w:val="none" w:color="auto" w:sz="0" w:space="0"/>
          <w:bottom w:val="none" w:color="auto" w:sz="0" w:space="0"/>
          <w:right w:val="none" w:color="auto" w:sz="0" w:space="0"/>
          <w:between w:val="none" w:color="auto" w:sz="0" w:space="0"/>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3"/>
        </w:numPr>
        <w:spacing w:before="120" w:after="120" w:line="276" w:lineRule="auto"/>
        <w:jc w:val="both"/>
      </w:pPr>
      <w:r>
        <w:t>A penalidade de multa pode ser aplicada cumulativamente com as demais sanções.</w:t>
      </w:r>
    </w:p>
    <w:p>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3"/>
        </w:numPr>
        <w:spacing w:before="120" w:after="120" w:line="276" w:lineRule="auto"/>
        <w:jc w:val="both"/>
      </w:pPr>
      <w:r>
        <w:t>As penalidades serão obrigatoriamente registradas no SICAF.</w:t>
      </w:r>
    </w:p>
    <w:p>
      <w:pPr>
        <w:numPr>
          <w:ilvl w:val="1"/>
          <w:numId w:val="3"/>
        </w:numPr>
        <w:spacing w:before="120" w:after="120" w:line="276" w:lineRule="auto"/>
        <w:jc w:val="both"/>
      </w:pPr>
      <w:r>
        <w:t>As sanções por atos praticados no decorrer da contratação estão previstas no Termo de Referência.</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jc w:val="both"/>
        <w:rPr>
          <w:rFonts w:cs="Arial"/>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 xml:space="preserve">DA FORMAÇÃO DO CADASTRO DE RESERVA </w:t>
      </w:r>
    </w:p>
    <w:p/>
    <w:p>
      <w:pPr>
        <w:numPr>
          <w:ilvl w:val="1"/>
          <w:numId w:val="3"/>
        </w:numPr>
        <w:spacing w:before="120" w:after="120" w:line="276" w:lineRule="auto"/>
        <w:jc w:val="both"/>
      </w:pPr>
      <w:r>
        <w:t>Após o encerramento da etapa competitiva, os licitantes poderão reduzir seus preços ao valor da proposta do licitante mais bem classificado.</w:t>
      </w:r>
    </w:p>
    <w:p>
      <w:pPr>
        <w:numPr>
          <w:ilvl w:val="1"/>
          <w:numId w:val="3"/>
        </w:numPr>
        <w:spacing w:before="120" w:after="120" w:line="276" w:lineRule="auto"/>
        <w:jc w:val="both"/>
      </w:pPr>
      <w:r>
        <w:t>A apresentação de novas propostas na forma deste item não prejudicará o resultado do certame em relação ao licitante melhor classificado.</w:t>
      </w:r>
    </w:p>
    <w:p>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pPr>
        <w:keepNext/>
        <w:keepLines/>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rFonts w:cs="Arial"/>
          <w:b/>
          <w:color w:val="000000"/>
          <w:szCs w:val="20"/>
        </w:rPr>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 IMPUGNAÇÃO AO EDITAL E DO PEDIDO DE ESCLARECIMENTO</w:t>
      </w:r>
    </w:p>
    <w:p/>
    <w:p>
      <w:pPr>
        <w:numPr>
          <w:ilvl w:val="1"/>
          <w:numId w:val="3"/>
        </w:numPr>
        <w:spacing w:before="120" w:after="120" w:line="276" w:lineRule="auto"/>
        <w:jc w:val="both"/>
      </w:pPr>
      <w:r>
        <w:t>Até 03 (três) dias úteis antes da data designada para a abertura da sessão pública, qualquer pessoa poderá impugnar este Edital.</w:t>
      </w:r>
    </w:p>
    <w:p>
      <w:pPr>
        <w:numPr>
          <w:ilvl w:val="1"/>
          <w:numId w:val="3"/>
        </w:numPr>
        <w:spacing w:before="120" w:after="120" w:line="276" w:lineRule="auto"/>
        <w:jc w:val="both"/>
      </w:pPr>
      <w:r>
        <w:t>A impugnação poderá ser realizada por forma eletrônica, pelo e-mail cpl@id.uff.br.</w:t>
      </w:r>
    </w:p>
    <w:p>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pPr>
        <w:numPr>
          <w:ilvl w:val="1"/>
          <w:numId w:val="3"/>
        </w:numPr>
        <w:spacing w:before="120" w:after="120" w:line="276" w:lineRule="auto"/>
        <w:jc w:val="both"/>
      </w:pPr>
      <w:r>
        <w:t>Acolhida a impugnação, será definida e publicada nova data para a realização do certame.</w:t>
      </w:r>
    </w:p>
    <w:p>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pPr>
        <w:numPr>
          <w:ilvl w:val="1"/>
          <w:numId w:val="3"/>
        </w:numPr>
        <w:spacing w:before="120" w:after="120" w:line="276" w:lineRule="auto"/>
        <w:jc w:val="both"/>
      </w:pPr>
      <w:r>
        <w:t>As impugnações e pedidos de esclarecimentos não suspendem os prazos previstos no certame.</w:t>
      </w:r>
    </w:p>
    <w:p>
      <w:pPr>
        <w:numPr>
          <w:ilvl w:val="2"/>
          <w:numId w:val="10"/>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pPr>
        <w:numPr>
          <w:ilvl w:val="1"/>
          <w:numId w:val="3"/>
        </w:numPr>
        <w:spacing w:before="120" w:after="120" w:line="276" w:lineRule="auto"/>
        <w:jc w:val="both"/>
      </w:pPr>
      <w:r>
        <w:t>As respostas aos pedidos de esclarecimentos serão divulgadas pelo sistema e vincularão os participantes e a Administração.</w:t>
      </w:r>
    </w:p>
    <w:p>
      <w:pPr>
        <w:spacing w:before="120" w:after="120" w:line="276" w:lineRule="auto"/>
        <w:ind w:left="1141"/>
        <w:jc w:val="both"/>
      </w:pPr>
    </w:p>
    <w:p>
      <w:pPr>
        <w:keepNext/>
        <w:keepLines/>
        <w:numPr>
          <w:ilvl w:val="0"/>
          <w:numId w:val="3"/>
        </w:numPr>
        <w:pBdr>
          <w:top w:val="none" w:color="auto" w:sz="0" w:space="0"/>
          <w:left w:val="none" w:color="auto" w:sz="0" w:space="0"/>
          <w:bottom w:val="none" w:color="auto" w:sz="0" w:space="0"/>
          <w:right w:val="none" w:color="auto" w:sz="0" w:space="0"/>
          <w:between w:val="none" w:color="auto" w:sz="0" w:space="0"/>
        </w:pBdr>
        <w:tabs>
          <w:tab w:val="left" w:pos="567"/>
        </w:tabs>
        <w:spacing w:before="240"/>
        <w:jc w:val="both"/>
        <w:rPr>
          <w:color w:val="000000"/>
          <w:szCs w:val="20"/>
        </w:rPr>
      </w:pPr>
      <w:r>
        <w:rPr>
          <w:rFonts w:cs="Arial"/>
          <w:b/>
          <w:color w:val="000000"/>
          <w:szCs w:val="20"/>
        </w:rPr>
        <w:t>DAS DISPOSIÇÕES GERAIS</w:t>
      </w:r>
    </w:p>
    <w:p/>
    <w:p>
      <w:pPr>
        <w:numPr>
          <w:ilvl w:val="1"/>
          <w:numId w:val="3"/>
        </w:numPr>
        <w:spacing w:before="120" w:after="120" w:line="276" w:lineRule="auto"/>
        <w:jc w:val="both"/>
      </w:pPr>
      <w:r>
        <w:t>Da sessão pública do Pregão divulgar-se-á Ata no sistema eletrônico.</w:t>
      </w:r>
    </w:p>
    <w:p>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3"/>
        </w:numPr>
        <w:spacing w:before="120" w:after="120" w:line="276" w:lineRule="auto"/>
        <w:jc w:val="both"/>
      </w:pPr>
      <w:r>
        <w:t>Todas as referências de tempo no Edital, no aviso e durante a sessão pública observarão o horário de Brasília – DF.</w:t>
      </w:r>
    </w:p>
    <w:p>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3"/>
        </w:numPr>
        <w:spacing w:before="120" w:after="120" w:line="276" w:lineRule="auto"/>
        <w:jc w:val="both"/>
      </w:pPr>
      <w:r>
        <w:t>A homologação do resultado desta licitação não implicará direito à contratação.</w:t>
      </w:r>
    </w:p>
    <w:p>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pPr>
        <w:numPr>
          <w:ilvl w:val="1"/>
          <w:numId w:val="3"/>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3"/>
        </w:numPr>
        <w:spacing w:before="120" w:after="120" w:line="276" w:lineRule="auto"/>
        <w:jc w:val="both"/>
      </w:pPr>
      <w:r>
        <w:t>Integram este Edital, para todos os fins e efeitos, os seguintes anexos:</w:t>
      </w:r>
    </w:p>
    <w:p>
      <w:pPr>
        <w:numPr>
          <w:ilvl w:val="2"/>
          <w:numId w:val="10"/>
        </w:numPr>
        <w:tabs>
          <w:tab w:val="left" w:pos="1440"/>
        </w:tabs>
        <w:spacing w:before="120" w:after="120" w:line="276" w:lineRule="auto"/>
        <w:ind w:left="1134" w:firstLine="0"/>
        <w:jc w:val="both"/>
        <w:rPr>
          <w:color w:val="000000"/>
        </w:rPr>
      </w:pPr>
      <w:r>
        <w:rPr>
          <w:color w:val="000000"/>
        </w:rPr>
        <w:t xml:space="preserve"> ANEXO I - Termo de Referência</w:t>
      </w:r>
    </w:p>
    <w:p>
      <w:pPr>
        <w:numPr>
          <w:ilvl w:val="2"/>
          <w:numId w:val="10"/>
        </w:numPr>
        <w:tabs>
          <w:tab w:val="left" w:pos="1440"/>
        </w:tabs>
        <w:spacing w:before="120" w:after="120" w:line="276" w:lineRule="auto"/>
        <w:ind w:left="1134" w:firstLine="0"/>
        <w:jc w:val="both"/>
        <w:rPr>
          <w:color w:val="000000"/>
        </w:rPr>
      </w:pPr>
      <w:r>
        <w:rPr>
          <w:color w:val="000000"/>
        </w:rPr>
        <w:t>ANEXO I-A – Planilha Estimativa</w:t>
      </w:r>
    </w:p>
    <w:p>
      <w:pPr>
        <w:numPr>
          <w:ilvl w:val="2"/>
          <w:numId w:val="10"/>
        </w:numPr>
        <w:tabs>
          <w:tab w:val="left" w:pos="1440"/>
        </w:tabs>
        <w:spacing w:before="120" w:after="120" w:line="276" w:lineRule="auto"/>
        <w:ind w:left="1134" w:firstLine="0"/>
        <w:jc w:val="both"/>
        <w:rPr>
          <w:color w:val="000000"/>
        </w:rPr>
      </w:pPr>
      <w:r>
        <w:rPr>
          <w:color w:val="000000"/>
        </w:rPr>
        <w:t>ANEXO I-B – Procedimento para Entregas de Materiais e Locais</w:t>
      </w:r>
    </w:p>
    <w:p>
      <w:pPr>
        <w:numPr>
          <w:ilvl w:val="2"/>
          <w:numId w:val="10"/>
        </w:numPr>
        <w:tabs>
          <w:tab w:val="left" w:pos="1440"/>
        </w:tabs>
        <w:spacing w:before="120" w:after="120" w:line="276" w:lineRule="auto"/>
        <w:ind w:left="1134" w:firstLine="0"/>
        <w:jc w:val="both"/>
        <w:rPr>
          <w:color w:val="000000"/>
        </w:rPr>
      </w:pPr>
      <w:r>
        <w:rPr>
          <w:color w:val="000000"/>
        </w:rPr>
        <w:t>ANEXO I-C – Modelo de Indicação de Preposto</w:t>
      </w:r>
    </w:p>
    <w:p>
      <w:pPr>
        <w:numPr>
          <w:ilvl w:val="2"/>
          <w:numId w:val="10"/>
        </w:numPr>
        <w:tabs>
          <w:tab w:val="left" w:pos="1440"/>
        </w:tabs>
        <w:spacing w:before="120" w:after="120" w:line="276" w:lineRule="auto"/>
        <w:ind w:left="1134" w:firstLine="0"/>
        <w:jc w:val="both"/>
        <w:rPr>
          <w:color w:val="000000"/>
        </w:rPr>
      </w:pPr>
      <w:r>
        <w:rPr>
          <w:color w:val="000000"/>
        </w:rPr>
        <w:t>ANEXO II – Modelo de Declaração Ambiental</w:t>
      </w:r>
    </w:p>
    <w:p>
      <w:pPr>
        <w:numPr>
          <w:ilvl w:val="2"/>
          <w:numId w:val="10"/>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pPr>
        <w:numPr>
          <w:ilvl w:val="2"/>
          <w:numId w:val="10"/>
        </w:numPr>
        <w:spacing w:before="120" w:after="120" w:line="276" w:lineRule="auto"/>
        <w:ind w:left="1638"/>
        <w:jc w:val="both"/>
        <w:rPr>
          <w:color w:val="000000"/>
        </w:rPr>
      </w:pPr>
      <w:bookmarkStart w:id="1" w:name="_heading=h.1vocudxt50u0" w:colFirst="0" w:colLast="0"/>
      <w:bookmarkEnd w:id="1"/>
      <w:r>
        <w:t>ANEXO IV - Termo de Responsabilidade sobre a Ata SRP;</w:t>
      </w:r>
    </w:p>
    <w:p>
      <w:pPr>
        <w:spacing w:before="120" w:after="120" w:line="276" w:lineRule="auto"/>
        <w:ind w:left="716"/>
        <w:jc w:val="both"/>
      </w:pPr>
    </w:p>
    <w:p>
      <w:pPr>
        <w:spacing w:before="120" w:after="120" w:line="276" w:lineRule="auto"/>
        <w:ind w:left="716"/>
        <w:jc w:val="both"/>
        <w:rPr>
          <w:color w:val="000000"/>
        </w:rPr>
      </w:pPr>
    </w:p>
    <w:p>
      <w:pPr>
        <w:spacing w:before="240" w:after="240" w:line="276" w:lineRule="auto"/>
        <w:ind w:left="360" w:right="-15" w:firstLine="709"/>
        <w:jc w:val="center"/>
        <w:rPr>
          <w:color w:val="000000"/>
        </w:rPr>
      </w:pPr>
      <w:r>
        <w:t>Niterói</w:t>
      </w:r>
      <w:r>
        <w:rPr>
          <w:color w:val="000000"/>
        </w:rPr>
        <w:t xml:space="preserve">, </w:t>
      </w:r>
      <w:r>
        <w:rPr>
          <w:rFonts w:hint="default"/>
          <w:color w:val="000000"/>
          <w:lang w:val="pt-BR"/>
        </w:rPr>
        <w:t>04 de março de 2021</w:t>
      </w:r>
      <w:r>
        <w:rPr>
          <w:color w:val="000000"/>
        </w:rPr>
        <w:t>.</w:t>
      </w:r>
    </w:p>
    <w:p>
      <w:pPr>
        <w:spacing w:before="240" w:after="240" w:line="276" w:lineRule="auto"/>
        <w:ind w:right="-15" w:firstLine="709"/>
        <w:jc w:val="both"/>
        <w:rPr>
          <w:color w:val="000000"/>
        </w:rPr>
      </w:pPr>
    </w:p>
    <w:p>
      <w:pPr>
        <w:spacing w:before="240" w:after="240" w:line="276" w:lineRule="auto"/>
        <w:ind w:right="-15" w:firstLine="709"/>
        <w:jc w:val="both"/>
        <w:rPr>
          <w:color w:val="000000"/>
        </w:rPr>
      </w:pPr>
    </w:p>
    <w:p>
      <w:pPr>
        <w:spacing w:before="240" w:after="240" w:line="276" w:lineRule="auto"/>
        <w:ind w:right="-15" w:firstLine="709"/>
        <w:jc w:val="both"/>
        <w:rPr>
          <w:color w:val="000000"/>
        </w:rPr>
      </w:pPr>
    </w:p>
    <w:p>
      <w:pPr>
        <w:pStyle w:val="485"/>
        <w:ind w:firstLine="709"/>
        <w:jc w:val="center"/>
        <w:rPr>
          <w:b/>
          <w:color w:val="000000"/>
        </w:rPr>
      </w:pPr>
      <w:r>
        <w:rPr>
          <w:b/>
          <w:color w:val="000000"/>
        </w:rPr>
        <w:t>Madison Lopes Inocencio</w:t>
      </w:r>
    </w:p>
    <w:p>
      <w:pPr>
        <w:pStyle w:val="485"/>
        <w:ind w:firstLine="709"/>
        <w:jc w:val="center"/>
      </w:pPr>
      <w:r>
        <w:rPr>
          <w:b/>
          <w:color w:val="000000"/>
        </w:rPr>
        <w:t>Membro da CLI</w:t>
      </w:r>
    </w:p>
    <w:p>
      <w:pPr>
        <w:spacing w:before="240" w:after="240" w:line="276" w:lineRule="auto"/>
        <w:ind w:firstLine="709"/>
        <w:jc w:val="center"/>
        <w:rPr>
          <w:rFonts w:ascii="Calibri" w:hAnsi="Calibri" w:eastAsia="Calibri" w:cs="Calibri"/>
          <w:b/>
          <w:color w:val="000000"/>
          <w:sz w:val="22"/>
          <w:szCs w:val="22"/>
        </w:rPr>
      </w:pPr>
    </w:p>
    <w:sectPr>
      <w:headerReference r:id="rId3" w:type="default"/>
      <w:footerReference r:id="rId4" w:type="default"/>
      <w:pgSz w:w="11906" w:h="16838"/>
      <w:pgMar w:top="1276" w:right="1077" w:bottom="1702" w:left="1077" w:header="142"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86"/>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Mangal">
    <w:panose1 w:val="02040503050203030202"/>
    <w:charset w:val="00"/>
    <w:family w:val="roman"/>
    <w:pitch w:val="default"/>
    <w:sig w:usb0="00008003" w:usb1="00000000" w:usb2="00000000" w:usb3="00000000" w:csb0="00000001" w:csb1="0000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Ecofont_Spranq_eco_Sans">
    <w:altName w:val="Calibri"/>
    <w:panose1 w:val="00000000000000000000"/>
    <w:charset w:val="00"/>
    <w:family w:val="swiss"/>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MS Mincho"/>
    <w:panose1 w:val="00000000000000000000"/>
    <w:charset w:val="80"/>
    <w:family w:val="auto"/>
    <w:pitch w:val="default"/>
    <w:sig w:usb0="00000000" w:usb1="00000000" w:usb2="00000000" w:usb3="00000000" w:csb0="00000000" w:csb1="00000000"/>
  </w:font>
  <w:font w:name="OpenSymbol">
    <w:panose1 w:val="05010000000000000000"/>
    <w:charset w:val="00"/>
    <w:family w:val="auto"/>
    <w:pitch w:val="default"/>
    <w:sig w:usb0="800000AF" w:usb1="1001ECEA"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Courier">
    <w:altName w:val="Courier New"/>
    <w:panose1 w:val="02070409020205020404"/>
    <w:charset w:val="00"/>
    <w:family w:val="roman"/>
    <w:pitch w:val="default"/>
    <w:sig w:usb0="00000000" w:usb1="00000000" w:usb2="00000000" w:usb3="00000000" w:csb0="00000000" w:csb1="00000000"/>
  </w:font>
  <w:font w:name="CG Times (WN)">
    <w:altName w:val="Segoe Print"/>
    <w:panose1 w:val="00000000000000000000"/>
    <w:charset w:val="00"/>
    <w:family w:val="roman"/>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cs="Arial"/>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r>
      <w:rPr>
        <w:rFonts w:ascii="Verdana" w:hAnsi="Verdana" w:eastAsia="Verdana" w:cs="Verdana"/>
        <w:color w:val="000000"/>
        <w:sz w:val="16"/>
        <w:szCs w:val="16"/>
      </w:rPr>
      <w:t>Fls.__________</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cs="Arial"/>
        <w:color w:val="000000"/>
        <w:szCs w:val="20"/>
      </w:rPr>
    </w:pPr>
    <w:r>
      <w:rPr>
        <w:rFonts w:ascii="Verdana" w:hAnsi="Verdana" w:eastAsia="Verdana" w:cs="Verdana"/>
        <w:color w:val="000000"/>
        <w:sz w:val="16"/>
        <w:szCs w:val="16"/>
      </w:rPr>
      <w:t>Processo n.º 23069.</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r>
      <w:rPr>
        <w:rFonts w:ascii="Verdana" w:hAnsi="Verdana" w:eastAsia="Verdana" w:cs="Verdana"/>
        <w:color w:val="000000"/>
        <w:sz w:val="16"/>
        <w:szCs w:val="16"/>
      </w:rPr>
      <w:t>151410/2021-61</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cs="Arial"/>
        <w:color w:val="000000"/>
        <w:szCs w:val="20"/>
      </w:rP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C156F"/>
    <w:multiLevelType w:val="multilevel"/>
    <w:tmpl w:val="044C156F"/>
    <w:lvl w:ilvl="0" w:tentative="0">
      <w:start w:val="2"/>
      <w:numFmt w:val="decimal"/>
      <w:lvlText w:val="%1."/>
      <w:lvlJc w:val="left"/>
      <w:pPr>
        <w:ind w:left="360" w:hanging="360"/>
      </w:pPr>
      <w:rPr>
        <w:rFonts w:hint="default"/>
        <w:b/>
        <w:color w:val="000000"/>
      </w:rPr>
    </w:lvl>
    <w:lvl w:ilvl="1" w:tentative="0">
      <w:start w:val="1"/>
      <w:numFmt w:val="decimal"/>
      <w:lvlText w:val="1.%2."/>
      <w:lvlJc w:val="left"/>
      <w:pPr>
        <w:ind w:left="716" w:hanging="432"/>
      </w:pPr>
      <w:rPr>
        <w:rFonts w:hint="default" w:ascii="Arial" w:hAnsi="Arial" w:eastAsia="Arial" w:cs="Arial"/>
        <w:b w:val="0"/>
        <w:i w:val="0"/>
        <w:strike w:val="0"/>
        <w:color w:val="000000"/>
      </w:rPr>
    </w:lvl>
    <w:lvl w:ilvl="2" w:tentative="0">
      <w:start w:val="1"/>
      <w:numFmt w:val="decimal"/>
      <w:lvlText w:val="%1.%2.%3."/>
      <w:lvlJc w:val="left"/>
      <w:pPr>
        <w:ind w:left="930" w:hanging="504"/>
      </w:pPr>
      <w:rPr>
        <w:rFonts w:hint="default"/>
        <w:b w:val="0"/>
        <w:i w:val="0"/>
        <w:color w:val="000000"/>
      </w:rPr>
    </w:lvl>
    <w:lvl w:ilvl="3" w:tentative="0">
      <w:start w:val="1"/>
      <w:numFmt w:val="decimal"/>
      <w:lvlText w:val="%1.%2.%3.%4."/>
      <w:lvlJc w:val="left"/>
      <w:pPr>
        <w:ind w:left="2491" w:hanging="648"/>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5"/>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
    <w:nsid w:val="0FCC2C38"/>
    <w:multiLevelType w:val="multilevel"/>
    <w:tmpl w:val="0FCC2C38"/>
    <w:lvl w:ilvl="0" w:tentative="0">
      <w:start w:val="1"/>
      <w:numFmt w:val="decimal"/>
      <w:pStyle w:val="89"/>
      <w:lvlText w:val="%1."/>
      <w:lvlJc w:val="left"/>
      <w:pPr>
        <w:tabs>
          <w:tab w:val="left" w:pos="720"/>
        </w:tabs>
        <w:ind w:left="720" w:hanging="720"/>
      </w:pPr>
    </w:lvl>
    <w:lvl w:ilvl="1" w:tentative="0">
      <w:start w:val="1"/>
      <w:numFmt w:val="decimal"/>
      <w:pStyle w:val="88"/>
      <w:lvlText w:val="%2."/>
      <w:lvlJc w:val="left"/>
      <w:pPr>
        <w:tabs>
          <w:tab w:val="left" w:pos="1440"/>
        </w:tabs>
        <w:ind w:left="1440" w:hanging="720"/>
      </w:pPr>
    </w:lvl>
    <w:lvl w:ilvl="2" w:tentative="0">
      <w:start w:val="1"/>
      <w:numFmt w:val="decimal"/>
      <w:pStyle w:val="90"/>
      <w:lvlText w:val="%3."/>
      <w:lvlJc w:val="left"/>
      <w:pPr>
        <w:tabs>
          <w:tab w:val="left" w:pos="2160"/>
        </w:tabs>
        <w:ind w:left="2160" w:hanging="720"/>
      </w:pPr>
    </w:lvl>
    <w:lvl w:ilvl="3" w:tentative="0">
      <w:start w:val="1"/>
      <w:numFmt w:val="decimal"/>
      <w:pStyle w:val="91"/>
      <w:lvlText w:val="%4."/>
      <w:lvlJc w:val="left"/>
      <w:pPr>
        <w:tabs>
          <w:tab w:val="left" w:pos="2880"/>
        </w:tabs>
        <w:ind w:left="2880" w:hanging="720"/>
      </w:pPr>
    </w:lvl>
    <w:lvl w:ilvl="4" w:tentative="0">
      <w:start w:val="1"/>
      <w:numFmt w:val="decimal"/>
      <w:pStyle w:val="92"/>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
    <w:nsid w:val="1B6223E2"/>
    <w:multiLevelType w:val="multilevel"/>
    <w:tmpl w:val="1B6223E2"/>
    <w:lvl w:ilvl="0" w:tentative="0">
      <w:start w:val="20"/>
      <w:numFmt w:val="decimal"/>
      <w:pStyle w:val="26"/>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20A633A3"/>
    <w:multiLevelType w:val="multilevel"/>
    <w:tmpl w:val="20A633A3"/>
    <w:lvl w:ilvl="0" w:tentative="0">
      <w:start w:val="14"/>
      <w:numFmt w:val="decimal"/>
      <w:lvlText w:val="%1"/>
      <w:lvlJc w:val="left"/>
      <w:pPr>
        <w:ind w:left="360" w:hanging="360"/>
      </w:pPr>
    </w:lvl>
    <w:lvl w:ilvl="1" w:tentative="0">
      <w:start w:val="1"/>
      <w:numFmt w:val="decimal"/>
      <w:lvlText w:val="%1.%2"/>
      <w:lvlJc w:val="left"/>
      <w:pPr>
        <w:ind w:left="927" w:hanging="360"/>
      </w:pPr>
      <w:rPr>
        <w:strike w:val="0"/>
      </w:rPr>
    </w:lvl>
    <w:lvl w:ilvl="2" w:tentative="0">
      <w:start w:val="1"/>
      <w:numFmt w:val="decimal"/>
      <w:lvlText w:val="%1.%2.%3"/>
      <w:lvlJc w:val="left"/>
      <w:pPr>
        <w:ind w:left="1288" w:hanging="719"/>
      </w:pPr>
    </w:lvl>
    <w:lvl w:ilvl="3" w:tentative="0">
      <w:start w:val="1"/>
      <w:numFmt w:val="decimal"/>
      <w:lvlText w:val="%1.%2.%3.%4"/>
      <w:lvlJc w:val="left"/>
      <w:pPr>
        <w:ind w:left="1572" w:hanging="720"/>
      </w:pPr>
    </w:lvl>
    <w:lvl w:ilvl="4" w:tentative="0">
      <w:start w:val="1"/>
      <w:numFmt w:val="decimal"/>
      <w:lvlText w:val="%1.%2.%3.%4.%5"/>
      <w:lvlJc w:val="left"/>
      <w:pPr>
        <w:ind w:left="2216" w:hanging="1080"/>
      </w:pPr>
    </w:lvl>
    <w:lvl w:ilvl="5" w:tentative="0">
      <w:start w:val="1"/>
      <w:numFmt w:val="decimal"/>
      <w:lvlText w:val="%1.%2.%3.%4.%5.%6"/>
      <w:lvlJc w:val="left"/>
      <w:pPr>
        <w:ind w:left="2500" w:hanging="1080"/>
      </w:pPr>
    </w:lvl>
    <w:lvl w:ilvl="6" w:tentative="0">
      <w:start w:val="1"/>
      <w:numFmt w:val="decimal"/>
      <w:lvlText w:val="%1.%2.%3.%4.%5.%6.%7"/>
      <w:lvlJc w:val="left"/>
      <w:pPr>
        <w:ind w:left="3144" w:hanging="1440"/>
      </w:pPr>
    </w:lvl>
    <w:lvl w:ilvl="7" w:tentative="0">
      <w:start w:val="1"/>
      <w:numFmt w:val="decimal"/>
      <w:lvlText w:val="%1.%2.%3.%4.%5.%6.%7.%8"/>
      <w:lvlJc w:val="left"/>
      <w:pPr>
        <w:ind w:left="3428" w:hanging="1440"/>
      </w:pPr>
    </w:lvl>
    <w:lvl w:ilvl="8" w:tentative="0">
      <w:start w:val="1"/>
      <w:numFmt w:val="decimal"/>
      <w:lvlText w:val="%1.%2.%3.%4.%5.%6.%7.%8.%9"/>
      <w:lvlJc w:val="left"/>
      <w:pPr>
        <w:ind w:left="4072" w:hanging="1800"/>
      </w:pPr>
    </w:lvl>
  </w:abstractNum>
  <w:abstractNum w:abstractNumId="4">
    <w:nsid w:val="21EB5EDB"/>
    <w:multiLevelType w:val="multilevel"/>
    <w:tmpl w:val="21EB5EDB"/>
    <w:lvl w:ilvl="0" w:tentative="0">
      <w:start w:val="9"/>
      <w:numFmt w:val="decimal"/>
      <w:pStyle w:val="450"/>
      <w:lvlText w:val="%1."/>
      <w:lvlJc w:val="left"/>
      <w:pPr>
        <w:ind w:left="360" w:hanging="360"/>
      </w:pPr>
      <w:rPr>
        <w:b/>
        <w:color w:val="000000"/>
      </w:rPr>
    </w:lvl>
    <w:lvl w:ilvl="1" w:tentative="0">
      <w:start w:val="5"/>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25154B8C"/>
    <w:multiLevelType w:val="multilevel"/>
    <w:tmpl w:val="25154B8C"/>
    <w:lvl w:ilvl="0" w:tentative="0">
      <w:start w:val="20"/>
      <w:numFmt w:val="decimal"/>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3B6C57DE"/>
    <w:multiLevelType w:val="multilevel"/>
    <w:tmpl w:val="3B6C57DE"/>
    <w:lvl w:ilvl="0" w:tentative="0">
      <w:start w:val="7"/>
      <w:numFmt w:val="decimal"/>
      <w:pStyle w:val="79"/>
      <w:lvlText w:val="%1"/>
      <w:lvlJc w:val="left"/>
      <w:pPr>
        <w:ind w:left="360" w:hanging="360"/>
      </w:pPr>
    </w:lvl>
    <w:lvl w:ilvl="1" w:tentative="0">
      <w:start w:val="10"/>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7">
    <w:nsid w:val="465321F4"/>
    <w:multiLevelType w:val="multilevel"/>
    <w:tmpl w:val="465321F4"/>
    <w:lvl w:ilvl="0" w:tentative="0">
      <w:start w:val="1"/>
      <w:numFmt w:val="decimal"/>
      <w:pStyle w:val="54"/>
      <w:lvlText w:val="%1."/>
      <w:lvlJc w:val="left"/>
      <w:pPr>
        <w:ind w:left="360" w:hanging="360"/>
      </w:pPr>
      <w:rPr>
        <w:rFonts w:ascii="Arial" w:hAnsi="Arial" w:eastAsia="Arial" w:cs="Arial"/>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strike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4E9D2ED3"/>
    <w:multiLevelType w:val="multilevel"/>
    <w:tmpl w:val="4E9D2ED3"/>
    <w:lvl w:ilvl="0" w:tentative="0">
      <w:start w:val="8"/>
      <w:numFmt w:val="decimal"/>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pStyle w:val="4"/>
      <w:lvlText w:val="%1.%2.%3."/>
      <w:lvlJc w:val="left"/>
      <w:pPr>
        <w:ind w:left="930" w:hanging="504"/>
      </w:pPr>
      <w:rPr>
        <w:b w:val="0"/>
        <w:i w:val="0"/>
        <w:color w:val="000000"/>
      </w:rPr>
    </w:lvl>
    <w:lvl w:ilvl="3" w:tentative="0">
      <w:start w:val="1"/>
      <w:numFmt w:val="decimal"/>
      <w:pStyle w:val="5"/>
      <w:lvlText w:val="%1.%2.%3.%4."/>
      <w:lvlJc w:val="left"/>
      <w:pPr>
        <w:ind w:left="2491" w:hanging="648"/>
      </w:pPr>
    </w:lvl>
    <w:lvl w:ilvl="4" w:tentative="0">
      <w:start w:val="1"/>
      <w:numFmt w:val="decimal"/>
      <w:pStyle w:val="6"/>
      <w:lvlText w:val="%1.%2.%3.%4.%5."/>
      <w:lvlJc w:val="left"/>
      <w:pPr>
        <w:ind w:left="2232" w:hanging="792"/>
      </w:pPr>
    </w:lvl>
    <w:lvl w:ilvl="5" w:tentative="0">
      <w:start w:val="1"/>
      <w:numFmt w:val="decimal"/>
      <w:pStyle w:val="7"/>
      <w:lvlText w:val="%1.%2.%3.%4.%5.%6."/>
      <w:lvlJc w:val="left"/>
      <w:pPr>
        <w:ind w:left="2736" w:hanging="935"/>
      </w:pPr>
    </w:lvl>
    <w:lvl w:ilvl="6" w:tentative="0">
      <w:start w:val="1"/>
      <w:numFmt w:val="decimal"/>
      <w:pStyle w:val="8"/>
      <w:lvlText w:val="%1.%2.%3.%4.%5.%6.%7."/>
      <w:lvlJc w:val="left"/>
      <w:pPr>
        <w:ind w:left="3240" w:hanging="1080"/>
      </w:pPr>
    </w:lvl>
    <w:lvl w:ilvl="7" w:tentative="0">
      <w:start w:val="1"/>
      <w:numFmt w:val="decimal"/>
      <w:pStyle w:val="9"/>
      <w:lvlText w:val="%1.%2.%3.%4.%5.%6.%7.%8."/>
      <w:lvlJc w:val="left"/>
      <w:pPr>
        <w:ind w:left="3744" w:hanging="1224"/>
      </w:pPr>
    </w:lvl>
    <w:lvl w:ilvl="8" w:tentative="0">
      <w:start w:val="1"/>
      <w:numFmt w:val="decimal"/>
      <w:pStyle w:val="10"/>
      <w:lvlText w:val="%1.%2.%3.%4.%5.%6.%7.%8.%9."/>
      <w:lvlJc w:val="left"/>
      <w:pPr>
        <w:ind w:left="4320" w:hanging="1440"/>
      </w:pPr>
    </w:lvl>
  </w:abstractNum>
  <w:abstractNum w:abstractNumId="9">
    <w:nsid w:val="510153F7"/>
    <w:multiLevelType w:val="multilevel"/>
    <w:tmpl w:val="510153F7"/>
    <w:lvl w:ilvl="0" w:tentative="0">
      <w:start w:val="9"/>
      <w:numFmt w:val="decimal"/>
      <w:pStyle w:val="452"/>
      <w:lvlText w:val="%1."/>
      <w:lvlJc w:val="left"/>
      <w:pPr>
        <w:ind w:left="360" w:hanging="360"/>
      </w:pPr>
      <w:rPr>
        <w:b/>
        <w:color w:val="000000"/>
      </w:rPr>
    </w:lvl>
    <w:lvl w:ilvl="1" w:tentative="0">
      <w:start w:val="13"/>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8"/>
  </w:num>
  <w:num w:numId="2">
    <w:abstractNumId w:val="2"/>
  </w:num>
  <w:num w:numId="3">
    <w:abstractNumId w:val="7"/>
  </w:num>
  <w:num w:numId="4">
    <w:abstractNumId w:val="6"/>
  </w:num>
  <w:num w:numId="5">
    <w:abstractNumId w:val="1"/>
  </w:num>
  <w:num w:numId="6">
    <w:abstractNumId w:val="4"/>
  </w:num>
  <w:num w:numId="7">
    <w:abstractNumId w:val="9"/>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51C"/>
    <w:rsid w:val="002E3420"/>
    <w:rsid w:val="004843B8"/>
    <w:rsid w:val="005103DB"/>
    <w:rsid w:val="0053251C"/>
    <w:rsid w:val="005D1A8F"/>
    <w:rsid w:val="00753D3B"/>
    <w:rsid w:val="00891096"/>
    <w:rsid w:val="00A83BE5"/>
    <w:rsid w:val="00AC19F2"/>
    <w:rsid w:val="00B200E6"/>
    <w:rsid w:val="00C4274C"/>
    <w:rsid w:val="00F94EF7"/>
    <w:rsid w:val="3A752464"/>
    <w:rsid w:val="43056288"/>
    <w:rsid w:val="580318D1"/>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uiPriority="0" w:semiHidden="0" w:name="header"/>
    <w:lsdException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iPriority="0" w:semiHidden="0" w:name="Table Grid"/>
    <w:lsdException w:uiPriority="99" w:name="Table Theme"/>
    <w:lsdException w:qFormat="1" w:unhideWhenUsed="0" w:uiPriority="99"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Arial" w:cs="Tahoma"/>
      <w:szCs w:val="24"/>
      <w:lang w:val="pt-BR" w:eastAsia="pt-BR" w:bidi="ar-SA"/>
    </w:rPr>
  </w:style>
  <w:style w:type="paragraph" w:styleId="2">
    <w:name w:val="heading 1"/>
    <w:basedOn w:val="1"/>
    <w:next w:val="1"/>
    <w:link w:val="5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semiHidden/>
    <w:unhideWhenUsed/>
    <w:qFormat/>
    <w:uiPriority w:val="9"/>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unhideWhenUsed/>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semiHidden/>
    <w:unhideWhenUsed/>
    <w:qFormat/>
    <w:uiPriority w:val="9"/>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semiHidden/>
    <w:unhideWhenUsed/>
    <w:qFormat/>
    <w:uiPriority w:val="9"/>
    <w:pPr>
      <w:numPr>
        <w:ilvl w:val="4"/>
        <w:numId w:val="1"/>
      </w:numPr>
      <w:spacing w:before="240" w:after="60"/>
      <w:outlineLvl w:val="4"/>
    </w:pPr>
    <w:rPr>
      <w:rFonts w:cs="Arial"/>
      <w:sz w:val="22"/>
      <w:szCs w:val="20"/>
      <w:lang w:eastAsia="zh-CN"/>
    </w:rPr>
  </w:style>
  <w:style w:type="paragraph" w:styleId="7">
    <w:name w:val="heading 6"/>
    <w:basedOn w:val="1"/>
    <w:next w:val="1"/>
    <w:link w:val="97"/>
    <w:semiHidden/>
    <w:unhideWhenUsed/>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qFormat/>
    <w:uiPriority w:val="10"/>
    <w:pPr>
      <w:keepNext/>
      <w:spacing w:before="240" w:after="120"/>
    </w:pPr>
    <w:rPr>
      <w:rFonts w:ascii="Liberation Sans" w:hAnsi="Liberation Sans" w:eastAsia="Microsoft YaHei" w:cs="Mangal"/>
      <w:sz w:val="28"/>
      <w:szCs w:val="28"/>
    </w:rPr>
  </w:style>
  <w:style w:type="paragraph" w:styleId="26">
    <w:name w:val="List Bullet 5"/>
    <w:basedOn w:val="1"/>
    <w:uiPriority w:val="0"/>
    <w:pPr>
      <w:numPr>
        <w:ilvl w:val="0"/>
        <w:numId w:val="2"/>
      </w:numPr>
      <w:contextualSpacing/>
    </w:pPr>
  </w:style>
  <w:style w:type="paragraph" w:styleId="27">
    <w:name w:val="Normal (Web)"/>
    <w:basedOn w:val="1"/>
    <w:uiPriority w:val="0"/>
    <w:pPr>
      <w:spacing w:after="280"/>
    </w:pPr>
    <w:rPr>
      <w:rFonts w:ascii="Times New Roman" w:hAnsi="Times New Roman" w:cs="Times New Roman"/>
    </w:rPr>
  </w:style>
  <w:style w:type="paragraph" w:styleId="28">
    <w:name w:val="Body Text 2"/>
    <w:basedOn w:val="1"/>
    <w:link w:val="474"/>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uiPriority w:val="0"/>
    <w:pPr>
      <w:tabs>
        <w:tab w:val="center" w:pos="4252"/>
        <w:tab w:val="right" w:pos="8504"/>
      </w:tabs>
    </w:pPr>
  </w:style>
  <w:style w:type="paragraph" w:styleId="30">
    <w:name w:val="annotation subject"/>
    <w:basedOn w:val="23"/>
    <w:next w:val="23"/>
    <w:link w:val="48"/>
    <w:semiHidden/>
    <w:unhideWhenUsed/>
    <w:uiPriority w:val="0"/>
    <w:rPr>
      <w:b/>
      <w:bCs/>
    </w:rPr>
  </w:style>
  <w:style w:type="paragraph" w:styleId="31">
    <w:name w:val="footer"/>
    <w:basedOn w:val="1"/>
    <w:link w:val="51"/>
    <w:unhideWhenUsed/>
    <w:uiPriority w:val="0"/>
    <w:pPr>
      <w:tabs>
        <w:tab w:val="center" w:pos="4252"/>
        <w:tab w:val="right" w:pos="8504"/>
      </w:tabs>
    </w:pPr>
  </w:style>
  <w:style w:type="paragraph" w:styleId="32">
    <w:name w:val="caption"/>
    <w:basedOn w:val="1"/>
    <w:next w:val="1"/>
    <w:qFormat/>
    <w:uiPriority w:val="0"/>
    <w:pPr>
      <w:suppressLineNumbers/>
      <w:spacing w:before="120" w:after="120"/>
    </w:pPr>
    <w:rPr>
      <w:rFonts w:cs="Mangal"/>
      <w:i/>
      <w:iCs/>
      <w:sz w:val="24"/>
    </w:rPr>
  </w:style>
  <w:style w:type="paragraph" w:styleId="33">
    <w:name w:val="Body Text Indent 3"/>
    <w:basedOn w:val="1"/>
    <w:link w:val="475"/>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1"/>
    <w:next w:val="1"/>
    <w:link w:val="470"/>
    <w:qFormat/>
    <w:uiPriority w:val="11"/>
    <w:pPr>
      <w:keepNext/>
      <w:spacing w:before="60" w:after="120"/>
      <w:jc w:val="center"/>
    </w:pPr>
    <w:rPr>
      <w:rFonts w:ascii="Liberation Sans" w:hAnsi="Liberation Sans" w:eastAsia="Liberation Sans" w:cs="Liberation Sans"/>
      <w:sz w:val="36"/>
      <w:szCs w:val="36"/>
    </w:rPr>
  </w:style>
  <w:style w:type="paragraph" w:styleId="36">
    <w:name w:val="Body Text Indent"/>
    <w:basedOn w:val="1"/>
    <w:link w:val="434"/>
    <w:qFormat/>
    <w:uiPriority w:val="0"/>
    <w:pPr>
      <w:spacing w:line="360" w:lineRule="auto"/>
      <w:ind w:left="360"/>
      <w:jc w:val="both"/>
    </w:pPr>
    <w:rPr>
      <w:rFonts w:ascii="Times New Roman" w:hAnsi="Times New Roman" w:cs="Times New Roman"/>
      <w:sz w:val="24"/>
      <w:szCs w:val="20"/>
      <w:lang w:eastAsia="zh-CN"/>
    </w:rPr>
  </w:style>
  <w:style w:type="table" w:styleId="37">
    <w:name w:val="Table Grid"/>
    <w:basedOn w:val="12"/>
    <w:unhideWhenUsed/>
    <w:qFormat/>
    <w:uiPriority w:val="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
    <w:name w:val="Table Normal"/>
    <w:uiPriority w:val="0"/>
    <w:tblPr>
      <w:tblCellMar>
        <w:top w:w="0" w:type="dxa"/>
        <w:left w:w="0" w:type="dxa"/>
        <w:bottom w:w="0" w:type="dxa"/>
        <w:right w:w="0" w:type="dxa"/>
      </w:tblCellMar>
    </w:tblPr>
  </w:style>
  <w:style w:type="character" w:customStyle="1" w:styleId="39">
    <w:name w:val="Texto de balão Char"/>
    <w:link w:val="34"/>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0"/>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0"/>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uiPriority w:val="0"/>
    <w:pPr>
      <w:suppressLineNumbers/>
    </w:pPr>
    <w:rPr>
      <w:rFonts w:cs="Mangal"/>
    </w:rPr>
  </w:style>
  <w:style w:type="paragraph" w:styleId="68">
    <w:name w:val="List Paragraph"/>
    <w:basedOn w:val="1"/>
    <w:link w:val="473"/>
    <w:qFormat/>
    <w:uiPriority w:val="34"/>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Arial"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Arial" w:hAnsi="Arial" w:eastAsia="Arial" w:cs="Arial"/>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Arial"/>
      <w:lang w:val="pt-BR" w:eastAsia="pt-BR" w:bidi="ar-SA"/>
    </w:rPr>
  </w:style>
  <w:style w:type="paragraph" w:customStyle="1" w:styleId="89">
    <w:name w:val="Nivel 1"/>
    <w:basedOn w:val="88"/>
    <w:next w:val="88"/>
    <w:qFormat/>
    <w:uiPriority w:val="0"/>
    <w:pPr>
      <w:numPr>
        <w:ilvl w:val="0"/>
      </w:numPr>
      <w:tabs>
        <w:tab w:val="left" w:pos="360"/>
      </w:tabs>
      <w:ind w:hanging="432"/>
    </w:pPr>
    <w:rPr>
      <w:b/>
    </w:rPr>
  </w:style>
  <w:style w:type="paragraph" w:customStyle="1" w:styleId="90">
    <w:name w:val="Nivel 3"/>
    <w:basedOn w:val="88"/>
    <w:qFormat/>
    <w:uiPriority w:val="0"/>
    <w:pPr>
      <w:numPr>
        <w:ilvl w:val="2"/>
      </w:numPr>
      <w:tabs>
        <w:tab w:val="left" w:pos="360"/>
      </w:tabs>
      <w:ind w:hanging="180"/>
    </w:pPr>
    <w:rPr>
      <w:color w:val="000000"/>
    </w:rPr>
  </w:style>
  <w:style w:type="paragraph" w:customStyle="1" w:styleId="91">
    <w:name w:val="Nivel 4"/>
    <w:basedOn w:val="90"/>
    <w:qFormat/>
    <w:uiPriority w:val="0"/>
    <w:pPr>
      <w:numPr>
        <w:ilvl w:val="3"/>
      </w:numPr>
      <w:tabs>
        <w:tab w:val="left" w:pos="2160"/>
      </w:tabs>
      <w:ind w:hanging="360"/>
    </w:pPr>
    <w:rPr>
      <w:color w:val="auto"/>
    </w:rPr>
  </w:style>
  <w:style w:type="paragraph" w:customStyle="1" w:styleId="92">
    <w:name w:val="Nivel 5"/>
    <w:basedOn w:val="91"/>
    <w:qFormat/>
    <w:uiPriority w:val="0"/>
    <w:pPr>
      <w:numPr>
        <w:ilvl w:val="4"/>
      </w:numPr>
      <w:ind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uiPriority w:val="0"/>
  </w:style>
  <w:style w:type="character" w:customStyle="1" w:styleId="118">
    <w:name w:val="WW8Num3z7"/>
    <w:uiPriority w:val="0"/>
  </w:style>
  <w:style w:type="character" w:customStyle="1" w:styleId="119">
    <w:name w:val="WW8Num3z8"/>
    <w:uiPriority w:val="0"/>
  </w:style>
  <w:style w:type="character" w:customStyle="1" w:styleId="120">
    <w:name w:val="WW8Num4z0"/>
    <w:uiPriority w:val="0"/>
    <w:rPr>
      <w:rFonts w:ascii="Symbol" w:hAnsi="Symbol" w:cs="Arial Narrow"/>
      <w:b/>
      <w:sz w:val="18"/>
      <w:szCs w:val="18"/>
    </w:rPr>
  </w:style>
  <w:style w:type="character" w:customStyle="1" w:styleId="121">
    <w:name w:val="WW8Num4z1"/>
    <w:uiPriority w:val="0"/>
    <w:rPr>
      <w:rFonts w:ascii="OpenSymbol" w:hAnsi="OpenSymbol" w:cs="OpenSymbol"/>
    </w:rPr>
  </w:style>
  <w:style w:type="character" w:customStyle="1" w:styleId="122">
    <w:name w:val="WW8Num5z0"/>
    <w:uiPriority w:val="0"/>
    <w:rPr>
      <w:rFonts w:cs="Arial"/>
      <w:b/>
    </w:rPr>
  </w:style>
  <w:style w:type="character" w:customStyle="1" w:styleId="123">
    <w:name w:val="WW8Num5z1"/>
    <w:uiPriority w:val="0"/>
  </w:style>
  <w:style w:type="character" w:customStyle="1" w:styleId="124">
    <w:name w:val="WW8Num5z2"/>
    <w:uiPriority w:val="0"/>
  </w:style>
  <w:style w:type="character" w:customStyle="1" w:styleId="125">
    <w:name w:val="WW8Num5z3"/>
    <w:uiPriority w:val="0"/>
  </w:style>
  <w:style w:type="character" w:customStyle="1" w:styleId="126">
    <w:name w:val="WW8Num5z4"/>
    <w:uiPriority w:val="0"/>
  </w:style>
  <w:style w:type="character" w:customStyle="1" w:styleId="127">
    <w:name w:val="WW8Num5z5"/>
    <w:uiPriority w:val="0"/>
    <w:rPr>
      <w:b/>
      <w:sz w:val="20"/>
      <w:szCs w:val="20"/>
    </w:rPr>
  </w:style>
  <w:style w:type="character" w:customStyle="1" w:styleId="128">
    <w:name w:val="WW8Num5z6"/>
    <w:uiPriority w:val="0"/>
  </w:style>
  <w:style w:type="character" w:customStyle="1" w:styleId="129">
    <w:name w:val="WW8Num5z7"/>
    <w:uiPriority w:val="0"/>
  </w:style>
  <w:style w:type="character" w:customStyle="1" w:styleId="130">
    <w:name w:val="WW8Num5z8"/>
    <w:uiPriority w:val="0"/>
  </w:style>
  <w:style w:type="character" w:customStyle="1" w:styleId="131">
    <w:name w:val="WW8Num6z0"/>
    <w:uiPriority w:val="0"/>
    <w:rPr>
      <w:rFonts w:ascii="Symbol" w:hAnsi="Symbol" w:cs="Symbol"/>
      <w:sz w:val="18"/>
      <w:szCs w:val="18"/>
    </w:rPr>
  </w:style>
  <w:style w:type="character" w:customStyle="1" w:styleId="132">
    <w:name w:val="WW8Num7z0"/>
    <w:uiPriority w:val="0"/>
    <w:rPr>
      <w:rFonts w:ascii="Symbol" w:hAnsi="Symbol" w:cs="Arial Narrow"/>
    </w:rPr>
  </w:style>
  <w:style w:type="character" w:customStyle="1" w:styleId="133">
    <w:name w:val="WW8Num8z0"/>
    <w:uiPriority w:val="0"/>
    <w:rPr>
      <w:rFonts w:ascii="Symbol" w:hAnsi="Symbol" w:cs="Symbol"/>
    </w:rPr>
  </w:style>
  <w:style w:type="character" w:customStyle="1" w:styleId="134">
    <w:name w:val="WW8Num9z0"/>
    <w:uiPriority w:val="0"/>
    <w:rPr>
      <w:rFonts w:ascii="Symbol" w:hAnsi="Symbol" w:cs="Symbol"/>
      <w:color w:val="auto"/>
      <w:sz w:val="18"/>
      <w:szCs w:val="18"/>
    </w:rPr>
  </w:style>
  <w:style w:type="character" w:customStyle="1" w:styleId="135">
    <w:name w:val="WW8Num10z0"/>
    <w:uiPriority w:val="0"/>
    <w:rPr>
      <w:rFonts w:ascii="Symbol" w:hAnsi="Symbol" w:cs="Symbol"/>
      <w:color w:val="auto"/>
      <w:sz w:val="18"/>
      <w:szCs w:val="18"/>
    </w:rPr>
  </w:style>
  <w:style w:type="character" w:customStyle="1" w:styleId="136">
    <w:name w:val="WW8Num11z0"/>
    <w:uiPriority w:val="0"/>
    <w:rPr>
      <w:rFonts w:ascii="Symbol" w:hAnsi="Symbol" w:cs="Arial"/>
      <w:b/>
      <w:sz w:val="20"/>
      <w:szCs w:val="20"/>
    </w:rPr>
  </w:style>
  <w:style w:type="character" w:customStyle="1" w:styleId="137">
    <w:name w:val="WW8Num12z0"/>
    <w:uiPriority w:val="0"/>
    <w:rPr>
      <w:rFonts w:ascii="Symbol" w:hAnsi="Symbol" w:cs="Arial Narrow"/>
      <w:b/>
      <w:sz w:val="20"/>
      <w:szCs w:val="20"/>
    </w:rPr>
  </w:style>
  <w:style w:type="character" w:customStyle="1" w:styleId="138">
    <w:name w:val="WW8Num13z0"/>
    <w:uiPriority w:val="0"/>
    <w:rPr>
      <w:rFonts w:cs="Arial Narrow"/>
    </w:rPr>
  </w:style>
  <w:style w:type="character" w:customStyle="1" w:styleId="139">
    <w:name w:val="WW8Num13z1"/>
    <w:uiPriority w:val="0"/>
    <w:rPr>
      <w:b/>
    </w:rPr>
  </w:style>
  <w:style w:type="character" w:customStyle="1" w:styleId="140">
    <w:name w:val="WW8Num13z2"/>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uiPriority w:val="0"/>
  </w:style>
  <w:style w:type="character" w:customStyle="1" w:styleId="160">
    <w:name w:val="WW8Num15z4"/>
    <w:uiPriority w:val="0"/>
  </w:style>
  <w:style w:type="character" w:customStyle="1" w:styleId="161">
    <w:name w:val="WW8Num15z5"/>
    <w:uiPriority w:val="0"/>
  </w:style>
  <w:style w:type="character" w:customStyle="1" w:styleId="162">
    <w:name w:val="WW8Num15z6"/>
    <w:uiPriority w:val="0"/>
  </w:style>
  <w:style w:type="character" w:customStyle="1" w:styleId="163">
    <w:name w:val="WW8Num15z7"/>
    <w:uiPriority w:val="0"/>
  </w:style>
  <w:style w:type="character" w:customStyle="1" w:styleId="164">
    <w:name w:val="WW8Num15z8"/>
    <w:uiPriority w:val="0"/>
  </w:style>
  <w:style w:type="character" w:customStyle="1" w:styleId="165">
    <w:name w:val="WW8Num16z0"/>
    <w:uiPriority w:val="0"/>
    <w:rPr>
      <w:rFonts w:ascii="Symbol" w:hAnsi="Symbol" w:cs="Symbol"/>
      <w:color w:val="auto"/>
      <w:sz w:val="18"/>
      <w:szCs w:val="18"/>
    </w:rPr>
  </w:style>
  <w:style w:type="character" w:customStyle="1" w:styleId="166">
    <w:name w:val="WW8Num17z0"/>
    <w:uiPriority w:val="0"/>
    <w:rPr>
      <w:rFonts w:ascii="Symbol" w:hAnsi="Symbol" w:cs="Arial"/>
      <w:sz w:val="20"/>
      <w:szCs w:val="20"/>
    </w:rPr>
  </w:style>
  <w:style w:type="character" w:customStyle="1" w:styleId="167">
    <w:name w:val="WW8Num17z1"/>
    <w:uiPriority w:val="0"/>
    <w:rPr>
      <w:rFonts w:ascii="OpenSymbol" w:hAnsi="OpenSymbol" w:cs="OpenSymbol"/>
    </w:rPr>
  </w:style>
  <w:style w:type="character" w:customStyle="1" w:styleId="168">
    <w:name w:val="WW8Num18z0"/>
    <w:uiPriority w:val="0"/>
    <w:rPr>
      <w:rFonts w:hint="default" w:ascii="Arial Narrow" w:hAnsi="Arial Narrow" w:eastAsia="Arial Narrow" w:cs="Arial Narrow"/>
      <w:b/>
    </w:rPr>
  </w:style>
  <w:style w:type="character" w:customStyle="1" w:styleId="169">
    <w:name w:val="WW8Num19z0"/>
    <w:uiPriority w:val="0"/>
    <w:rPr>
      <w:rFonts w:hint="default" w:ascii="Symbol" w:hAnsi="Symbol" w:cs="Symbol"/>
    </w:rPr>
  </w:style>
  <w:style w:type="character" w:customStyle="1" w:styleId="170">
    <w:name w:val="WW8Num20z0"/>
    <w:uiPriority w:val="0"/>
    <w:rPr>
      <w:rFonts w:hint="default" w:ascii="Arial Narrow" w:hAnsi="Arial Narrow" w:cs="Arial Narrow"/>
    </w:rPr>
  </w:style>
  <w:style w:type="character" w:customStyle="1" w:styleId="171">
    <w:name w:val="WW8Num21z0"/>
    <w:uiPriority w:val="0"/>
    <w:rPr>
      <w:rFonts w:hint="default" w:ascii="Arial Narrow" w:hAnsi="Arial Narrow" w:cs="Arial Narrow"/>
      <w:b/>
      <w:sz w:val="20"/>
      <w:szCs w:val="20"/>
    </w:rPr>
  </w:style>
  <w:style w:type="character" w:customStyle="1" w:styleId="172">
    <w:name w:val="Fonte parág. padrão4"/>
    <w:uiPriority w:val="0"/>
  </w:style>
  <w:style w:type="character" w:customStyle="1" w:styleId="173">
    <w:name w:val="WW8Num8z1"/>
    <w:uiPriority w:val="0"/>
    <w:rPr>
      <w:rFonts w:ascii="Wingdings" w:hAnsi="Wingdings" w:cs="Courier New"/>
    </w:rPr>
  </w:style>
  <w:style w:type="character" w:customStyle="1" w:styleId="174">
    <w:name w:val="WW8Num8z3"/>
    <w:uiPriority w:val="0"/>
  </w:style>
  <w:style w:type="character" w:customStyle="1" w:styleId="175">
    <w:name w:val="WW8Num8z4"/>
    <w:uiPriority w:val="0"/>
  </w:style>
  <w:style w:type="character" w:customStyle="1" w:styleId="176">
    <w:name w:val="WW8Num8z7"/>
    <w:uiPriority w:val="0"/>
    <w:rPr>
      <w:rFonts w:ascii="Courier New" w:hAnsi="Courier New" w:cs="Courier New"/>
    </w:rPr>
  </w:style>
  <w:style w:type="character" w:customStyle="1" w:styleId="177">
    <w:name w:val="WW8Num9z1"/>
    <w:uiPriority w:val="0"/>
  </w:style>
  <w:style w:type="character" w:customStyle="1" w:styleId="178">
    <w:name w:val="WW8Num9z2"/>
    <w:uiPriority w:val="0"/>
  </w:style>
  <w:style w:type="character" w:customStyle="1" w:styleId="179">
    <w:name w:val="WW8Num9z3"/>
    <w:uiPriority w:val="0"/>
  </w:style>
  <w:style w:type="character" w:customStyle="1" w:styleId="180">
    <w:name w:val="WW8Num9z4"/>
    <w:uiPriority w:val="0"/>
  </w:style>
  <w:style w:type="character" w:customStyle="1" w:styleId="181">
    <w:name w:val="WW8Num9z5"/>
    <w:uiPriority w:val="0"/>
  </w:style>
  <w:style w:type="character" w:customStyle="1" w:styleId="182">
    <w:name w:val="WW8Num9z6"/>
    <w:uiPriority w:val="0"/>
  </w:style>
  <w:style w:type="character" w:customStyle="1" w:styleId="183">
    <w:name w:val="WW8Num9z7"/>
    <w:uiPriority w:val="0"/>
  </w:style>
  <w:style w:type="character" w:customStyle="1" w:styleId="184">
    <w:name w:val="WW8Num9z8"/>
    <w:uiPriority w:val="0"/>
  </w:style>
  <w:style w:type="character" w:customStyle="1" w:styleId="185">
    <w:name w:val="WW8Num16z1"/>
    <w:uiPriority w:val="0"/>
    <w:rPr>
      <w:b/>
    </w:rPr>
  </w:style>
  <w:style w:type="character" w:customStyle="1" w:styleId="186">
    <w:name w:val="WW8Num16z2"/>
    <w:uiPriority w:val="0"/>
  </w:style>
  <w:style w:type="character" w:customStyle="1" w:styleId="187">
    <w:name w:val="WW8Num16z3"/>
    <w:uiPriority w:val="0"/>
  </w:style>
  <w:style w:type="character" w:customStyle="1" w:styleId="188">
    <w:name w:val="WW8Num16z4"/>
    <w:uiPriority w:val="0"/>
  </w:style>
  <w:style w:type="character" w:customStyle="1" w:styleId="189">
    <w:name w:val="WW8Num16z5"/>
    <w:uiPriority w:val="0"/>
  </w:style>
  <w:style w:type="character" w:customStyle="1" w:styleId="190">
    <w:name w:val="WW8Num16z6"/>
    <w:uiPriority w:val="0"/>
  </w:style>
  <w:style w:type="character" w:customStyle="1" w:styleId="191">
    <w:name w:val="WW8Num16z7"/>
    <w:uiPriority w:val="0"/>
  </w:style>
  <w:style w:type="character" w:customStyle="1" w:styleId="192">
    <w:name w:val="WW8Num16z8"/>
    <w:uiPriority w:val="0"/>
  </w:style>
  <w:style w:type="character" w:customStyle="1" w:styleId="193">
    <w:name w:val="WW8Num17z2"/>
    <w:uiPriority w:val="0"/>
  </w:style>
  <w:style w:type="character" w:customStyle="1" w:styleId="194">
    <w:name w:val="WW8Num17z3"/>
    <w:uiPriority w:val="0"/>
  </w:style>
  <w:style w:type="character" w:customStyle="1" w:styleId="195">
    <w:name w:val="WW8Num17z4"/>
    <w:uiPriority w:val="0"/>
  </w:style>
  <w:style w:type="character" w:customStyle="1" w:styleId="196">
    <w:name w:val="WW8Num17z5"/>
    <w:uiPriority w:val="0"/>
  </w:style>
  <w:style w:type="character" w:customStyle="1" w:styleId="197">
    <w:name w:val="WW8Num17z6"/>
    <w:uiPriority w:val="0"/>
  </w:style>
  <w:style w:type="character" w:customStyle="1" w:styleId="198">
    <w:name w:val="WW8Num17z7"/>
    <w:uiPriority w:val="0"/>
  </w:style>
  <w:style w:type="character" w:customStyle="1" w:styleId="199">
    <w:name w:val="WW8Num17z8"/>
    <w:uiPriority w:val="0"/>
  </w:style>
  <w:style w:type="character" w:customStyle="1" w:styleId="200">
    <w:name w:val="WW8Num19z1"/>
    <w:uiPriority w:val="0"/>
    <w:rPr>
      <w:rFonts w:ascii="Courier New" w:hAnsi="Courier New" w:cs="Courier New"/>
    </w:rPr>
  </w:style>
  <w:style w:type="character" w:customStyle="1" w:styleId="201">
    <w:name w:val="WW8Num19z2"/>
    <w:uiPriority w:val="0"/>
    <w:rPr>
      <w:rFonts w:ascii="Wingdings" w:hAnsi="Wingdings" w:cs="Wingdings"/>
    </w:rPr>
  </w:style>
  <w:style w:type="character" w:customStyle="1" w:styleId="202">
    <w:name w:val="WW8Num19z3"/>
    <w:uiPriority w:val="0"/>
  </w:style>
  <w:style w:type="character" w:customStyle="1" w:styleId="203">
    <w:name w:val="WW8Num19z4"/>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uiPriority w:val="0"/>
  </w:style>
  <w:style w:type="character" w:customStyle="1" w:styleId="223">
    <w:name w:val="WW8Num23z5"/>
    <w:uiPriority w:val="0"/>
  </w:style>
  <w:style w:type="character" w:customStyle="1" w:styleId="224">
    <w:name w:val="WW8Num23z6"/>
    <w:uiPriority w:val="0"/>
  </w:style>
  <w:style w:type="character" w:customStyle="1" w:styleId="225">
    <w:name w:val="WW8Num23z7"/>
    <w:uiPriority w:val="0"/>
  </w:style>
  <w:style w:type="character" w:customStyle="1" w:styleId="226">
    <w:name w:val="WW8Num23z8"/>
    <w:uiPriority w:val="0"/>
  </w:style>
  <w:style w:type="character" w:customStyle="1" w:styleId="227">
    <w:name w:val="WW8Num24z0"/>
    <w:uiPriority w:val="0"/>
    <w:rPr>
      <w:rFonts w:hint="default" w:ascii="Arial Narrow" w:hAnsi="Arial Narrow" w:eastAsia="Arial Narrow" w:cs="Arial Narrow"/>
      <w:b/>
    </w:rPr>
  </w:style>
  <w:style w:type="character" w:customStyle="1" w:styleId="228">
    <w:name w:val="WW8Num24z1"/>
    <w:uiPriority w:val="0"/>
  </w:style>
  <w:style w:type="character" w:customStyle="1" w:styleId="229">
    <w:name w:val="WW8Num24z2"/>
    <w:uiPriority w:val="0"/>
  </w:style>
  <w:style w:type="character" w:customStyle="1" w:styleId="230">
    <w:name w:val="WW8Num24z3"/>
    <w:uiPriority w:val="0"/>
  </w:style>
  <w:style w:type="character" w:customStyle="1" w:styleId="231">
    <w:name w:val="WW8Num24z4"/>
    <w:uiPriority w:val="0"/>
  </w:style>
  <w:style w:type="character" w:customStyle="1" w:styleId="232">
    <w:name w:val="WW8Num24z5"/>
    <w:uiPriority w:val="0"/>
  </w:style>
  <w:style w:type="character" w:customStyle="1" w:styleId="233">
    <w:name w:val="WW8Num24z6"/>
    <w:uiPriority w:val="0"/>
  </w:style>
  <w:style w:type="character" w:customStyle="1" w:styleId="234">
    <w:name w:val="WW8Num24z7"/>
    <w:uiPriority w:val="0"/>
  </w:style>
  <w:style w:type="character" w:customStyle="1" w:styleId="235">
    <w:name w:val="WW8Num24z8"/>
    <w:uiPriority w:val="0"/>
  </w:style>
  <w:style w:type="character" w:customStyle="1" w:styleId="236">
    <w:name w:val="WW8Num25z0"/>
    <w:uiPriority w:val="0"/>
    <w:rPr>
      <w:rFonts w:hint="default" w:ascii="Symbol" w:hAnsi="Symbol" w:cs="Symbol"/>
    </w:rPr>
  </w:style>
  <w:style w:type="character" w:customStyle="1" w:styleId="237">
    <w:name w:val="WW8Num25z1"/>
    <w:uiPriority w:val="0"/>
    <w:rPr>
      <w:rFonts w:hint="default" w:ascii="Courier New" w:hAnsi="Courier New" w:cs="Courier New"/>
    </w:rPr>
  </w:style>
  <w:style w:type="character" w:customStyle="1" w:styleId="238">
    <w:name w:val="WW8Num25z2"/>
    <w:uiPriority w:val="0"/>
    <w:rPr>
      <w:rFonts w:hint="default" w:ascii="Wingdings" w:hAnsi="Wingdings" w:cs="Wingdings"/>
    </w:rPr>
  </w:style>
  <w:style w:type="character" w:customStyle="1" w:styleId="239">
    <w:name w:val="WW8Num26z0"/>
    <w:uiPriority w:val="0"/>
    <w:rPr>
      <w:rFonts w:hint="default" w:ascii="Arial Narrow" w:hAnsi="Arial Narrow" w:cs="Arial Narrow"/>
    </w:rPr>
  </w:style>
  <w:style w:type="character" w:customStyle="1" w:styleId="240">
    <w:name w:val="WW8Num26z1"/>
    <w:uiPriority w:val="0"/>
  </w:style>
  <w:style w:type="character" w:customStyle="1" w:styleId="241">
    <w:name w:val="WW8Num26z2"/>
    <w:uiPriority w:val="0"/>
  </w:style>
  <w:style w:type="character" w:customStyle="1" w:styleId="242">
    <w:name w:val="WW8Num26z3"/>
    <w:uiPriority w:val="0"/>
  </w:style>
  <w:style w:type="character" w:customStyle="1" w:styleId="243">
    <w:name w:val="WW8Num26z4"/>
    <w:uiPriority w:val="0"/>
  </w:style>
  <w:style w:type="character" w:customStyle="1" w:styleId="244">
    <w:name w:val="WW8Num26z5"/>
    <w:uiPriority w:val="0"/>
  </w:style>
  <w:style w:type="character" w:customStyle="1" w:styleId="245">
    <w:name w:val="WW8Num26z6"/>
    <w:uiPriority w:val="0"/>
  </w:style>
  <w:style w:type="character" w:customStyle="1" w:styleId="246">
    <w:name w:val="WW8Num26z7"/>
    <w:uiPriority w:val="0"/>
  </w:style>
  <w:style w:type="character" w:customStyle="1" w:styleId="247">
    <w:name w:val="WW8Num26z8"/>
    <w:uiPriority w:val="0"/>
  </w:style>
  <w:style w:type="character" w:customStyle="1" w:styleId="248">
    <w:name w:val="WW8Num27z0"/>
    <w:uiPriority w:val="0"/>
    <w:rPr>
      <w:rFonts w:hint="default" w:ascii="Arial Narrow" w:hAnsi="Arial Narrow" w:cs="Arial Narrow"/>
      <w:b/>
      <w:sz w:val="20"/>
      <w:szCs w:val="20"/>
    </w:rPr>
  </w:style>
  <w:style w:type="character" w:customStyle="1" w:styleId="249">
    <w:name w:val="WW8Num27z1"/>
    <w:uiPriority w:val="0"/>
  </w:style>
  <w:style w:type="character" w:customStyle="1" w:styleId="250">
    <w:name w:val="WW8Num27z2"/>
    <w:uiPriority w:val="0"/>
  </w:style>
  <w:style w:type="character" w:customStyle="1" w:styleId="251">
    <w:name w:val="WW8Num27z3"/>
    <w:uiPriority w:val="0"/>
  </w:style>
  <w:style w:type="character" w:customStyle="1" w:styleId="252">
    <w:name w:val="WW8Num27z4"/>
    <w:uiPriority w:val="0"/>
  </w:style>
  <w:style w:type="character" w:customStyle="1" w:styleId="253">
    <w:name w:val="WW8Num27z5"/>
    <w:uiPriority w:val="0"/>
  </w:style>
  <w:style w:type="character" w:customStyle="1" w:styleId="254">
    <w:name w:val="WW8Num27z6"/>
    <w:uiPriority w:val="0"/>
  </w:style>
  <w:style w:type="character" w:customStyle="1" w:styleId="255">
    <w:name w:val="WW8Num27z7"/>
    <w:uiPriority w:val="0"/>
  </w:style>
  <w:style w:type="character" w:customStyle="1" w:styleId="256">
    <w:name w:val="WW8Num27z8"/>
    <w:uiPriority w:val="0"/>
  </w:style>
  <w:style w:type="character" w:customStyle="1" w:styleId="257">
    <w:name w:val="Fonte parág. padrão3"/>
    <w:uiPriority w:val="0"/>
  </w:style>
  <w:style w:type="character" w:customStyle="1" w:styleId="258">
    <w:name w:val="Fonte parág. padrão2"/>
    <w:uiPriority w:val="0"/>
  </w:style>
  <w:style w:type="character" w:customStyle="1" w:styleId="259">
    <w:name w:val="WW8Num6z1"/>
    <w:uiPriority w:val="0"/>
    <w:rPr>
      <w:rFonts w:ascii="Courier New" w:hAnsi="Courier New" w:cs="Courier New"/>
    </w:rPr>
  </w:style>
  <w:style w:type="character" w:customStyle="1" w:styleId="260">
    <w:name w:val="WW8Num6z2"/>
    <w:uiPriority w:val="0"/>
    <w:rPr>
      <w:rFonts w:ascii="Wingdings" w:hAnsi="Wingdings" w:cs="Wingdings"/>
    </w:rPr>
  </w:style>
  <w:style w:type="character" w:customStyle="1" w:styleId="261">
    <w:name w:val="WW8Num6z3"/>
    <w:uiPriority w:val="0"/>
  </w:style>
  <w:style w:type="character" w:customStyle="1" w:styleId="262">
    <w:name w:val="WW8Num6z4"/>
    <w:uiPriority w:val="0"/>
  </w:style>
  <w:style w:type="character" w:customStyle="1" w:styleId="263">
    <w:name w:val="WW8Num6z5"/>
    <w:uiPriority w:val="0"/>
  </w:style>
  <w:style w:type="character" w:customStyle="1" w:styleId="264">
    <w:name w:val="WW8Num6z6"/>
    <w:uiPriority w:val="0"/>
  </w:style>
  <w:style w:type="character" w:customStyle="1" w:styleId="265">
    <w:name w:val="WW8Num6z7"/>
    <w:uiPriority w:val="0"/>
  </w:style>
  <w:style w:type="character" w:customStyle="1" w:styleId="266">
    <w:name w:val="WW8Num6z8"/>
    <w:uiPriority w:val="0"/>
  </w:style>
  <w:style w:type="character" w:customStyle="1" w:styleId="267">
    <w:name w:val="WW8Num10z1"/>
    <w:uiPriority w:val="0"/>
    <w:rPr>
      <w:rFonts w:ascii="Wingdings" w:hAnsi="Wingdings" w:cs="Wingdings"/>
    </w:rPr>
  </w:style>
  <w:style w:type="character" w:customStyle="1" w:styleId="268">
    <w:name w:val="WW8Num10z2"/>
    <w:uiPriority w:val="0"/>
    <w:rPr>
      <w:b/>
    </w:rPr>
  </w:style>
  <w:style w:type="character" w:customStyle="1" w:styleId="269">
    <w:name w:val="WW8Num18z1"/>
    <w:uiPriority w:val="0"/>
    <w:rPr>
      <w:rFonts w:ascii="Courier New" w:hAnsi="Courier New" w:cs="Courier New"/>
    </w:rPr>
  </w:style>
  <w:style w:type="character" w:customStyle="1" w:styleId="270">
    <w:name w:val="WW8Num18z2"/>
    <w:uiPriority w:val="0"/>
    <w:rPr>
      <w:rFonts w:ascii="Wingdings" w:hAnsi="Wingdings" w:cs="Wingdings"/>
    </w:rPr>
  </w:style>
  <w:style w:type="character" w:customStyle="1" w:styleId="271">
    <w:name w:val="WW8Num18z3"/>
    <w:uiPriority w:val="0"/>
  </w:style>
  <w:style w:type="character" w:customStyle="1" w:styleId="272">
    <w:name w:val="WW8Num18z4"/>
    <w:uiPriority w:val="0"/>
  </w:style>
  <w:style w:type="character" w:customStyle="1" w:styleId="273">
    <w:name w:val="WW8Num18z5"/>
    <w:uiPriority w:val="0"/>
  </w:style>
  <w:style w:type="character" w:customStyle="1" w:styleId="274">
    <w:name w:val="WW8Num18z6"/>
    <w:uiPriority w:val="0"/>
  </w:style>
  <w:style w:type="character" w:customStyle="1" w:styleId="275">
    <w:name w:val="WW8Num18z7"/>
    <w:uiPriority w:val="0"/>
  </w:style>
  <w:style w:type="character" w:customStyle="1" w:styleId="276">
    <w:name w:val="WW8Num18z8"/>
    <w:uiPriority w:val="0"/>
  </w:style>
  <w:style w:type="character" w:customStyle="1" w:styleId="277">
    <w:name w:val="WW8Num20z1"/>
    <w:uiPriority w:val="0"/>
    <w:rPr>
      <w:rFonts w:ascii="Courier New" w:hAnsi="Courier New" w:cs="Courier New"/>
    </w:rPr>
  </w:style>
  <w:style w:type="character" w:customStyle="1" w:styleId="278">
    <w:name w:val="WW8Num20z2"/>
    <w:uiPriority w:val="0"/>
    <w:rPr>
      <w:rFonts w:ascii="Wingdings" w:hAnsi="Wingdings" w:cs="Wingdings"/>
    </w:rPr>
  </w:style>
  <w:style w:type="character" w:customStyle="1" w:styleId="279">
    <w:name w:val="WW8Num20z3"/>
    <w:uiPriority w:val="0"/>
  </w:style>
  <w:style w:type="character" w:customStyle="1" w:styleId="280">
    <w:name w:val="WW8Num20z4"/>
    <w:uiPriority w:val="0"/>
  </w:style>
  <w:style w:type="character" w:customStyle="1" w:styleId="281">
    <w:name w:val="WW8Num20z5"/>
    <w:uiPriority w:val="0"/>
  </w:style>
  <w:style w:type="character" w:customStyle="1" w:styleId="282">
    <w:name w:val="WW8Num20z6"/>
    <w:uiPriority w:val="0"/>
  </w:style>
  <w:style w:type="character" w:customStyle="1" w:styleId="283">
    <w:name w:val="WW8Num20z7"/>
    <w:uiPriority w:val="0"/>
  </w:style>
  <w:style w:type="character" w:customStyle="1" w:styleId="284">
    <w:name w:val="WW8Num20z8"/>
    <w:uiPriority w:val="0"/>
  </w:style>
  <w:style w:type="character" w:customStyle="1" w:styleId="285">
    <w:name w:val="WW8Num7z1"/>
    <w:uiPriority w:val="0"/>
  </w:style>
  <w:style w:type="character" w:customStyle="1" w:styleId="286">
    <w:name w:val="WW8Num7z2"/>
    <w:uiPriority w:val="0"/>
    <w:rPr>
      <w:rFonts w:ascii="Arial Narrow" w:hAnsi="Arial Narrow" w:cs="Arial Narrow"/>
      <w:b/>
      <w:sz w:val="18"/>
      <w:szCs w:val="18"/>
    </w:rPr>
  </w:style>
  <w:style w:type="character" w:customStyle="1" w:styleId="287">
    <w:name w:val="WW8Num7z3"/>
    <w:uiPriority w:val="0"/>
  </w:style>
  <w:style w:type="character" w:customStyle="1" w:styleId="288">
    <w:name w:val="WW8Num7z4"/>
    <w:uiPriority w:val="0"/>
  </w:style>
  <w:style w:type="character" w:customStyle="1" w:styleId="289">
    <w:name w:val="WW8Num7z5"/>
    <w:uiPriority w:val="0"/>
  </w:style>
  <w:style w:type="character" w:customStyle="1" w:styleId="290">
    <w:name w:val="WW8Num7z6"/>
    <w:uiPriority w:val="0"/>
  </w:style>
  <w:style w:type="character" w:customStyle="1" w:styleId="291">
    <w:name w:val="WW8Num7z7"/>
    <w:uiPriority w:val="0"/>
  </w:style>
  <w:style w:type="character" w:customStyle="1" w:styleId="292">
    <w:name w:val="WW8Num7z8"/>
    <w:uiPriority w:val="0"/>
  </w:style>
  <w:style w:type="character" w:customStyle="1" w:styleId="293">
    <w:name w:val="WW8Num10z3"/>
    <w:uiPriority w:val="0"/>
    <w:rPr>
      <w:rFonts w:ascii="Arial Narrow" w:hAnsi="Arial Narrow" w:cs="Arial Narrow"/>
      <w:b/>
      <w:sz w:val="20"/>
      <w:szCs w:val="20"/>
    </w:rPr>
  </w:style>
  <w:style w:type="character" w:customStyle="1" w:styleId="294">
    <w:name w:val="WW8Num10z4"/>
    <w:uiPriority w:val="0"/>
  </w:style>
  <w:style w:type="character" w:customStyle="1" w:styleId="295">
    <w:name w:val="WW8Num10z7"/>
    <w:uiPriority w:val="0"/>
    <w:rPr>
      <w:rFonts w:ascii="Courier New" w:hAnsi="Courier New" w:cs="Courier New"/>
    </w:rPr>
  </w:style>
  <w:style w:type="character" w:customStyle="1" w:styleId="296">
    <w:name w:val="WW8Num11z1"/>
    <w:uiPriority w:val="0"/>
    <w:rPr>
      <w:sz w:val="20"/>
      <w:szCs w:val="20"/>
    </w:rPr>
  </w:style>
  <w:style w:type="character" w:customStyle="1" w:styleId="297">
    <w:name w:val="WW8Num11z2"/>
    <w:uiPriority w:val="0"/>
    <w:rPr>
      <w:b/>
    </w:rPr>
  </w:style>
  <w:style w:type="character" w:customStyle="1" w:styleId="298">
    <w:name w:val="WW8Num2z1"/>
    <w:uiPriority w:val="0"/>
  </w:style>
  <w:style w:type="character" w:customStyle="1" w:styleId="299">
    <w:name w:val="WW8Num2z2"/>
    <w:uiPriority w:val="0"/>
  </w:style>
  <w:style w:type="character" w:customStyle="1" w:styleId="300">
    <w:name w:val="WW8Num2z3"/>
    <w:uiPriority w:val="0"/>
  </w:style>
  <w:style w:type="character" w:customStyle="1" w:styleId="301">
    <w:name w:val="WW8Num2z4"/>
    <w:uiPriority w:val="0"/>
  </w:style>
  <w:style w:type="character" w:customStyle="1" w:styleId="302">
    <w:name w:val="WW8Num2z5"/>
    <w:uiPriority w:val="0"/>
  </w:style>
  <w:style w:type="character" w:customStyle="1" w:styleId="303">
    <w:name w:val="WW8Num2z6"/>
    <w:uiPriority w:val="0"/>
  </w:style>
  <w:style w:type="character" w:customStyle="1" w:styleId="304">
    <w:name w:val="WW8Num2z7"/>
    <w:uiPriority w:val="0"/>
  </w:style>
  <w:style w:type="character" w:customStyle="1" w:styleId="305">
    <w:name w:val="WW8Num2z8"/>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uiPriority w:val="0"/>
  </w:style>
  <w:style w:type="character" w:customStyle="1" w:styleId="334">
    <w:name w:val="WW8Num25z8"/>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428"/>
    <w:next w:val="21"/>
    <w:qFormat/>
    <w:uiPriority w:val="0"/>
    <w:pPr>
      <w:jc w:val="center"/>
    </w:pPr>
    <w:rPr>
      <w:b/>
      <w:bCs/>
      <w:sz w:val="56"/>
      <w:szCs w:val="56"/>
    </w:rPr>
  </w:style>
  <w:style w:type="paragraph" w:customStyle="1" w:styleId="428">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customStyle="1" w:styleId="429">
    <w:name w:val="Título1"/>
    <w:basedOn w:val="1"/>
    <w:next w:val="21"/>
    <w:qFormat/>
    <w:uiPriority w:val="0"/>
    <w:pPr>
      <w:keepNext/>
      <w:spacing w:before="240" w:after="120"/>
    </w:pPr>
    <w:rPr>
      <w:rFonts w:eastAsia="Microsoft YaHei" w:cs="Mangal"/>
      <w:sz w:val="28"/>
      <w:szCs w:val="28"/>
      <w:lang w:eastAsia="zh-CN"/>
    </w:rPr>
  </w:style>
  <w:style w:type="paragraph" w:customStyle="1" w:styleId="430">
    <w:name w:val="Com marcadores 21"/>
    <w:basedOn w:val="1"/>
    <w:qFormat/>
    <w:uiPriority w:val="0"/>
    <w:pPr>
      <w:ind w:left="566" w:hanging="283"/>
    </w:pPr>
    <w:rPr>
      <w:rFonts w:ascii="Times New Roman" w:hAnsi="Times New Roman" w:cs="Times New Roman"/>
      <w:szCs w:val="20"/>
      <w:lang w:eastAsia="zh-CN"/>
    </w:rPr>
  </w:style>
  <w:style w:type="paragraph" w:customStyle="1" w:styleId="431">
    <w:name w:val="Cabeçalho da mensagem1"/>
    <w:basedOn w:val="1"/>
    <w:qFormat/>
    <w:uiPriority w:val="0"/>
    <w:pPr>
      <w:ind w:left="1134" w:hanging="1134"/>
    </w:pPr>
    <w:rPr>
      <w:rFonts w:cs="Arial"/>
      <w:sz w:val="24"/>
      <w:szCs w:val="20"/>
      <w:lang w:eastAsia="zh-CN"/>
    </w:rPr>
  </w:style>
  <w:style w:type="paragraph" w:customStyle="1" w:styleId="432">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3">
    <w:name w:val="Corpo de texto 31"/>
    <w:basedOn w:val="432"/>
    <w:qFormat/>
    <w:uiPriority w:val="0"/>
  </w:style>
  <w:style w:type="character" w:customStyle="1" w:styleId="434">
    <w:name w:val="Recuo de corpo de texto Char"/>
    <w:basedOn w:val="11"/>
    <w:link w:val="36"/>
    <w:qFormat/>
    <w:uiPriority w:val="0"/>
    <w:rPr>
      <w:sz w:val="24"/>
      <w:lang w:eastAsia="zh-CN"/>
    </w:rPr>
  </w:style>
  <w:style w:type="paragraph" w:customStyle="1" w:styleId="435">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6">
    <w:name w:val="Corpo de texto 311"/>
    <w:basedOn w:val="1"/>
    <w:qFormat/>
    <w:uiPriority w:val="0"/>
    <w:pPr>
      <w:jc w:val="both"/>
    </w:pPr>
    <w:rPr>
      <w:rFonts w:ascii="Times New Roman" w:hAnsi="Times New Roman" w:cs="Times New Roman"/>
      <w:b/>
      <w:sz w:val="22"/>
      <w:szCs w:val="20"/>
      <w:lang w:eastAsia="zh-CN"/>
    </w:rPr>
  </w:style>
  <w:style w:type="paragraph" w:customStyle="1" w:styleId="437">
    <w:name w:val="Body Text 21"/>
    <w:basedOn w:val="1"/>
    <w:uiPriority w:val="0"/>
    <w:pPr>
      <w:jc w:val="both"/>
    </w:pPr>
    <w:rPr>
      <w:rFonts w:ascii="Times New Roman" w:hAnsi="Times New Roman" w:cs="Times New Roman"/>
      <w:sz w:val="24"/>
      <w:szCs w:val="20"/>
      <w:lang w:eastAsia="zh-CN"/>
    </w:rPr>
  </w:style>
  <w:style w:type="paragraph" w:customStyle="1" w:styleId="438">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9">
    <w:name w:val="Saudação1"/>
    <w:basedOn w:val="1"/>
    <w:qFormat/>
    <w:uiPriority w:val="0"/>
    <w:pPr>
      <w:jc w:val="both"/>
    </w:pPr>
    <w:rPr>
      <w:rFonts w:cs="Arial"/>
      <w:sz w:val="24"/>
      <w:szCs w:val="20"/>
      <w:lang w:eastAsia="zh-CN"/>
    </w:rPr>
  </w:style>
  <w:style w:type="paragraph" w:customStyle="1" w:styleId="440">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1">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2">
    <w:name w:val="tex3b"/>
    <w:basedOn w:val="1"/>
    <w:qFormat/>
    <w:uiPriority w:val="0"/>
    <w:pPr>
      <w:spacing w:before="280" w:after="280"/>
    </w:pPr>
    <w:rPr>
      <w:rFonts w:ascii="Verdana" w:hAnsi="Verdana" w:cs="Verdana"/>
      <w:b/>
      <w:bCs/>
      <w:color w:val="000000"/>
      <w:sz w:val="18"/>
      <w:szCs w:val="18"/>
      <w:lang w:eastAsia="zh-CN"/>
    </w:rPr>
  </w:style>
  <w:style w:type="paragraph" w:customStyle="1" w:styleId="443">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4">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5">
    <w:name w:val="Estilo1"/>
    <w:basedOn w:val="1"/>
    <w:qFormat/>
    <w:uiPriority w:val="0"/>
    <w:pPr>
      <w:jc w:val="both"/>
    </w:pPr>
    <w:rPr>
      <w:rFonts w:ascii="Verdana" w:hAnsi="Verdana" w:cs="Verdana"/>
      <w:sz w:val="16"/>
      <w:szCs w:val="20"/>
      <w:lang w:eastAsia="zh-CN"/>
    </w:rPr>
  </w:style>
  <w:style w:type="paragraph" w:customStyle="1" w:styleId="446">
    <w:name w:val="Texto sem Formatação1"/>
    <w:basedOn w:val="1"/>
    <w:uiPriority w:val="0"/>
    <w:rPr>
      <w:rFonts w:ascii="Courier New" w:hAnsi="Courier New" w:cs="Courier New"/>
      <w:szCs w:val="20"/>
      <w:lang w:eastAsia="zh-CN"/>
    </w:rPr>
  </w:style>
  <w:style w:type="paragraph" w:customStyle="1" w:styleId="447">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8">
    <w:name w:val="Corpo"/>
    <w:qFormat/>
    <w:uiPriority w:val="0"/>
    <w:pPr>
      <w:suppressAutoHyphens/>
    </w:pPr>
    <w:rPr>
      <w:rFonts w:ascii="Courier" w:hAnsi="Courier" w:eastAsia="Arial" w:cs="Courier"/>
      <w:color w:val="000000"/>
      <w:sz w:val="24"/>
      <w:lang w:val="pt-BR" w:eastAsia="zh-CN" w:bidi="ar-SA"/>
    </w:rPr>
  </w:style>
  <w:style w:type="paragraph" w:customStyle="1" w:styleId="449">
    <w:name w:val="subtaror x"/>
    <w:basedOn w:val="1"/>
    <w:uiPriority w:val="0"/>
    <w:pPr>
      <w:tabs>
        <w:tab w:val="decimal" w:pos="0"/>
      </w:tabs>
      <w:autoSpaceDE w:val="0"/>
      <w:spacing w:before="60"/>
      <w:jc w:val="both"/>
    </w:pPr>
    <w:rPr>
      <w:rFonts w:cs="Arial"/>
      <w:sz w:val="22"/>
      <w:szCs w:val="20"/>
      <w:lang w:eastAsia="zh-CN"/>
    </w:rPr>
  </w:style>
  <w:style w:type="paragraph" w:customStyle="1" w:styleId="450">
    <w:name w:val="SalisNumeroEsquerdaArial11"/>
    <w:uiPriority w:val="0"/>
    <w:pPr>
      <w:numPr>
        <w:ilvl w:val="0"/>
        <w:numId w:val="6"/>
      </w:numPr>
      <w:suppressAutoHyphens/>
      <w:spacing w:after="120"/>
      <w:jc w:val="both"/>
    </w:pPr>
    <w:rPr>
      <w:rFonts w:ascii="Arial" w:hAnsi="Arial" w:eastAsia="Arial" w:cs="Arial"/>
      <w:sz w:val="22"/>
      <w:lang w:val="pt-BR" w:eastAsia="zh-CN" w:bidi="ar-SA"/>
    </w:rPr>
  </w:style>
  <w:style w:type="paragraph" w:customStyle="1" w:styleId="451">
    <w:name w:val="reservado3"/>
    <w:basedOn w:val="1"/>
    <w:uiPriority w:val="0"/>
    <w:pPr>
      <w:tabs>
        <w:tab w:val="left" w:pos="9000"/>
        <w:tab w:val="right" w:pos="9360"/>
      </w:tabs>
      <w:jc w:val="both"/>
    </w:pPr>
    <w:rPr>
      <w:rFonts w:cs="Arial"/>
      <w:sz w:val="24"/>
      <w:szCs w:val="20"/>
      <w:lang w:val="en-US" w:eastAsia="zh-CN"/>
    </w:rPr>
  </w:style>
  <w:style w:type="paragraph" w:customStyle="1" w:styleId="452">
    <w:name w:val="SalisAlineaArial11"/>
    <w:uiPriority w:val="0"/>
    <w:pPr>
      <w:numPr>
        <w:ilvl w:val="0"/>
        <w:numId w:val="7"/>
      </w:numPr>
      <w:tabs>
        <w:tab w:val="left" w:pos="454"/>
        <w:tab w:val="left" w:pos="1134"/>
      </w:tabs>
      <w:suppressAutoHyphens/>
      <w:spacing w:after="120"/>
      <w:jc w:val="both"/>
    </w:pPr>
    <w:rPr>
      <w:rFonts w:ascii="Arial" w:hAnsi="Arial" w:eastAsia="Arial" w:cs="Arial"/>
      <w:sz w:val="22"/>
      <w:lang w:val="pt-BR" w:eastAsia="zh-CN" w:bidi="ar-SA"/>
    </w:rPr>
  </w:style>
  <w:style w:type="paragraph" w:customStyle="1" w:styleId="453">
    <w:name w:val="SalisAlineaIndent1Arial11"/>
    <w:qFormat/>
    <w:uiPriority w:val="0"/>
    <w:pPr>
      <w:tabs>
        <w:tab w:val="left" w:pos="360"/>
      </w:tabs>
      <w:suppressAutoHyphens/>
      <w:ind w:left="567"/>
      <w:jc w:val="both"/>
    </w:pPr>
    <w:rPr>
      <w:rFonts w:ascii="Arial" w:hAnsi="Arial" w:eastAsia="Arial" w:cs="Arial"/>
      <w:sz w:val="22"/>
      <w:lang w:val="pt-BR" w:eastAsia="zh-CN" w:bidi="ar-SA"/>
    </w:rPr>
  </w:style>
  <w:style w:type="paragraph" w:customStyle="1" w:styleId="454">
    <w:name w:val="Estilo2"/>
    <w:basedOn w:val="1"/>
    <w:uiPriority w:val="0"/>
    <w:pPr>
      <w:autoSpaceDE w:val="0"/>
      <w:ind w:left="2694" w:hanging="284"/>
      <w:jc w:val="both"/>
    </w:pPr>
    <w:rPr>
      <w:rFonts w:cs="Arial"/>
      <w:sz w:val="24"/>
      <w:lang w:eastAsia="zh-CN"/>
    </w:rPr>
  </w:style>
  <w:style w:type="paragraph" w:customStyle="1" w:styleId="455">
    <w:name w:val="Intro"/>
    <w:basedOn w:val="1"/>
    <w:qFormat/>
    <w:uiPriority w:val="0"/>
    <w:pPr>
      <w:spacing w:after="360"/>
      <w:ind w:firstLine="1418"/>
      <w:jc w:val="both"/>
    </w:pPr>
    <w:rPr>
      <w:rFonts w:cs="Arial"/>
      <w:sz w:val="22"/>
      <w:szCs w:val="20"/>
      <w:lang w:eastAsia="zh-CN"/>
    </w:rPr>
  </w:style>
  <w:style w:type="paragraph" w:customStyle="1" w:styleId="456">
    <w:name w:val="Texto em bloco1"/>
    <w:basedOn w:val="1"/>
    <w:uiPriority w:val="0"/>
    <w:pPr>
      <w:ind w:left="-709" w:right="-567"/>
      <w:jc w:val="both"/>
    </w:pPr>
    <w:rPr>
      <w:rFonts w:cs="Arial"/>
      <w:sz w:val="24"/>
      <w:szCs w:val="20"/>
      <w:lang w:eastAsia="zh-CN"/>
    </w:rPr>
  </w:style>
  <w:style w:type="paragraph" w:customStyle="1" w:styleId="457">
    <w:name w:val="Corpo de texto1"/>
    <w:qFormat/>
    <w:uiPriority w:val="0"/>
    <w:pPr>
      <w:suppressAutoHyphens/>
    </w:pPr>
    <w:rPr>
      <w:rFonts w:ascii="CG Times (WN)" w:hAnsi="CG Times (WN)" w:eastAsia="Arial" w:cs="CG Times (WN)"/>
      <w:color w:val="000000"/>
      <w:sz w:val="24"/>
      <w:lang w:val="en-US" w:eastAsia="zh-CN" w:bidi="ar-SA"/>
    </w:rPr>
  </w:style>
  <w:style w:type="paragraph" w:customStyle="1" w:styleId="458">
    <w:name w:val="SalisQuadroReceitaNegritoArial11"/>
    <w:qFormat/>
    <w:uiPriority w:val="0"/>
    <w:pPr>
      <w:suppressAutoHyphens/>
      <w:spacing w:after="40"/>
    </w:pPr>
    <w:rPr>
      <w:rFonts w:ascii="Arial" w:hAnsi="Arial" w:eastAsia="Arial" w:cs="Arial"/>
      <w:b/>
      <w:sz w:val="22"/>
      <w:lang w:val="pt-BR" w:eastAsia="zh-CN" w:bidi="ar-SA"/>
    </w:rPr>
  </w:style>
  <w:style w:type="paragraph" w:customStyle="1" w:styleId="459">
    <w:name w:val="SalisTituloCentralizNegrArial11"/>
    <w:uiPriority w:val="0"/>
    <w:pPr>
      <w:widowControl w:val="0"/>
      <w:suppressAutoHyphens/>
      <w:jc w:val="center"/>
    </w:pPr>
    <w:rPr>
      <w:rFonts w:ascii="Arial" w:hAnsi="Arial" w:eastAsia="Arial" w:cs="Arial"/>
      <w:b/>
      <w:bCs/>
      <w:sz w:val="22"/>
      <w:lang w:val="pt-BR" w:eastAsia="zh-CN" w:bidi="ar-SA"/>
    </w:rPr>
  </w:style>
  <w:style w:type="paragraph" w:customStyle="1" w:styleId="460">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1">
    <w:name w:val="Table Contents"/>
    <w:basedOn w:val="1"/>
    <w:qFormat/>
    <w:uiPriority w:val="0"/>
    <w:pPr>
      <w:suppressLineNumbers/>
    </w:pPr>
    <w:rPr>
      <w:rFonts w:ascii="Times New Roman" w:hAnsi="Times New Roman" w:cs="Times New Roman"/>
      <w:sz w:val="24"/>
      <w:lang w:eastAsia="zh-CN"/>
    </w:rPr>
  </w:style>
  <w:style w:type="paragraph" w:customStyle="1" w:styleId="462">
    <w:name w:val="Table Heading"/>
    <w:basedOn w:val="461"/>
    <w:uiPriority w:val="0"/>
    <w:pPr>
      <w:jc w:val="center"/>
    </w:pPr>
    <w:rPr>
      <w:b/>
      <w:bCs/>
    </w:rPr>
  </w:style>
  <w:style w:type="paragraph" w:customStyle="1" w:styleId="463">
    <w:name w:val="Conteúdo da tabela"/>
    <w:basedOn w:val="1"/>
    <w:qFormat/>
    <w:uiPriority w:val="0"/>
    <w:pPr>
      <w:suppressLineNumbers/>
    </w:pPr>
    <w:rPr>
      <w:rFonts w:ascii="Times New Roman" w:hAnsi="Times New Roman" w:cs="Times New Roman"/>
      <w:szCs w:val="20"/>
      <w:lang w:eastAsia="zh-CN"/>
    </w:rPr>
  </w:style>
  <w:style w:type="paragraph" w:customStyle="1" w:styleId="464">
    <w:name w:val="Título de tabela"/>
    <w:basedOn w:val="463"/>
    <w:qFormat/>
    <w:uiPriority w:val="0"/>
    <w:pPr>
      <w:jc w:val="center"/>
    </w:pPr>
    <w:rPr>
      <w:b/>
      <w:bCs/>
    </w:rPr>
  </w:style>
  <w:style w:type="paragraph" w:customStyle="1" w:styleId="465">
    <w:name w:val="Conteúdo do quadro"/>
    <w:basedOn w:val="1"/>
    <w:uiPriority w:val="0"/>
    <w:rPr>
      <w:rFonts w:ascii="Times New Roman" w:hAnsi="Times New Roman" w:cs="Times New Roman"/>
      <w:szCs w:val="20"/>
      <w:lang w:eastAsia="zh-CN"/>
    </w:rPr>
  </w:style>
  <w:style w:type="paragraph" w:customStyle="1" w:styleId="466">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7">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8">
    <w:name w:val="Standard"/>
    <w:uiPriority w:val="0"/>
    <w:pPr>
      <w:widowControl w:val="0"/>
      <w:suppressAutoHyphens/>
      <w:textAlignment w:val="baseline"/>
    </w:pPr>
    <w:rPr>
      <w:rFonts w:ascii="Arial" w:hAnsi="Arial" w:eastAsia="SimSun" w:cs="Arial"/>
      <w:kern w:val="2"/>
      <w:sz w:val="24"/>
      <w:szCs w:val="24"/>
      <w:lang w:val="pt-BR" w:eastAsia="zh-CN" w:bidi="hi-IN"/>
    </w:rPr>
  </w:style>
  <w:style w:type="paragraph" w:customStyle="1" w:styleId="469">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0">
    <w:name w:val="Subtítulo Char"/>
    <w:basedOn w:val="11"/>
    <w:link w:val="35"/>
    <w:qFormat/>
    <w:uiPriority w:val="0"/>
    <w:rPr>
      <w:rFonts w:ascii="Liberation Sans" w:hAnsi="Liberation Sans" w:eastAsia="Microsoft YaHei" w:cs="Mangal"/>
      <w:sz w:val="36"/>
      <w:szCs w:val="36"/>
      <w:lang w:eastAsia="zh-CN"/>
    </w:rPr>
  </w:style>
  <w:style w:type="paragraph" w:customStyle="1" w:styleId="471">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2">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3">
    <w:name w:val="Parágrafo da Lista Char"/>
    <w:link w:val="68"/>
    <w:qFormat/>
    <w:locked/>
    <w:uiPriority w:val="0"/>
    <w:rPr>
      <w:rFonts w:ascii="Arial" w:hAnsi="Arial" w:cs="Tahoma"/>
      <w:szCs w:val="24"/>
    </w:rPr>
  </w:style>
  <w:style w:type="character" w:customStyle="1" w:styleId="474">
    <w:name w:val="Corpo de texto 2 Char"/>
    <w:basedOn w:val="11"/>
    <w:link w:val="28"/>
    <w:uiPriority w:val="0"/>
  </w:style>
  <w:style w:type="character" w:customStyle="1" w:styleId="475">
    <w:name w:val="Recuo de corpo de texto 3 Char"/>
    <w:basedOn w:val="11"/>
    <w:link w:val="33"/>
    <w:qFormat/>
    <w:uiPriority w:val="0"/>
    <w:rPr>
      <w:rFonts w:ascii="Arial" w:hAnsi="Arial" w:cs="Tahoma"/>
      <w:sz w:val="16"/>
      <w:szCs w:val="16"/>
    </w:rPr>
  </w:style>
  <w:style w:type="paragraph" w:customStyle="1" w:styleId="476">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77">
    <w:name w:val="Menção Pendente3"/>
    <w:basedOn w:val="11"/>
    <w:semiHidden/>
    <w:unhideWhenUsed/>
    <w:qFormat/>
    <w:uiPriority w:val="99"/>
    <w:rPr>
      <w:color w:val="605E5C"/>
      <w:shd w:val="clear" w:color="auto" w:fill="E1DFDD"/>
    </w:rPr>
  </w:style>
  <w:style w:type="paragraph" w:customStyle="1" w:styleId="478">
    <w:name w:val="Nivel 01"/>
    <w:basedOn w:val="2"/>
    <w:next w:val="1"/>
    <w:link w:val="479"/>
    <w:qFormat/>
    <w:uiPriority w:val="0"/>
    <w:pPr>
      <w:tabs>
        <w:tab w:val="left" w:pos="567"/>
      </w:tabs>
      <w:suppressAutoHyphens w:val="0"/>
      <w:ind w:left="502" w:hanging="360"/>
      <w:jc w:val="both"/>
    </w:pPr>
    <w:rPr>
      <w:rFonts w:ascii="Ecofont_Spranq_eco_Sans" w:hAnsi="Ecofont_Spranq_eco_Sans" w:eastAsiaTheme="majorEastAsia"/>
      <w:b/>
      <w:bCs/>
      <w:color w:val="000000"/>
      <w:sz w:val="20"/>
      <w:szCs w:val="20"/>
    </w:rPr>
  </w:style>
  <w:style w:type="character" w:customStyle="1" w:styleId="479">
    <w:name w:val="Nivel 01 Char"/>
    <w:basedOn w:val="11"/>
    <w:link w:val="478"/>
    <w:uiPriority w:val="0"/>
    <w:rPr>
      <w:rFonts w:ascii="Ecofont_Spranq_eco_Sans" w:hAnsi="Ecofont_Spranq_eco_Sans" w:eastAsiaTheme="majorEastAsia"/>
      <w:b/>
      <w:bCs/>
      <w:color w:val="000000"/>
    </w:rPr>
  </w:style>
  <w:style w:type="table" w:customStyle="1" w:styleId="480">
    <w:name w:val="_Style 479"/>
    <w:basedOn w:val="38"/>
    <w:uiPriority w:val="0"/>
    <w:tblPr>
      <w:tblCellMar>
        <w:top w:w="0" w:type="dxa"/>
        <w:left w:w="115" w:type="dxa"/>
        <w:bottom w:w="0" w:type="dxa"/>
        <w:right w:w="115" w:type="dxa"/>
      </w:tblCellMar>
    </w:tblPr>
  </w:style>
  <w:style w:type="table" w:customStyle="1" w:styleId="481">
    <w:name w:val="_Style 480"/>
    <w:basedOn w:val="38"/>
    <w:qFormat/>
    <w:uiPriority w:val="0"/>
    <w:rPr>
      <w:rFonts w:ascii="Calibri" w:hAnsi="Calibri" w:eastAsia="Calibri" w:cs="Calibri"/>
      <w:sz w:val="22"/>
      <w:szCs w:val="22"/>
    </w:rPr>
    <w:tblPr>
      <w:tblCellMar>
        <w:top w:w="0" w:type="dxa"/>
        <w:left w:w="108" w:type="dxa"/>
        <w:bottom w:w="0" w:type="dxa"/>
        <w:right w:w="108" w:type="dxa"/>
      </w:tblCellMar>
    </w:tblPr>
  </w:style>
  <w:style w:type="table" w:customStyle="1" w:styleId="482">
    <w:name w:val="_Style 481"/>
    <w:basedOn w:val="38"/>
    <w:qFormat/>
    <w:uiPriority w:val="0"/>
    <w:rPr>
      <w:rFonts w:ascii="Calibri" w:hAnsi="Calibri" w:eastAsia="Calibri" w:cs="Calibri"/>
      <w:sz w:val="22"/>
      <w:szCs w:val="22"/>
    </w:rPr>
    <w:tblPr>
      <w:tblCellMar>
        <w:top w:w="0" w:type="dxa"/>
        <w:left w:w="108" w:type="dxa"/>
        <w:bottom w:w="0" w:type="dxa"/>
        <w:right w:w="108" w:type="dxa"/>
      </w:tblCellMar>
    </w:tblPr>
  </w:style>
  <w:style w:type="table" w:customStyle="1" w:styleId="483">
    <w:name w:val="_Style 482"/>
    <w:basedOn w:val="38"/>
    <w:uiPriority w:val="0"/>
    <w:rPr>
      <w:rFonts w:ascii="Calibri" w:hAnsi="Calibri" w:eastAsia="Calibri" w:cs="Calibri"/>
      <w:sz w:val="22"/>
      <w:szCs w:val="22"/>
    </w:rPr>
    <w:tblPr>
      <w:tblCellMar>
        <w:top w:w="0" w:type="dxa"/>
        <w:left w:w="108" w:type="dxa"/>
        <w:bottom w:w="0" w:type="dxa"/>
        <w:right w:w="108" w:type="dxa"/>
      </w:tblCellMar>
    </w:tblPr>
  </w:style>
  <w:style w:type="table" w:customStyle="1" w:styleId="484">
    <w:name w:val="_Style 483"/>
    <w:basedOn w:val="38"/>
    <w:qFormat/>
    <w:uiPriority w:val="0"/>
    <w:rPr>
      <w:rFonts w:ascii="Calibri" w:hAnsi="Calibri" w:eastAsia="Calibri" w:cs="Calibri"/>
      <w:sz w:val="22"/>
      <w:szCs w:val="22"/>
    </w:rPr>
    <w:tblPr>
      <w:tblCellMar>
        <w:top w:w="0" w:type="dxa"/>
        <w:left w:w="108" w:type="dxa"/>
        <w:bottom w:w="0" w:type="dxa"/>
        <w:right w:w="108" w:type="dxa"/>
      </w:tblCellMar>
    </w:tblPr>
  </w:style>
  <w:style w:type="paragraph" w:customStyle="1" w:styleId="485">
    <w:name w:val="LO-normal1"/>
    <w:qFormat/>
    <w:uiPriority w:val="0"/>
    <w:rPr>
      <w:rFonts w:ascii="Arial" w:hAnsi="Arial" w:eastAsia="Arial" w:cs="Arial"/>
      <w:lang w:val="pt-BR" w:eastAsia="zh-CN" w:bidi="hi-I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AMUW2mXnzHyGE9yCwLEoAKaLu8i4NrIoWJVqnmKnCx6Gr4tjqhi4kMzH8OPEkHt63cJdbZQYr/9pf6D8lRSenmCv5FBKJC6yRHpm6dlJlIFGabgAT+WvNkfjm1Ttu+APyItkN5O/AB6fGL1E5g2Nrn1c/525xS3VEQ==</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22</Pages>
  <Words>9232</Words>
  <Characters>49856</Characters>
  <Lines>415</Lines>
  <Paragraphs>117</Paragraphs>
  <TotalTime>179</TotalTime>
  <ScaleCrop>false</ScaleCrop>
  <LinksUpToDate>false</LinksUpToDate>
  <CharactersWithSpaces>58971</CharactersWithSpaces>
  <Application>WPS Office_11.2.0.10017_F1E327BC-269C-435d-A152-05C5408002CA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2020-03-06T20:00:00Z</dcterms:created>
  <dc:creator>Adriano</dc:creator>
  <cp:lastModifiedBy>UFF</cp:lastModifiedBy>
  <dcterms:modified xsi:type="dcterms:W3CDTF">2021-03-09T14:59:58Z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1046-11.2.0.10017</vt:lpwstr>
  </property>
</Properties>
</file>