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0A495" w14:textId="77777777" w:rsidR="002775AD" w:rsidRDefault="00000000">
      <w:pPr>
        <w:jc w:val="center"/>
        <w:rPr>
          <w:rFonts w:ascii="Verdana" w:eastAsia="Verdana" w:hAnsi="Verdana" w:cs="Verdana"/>
          <w:color w:val="808080"/>
          <w:sz w:val="56"/>
          <w:szCs w:val="56"/>
        </w:rPr>
      </w:pPr>
      <w:r>
        <w:rPr>
          <w:noProof/>
        </w:rPr>
        <mc:AlternateContent>
          <mc:Choice Requires="wpg">
            <w:drawing>
              <wp:anchor distT="0" distB="0" distL="114300" distR="114300" simplePos="0" relativeHeight="251676672" behindDoc="0" locked="0" layoutInCell="1" allowOverlap="1" wp14:anchorId="7608FCFD" wp14:editId="51DE7B82">
                <wp:simplePos x="0" y="0"/>
                <wp:positionH relativeFrom="column">
                  <wp:posOffset>229235</wp:posOffset>
                </wp:positionH>
                <wp:positionV relativeFrom="paragraph">
                  <wp:posOffset>-19685</wp:posOffset>
                </wp:positionV>
                <wp:extent cx="5791200" cy="1452245"/>
                <wp:effectExtent l="0" t="0" r="19050" b="14605"/>
                <wp:wrapNone/>
                <wp:docPr id="20" name="Grupo 20"/>
                <wp:cNvGraphicFramePr/>
                <a:graphic xmlns:a="http://schemas.openxmlformats.org/drawingml/2006/main">
                  <a:graphicData uri="http://schemas.microsoft.com/office/word/2010/wordprocessingGroup">
                    <wpg:wgp>
                      <wpg:cNvGrpSpPr/>
                      <wpg:grpSpPr>
                        <a:xfrm>
                          <a:off x="0" y="0"/>
                          <a:ext cx="5791200" cy="1452245"/>
                          <a:chOff x="4259" y="709"/>
                          <a:chExt cx="9120" cy="2287"/>
                        </a:xfrm>
                      </wpg:grpSpPr>
                      <wps:wsp>
                        <wps:cNvPr id="21" name="Retângulo 310"/>
                        <wps:cNvSpPr/>
                        <wps:spPr>
                          <a:xfrm>
                            <a:off x="4259" y="709"/>
                            <a:ext cx="9120" cy="2257"/>
                          </a:xfrm>
                          <a:prstGeom prst="rect">
                            <a:avLst/>
                          </a:prstGeom>
                          <a:noFill/>
                          <a:ln w="9525" cap="flat" cmpd="sng">
                            <a:solidFill>
                              <a:srgbClr val="000000"/>
                            </a:solidFill>
                            <a:prstDash val="solid"/>
                            <a:miter lim="800000"/>
                            <a:headEnd type="none" w="sm" len="sm"/>
                            <a:tailEnd type="none" w="sm" len="sm"/>
                          </a:ln>
                        </wps:spPr>
                        <wps:txbx>
                          <w:txbxContent>
                            <w:p w14:paraId="21014333" w14:textId="77777777" w:rsidR="002775AD" w:rsidRDefault="00000000">
                              <w:pPr>
                                <w:spacing w:line="275" w:lineRule="auto"/>
                                <w:jc w:val="right"/>
                              </w:pPr>
                              <w:r>
                                <w:rPr>
                                  <w:rFonts w:ascii="Calibri" w:eastAsia="Calibri" w:hAnsi="Calibri" w:cs="Calibri"/>
                                  <w:color w:val="000000"/>
                                  <w:sz w:val="22"/>
                                </w:rPr>
                                <w:t xml:space="preserve">                                                                                        </w:t>
                              </w:r>
                            </w:p>
                          </w:txbxContent>
                        </wps:txbx>
                        <wps:bodyPr spcFirstLastPara="1" wrap="square" lIns="91425" tIns="45700" rIns="91425" bIns="45700" anchor="t" anchorCtr="0">
                          <a:noAutofit/>
                        </wps:bodyPr>
                      </wps:wsp>
                      <wps:wsp>
                        <wps:cNvPr id="22" name="Retângulo 24"/>
                        <wps:cNvSpPr/>
                        <wps:spPr>
                          <a:xfrm>
                            <a:off x="4272" y="2401"/>
                            <a:ext cx="9105" cy="595"/>
                          </a:xfrm>
                          <a:prstGeom prst="rect">
                            <a:avLst/>
                          </a:prstGeom>
                          <a:solidFill>
                            <a:schemeClr val="accent1"/>
                          </a:solidFill>
                          <a:ln w="9525" cap="rnd" cmpd="sng">
                            <a:solidFill>
                              <a:srgbClr val="000000"/>
                            </a:solidFill>
                            <a:prstDash val="solid"/>
                            <a:round/>
                            <a:headEnd type="none" w="sm" len="sm"/>
                            <a:tailEnd type="none" w="sm" len="sm"/>
                          </a:ln>
                        </wps:spPr>
                        <wps:txbx>
                          <w:txbxContent>
                            <w:p w14:paraId="4BE16BF1" w14:textId="77777777" w:rsidR="002775AD" w:rsidRDefault="00000000">
                              <w:pPr>
                                <w:jc w:val="center"/>
                                <w:rPr>
                                  <w:sz w:val="20"/>
                                  <w:szCs w:val="20"/>
                                </w:rPr>
                              </w:pPr>
                              <w:r>
                                <w:rPr>
                                  <w:rFonts w:ascii="Trebuchet MS" w:eastAsia="Trebuchet MS" w:hAnsi="Trebuchet MS" w:cs="Trebuchet MS"/>
                                  <w:b/>
                                  <w:color w:val="FFFFFF"/>
                                  <w:sz w:val="18"/>
                                  <w:szCs w:val="20"/>
                                </w:rPr>
                                <w:t>UNIVERSIDADE FEDERAL FLUMINENSE</w:t>
                              </w:r>
                            </w:p>
                            <w:p w14:paraId="21F6CC6D" w14:textId="77777777" w:rsidR="002775AD" w:rsidRDefault="00000000">
                              <w:pPr>
                                <w:jc w:val="center"/>
                                <w:rPr>
                                  <w:sz w:val="20"/>
                                  <w:szCs w:val="20"/>
                                </w:rPr>
                              </w:pPr>
                              <w:r>
                                <w:rPr>
                                  <w:rFonts w:ascii="Trebuchet MS" w:eastAsia="Trebuchet MS" w:hAnsi="Trebuchet MS" w:cs="Trebuchet MS"/>
                                  <w:b/>
                                  <w:color w:val="FFFFFF"/>
                                  <w:sz w:val="18"/>
                                  <w:szCs w:val="20"/>
                                </w:rPr>
                                <w:t>PRÓ-REITORIA DE ADMINISTRAÇÃO</w:t>
                              </w:r>
                            </w:p>
                          </w:txbxContent>
                        </wps:txbx>
                        <wps:bodyPr spcFirstLastPara="1" wrap="square" lIns="91425" tIns="45700" rIns="91425" bIns="45700" anchor="t" anchorCtr="0">
                          <a:noAutofit/>
                        </wps:bodyPr>
                      </wps:wsp>
                      <wps:wsp>
                        <wps:cNvPr id="23" name="Caixa de Texto 308"/>
                        <wps:cNvSpPr txBox="1">
                          <a:spLocks noChangeArrowheads="1"/>
                        </wps:cNvSpPr>
                        <wps:spPr bwMode="auto">
                          <a:xfrm>
                            <a:off x="4409" y="1040"/>
                            <a:ext cx="2685" cy="1262"/>
                          </a:xfrm>
                          <a:prstGeom prst="rect">
                            <a:avLst/>
                          </a:prstGeom>
                          <a:noFill/>
                          <a:ln w="9525">
                            <a:noFill/>
                            <a:miter lim="800000"/>
                          </a:ln>
                        </wps:spPr>
                        <wps:txbx>
                          <w:txbxContent>
                            <w:p w14:paraId="5AF1B1EE" w14:textId="77777777" w:rsidR="002775AD" w:rsidRDefault="00000000">
                              <w:r>
                                <w:rPr>
                                  <w:noProof/>
                                </w:rPr>
                                <w:drawing>
                                  <wp:inline distT="0" distB="0" distL="0" distR="0" wp14:anchorId="62FE77FA" wp14:editId="574D9433">
                                    <wp:extent cx="1128395" cy="568325"/>
                                    <wp:effectExtent l="0" t="0" r="14605" b="317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26"/>
                                            <pic:cNvPicPr>
                                              <a:picLocks noChangeAspect="1" noChangeArrowheads="1"/>
                                            </pic:cNvPicPr>
                                          </pic:nvPicPr>
                                          <pic:blipFill>
                                            <a:blip r:embed="rId10"/>
                                            <a:srcRect/>
                                            <a:stretch>
                                              <a:fillRect/>
                                            </a:stretch>
                                          </pic:blipFill>
                                          <pic:spPr>
                                            <a:xfrm>
                                              <a:off x="0" y="0"/>
                                              <a:ext cx="1128395" cy="568325"/>
                                            </a:xfrm>
                                            <a:prstGeom prst="rect">
                                              <a:avLst/>
                                            </a:prstGeom>
                                            <a:noFill/>
                                            <a:ln>
                                              <a:noFill/>
                                            </a:ln>
                                          </pic:spPr>
                                        </pic:pic>
                                      </a:graphicData>
                                    </a:graphic>
                                  </wp:inline>
                                </w:drawing>
                              </w:r>
                            </w:p>
                          </w:txbxContent>
                        </wps:txbx>
                        <wps:bodyPr rot="0" vert="horz" wrap="square" lIns="91440" tIns="45720" rIns="91440" bIns="45720" anchor="t" anchorCtr="0">
                          <a:noAutofit/>
                        </wps:bodyPr>
                      </wps:wsp>
                      <wps:wsp>
                        <wps:cNvPr id="24" name="Retângulo 312"/>
                        <wps:cNvSpPr/>
                        <wps:spPr>
                          <a:xfrm>
                            <a:off x="7178" y="927"/>
                            <a:ext cx="3840" cy="1292"/>
                          </a:xfrm>
                          <a:prstGeom prst="rect">
                            <a:avLst/>
                          </a:prstGeom>
                          <a:noFill/>
                          <a:ln>
                            <a:noFill/>
                          </a:ln>
                        </wps:spPr>
                        <wps:txbx>
                          <w:txbxContent>
                            <w:p w14:paraId="180BAE44" w14:textId="77777777" w:rsidR="002775AD" w:rsidRDefault="00000000">
                              <w:pPr>
                                <w:spacing w:line="275" w:lineRule="auto"/>
                                <w:jc w:val="center"/>
                                <w:rPr>
                                  <w:rFonts w:ascii="Verdana" w:eastAsia="Verdana" w:hAnsi="Verdana" w:cs="Verdana"/>
                                  <w:b/>
                                  <w:smallCaps/>
                                  <w:color w:val="000000"/>
                                  <w:sz w:val="28"/>
                                  <w:szCs w:val="22"/>
                                </w:rPr>
                              </w:pPr>
                              <w:r>
                                <w:rPr>
                                  <w:rFonts w:ascii="Verdana" w:eastAsia="Verdana" w:hAnsi="Verdana" w:cs="Verdana"/>
                                  <w:b/>
                                  <w:smallCaps/>
                                  <w:color w:val="000000"/>
                                  <w:sz w:val="28"/>
                                  <w:szCs w:val="22"/>
                                </w:rPr>
                                <w:t>COORDENAÇÃO DE LICITAÇÃO</w:t>
                              </w:r>
                            </w:p>
                          </w:txbxContent>
                        </wps:txbx>
                        <wps:bodyPr spcFirstLastPara="1" wrap="square" lIns="91425" tIns="45700" rIns="91425" bIns="45700" anchor="t" anchorCtr="0">
                          <a:noAutofit/>
                        </wps:bodyPr>
                      </wps:wsp>
                      <wps:wsp>
                        <wps:cNvPr id="25" name="Caixa de Texto 309"/>
                        <wps:cNvSpPr txBox="1"/>
                        <wps:spPr>
                          <a:xfrm>
                            <a:off x="11530" y="852"/>
                            <a:ext cx="1549" cy="1317"/>
                          </a:xfrm>
                          <a:prstGeom prst="rect">
                            <a:avLst/>
                          </a:prstGeom>
                          <a:noFill/>
                          <a:ln w="6350">
                            <a:noFill/>
                          </a:ln>
                          <a:effectLst/>
                        </wps:spPr>
                        <wps:txbx>
                          <w:txbxContent>
                            <w:p w14:paraId="0633C8D7" w14:textId="77777777" w:rsidR="002775AD" w:rsidRDefault="00000000">
                              <w:r>
                                <w:rPr>
                                  <w:noProof/>
                                </w:rPr>
                                <w:drawing>
                                  <wp:inline distT="0" distB="0" distL="114300" distR="114300" wp14:anchorId="563B5552" wp14:editId="3D45211A">
                                    <wp:extent cx="808355" cy="788035"/>
                                    <wp:effectExtent l="0" t="0" r="0" b="0"/>
                                    <wp:docPr id="27" name="Imagem 27" descr="png-transparent-auction-gavel-computer-icons-bidding-auction-angle-desktop-wallpaper-internet-thumbnail-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png-transparent-auction-gavel-computer-icons-bidding-auction-angle-desktop-wallpaper-internet-thumbnail-removebg-preview"/>
                                            <pic:cNvPicPr>
                                              <a:picLocks noChangeAspect="1"/>
                                            </pic:cNvPicPr>
                                          </pic:nvPicPr>
                                          <pic:blipFill>
                                            <a:blip r:embed="rId11"/>
                                            <a:stretch>
                                              <a:fillRect/>
                                            </a:stretch>
                                          </pic:blipFill>
                                          <pic:spPr>
                                            <a:xfrm>
                                              <a:off x="0" y="0"/>
                                              <a:ext cx="808355" cy="7880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7608FCFD" id="Grupo 20" o:spid="_x0000_s1026" style="position:absolute;left:0;text-align:left;margin-left:18.05pt;margin-top:-1.55pt;width:456pt;height:114.35pt;z-index:251676672" coordorigin="4259,709" coordsize="9120,2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">
                <v:rect id="Retângulo 310" o:spid="_x0000_s1027" style="position:absolute;left:4259;top:709;width:9120;height:2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" filled="f">
                  <v:stroke startarrowwidth="narrow" startarrowlength="short" endarrowwidth="narrow" endarrowlength="short"/>
                  <v:textbox inset="2.53958mm,1.2694mm,2.53958mm,1.2694mm">
                    <w:txbxContent>
                      <w:p w14:paraId="21014333" w14:textId="77777777" w:rsidR="002775AD" w:rsidRDefault="00000000">
                        <w:pPr>
                          <w:spacing w:line="275" w:lineRule="auto"/>
                          <w:jc w:val="right"/>
                        </w:pPr>
                        <w:r>
                          <w:rPr>
                            <w:rFonts w:ascii="Calibri" w:eastAsia="Calibri" w:hAnsi="Calibri" w:cs="Calibri"/>
                            <w:color w:val="000000"/>
                            <w:sz w:val="22"/>
                          </w:rPr>
                          <w:t xml:space="preserve">                                                                                        </w:t>
                        </w:r>
                      </w:p>
                    </w:txbxContent>
                  </v:textbox>
                </v:rect>
                <v:rect id="Retângulo 24" o:spid="_x0000_s1028" style="position:absolute;left:4272;top:2401;width:9105;height:5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" fillcolor="#4f81bd [3204]">
                  <v:stroke startarrowwidth="narrow" startarrowlength="short" endarrowwidth="narrow" endarrowlength="short" joinstyle="round" endcap="round"/>
                  <v:textbox inset="2.53958mm,1.2694mm,2.53958mm,1.2694mm">
                    <w:txbxContent>
                      <w:p w14:paraId="4BE16BF1" w14:textId="77777777" w:rsidR="002775AD" w:rsidRDefault="00000000">
                        <w:pPr>
                          <w:jc w:val="center"/>
                          <w:rPr>
                            <w:sz w:val="20"/>
                            <w:szCs w:val="20"/>
                          </w:rPr>
                        </w:pPr>
                        <w:r>
                          <w:rPr>
                            <w:rFonts w:ascii="Trebuchet MS" w:eastAsia="Trebuchet MS" w:hAnsi="Trebuchet MS" w:cs="Trebuchet MS"/>
                            <w:b/>
                            <w:color w:val="FFFFFF"/>
                            <w:sz w:val="18"/>
                            <w:szCs w:val="20"/>
                          </w:rPr>
                          <w:t>UNIVERSIDADE FEDERAL FLUMINENSE</w:t>
                        </w:r>
                      </w:p>
                      <w:p w14:paraId="21F6CC6D" w14:textId="77777777" w:rsidR="002775AD" w:rsidRDefault="00000000">
                        <w:pPr>
                          <w:jc w:val="center"/>
                          <w:rPr>
                            <w:sz w:val="20"/>
                            <w:szCs w:val="20"/>
                          </w:rPr>
                        </w:pPr>
                        <w:r>
                          <w:rPr>
                            <w:rFonts w:ascii="Trebuchet MS" w:eastAsia="Trebuchet MS" w:hAnsi="Trebuchet MS" w:cs="Trebuchet MS"/>
                            <w:b/>
                            <w:color w:val="FFFFFF"/>
                            <w:sz w:val="18"/>
                            <w:szCs w:val="20"/>
                          </w:rPr>
                          <w:t>PRÓ-REITORIA DE ADMINISTRAÇÃO</w:t>
                        </w:r>
                      </w:p>
                    </w:txbxContent>
                  </v:textbox>
                </v:rect>
                <v:shapetype id="_x0000_t202" coordsize="21600,21600" o:spt="202" path="m,l,21600r21600,l21600,xe">
                  <v:stroke joinstyle="miter"/>
                  <v:path gradientshapeok="t" o:connecttype="rect"/>
                </v:shapetype>
                <v:shape id="Caixa de Texto 308" o:spid="_x0000_s1029" type="#_x0000_t202" style="position:absolute;left:4409;top:1040;width:2685;height:1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5AF1B1EE" w14:textId="77777777" w:rsidR="002775AD" w:rsidRDefault="00000000">
                        <w:r>
                          <w:rPr>
                            <w:noProof/>
                          </w:rPr>
                          <w:drawing>
                            <wp:inline distT="0" distB="0" distL="0" distR="0" wp14:anchorId="62FE77FA" wp14:editId="574D9433">
                              <wp:extent cx="1128395" cy="568325"/>
                              <wp:effectExtent l="0" t="0" r="14605" b="317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26"/>
                                      <pic:cNvPicPr>
                                        <a:picLocks noChangeAspect="1" noChangeArrowheads="1"/>
                                      </pic:cNvPicPr>
                                    </pic:nvPicPr>
                                    <pic:blipFill>
                                      <a:blip r:embed="rId10"/>
                                      <a:srcRect/>
                                      <a:stretch>
                                        <a:fillRect/>
                                      </a:stretch>
                                    </pic:blipFill>
                                    <pic:spPr>
                                      <a:xfrm>
                                        <a:off x="0" y="0"/>
                                        <a:ext cx="1128395" cy="568325"/>
                                      </a:xfrm>
                                      <a:prstGeom prst="rect">
                                        <a:avLst/>
                                      </a:prstGeom>
                                      <a:noFill/>
                                      <a:ln>
                                        <a:noFill/>
                                      </a:ln>
                                    </pic:spPr>
                                  </pic:pic>
                                </a:graphicData>
                              </a:graphic>
                            </wp:inline>
                          </w:drawing>
                        </w:r>
                      </w:p>
                    </w:txbxContent>
                  </v:textbox>
                </v:shape>
                <v:rect id="Retângulo 312" o:spid="_x0000_s1030" style="position:absolute;left:7178;top:927;width:3840;height:1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" filled="f" stroked="f">
                  <v:textbox inset="2.53958mm,1.2694mm,2.53958mm,1.2694mm">
                    <w:txbxContent>
                      <w:p w14:paraId="180BAE44" w14:textId="77777777" w:rsidR="002775AD" w:rsidRDefault="00000000">
                        <w:pPr>
                          <w:spacing w:line="275" w:lineRule="auto"/>
                          <w:jc w:val="center"/>
                          <w:rPr>
                            <w:rFonts w:ascii="Verdana" w:eastAsia="Verdana" w:hAnsi="Verdana" w:cs="Verdana"/>
                            <w:b/>
                            <w:smallCaps/>
                            <w:color w:val="000000"/>
                            <w:sz w:val="28"/>
                            <w:szCs w:val="22"/>
                          </w:rPr>
                        </w:pPr>
                        <w:r>
                          <w:rPr>
                            <w:rFonts w:ascii="Verdana" w:eastAsia="Verdana" w:hAnsi="Verdana" w:cs="Verdana"/>
                            <w:b/>
                            <w:smallCaps/>
                            <w:color w:val="000000"/>
                            <w:sz w:val="28"/>
                            <w:szCs w:val="22"/>
                          </w:rPr>
                          <w:t>COORDENAÇÃO DE LICITAÇÃO</w:t>
                        </w:r>
                      </w:p>
                    </w:txbxContent>
                  </v:textbox>
                </v:rect>
                <v:shape id="_x0000_s1031" type="#_x0000_t202" style="position:absolute;left:11530;top:852;width:1549;height:1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" filled="f" stroked="f" strokeweight=".5pt">
                  <v:textbox>
                    <w:txbxContent>
                      <w:p w14:paraId="0633C8D7" w14:textId="77777777" w:rsidR="002775AD" w:rsidRDefault="00000000">
                        <w:r>
                          <w:rPr>
                            <w:noProof/>
                          </w:rPr>
                          <w:drawing>
                            <wp:inline distT="0" distB="0" distL="114300" distR="114300" wp14:anchorId="563B5552" wp14:editId="3D45211A">
                              <wp:extent cx="808355" cy="788035"/>
                              <wp:effectExtent l="0" t="0" r="0" b="0"/>
                              <wp:docPr id="27" name="Imagem 27" descr="png-transparent-auction-gavel-computer-icons-bidding-auction-angle-desktop-wallpaper-internet-thumbnail-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png-transparent-auction-gavel-computer-icons-bidding-auction-angle-desktop-wallpaper-internet-thumbnail-removebg-preview"/>
                                      <pic:cNvPicPr>
                                        <a:picLocks noChangeAspect="1"/>
                                      </pic:cNvPicPr>
                                    </pic:nvPicPr>
                                    <pic:blipFill>
                                      <a:blip r:embed="rId11"/>
                                      <a:stretch>
                                        <a:fillRect/>
                                      </a:stretch>
                                    </pic:blipFill>
                                    <pic:spPr>
                                      <a:xfrm>
                                        <a:off x="0" y="0"/>
                                        <a:ext cx="808355" cy="788035"/>
                                      </a:xfrm>
                                      <a:prstGeom prst="rect">
                                        <a:avLst/>
                                      </a:prstGeom>
                                    </pic:spPr>
                                  </pic:pic>
                                </a:graphicData>
                              </a:graphic>
                            </wp:inline>
                          </w:drawing>
                        </w:r>
                      </w:p>
                    </w:txbxContent>
                  </v:textbox>
                </v:shape>
              </v:group>
            </w:pict>
          </mc:Fallback>
        </mc:AlternateContent>
      </w:r>
      <w:r>
        <w:rPr>
          <w:rFonts w:ascii="Verdana" w:eastAsia="Verdana" w:hAnsi="Verdana" w:cs="Verdana"/>
          <w:noProof/>
          <w:color w:val="808080"/>
          <w:sz w:val="56"/>
          <w:szCs w:val="56"/>
        </w:rPr>
        <mc:AlternateContent>
          <mc:Choice Requires="wps">
            <w:drawing>
              <wp:anchor distT="0" distB="0" distL="114300" distR="114300" simplePos="0" relativeHeight="251675648" behindDoc="0" locked="0" layoutInCell="1" allowOverlap="1" wp14:anchorId="5F34FEF8" wp14:editId="0F265AA5">
                <wp:simplePos x="0" y="0"/>
                <wp:positionH relativeFrom="column">
                  <wp:posOffset>5739765</wp:posOffset>
                </wp:positionH>
                <wp:positionV relativeFrom="paragraph">
                  <wp:posOffset>66675</wp:posOffset>
                </wp:positionV>
                <wp:extent cx="1146810" cy="836295"/>
                <wp:effectExtent l="0" t="0" r="0" b="1905"/>
                <wp:wrapNone/>
                <wp:docPr id="12" name="Caixa de Texto 309"/>
                <wp:cNvGraphicFramePr/>
                <a:graphic xmlns:a="http://schemas.openxmlformats.org/drawingml/2006/main">
                  <a:graphicData uri="http://schemas.microsoft.com/office/word/2010/wordprocessingShape">
                    <wps:wsp>
                      <wps:cNvSpPr txBox="1"/>
                      <wps:spPr>
                        <a:xfrm>
                          <a:off x="0" y="0"/>
                          <a:ext cx="1147012" cy="836295"/>
                        </a:xfrm>
                        <a:prstGeom prst="rect">
                          <a:avLst/>
                        </a:prstGeom>
                        <a:noFill/>
                        <a:ln w="6350">
                          <a:noFill/>
                        </a:ln>
                        <a:effectLst/>
                      </wps:spPr>
                      <wps:txbx>
                        <w:txbxContent>
                          <w:p w14:paraId="770B2845" w14:textId="77777777" w:rsidR="002775AD" w:rsidRDefault="002775A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5F34FEF8" id="Caixa de Texto 309" o:spid="_x0000_s1032" type="#_x0000_t202" style="position:absolute;left:0;text-align:left;margin-left:451.95pt;margin-top:5.25pt;width:90.3pt;height:65.8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" filled="f" stroked="f" strokeweight=".5pt">
                <v:textbox>
                  <w:txbxContent>
                    <w:p w14:paraId="770B2845" w14:textId="77777777" w:rsidR="002775AD" w:rsidRDefault="002775AD"/>
                  </w:txbxContent>
                </v:textbox>
              </v:shape>
            </w:pict>
          </mc:Fallback>
        </mc:AlternateContent>
      </w:r>
    </w:p>
    <w:p w14:paraId="5FE6CAE2" w14:textId="77777777" w:rsidR="002775AD" w:rsidRDefault="002775AD">
      <w:pPr>
        <w:jc w:val="center"/>
        <w:rPr>
          <w:rFonts w:ascii="Verdana" w:eastAsia="Verdana" w:hAnsi="Verdana" w:cs="Verdana"/>
          <w:color w:val="808080"/>
          <w:sz w:val="56"/>
          <w:szCs w:val="56"/>
        </w:rPr>
      </w:pPr>
    </w:p>
    <w:p w14:paraId="34022960" w14:textId="77777777" w:rsidR="002775AD" w:rsidRDefault="002775AD">
      <w:pPr>
        <w:jc w:val="center"/>
        <w:rPr>
          <w:rFonts w:ascii="Verdana" w:eastAsia="Verdana" w:hAnsi="Verdana" w:cs="Verdana"/>
          <w:color w:val="808080"/>
          <w:sz w:val="56"/>
          <w:szCs w:val="56"/>
        </w:rPr>
      </w:pPr>
    </w:p>
    <w:p w14:paraId="51FA2995" w14:textId="77777777" w:rsidR="002775AD" w:rsidRDefault="00000000">
      <w:pPr>
        <w:jc w:val="center"/>
        <w:rPr>
          <w:rFonts w:ascii="Verdana" w:eastAsia="Verdana" w:hAnsi="Verdana" w:cs="Verdana"/>
          <w:color w:val="808080"/>
          <w:sz w:val="56"/>
          <w:szCs w:val="56"/>
        </w:rPr>
      </w:pPr>
      <w:r>
        <w:rPr>
          <w:rFonts w:ascii="Verdana" w:eastAsia="Verdana" w:hAnsi="Verdana" w:cs="Verdana"/>
          <w:color w:val="808080"/>
          <w:sz w:val="56"/>
          <w:szCs w:val="56"/>
        </w:rPr>
        <w:t xml:space="preserve">      </w:t>
      </w:r>
    </w:p>
    <w:p w14:paraId="051A0D94" w14:textId="3C687B64" w:rsidR="002775AD" w:rsidRDefault="00000000">
      <w:pPr>
        <w:spacing w:before="100" w:line="580" w:lineRule="exact"/>
        <w:ind w:left="851"/>
        <w:rPr>
          <w:color w:val="002060"/>
          <w:sz w:val="21"/>
          <w:szCs w:val="21"/>
        </w:rPr>
      </w:pPr>
      <w:r>
        <w:rPr>
          <w:rFonts w:ascii="Arial" w:eastAsia="Arial" w:hAnsi="Arial" w:cs="Arial"/>
          <w:b/>
          <w:color w:val="002060"/>
          <w:sz w:val="48"/>
          <w:szCs w:val="48"/>
        </w:rPr>
        <w:t xml:space="preserve">            </w:t>
      </w:r>
      <w:r>
        <w:rPr>
          <w:rFonts w:ascii="Arial" w:eastAsiaTheme="minorEastAsia" w:hAnsi="Arial" w:cs="Arial"/>
          <w:b/>
          <w:color w:val="0D4096"/>
          <w:sz w:val="40"/>
          <w:szCs w:val="21"/>
        </w:rPr>
        <w:t>Pregão Eletrônico Nº 3</w:t>
      </w:r>
      <w:r w:rsidR="004F0B20">
        <w:rPr>
          <w:rFonts w:ascii="Arial" w:eastAsiaTheme="minorEastAsia" w:hAnsi="Arial" w:cs="Arial"/>
          <w:b/>
          <w:color w:val="0D4096"/>
          <w:sz w:val="40"/>
          <w:szCs w:val="21"/>
        </w:rPr>
        <w:t>9</w:t>
      </w:r>
      <w:r>
        <w:rPr>
          <w:rFonts w:ascii="Arial" w:eastAsiaTheme="minorEastAsia" w:hAnsi="Arial" w:cs="Arial"/>
          <w:b/>
          <w:color w:val="0D4096"/>
          <w:sz w:val="40"/>
          <w:szCs w:val="21"/>
        </w:rPr>
        <w:t>/2023</w:t>
      </w:r>
    </w:p>
    <w:p w14:paraId="53878F14" w14:textId="77777777" w:rsidR="002775AD" w:rsidRDefault="002775AD">
      <w:pPr>
        <w:spacing w:line="259" w:lineRule="auto"/>
        <w:rPr>
          <w:rFonts w:ascii="Arial" w:eastAsia="Arial" w:hAnsi="Arial" w:cs="Arial"/>
          <w:b/>
          <w:color w:val="405CA1"/>
          <w:sz w:val="28"/>
          <w:szCs w:val="28"/>
        </w:rPr>
      </w:pPr>
    </w:p>
    <w:p w14:paraId="1288C178" w14:textId="77777777" w:rsidR="002775AD" w:rsidRDefault="002775AD">
      <w:pPr>
        <w:spacing w:line="259" w:lineRule="auto"/>
        <w:rPr>
          <w:rFonts w:ascii="Arial" w:eastAsia="Arial" w:hAnsi="Arial" w:cs="Arial"/>
          <w:b/>
          <w:color w:val="405CA1"/>
          <w:sz w:val="32"/>
          <w:szCs w:val="32"/>
          <w:highlight w:val="lightGray"/>
        </w:rPr>
      </w:pPr>
    </w:p>
    <w:p w14:paraId="2372CBD9" w14:textId="77777777" w:rsidR="002775AD" w:rsidRDefault="00000000">
      <w:pPr>
        <w:spacing w:line="259" w:lineRule="auto"/>
        <w:jc w:val="both"/>
        <w:rPr>
          <w:rFonts w:ascii="Arial" w:eastAsiaTheme="minorEastAsia" w:hAnsi="Arial" w:cs="Arial"/>
          <w:b/>
          <w:bCs/>
          <w:color w:val="405CA1"/>
          <w:highlight w:val="lightGray"/>
        </w:rPr>
      </w:pPr>
      <w:r>
        <w:rPr>
          <w:rFonts w:ascii="Arial" w:eastAsiaTheme="minorEastAsia" w:hAnsi="Arial" w:cs="Arial"/>
          <w:b/>
          <w:bCs/>
          <w:color w:val="405CA1"/>
          <w:highlight w:val="lightGray"/>
        </w:rPr>
        <w:t>CONTRATANTE (UASG)</w:t>
      </w:r>
    </w:p>
    <w:p w14:paraId="0603009A" w14:textId="77777777" w:rsidR="002775AD" w:rsidRDefault="00000000">
      <w:pPr>
        <w:rPr>
          <w:rFonts w:ascii="Arial" w:eastAsiaTheme="minorEastAsia" w:hAnsi="Arial" w:cs="Arial"/>
          <w:color w:val="5B5B5F"/>
        </w:rPr>
      </w:pPr>
      <w:r>
        <w:rPr>
          <w:rFonts w:ascii="Arial" w:eastAsiaTheme="minorEastAsia" w:hAnsi="Arial" w:cs="Arial"/>
          <w:color w:val="5B5B5F"/>
        </w:rPr>
        <w:t>PRÓ-REITORIA DE ADMINISTRAÇÃO (150182)</w:t>
      </w:r>
    </w:p>
    <w:p w14:paraId="3C3AD356" w14:textId="77777777" w:rsidR="002775AD" w:rsidRDefault="002775AD">
      <w:pPr>
        <w:rPr>
          <w:rFonts w:ascii="Arial" w:eastAsia="Arial" w:hAnsi="Arial" w:cs="Arial"/>
          <w:color w:val="5B5B5F"/>
          <w:sz w:val="22"/>
          <w:szCs w:val="22"/>
        </w:rPr>
      </w:pPr>
    </w:p>
    <w:p w14:paraId="37CA5758" w14:textId="77777777" w:rsidR="002775AD" w:rsidRDefault="002775AD">
      <w:pPr>
        <w:rPr>
          <w:rFonts w:ascii="Arial" w:eastAsia="Arial" w:hAnsi="Arial" w:cs="Arial"/>
          <w:b/>
          <w:color w:val="405CA1"/>
        </w:rPr>
      </w:pPr>
    </w:p>
    <w:p w14:paraId="6885A149" w14:textId="77777777" w:rsidR="002775AD" w:rsidRDefault="00000000">
      <w:pPr>
        <w:spacing w:line="259" w:lineRule="auto"/>
        <w:jc w:val="both"/>
        <w:rPr>
          <w:rFonts w:ascii="Arial" w:eastAsiaTheme="minorEastAsia" w:hAnsi="Arial" w:cs="Arial"/>
          <w:b/>
          <w:bCs/>
          <w:color w:val="405CA1"/>
          <w:highlight w:val="lightGray"/>
        </w:rPr>
      </w:pPr>
      <w:r>
        <w:rPr>
          <w:rFonts w:ascii="Arial" w:eastAsiaTheme="minorEastAsia" w:hAnsi="Arial" w:cs="Arial"/>
          <w:b/>
          <w:bCs/>
          <w:color w:val="405CA1"/>
          <w:highlight w:val="lightGray"/>
        </w:rPr>
        <w:t xml:space="preserve">PROCESSO Nº </w:t>
      </w:r>
    </w:p>
    <w:p w14:paraId="698950F2" w14:textId="644D25CE" w:rsidR="002775AD" w:rsidRDefault="004F0B20">
      <w:pPr>
        <w:rPr>
          <w:rFonts w:ascii="Arial" w:eastAsiaTheme="minorEastAsia" w:hAnsi="Arial" w:cs="Arial"/>
          <w:color w:val="5B5B5F"/>
        </w:rPr>
      </w:pPr>
      <w:r w:rsidRPr="004F0B20">
        <w:rPr>
          <w:rFonts w:ascii="Arial" w:eastAsiaTheme="minorEastAsia" w:hAnsi="Arial" w:cs="Arial"/>
          <w:color w:val="5B5B5F"/>
        </w:rPr>
        <w:t>23069.158494/2023-26</w:t>
      </w:r>
    </w:p>
    <w:p w14:paraId="53F3558A" w14:textId="77777777" w:rsidR="002775AD" w:rsidRDefault="002775AD">
      <w:pPr>
        <w:rPr>
          <w:color w:val="5B5B5F"/>
          <w:sz w:val="22"/>
          <w:szCs w:val="22"/>
        </w:rPr>
      </w:pPr>
    </w:p>
    <w:p w14:paraId="3925721D" w14:textId="77777777" w:rsidR="002775AD" w:rsidRDefault="00000000">
      <w:pPr>
        <w:spacing w:line="259" w:lineRule="auto"/>
        <w:jc w:val="both"/>
        <w:rPr>
          <w:rFonts w:ascii="Arial" w:eastAsiaTheme="minorEastAsia" w:hAnsi="Arial" w:cs="Arial"/>
          <w:b/>
          <w:bCs/>
          <w:color w:val="405CA1"/>
          <w:highlight w:val="lightGray"/>
        </w:rPr>
      </w:pPr>
      <w:r>
        <w:rPr>
          <w:rFonts w:ascii="Arial" w:eastAsiaTheme="minorEastAsia" w:hAnsi="Arial" w:cs="Arial"/>
          <w:b/>
          <w:bCs/>
          <w:color w:val="405CA1"/>
          <w:highlight w:val="lightGray"/>
        </w:rPr>
        <w:t>OBJETO</w:t>
      </w:r>
    </w:p>
    <w:p w14:paraId="0F09440B" w14:textId="2CE522D4" w:rsidR="002775AD" w:rsidRDefault="004F0B20" w:rsidP="004F0B20">
      <w:pPr>
        <w:jc w:val="both"/>
        <w:rPr>
          <w:rFonts w:ascii="Arial" w:eastAsia="Arial" w:hAnsi="Arial" w:cs="Arial"/>
          <w:color w:val="5B5B5F"/>
          <w:sz w:val="22"/>
          <w:szCs w:val="22"/>
        </w:rPr>
      </w:pPr>
      <w:bookmarkStart w:id="0" w:name="_Hlk131280720"/>
      <w:r>
        <w:rPr>
          <w:rFonts w:ascii="Arial" w:eastAsiaTheme="minorEastAsia" w:hAnsi="Arial" w:cs="Arial"/>
          <w:color w:val="5B5B5F"/>
        </w:rPr>
        <w:t>c</w:t>
      </w:r>
      <w:r w:rsidRPr="004F0B20">
        <w:rPr>
          <w:rFonts w:ascii="Arial" w:eastAsiaTheme="minorEastAsia" w:hAnsi="Arial" w:cs="Arial"/>
          <w:color w:val="5B5B5F"/>
        </w:rPr>
        <w:t>ontratação, de empresa para prestação de serviços continuados, com fornecimento de mão de obra (Motociclista), uniformes, EPI (Equipamentos de proteção individual), materiais e equipamentos, para atender em caráter ordinário ou extraordinário, nas dependências da Universidade Federal Fluminense</w:t>
      </w:r>
      <w:bookmarkEnd w:id="0"/>
      <w:r>
        <w:rPr>
          <w:rFonts w:ascii="Calibri" w:hAnsi="Calibri" w:cs="Calibri"/>
          <w:color w:val="000000"/>
        </w:rPr>
        <w:t xml:space="preserve"> </w:t>
      </w:r>
    </w:p>
    <w:p w14:paraId="71840946" w14:textId="77777777" w:rsidR="002775AD" w:rsidRDefault="002775AD">
      <w:pPr>
        <w:rPr>
          <w:rFonts w:ascii="Arial" w:eastAsia="Arial" w:hAnsi="Arial" w:cs="Arial"/>
          <w:b/>
          <w:color w:val="405CA1"/>
        </w:rPr>
      </w:pPr>
    </w:p>
    <w:p w14:paraId="7164B3DE" w14:textId="77777777" w:rsidR="002775AD" w:rsidRDefault="00000000">
      <w:pPr>
        <w:spacing w:line="259" w:lineRule="auto"/>
        <w:jc w:val="both"/>
        <w:rPr>
          <w:rFonts w:ascii="Arial" w:eastAsiaTheme="minorEastAsia" w:hAnsi="Arial" w:cs="Arial"/>
          <w:b/>
          <w:bCs/>
          <w:color w:val="405CA1"/>
          <w:highlight w:val="lightGray"/>
        </w:rPr>
      </w:pPr>
      <w:r>
        <w:rPr>
          <w:rFonts w:ascii="Arial" w:eastAsiaTheme="minorEastAsia" w:hAnsi="Arial" w:cs="Arial"/>
          <w:b/>
          <w:bCs/>
          <w:color w:val="405CA1"/>
          <w:highlight w:val="lightGray"/>
        </w:rPr>
        <w:t xml:space="preserve">VALOR TOTAL ESTIMADO </w:t>
      </w:r>
    </w:p>
    <w:p w14:paraId="3F554C27" w14:textId="5430EEE1" w:rsidR="002775AD" w:rsidRDefault="00000000">
      <w:pPr>
        <w:rPr>
          <w:rFonts w:ascii="Arial" w:eastAsiaTheme="minorEastAsia" w:hAnsi="Arial" w:cs="Arial"/>
          <w:color w:val="5B5B5F"/>
        </w:rPr>
      </w:pPr>
      <w:r>
        <w:rPr>
          <w:rFonts w:ascii="Arial" w:eastAsiaTheme="minorEastAsia" w:hAnsi="Arial" w:cs="Arial"/>
          <w:color w:val="5B5B5F"/>
        </w:rPr>
        <w:t xml:space="preserve">R$ </w:t>
      </w:r>
      <w:r w:rsidR="004F0B20">
        <w:rPr>
          <w:rFonts w:ascii="Arial" w:eastAsiaTheme="minorEastAsia" w:hAnsi="Arial" w:cs="Arial"/>
          <w:color w:val="5B5B5F"/>
        </w:rPr>
        <w:t>163.449,02</w:t>
      </w:r>
    </w:p>
    <w:p w14:paraId="46573B6D" w14:textId="77777777" w:rsidR="002775AD" w:rsidRDefault="002775AD">
      <w:pPr>
        <w:rPr>
          <w:rFonts w:ascii="Arial" w:eastAsia="Arial" w:hAnsi="Arial" w:cs="Arial"/>
          <w:b/>
          <w:color w:val="5B5B5F"/>
          <w:sz w:val="22"/>
          <w:szCs w:val="22"/>
        </w:rPr>
      </w:pPr>
    </w:p>
    <w:p w14:paraId="1B8F9479" w14:textId="77777777" w:rsidR="002775AD" w:rsidRDefault="002775AD">
      <w:pPr>
        <w:rPr>
          <w:rFonts w:ascii="Arial" w:eastAsia="Arial" w:hAnsi="Arial" w:cs="Arial"/>
          <w:color w:val="5B5B5F"/>
          <w:sz w:val="22"/>
          <w:szCs w:val="22"/>
        </w:rPr>
      </w:pPr>
    </w:p>
    <w:p w14:paraId="6E3FB18F" w14:textId="77777777" w:rsidR="002775AD" w:rsidRDefault="00000000">
      <w:pPr>
        <w:spacing w:line="259" w:lineRule="auto"/>
        <w:jc w:val="both"/>
        <w:rPr>
          <w:rFonts w:ascii="Arial" w:eastAsiaTheme="minorEastAsia" w:hAnsi="Arial" w:cs="Arial"/>
          <w:b/>
          <w:bCs/>
          <w:color w:val="405CA1"/>
          <w:highlight w:val="lightGray"/>
        </w:rPr>
      </w:pPr>
      <w:r>
        <w:rPr>
          <w:rFonts w:ascii="Arial" w:eastAsiaTheme="minorEastAsia" w:hAnsi="Arial" w:cs="Arial"/>
          <w:b/>
          <w:bCs/>
          <w:color w:val="405CA1"/>
          <w:highlight w:val="lightGray"/>
        </w:rPr>
        <w:t>DATA DA SESSÃO PÚBLICA</w:t>
      </w:r>
    </w:p>
    <w:p w14:paraId="1C8B9F5B" w14:textId="50F46D69" w:rsidR="002775AD" w:rsidRDefault="00000000">
      <w:pPr>
        <w:rPr>
          <w:rFonts w:ascii="Arial" w:eastAsiaTheme="minorEastAsia" w:hAnsi="Arial" w:cs="Arial"/>
          <w:color w:val="5B5B5F"/>
        </w:rPr>
      </w:pPr>
      <w:r>
        <w:rPr>
          <w:rFonts w:ascii="Arial" w:eastAsiaTheme="minorEastAsia" w:hAnsi="Arial" w:cs="Arial"/>
          <w:color w:val="5B5B5F"/>
        </w:rPr>
        <w:t xml:space="preserve">Dia </w:t>
      </w:r>
      <w:r w:rsidR="00C97E42">
        <w:rPr>
          <w:rFonts w:ascii="Arial" w:eastAsiaTheme="minorEastAsia" w:hAnsi="Arial" w:cs="Arial"/>
          <w:color w:val="5B5B5F"/>
        </w:rPr>
        <w:t>02/JUN/2023</w:t>
      </w:r>
      <w:r>
        <w:rPr>
          <w:rFonts w:ascii="Arial" w:eastAsiaTheme="minorEastAsia" w:hAnsi="Arial" w:cs="Arial"/>
          <w:color w:val="5B5B5F"/>
        </w:rPr>
        <w:t xml:space="preserve"> às </w:t>
      </w:r>
      <w:r w:rsidR="00C97E42">
        <w:rPr>
          <w:rFonts w:ascii="Arial" w:eastAsiaTheme="minorEastAsia" w:hAnsi="Arial" w:cs="Arial"/>
          <w:color w:val="5B5B5F"/>
        </w:rPr>
        <w:t>10</w:t>
      </w:r>
      <w:r w:rsidR="00E31282">
        <w:rPr>
          <w:rFonts w:ascii="Arial" w:eastAsiaTheme="minorEastAsia" w:hAnsi="Arial" w:cs="Arial"/>
          <w:color w:val="5B5B5F"/>
        </w:rPr>
        <w:t>h</w:t>
      </w:r>
      <w:r>
        <w:rPr>
          <w:rFonts w:ascii="Arial" w:eastAsiaTheme="minorEastAsia" w:hAnsi="Arial" w:cs="Arial"/>
          <w:color w:val="5B5B5F"/>
        </w:rPr>
        <w:t xml:space="preserve"> (horário de Brasília)</w:t>
      </w:r>
    </w:p>
    <w:p w14:paraId="336D28D2" w14:textId="77777777" w:rsidR="002775AD" w:rsidRDefault="002775AD">
      <w:pPr>
        <w:rPr>
          <w:rFonts w:ascii="Arial" w:eastAsia="Arial" w:hAnsi="Arial" w:cs="Arial"/>
          <w:b/>
          <w:color w:val="5B5B5F"/>
          <w:sz w:val="22"/>
          <w:szCs w:val="22"/>
        </w:rPr>
      </w:pPr>
    </w:p>
    <w:p w14:paraId="7DC3D40E" w14:textId="77777777" w:rsidR="002775AD" w:rsidRDefault="002775AD">
      <w:pPr>
        <w:jc w:val="both"/>
        <w:rPr>
          <w:rFonts w:ascii="Arial" w:eastAsia="Arial" w:hAnsi="Arial" w:cs="Arial"/>
          <w:b/>
          <w:smallCaps/>
          <w:color w:val="405CA1"/>
        </w:rPr>
      </w:pPr>
    </w:p>
    <w:p w14:paraId="5CAB2022" w14:textId="77777777" w:rsidR="002775AD" w:rsidRDefault="00000000">
      <w:pPr>
        <w:spacing w:line="259" w:lineRule="auto"/>
        <w:jc w:val="both"/>
        <w:rPr>
          <w:rFonts w:ascii="Arial" w:eastAsiaTheme="minorEastAsia" w:hAnsi="Arial" w:cs="Arial"/>
          <w:b/>
          <w:bCs/>
          <w:color w:val="405CA1"/>
          <w:highlight w:val="lightGray"/>
        </w:rPr>
      </w:pPr>
      <w:r>
        <w:rPr>
          <w:rFonts w:ascii="Arial" w:eastAsiaTheme="minorEastAsia" w:hAnsi="Arial" w:cs="Arial"/>
          <w:b/>
          <w:bCs/>
          <w:color w:val="405CA1"/>
          <w:highlight w:val="lightGray"/>
        </w:rPr>
        <w:t>CRITÉRIO DE JULGAMENTO:</w:t>
      </w:r>
    </w:p>
    <w:p w14:paraId="2BFCACB7" w14:textId="77777777" w:rsidR="002775AD" w:rsidRDefault="00000000">
      <w:pPr>
        <w:rPr>
          <w:rFonts w:ascii="Arial" w:eastAsiaTheme="minorEastAsia" w:hAnsi="Arial" w:cs="Arial"/>
          <w:color w:val="5B5B5F"/>
        </w:rPr>
      </w:pPr>
      <w:r>
        <w:rPr>
          <w:rFonts w:ascii="Arial" w:eastAsiaTheme="minorEastAsia" w:hAnsi="Arial" w:cs="Arial"/>
          <w:color w:val="5B5B5F"/>
        </w:rPr>
        <w:t>Menor preço por item</w:t>
      </w:r>
    </w:p>
    <w:p w14:paraId="3DE5D780" w14:textId="77777777" w:rsidR="004F0B20" w:rsidRDefault="004F0B20">
      <w:pPr>
        <w:rPr>
          <w:rFonts w:ascii="Arial" w:eastAsiaTheme="minorEastAsia" w:hAnsi="Arial" w:cs="Arial"/>
          <w:color w:val="5B5B5F"/>
        </w:rPr>
      </w:pPr>
    </w:p>
    <w:p w14:paraId="177AC5B2" w14:textId="77777777" w:rsidR="002775AD" w:rsidRDefault="002775AD">
      <w:pPr>
        <w:jc w:val="both"/>
        <w:rPr>
          <w:rFonts w:ascii="Arial" w:eastAsia="Arial" w:hAnsi="Arial" w:cs="Arial"/>
          <w:sz w:val="22"/>
          <w:szCs w:val="22"/>
        </w:rPr>
      </w:pPr>
    </w:p>
    <w:p w14:paraId="5BFEEFA4" w14:textId="77777777" w:rsidR="002775AD" w:rsidRDefault="00000000">
      <w:pPr>
        <w:spacing w:line="259" w:lineRule="auto"/>
        <w:jc w:val="both"/>
        <w:rPr>
          <w:rFonts w:ascii="Arial" w:eastAsiaTheme="minorEastAsia" w:hAnsi="Arial" w:cs="Arial"/>
          <w:b/>
          <w:bCs/>
          <w:color w:val="405CA1"/>
          <w:highlight w:val="lightGray"/>
        </w:rPr>
      </w:pPr>
      <w:r>
        <w:rPr>
          <w:rFonts w:ascii="Arial" w:eastAsiaTheme="minorEastAsia" w:hAnsi="Arial" w:cs="Arial"/>
          <w:b/>
          <w:bCs/>
          <w:color w:val="405CA1"/>
          <w:highlight w:val="lightGray"/>
        </w:rPr>
        <w:t>MODO DE DISPUTA:</w:t>
      </w:r>
    </w:p>
    <w:p w14:paraId="5E3C4656" w14:textId="77777777" w:rsidR="002775AD" w:rsidRDefault="00000000">
      <w:pPr>
        <w:rPr>
          <w:rFonts w:ascii="Arial" w:eastAsiaTheme="minorEastAsia" w:hAnsi="Arial" w:cs="Arial"/>
          <w:color w:val="5B5B5F"/>
        </w:rPr>
      </w:pPr>
      <w:r>
        <w:rPr>
          <w:rFonts w:ascii="Arial" w:eastAsiaTheme="minorEastAsia" w:hAnsi="Arial" w:cs="Arial"/>
          <w:color w:val="5B5B5F"/>
        </w:rPr>
        <w:t>Aberto e fechado</w:t>
      </w:r>
    </w:p>
    <w:p w14:paraId="49633053" w14:textId="77777777" w:rsidR="002775AD" w:rsidRDefault="002775AD">
      <w:pPr>
        <w:rPr>
          <w:rFonts w:ascii="Arial" w:eastAsiaTheme="minorEastAsia" w:hAnsi="Arial" w:cs="Arial"/>
          <w:color w:val="5B5B5F"/>
        </w:rPr>
      </w:pPr>
    </w:p>
    <w:p w14:paraId="7D41CD3F" w14:textId="77777777" w:rsidR="002775AD" w:rsidRDefault="002775AD">
      <w:pPr>
        <w:rPr>
          <w:rFonts w:ascii="Arial" w:eastAsia="Arial" w:hAnsi="Arial" w:cs="Arial"/>
          <w:b/>
          <w:color w:val="405CA1"/>
          <w:sz w:val="22"/>
          <w:szCs w:val="22"/>
        </w:rPr>
      </w:pPr>
    </w:p>
    <w:p w14:paraId="606BD5B5" w14:textId="77777777" w:rsidR="002775AD" w:rsidRDefault="00000000">
      <w:pPr>
        <w:spacing w:line="259" w:lineRule="auto"/>
        <w:jc w:val="both"/>
        <w:rPr>
          <w:rFonts w:ascii="Arial" w:eastAsiaTheme="minorEastAsia" w:hAnsi="Arial" w:cs="Arial"/>
          <w:b/>
          <w:bCs/>
          <w:color w:val="405CA1"/>
          <w:highlight w:val="lightGray"/>
        </w:rPr>
      </w:pPr>
      <w:r>
        <w:rPr>
          <w:rFonts w:ascii="Arial" w:eastAsiaTheme="minorEastAsia" w:hAnsi="Arial" w:cs="Arial"/>
          <w:b/>
          <w:bCs/>
          <w:color w:val="405CA1"/>
          <w:highlight w:val="lightGray"/>
        </w:rPr>
        <w:t>PREFERÊNCIA ME/EPP/EQUIPARADAS</w:t>
      </w:r>
    </w:p>
    <w:p w14:paraId="23F26948" w14:textId="77777777" w:rsidR="002775AD" w:rsidRDefault="00000000">
      <w:pPr>
        <w:rPr>
          <w:rFonts w:ascii="Arial" w:eastAsiaTheme="minorEastAsia" w:hAnsi="Arial" w:cs="Arial"/>
          <w:color w:val="5B5B5F"/>
        </w:rPr>
      </w:pPr>
      <w:r>
        <w:rPr>
          <w:rFonts w:ascii="Arial" w:eastAsiaTheme="minorEastAsia" w:hAnsi="Arial" w:cs="Arial"/>
          <w:color w:val="5B5B5F"/>
        </w:rPr>
        <w:t>NÃO</w:t>
      </w:r>
    </w:p>
    <w:p w14:paraId="25BDB18B" w14:textId="77777777" w:rsidR="002775AD" w:rsidRDefault="00000000">
      <w:pPr>
        <w:jc w:val="center"/>
        <w:rPr>
          <w:rFonts w:ascii="SimSun" w:eastAsia="SimSun" w:hAnsi="SimSun" w:cs="SimSun"/>
        </w:rPr>
      </w:pPr>
      <w:r>
        <w:rPr>
          <w:rFonts w:ascii="SimSun" w:eastAsia="SimSun" w:hAnsi="SimSun" w:cs="SimSun"/>
          <w:noProof/>
        </w:rPr>
        <w:lastRenderedPageBreak/>
        <w:drawing>
          <wp:inline distT="0" distB="0" distL="114300" distR="114300" wp14:anchorId="4D702AA8" wp14:editId="63214A24">
            <wp:extent cx="4020820" cy="1285875"/>
            <wp:effectExtent l="0" t="0" r="0" b="0"/>
            <wp:docPr id="329" name="image3.png" descr="IMG_256"/>
            <wp:cNvGraphicFramePr/>
            <a:graphic xmlns:a="http://schemas.openxmlformats.org/drawingml/2006/main">
              <a:graphicData uri="http://schemas.openxmlformats.org/drawingml/2006/picture">
                <pic:pic xmlns:pic="http://schemas.openxmlformats.org/drawingml/2006/picture">
                  <pic:nvPicPr>
                    <pic:cNvPr id="329" name="image3.png" descr="IMG_256"/>
                    <pic:cNvPicPr preferRelativeResize="0"/>
                  </pic:nvPicPr>
                  <pic:blipFill>
                    <a:blip r:embed="rId12"/>
                    <a:srcRect/>
                    <a:stretch>
                      <a:fillRect/>
                    </a:stretch>
                  </pic:blipFill>
                  <pic:spPr>
                    <a:xfrm>
                      <a:off x="0" y="0"/>
                      <a:ext cx="4020820" cy="1285875"/>
                    </a:xfrm>
                    <a:prstGeom prst="rect">
                      <a:avLst/>
                    </a:prstGeom>
                  </pic:spPr>
                </pic:pic>
              </a:graphicData>
            </a:graphic>
          </wp:inline>
        </w:drawing>
      </w:r>
    </w:p>
    <w:p w14:paraId="7950F8C9" w14:textId="77777777" w:rsidR="002775AD" w:rsidRDefault="00000000">
      <w:pPr>
        <w:jc w:val="center"/>
        <w:rPr>
          <w:rFonts w:ascii="Arial" w:eastAsia="Arial" w:hAnsi="Arial" w:cs="Arial"/>
          <w:color w:val="366091"/>
          <w:sz w:val="22"/>
          <w:szCs w:val="22"/>
        </w:rPr>
      </w:pPr>
      <w:r>
        <w:rPr>
          <w:rFonts w:ascii="Verdana" w:eastAsia="Verdana" w:hAnsi="Verdana" w:cs="Verdana"/>
          <w:noProof/>
          <w:color w:val="808080"/>
          <w:sz w:val="52"/>
          <w:szCs w:val="52"/>
        </w:rPr>
        <mc:AlternateContent>
          <mc:Choice Requires="wps">
            <w:drawing>
              <wp:anchor distT="91440" distB="91440" distL="137160" distR="137160" simplePos="0" relativeHeight="251659264" behindDoc="0" locked="0" layoutInCell="1" allowOverlap="1" wp14:anchorId="0F26427D" wp14:editId="49D16F1B">
                <wp:simplePos x="0" y="0"/>
                <wp:positionH relativeFrom="margin">
                  <wp:posOffset>-92710</wp:posOffset>
                </wp:positionH>
                <wp:positionV relativeFrom="margin">
                  <wp:posOffset>1510665</wp:posOffset>
                </wp:positionV>
                <wp:extent cx="6222365" cy="575310"/>
                <wp:effectExtent l="0" t="0" r="0" b="0"/>
                <wp:wrapSquare wrapText="bothSides"/>
                <wp:docPr id="326" name="Rounded Rectangle 326"/>
                <wp:cNvGraphicFramePr/>
                <a:graphic xmlns:a="http://schemas.openxmlformats.org/drawingml/2006/main">
                  <a:graphicData uri="http://schemas.microsoft.com/office/word/2010/wordprocessingShape">
                    <wps:wsp>
                      <wps:cNvSpPr/>
                      <wps:spPr>
                        <a:xfrm>
                          <a:off x="2239580" y="3497108"/>
                          <a:ext cx="6212840" cy="565785"/>
                        </a:xfrm>
                        <a:prstGeom prst="roundRect">
                          <a:avLst>
                            <a:gd name="adj" fmla="val 13032"/>
                          </a:avLst>
                        </a:prstGeom>
                        <a:solidFill>
                          <a:schemeClr val="lt2"/>
                        </a:solidFill>
                        <a:ln>
                          <a:noFill/>
                        </a:ln>
                      </wps:spPr>
                      <wps:txbx>
                        <w:txbxContent>
                          <w:p w14:paraId="77167C9B" w14:textId="77777777" w:rsidR="002775AD" w:rsidRDefault="00000000">
                            <w:pPr>
                              <w:spacing w:before="160"/>
                              <w:ind w:right="100"/>
                              <w:jc w:val="center"/>
                            </w:pPr>
                            <w:r>
                              <w:rPr>
                                <w:rFonts w:ascii="Arial" w:eastAsia="Arial" w:hAnsi="Arial" w:cs="Arial"/>
                                <w:b/>
                                <w:color w:val="000000"/>
                                <w:sz w:val="20"/>
                              </w:rPr>
                              <w:t>A leitura das orientações abaixo não dispensa a leitura integral do Edital e de seus Anexos, bem como da legislação pertinente.</w:t>
                            </w:r>
                          </w:p>
                          <w:p w14:paraId="34B73043" w14:textId="77777777" w:rsidR="002775AD" w:rsidRDefault="002775AD">
                            <w:pPr>
                              <w:jc w:val="both"/>
                            </w:pPr>
                          </w:p>
                          <w:p w14:paraId="72C33EBF" w14:textId="77777777" w:rsidR="002775AD" w:rsidRDefault="002775AD"/>
                          <w:p w14:paraId="474B1F5F" w14:textId="77777777" w:rsidR="002775AD" w:rsidRDefault="002775AD"/>
                        </w:txbxContent>
                      </wps:txbx>
                      <wps:bodyPr spcFirstLastPara="1" wrap="square" lIns="91425" tIns="45700" rIns="91425" bIns="45700" anchor="ctr" anchorCtr="0">
                        <a:noAutofit/>
                      </wps:bodyPr>
                    </wps:wsp>
                  </a:graphicData>
                </a:graphic>
              </wp:anchor>
            </w:drawing>
          </mc:Choice>
          <mc:Fallback>
            <w:pict>
              <v:roundrect w14:anchorId="0F26427D" id="Rounded Rectangle 326" o:spid="_x0000_s1033" style="position:absolute;left:0;text-align:left;margin-left:-7.3pt;margin-top:118.95pt;width:489.95pt;height:45.3pt;z-index:251659264;visibility:visible;mso-wrap-style:square;mso-wrap-distance-left:10.8pt;mso-wrap-distance-top:7.2pt;mso-wrap-distance-right:10.8pt;mso-wrap-distance-bottom:7.2pt;mso-position-horizontal:absolute;mso-position-horizontal-relative:margin;mso-position-vertical:absolute;mso-position-vertical-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" fillcolor="#eeece1 [3203]" stroked="f">
                <v:textbox inset="2.53958mm,1.2694mm,2.53958mm,1.2694mm">
                  <w:txbxContent>
                    <w:p w14:paraId="77167C9B" w14:textId="77777777" w:rsidR="002775AD" w:rsidRDefault="00000000">
                      <w:pPr>
                        <w:spacing w:before="160"/>
                        <w:ind w:right="100"/>
                        <w:jc w:val="center"/>
                      </w:pPr>
                      <w:r>
                        <w:rPr>
                          <w:rFonts w:ascii="Arial" w:eastAsia="Arial" w:hAnsi="Arial" w:cs="Arial"/>
                          <w:b/>
                          <w:color w:val="000000"/>
                          <w:sz w:val="20"/>
                        </w:rPr>
                        <w:t>A leitura das orientações abaixo não dispensa a leitura integral do Edital e de seus Anexos, bem como da legislação pertinente.</w:t>
                      </w:r>
                    </w:p>
                    <w:p w14:paraId="34B73043" w14:textId="77777777" w:rsidR="002775AD" w:rsidRDefault="002775AD">
                      <w:pPr>
                        <w:jc w:val="both"/>
                      </w:pPr>
                    </w:p>
                    <w:p w14:paraId="72C33EBF" w14:textId="77777777" w:rsidR="002775AD" w:rsidRDefault="002775AD"/>
                    <w:p w14:paraId="474B1F5F" w14:textId="77777777" w:rsidR="002775AD" w:rsidRDefault="002775AD"/>
                  </w:txbxContent>
                </v:textbox>
                <w10:wrap type="square" anchorx="margin" anchory="margin"/>
              </v:roundrect>
            </w:pict>
          </mc:Fallback>
        </mc:AlternateContent>
      </w:r>
      <w:r>
        <w:br w:type="page"/>
      </w:r>
      <w:r>
        <w:rPr>
          <w:noProof/>
        </w:rPr>
        <mc:AlternateContent>
          <mc:Choice Requires="wps">
            <w:drawing>
              <wp:anchor distT="0" distB="0" distL="114300" distR="114300" simplePos="0" relativeHeight="251660288" behindDoc="0" locked="0" layoutInCell="1" allowOverlap="1" wp14:anchorId="02A03368" wp14:editId="56E0D307">
                <wp:simplePos x="0" y="0"/>
                <wp:positionH relativeFrom="column">
                  <wp:posOffset>-481965</wp:posOffset>
                </wp:positionH>
                <wp:positionV relativeFrom="paragraph">
                  <wp:posOffset>1117600</wp:posOffset>
                </wp:positionV>
                <wp:extent cx="6758305" cy="1198880"/>
                <wp:effectExtent l="0" t="0" r="0" b="0"/>
                <wp:wrapNone/>
                <wp:docPr id="317" name="Rectangles 317"/>
                <wp:cNvGraphicFramePr/>
                <a:graphic xmlns:a="http://schemas.openxmlformats.org/drawingml/2006/main">
                  <a:graphicData uri="http://schemas.microsoft.com/office/word/2010/wordprocessingShape">
                    <wps:wsp>
                      <wps:cNvSpPr/>
                      <wps:spPr>
                        <a:xfrm>
                          <a:off x="1979548" y="3193260"/>
                          <a:ext cx="6732905" cy="117348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86A3683" w14:textId="77777777" w:rsidR="002775AD" w:rsidRDefault="00000000">
                            <w:pPr>
                              <w:jc w:val="both"/>
                            </w:pPr>
                            <w:r>
                              <w:rPr>
                                <w:rFonts w:ascii="Verdana" w:eastAsia="Verdana" w:hAnsi="Verdana" w:cs="Verdana"/>
                                <w:b/>
                                <w:color w:val="4F81BD"/>
                                <w:sz w:val="20"/>
                              </w:rPr>
                              <w:t>1</w:t>
                            </w:r>
                          </w:p>
                          <w:p w14:paraId="6DB9EEB8" w14:textId="77777777" w:rsidR="002775AD" w:rsidRDefault="00000000">
                            <w:pPr>
                              <w:ind w:firstLine="300"/>
                              <w:jc w:val="both"/>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1107EC5A" w14:textId="77777777" w:rsidR="002775AD" w:rsidRDefault="002775AD"/>
                          <w:p w14:paraId="7802F48F" w14:textId="77777777" w:rsidR="002775AD" w:rsidRDefault="002775AD"/>
                        </w:txbxContent>
                      </wps:txbx>
                      <wps:bodyPr spcFirstLastPara="1" wrap="square" lIns="91425" tIns="45700" rIns="91425" bIns="45700" anchor="t" anchorCtr="0">
                        <a:noAutofit/>
                      </wps:bodyPr>
                    </wps:wsp>
                  </a:graphicData>
                </a:graphic>
              </wp:anchor>
            </w:drawing>
          </mc:Choice>
          <mc:Fallback>
            <w:pict>
              <v:rect w14:anchorId="02A03368" id="Rectangles 317" o:spid="_x0000_s1034" style="position:absolute;left:0;text-align:left;margin-left:-37.95pt;margin-top:88pt;width:532.15pt;height:94.4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" fillcolor="white [3201]" strokecolor="#4f81bd [3204]" strokeweight="2pt">
                <v:stroke startarrowwidth="narrow" startarrowlength="short" endarrowwidth="narrow" endarrowlength="short" joinstyle="round"/>
                <v:textbox inset="2.53958mm,1.2694mm,2.53958mm,1.2694mm">
                  <w:txbxContent>
                    <w:p w14:paraId="086A3683" w14:textId="77777777" w:rsidR="002775AD" w:rsidRDefault="00000000">
                      <w:pPr>
                        <w:jc w:val="both"/>
                      </w:pPr>
                      <w:r>
                        <w:rPr>
                          <w:rFonts w:ascii="Verdana" w:eastAsia="Verdana" w:hAnsi="Verdana" w:cs="Verdana"/>
                          <w:b/>
                          <w:color w:val="4F81BD"/>
                          <w:sz w:val="20"/>
                        </w:rPr>
                        <w:t>1</w:t>
                      </w:r>
                    </w:p>
                    <w:p w14:paraId="6DB9EEB8" w14:textId="77777777" w:rsidR="002775AD" w:rsidRDefault="00000000">
                      <w:pPr>
                        <w:ind w:firstLine="300"/>
                        <w:jc w:val="both"/>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1107EC5A" w14:textId="77777777" w:rsidR="002775AD" w:rsidRDefault="002775AD"/>
                    <w:p w14:paraId="7802F48F" w14:textId="77777777" w:rsidR="002775AD" w:rsidRDefault="002775AD"/>
                  </w:txbxContent>
                </v:textbox>
              </v:rect>
            </w:pict>
          </mc:Fallback>
        </mc:AlternateContent>
      </w:r>
      <w:r>
        <w:rPr>
          <w:noProof/>
        </w:rPr>
        <mc:AlternateContent>
          <mc:Choice Requires="wps">
            <w:drawing>
              <wp:anchor distT="0" distB="0" distL="114300" distR="114300" simplePos="0" relativeHeight="251661312" behindDoc="0" locked="0" layoutInCell="1" allowOverlap="1" wp14:anchorId="0A0CA0DF" wp14:editId="21842FA7">
                <wp:simplePos x="0" y="0"/>
                <wp:positionH relativeFrom="column">
                  <wp:posOffset>-481965</wp:posOffset>
                </wp:positionH>
                <wp:positionV relativeFrom="paragraph">
                  <wp:posOffset>2438400</wp:posOffset>
                </wp:positionV>
                <wp:extent cx="6758305" cy="873760"/>
                <wp:effectExtent l="0" t="0" r="0" b="0"/>
                <wp:wrapNone/>
                <wp:docPr id="320" name="Rectangles 320"/>
                <wp:cNvGraphicFramePr/>
                <a:graphic xmlns:a="http://schemas.openxmlformats.org/drawingml/2006/main">
                  <a:graphicData uri="http://schemas.microsoft.com/office/word/2010/wordprocessingShape">
                    <wps:wsp>
                      <wps:cNvSpPr/>
                      <wps:spPr>
                        <a:xfrm>
                          <a:off x="1979548" y="3355820"/>
                          <a:ext cx="6732905" cy="84836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81ECB54" w14:textId="77777777" w:rsidR="002775AD" w:rsidRDefault="00000000">
                            <w:pPr>
                              <w:jc w:val="both"/>
                            </w:pPr>
                            <w:r>
                              <w:rPr>
                                <w:rFonts w:ascii="Verdana" w:eastAsia="Verdana" w:hAnsi="Verdana" w:cs="Verdana"/>
                                <w:b/>
                                <w:color w:val="4F81BD"/>
                                <w:sz w:val="20"/>
                              </w:rPr>
                              <w:t>2</w:t>
                            </w:r>
                          </w:p>
                          <w:p w14:paraId="206B0EEA" w14:textId="77777777" w:rsidR="002775AD" w:rsidRDefault="00000000">
                            <w:pPr>
                              <w:ind w:firstLine="300"/>
                              <w:jc w:val="both"/>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wps:txbx>
                      <wps:bodyPr spcFirstLastPara="1" wrap="square" lIns="91425" tIns="45700" rIns="91425" bIns="45700" anchor="t" anchorCtr="0">
                        <a:noAutofit/>
                      </wps:bodyPr>
                    </wps:wsp>
                  </a:graphicData>
                </a:graphic>
              </wp:anchor>
            </w:drawing>
          </mc:Choice>
          <mc:Fallback>
            <w:pict>
              <v:rect w14:anchorId="0A0CA0DF" id="Rectangles 320" o:spid="_x0000_s1035" style="position:absolute;left:0;text-align:left;margin-left:-37.95pt;margin-top:192pt;width:532.15pt;height:68.8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" fillcolor="white [3201]" strokecolor="#4f81bd [3204]" strokeweight="2pt">
                <v:stroke startarrowwidth="narrow" startarrowlength="short" endarrowwidth="narrow" endarrowlength="short" joinstyle="round"/>
                <v:textbox inset="2.53958mm,1.2694mm,2.53958mm,1.2694mm">
                  <w:txbxContent>
                    <w:p w14:paraId="081ECB54" w14:textId="77777777" w:rsidR="002775AD" w:rsidRDefault="00000000">
                      <w:pPr>
                        <w:jc w:val="both"/>
                      </w:pPr>
                      <w:r>
                        <w:rPr>
                          <w:rFonts w:ascii="Verdana" w:eastAsia="Verdana" w:hAnsi="Verdana" w:cs="Verdana"/>
                          <w:b/>
                          <w:color w:val="4F81BD"/>
                          <w:sz w:val="20"/>
                        </w:rPr>
                        <w:t>2</w:t>
                      </w:r>
                    </w:p>
                    <w:p w14:paraId="206B0EEA" w14:textId="77777777" w:rsidR="002775AD" w:rsidRDefault="00000000">
                      <w:pPr>
                        <w:ind w:firstLine="300"/>
                        <w:jc w:val="both"/>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v:textbox>
              </v:rect>
            </w:pict>
          </mc:Fallback>
        </mc:AlternateContent>
      </w:r>
      <w:r>
        <w:rPr>
          <w:noProof/>
        </w:rPr>
        <mc:AlternateContent>
          <mc:Choice Requires="wps">
            <w:drawing>
              <wp:anchor distT="0" distB="0" distL="114300" distR="114300" simplePos="0" relativeHeight="251662336" behindDoc="0" locked="0" layoutInCell="1" allowOverlap="1" wp14:anchorId="6724ECB0" wp14:editId="0E98FFAC">
                <wp:simplePos x="0" y="0"/>
                <wp:positionH relativeFrom="column">
                  <wp:posOffset>-481965</wp:posOffset>
                </wp:positionH>
                <wp:positionV relativeFrom="paragraph">
                  <wp:posOffset>3454400</wp:posOffset>
                </wp:positionV>
                <wp:extent cx="6758305" cy="864235"/>
                <wp:effectExtent l="0" t="0" r="0" b="0"/>
                <wp:wrapNone/>
                <wp:docPr id="316" name="Rectangles 316"/>
                <wp:cNvGraphicFramePr/>
                <a:graphic xmlns:a="http://schemas.openxmlformats.org/drawingml/2006/main">
                  <a:graphicData uri="http://schemas.microsoft.com/office/word/2010/wordprocessingShape">
                    <wps:wsp>
                      <wps:cNvSpPr/>
                      <wps:spPr>
                        <a:xfrm>
                          <a:off x="1979548" y="3360583"/>
                          <a:ext cx="6732905" cy="83883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2BECFAC" w14:textId="77777777" w:rsidR="002775AD" w:rsidRDefault="00000000">
                            <w:r>
                              <w:rPr>
                                <w:rFonts w:ascii="Verdana" w:eastAsia="Verdana" w:hAnsi="Verdana" w:cs="Verdana"/>
                                <w:b/>
                                <w:color w:val="4F81BD"/>
                                <w:sz w:val="20"/>
                              </w:rPr>
                              <w:t xml:space="preserve">3 </w:t>
                            </w:r>
                          </w:p>
                          <w:p w14:paraId="6D319894" w14:textId="77777777" w:rsidR="002775AD" w:rsidRDefault="00000000">
                            <w:pPr>
                              <w:ind w:firstLine="300"/>
                              <w:jc w:val="both"/>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14:paraId="22B74E38" w14:textId="77777777" w:rsidR="002775AD" w:rsidRDefault="002775AD">
                            <w:pPr>
                              <w:jc w:val="center"/>
                            </w:pPr>
                          </w:p>
                        </w:txbxContent>
                      </wps:txbx>
                      <wps:bodyPr spcFirstLastPara="1" wrap="square" lIns="91425" tIns="45700" rIns="91425" bIns="45700" anchor="t" anchorCtr="0">
                        <a:noAutofit/>
                      </wps:bodyPr>
                    </wps:wsp>
                  </a:graphicData>
                </a:graphic>
              </wp:anchor>
            </w:drawing>
          </mc:Choice>
          <mc:Fallback>
            <w:pict>
              <v:rect w14:anchorId="6724ECB0" id="Rectangles 316" o:spid="_x0000_s1036" style="position:absolute;left:0;text-align:left;margin-left:-37.95pt;margin-top:272pt;width:532.15pt;height:68.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" fillcolor="white [3201]" strokecolor="#4f81bd [3204]" strokeweight="2pt">
                <v:stroke startarrowwidth="narrow" startarrowlength="short" endarrowwidth="narrow" endarrowlength="short" joinstyle="round"/>
                <v:textbox inset="2.53958mm,1.2694mm,2.53958mm,1.2694mm">
                  <w:txbxContent>
                    <w:p w14:paraId="02BECFAC" w14:textId="77777777" w:rsidR="002775AD" w:rsidRDefault="00000000">
                      <w:r>
                        <w:rPr>
                          <w:rFonts w:ascii="Verdana" w:eastAsia="Verdana" w:hAnsi="Verdana" w:cs="Verdana"/>
                          <w:b/>
                          <w:color w:val="4F81BD"/>
                          <w:sz w:val="20"/>
                        </w:rPr>
                        <w:t xml:space="preserve">3 </w:t>
                      </w:r>
                    </w:p>
                    <w:p w14:paraId="6D319894" w14:textId="77777777" w:rsidR="002775AD" w:rsidRDefault="00000000">
                      <w:pPr>
                        <w:ind w:firstLine="300"/>
                        <w:jc w:val="both"/>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14:paraId="22B74E38" w14:textId="77777777" w:rsidR="002775AD" w:rsidRDefault="002775AD">
                      <w:pPr>
                        <w:jc w:val="center"/>
                      </w:pPr>
                    </w:p>
                  </w:txbxContent>
                </v:textbox>
              </v:rect>
            </w:pict>
          </mc:Fallback>
        </mc:AlternateContent>
      </w:r>
      <w:r>
        <w:rPr>
          <w:noProof/>
        </w:rPr>
        <mc:AlternateContent>
          <mc:Choice Requires="wps">
            <w:drawing>
              <wp:anchor distT="0" distB="0" distL="114300" distR="114300" simplePos="0" relativeHeight="251663360" behindDoc="0" locked="0" layoutInCell="1" allowOverlap="1" wp14:anchorId="1E9513E5" wp14:editId="58290AB0">
                <wp:simplePos x="0" y="0"/>
                <wp:positionH relativeFrom="column">
                  <wp:posOffset>-481965</wp:posOffset>
                </wp:positionH>
                <wp:positionV relativeFrom="paragraph">
                  <wp:posOffset>4432300</wp:posOffset>
                </wp:positionV>
                <wp:extent cx="6758305" cy="694055"/>
                <wp:effectExtent l="0" t="0" r="0" b="0"/>
                <wp:wrapNone/>
                <wp:docPr id="315" name="Rectangles 315"/>
                <wp:cNvGraphicFramePr/>
                <a:graphic xmlns:a="http://schemas.openxmlformats.org/drawingml/2006/main">
                  <a:graphicData uri="http://schemas.microsoft.com/office/word/2010/wordprocessingShape">
                    <wps:wsp>
                      <wps:cNvSpPr/>
                      <wps:spPr>
                        <a:xfrm>
                          <a:off x="1979548" y="3445673"/>
                          <a:ext cx="6732905" cy="66865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6067ED6B" w14:textId="77777777" w:rsidR="002775AD" w:rsidRDefault="00000000">
                            <w:r>
                              <w:rPr>
                                <w:rFonts w:ascii="Verdana" w:eastAsia="Verdana" w:hAnsi="Verdana" w:cs="Verdana"/>
                                <w:b/>
                                <w:color w:val="4F81BD"/>
                                <w:sz w:val="20"/>
                              </w:rPr>
                              <w:t xml:space="preserve">4 </w:t>
                            </w:r>
                          </w:p>
                          <w:p w14:paraId="0E0C0F7F" w14:textId="77777777" w:rsidR="002775AD" w:rsidRDefault="00000000">
                            <w:pPr>
                              <w:ind w:firstLine="300"/>
                              <w:jc w:val="both"/>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wps:txbx>
                      <wps:bodyPr spcFirstLastPara="1" wrap="square" lIns="91425" tIns="45700" rIns="91425" bIns="45700" anchor="t" anchorCtr="0">
                        <a:noAutofit/>
                      </wps:bodyPr>
                    </wps:wsp>
                  </a:graphicData>
                </a:graphic>
              </wp:anchor>
            </w:drawing>
          </mc:Choice>
          <mc:Fallback>
            <w:pict>
              <v:rect w14:anchorId="1E9513E5" id="Rectangles 315" o:spid="_x0000_s1037" style="position:absolute;left:0;text-align:left;margin-left:-37.95pt;margin-top:349pt;width:532.15pt;height:54.6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" fillcolor="white [3201]" strokecolor="#4f81bd [3204]" strokeweight="2pt">
                <v:stroke startarrowwidth="narrow" startarrowlength="short" endarrowwidth="narrow" endarrowlength="short" joinstyle="round"/>
                <v:textbox inset="2.53958mm,1.2694mm,2.53958mm,1.2694mm">
                  <w:txbxContent>
                    <w:p w14:paraId="6067ED6B" w14:textId="77777777" w:rsidR="002775AD" w:rsidRDefault="00000000">
                      <w:r>
                        <w:rPr>
                          <w:rFonts w:ascii="Verdana" w:eastAsia="Verdana" w:hAnsi="Verdana" w:cs="Verdana"/>
                          <w:b/>
                          <w:color w:val="4F81BD"/>
                          <w:sz w:val="20"/>
                        </w:rPr>
                        <w:t xml:space="preserve">4 </w:t>
                      </w:r>
                    </w:p>
                    <w:p w14:paraId="0E0C0F7F" w14:textId="77777777" w:rsidR="002775AD" w:rsidRDefault="00000000">
                      <w:pPr>
                        <w:ind w:firstLine="300"/>
                        <w:jc w:val="both"/>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v:textbox>
              </v:rect>
            </w:pict>
          </mc:Fallback>
        </mc:AlternateContent>
      </w:r>
      <w:r>
        <w:rPr>
          <w:noProof/>
        </w:rPr>
        <mc:AlternateContent>
          <mc:Choice Requires="wps">
            <w:drawing>
              <wp:anchor distT="0" distB="0" distL="114300" distR="114300" simplePos="0" relativeHeight="251664384" behindDoc="0" locked="0" layoutInCell="1" allowOverlap="1" wp14:anchorId="398BDB41" wp14:editId="456713DF">
                <wp:simplePos x="0" y="0"/>
                <wp:positionH relativeFrom="column">
                  <wp:posOffset>-494665</wp:posOffset>
                </wp:positionH>
                <wp:positionV relativeFrom="paragraph">
                  <wp:posOffset>5270500</wp:posOffset>
                </wp:positionV>
                <wp:extent cx="6758305" cy="817245"/>
                <wp:effectExtent l="0" t="0" r="0" b="0"/>
                <wp:wrapNone/>
                <wp:docPr id="323" name="Rectangles 323"/>
                <wp:cNvGraphicFramePr/>
                <a:graphic xmlns:a="http://schemas.openxmlformats.org/drawingml/2006/main">
                  <a:graphicData uri="http://schemas.microsoft.com/office/word/2010/wordprocessingShape">
                    <wps:wsp>
                      <wps:cNvSpPr/>
                      <wps:spPr>
                        <a:xfrm>
                          <a:off x="1979548" y="3384078"/>
                          <a:ext cx="6732905" cy="79184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979BFE8" w14:textId="77777777" w:rsidR="002775AD" w:rsidRDefault="00000000">
                            <w:r>
                              <w:rPr>
                                <w:rFonts w:ascii="Verdana" w:eastAsia="Verdana" w:hAnsi="Verdana" w:cs="Verdana"/>
                                <w:b/>
                                <w:color w:val="4F81BD"/>
                                <w:sz w:val="20"/>
                              </w:rPr>
                              <w:t>5</w:t>
                            </w:r>
                          </w:p>
                          <w:p w14:paraId="5EC40BC2" w14:textId="77777777" w:rsidR="002775AD" w:rsidRDefault="00000000">
                            <w:pPr>
                              <w:ind w:firstLine="300"/>
                              <w:jc w:val="both"/>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wps:txbx>
                      <wps:bodyPr spcFirstLastPara="1" wrap="square" lIns="91425" tIns="45700" rIns="91425" bIns="45700" anchor="t" anchorCtr="0">
                        <a:noAutofit/>
                      </wps:bodyPr>
                    </wps:wsp>
                  </a:graphicData>
                </a:graphic>
              </wp:anchor>
            </w:drawing>
          </mc:Choice>
          <mc:Fallback>
            <w:pict>
              <v:rect w14:anchorId="398BDB41" id="Rectangles 323" o:spid="_x0000_s1038" style="position:absolute;left:0;text-align:left;margin-left:-38.95pt;margin-top:415pt;width:532.15pt;height:64.3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" fillcolor="white [3201]" strokecolor="#4f81bd [3204]" strokeweight="2pt">
                <v:stroke startarrowwidth="narrow" startarrowlength="short" endarrowwidth="narrow" endarrowlength="short" joinstyle="round"/>
                <v:textbox inset="2.53958mm,1.2694mm,2.53958mm,1.2694mm">
                  <w:txbxContent>
                    <w:p w14:paraId="4979BFE8" w14:textId="77777777" w:rsidR="002775AD" w:rsidRDefault="00000000">
                      <w:r>
                        <w:rPr>
                          <w:rFonts w:ascii="Verdana" w:eastAsia="Verdana" w:hAnsi="Verdana" w:cs="Verdana"/>
                          <w:b/>
                          <w:color w:val="4F81BD"/>
                          <w:sz w:val="20"/>
                        </w:rPr>
                        <w:t>5</w:t>
                      </w:r>
                    </w:p>
                    <w:p w14:paraId="5EC40BC2" w14:textId="77777777" w:rsidR="002775AD" w:rsidRDefault="00000000">
                      <w:pPr>
                        <w:ind w:firstLine="300"/>
                        <w:jc w:val="both"/>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v:textbox>
              </v:rect>
            </w:pict>
          </mc:Fallback>
        </mc:AlternateContent>
      </w:r>
      <w:r>
        <w:rPr>
          <w:noProof/>
        </w:rPr>
        <mc:AlternateContent>
          <mc:Choice Requires="wps">
            <w:drawing>
              <wp:anchor distT="0" distB="0" distL="114300" distR="114300" simplePos="0" relativeHeight="251665408" behindDoc="0" locked="0" layoutInCell="1" allowOverlap="1" wp14:anchorId="1E7221E3" wp14:editId="1B8ACD12">
                <wp:simplePos x="0" y="0"/>
                <wp:positionH relativeFrom="column">
                  <wp:posOffset>-481965</wp:posOffset>
                </wp:positionH>
                <wp:positionV relativeFrom="paragraph">
                  <wp:posOffset>6210300</wp:posOffset>
                </wp:positionV>
                <wp:extent cx="6758305" cy="817245"/>
                <wp:effectExtent l="0" t="0" r="0" b="0"/>
                <wp:wrapNone/>
                <wp:docPr id="325" name="Rectangles 325"/>
                <wp:cNvGraphicFramePr/>
                <a:graphic xmlns:a="http://schemas.openxmlformats.org/drawingml/2006/main">
                  <a:graphicData uri="http://schemas.microsoft.com/office/word/2010/wordprocessingShape">
                    <wps:wsp>
                      <wps:cNvSpPr/>
                      <wps:spPr>
                        <a:xfrm>
                          <a:off x="1979548" y="3384078"/>
                          <a:ext cx="6732905" cy="79184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EBD0DB1" w14:textId="77777777" w:rsidR="002775AD" w:rsidRDefault="00000000">
                            <w:r>
                              <w:rPr>
                                <w:rFonts w:ascii="Verdana" w:eastAsia="Verdana" w:hAnsi="Verdana" w:cs="Verdana"/>
                                <w:b/>
                                <w:color w:val="4F81BD"/>
                                <w:sz w:val="20"/>
                              </w:rPr>
                              <w:t>6</w:t>
                            </w:r>
                          </w:p>
                          <w:p w14:paraId="05C2F601" w14:textId="77777777" w:rsidR="002775AD" w:rsidRDefault="00000000">
                            <w:pPr>
                              <w:ind w:firstLine="300"/>
                              <w:jc w:val="both"/>
                            </w:pPr>
                            <w:r>
                              <w:rPr>
                                <w:rFonts w:ascii="Verdana" w:eastAsia="Verdana" w:hAnsi="Verdana" w:cs="Verdana"/>
                                <w:color w:val="000000"/>
                                <w:sz w:val="20"/>
                              </w:rPr>
                              <w:t xml:space="preserve">A CLI/AD não encaminha seus Editais e/ou Anexos diretamente ou de forma individualizada aos interessados, que poderão acessá-los nos sítios www.comprasgovernamentais.gov.br </w:t>
                            </w:r>
                            <w:proofErr w:type="gramStart"/>
                            <w:r>
                              <w:rPr>
                                <w:rFonts w:ascii="Verdana" w:eastAsia="Verdana" w:hAnsi="Verdana" w:cs="Verdana"/>
                                <w:color w:val="000000"/>
                                <w:sz w:val="20"/>
                              </w:rPr>
                              <w:t xml:space="preserve">ou </w:t>
                            </w:r>
                            <w:r w:rsidRPr="009F0904">
                              <w:rPr>
                                <w:rFonts w:ascii="Verdana" w:eastAsia="Verdana" w:hAnsi="Verdana" w:cs="Verdana"/>
                                <w:color w:val="000000"/>
                                <w:sz w:val="20"/>
                              </w:rPr>
                              <w:t xml:space="preserve"> HYPERLINK</w:t>
                            </w:r>
                            <w:proofErr w:type="gramEnd"/>
                            <w:r>
                              <w:rPr>
                                <w:rFonts w:cs="Ecofont_Spranq_eco_Sans"/>
                                <w:color w:val="000000"/>
                              </w:rPr>
                              <w:t xml:space="preserve"> "https://www.uff.br/?q=licitacoes" </w:t>
                            </w:r>
                            <w:r>
                              <w:rPr>
                                <w:rFonts w:ascii="Verdana" w:eastAsia="Verdana" w:hAnsi="Verdana" w:cs="Verdana"/>
                                <w:color w:val="0000FF"/>
                                <w:sz w:val="20"/>
                                <w:u w:val="single"/>
                              </w:rPr>
                              <w:t>https://www.uff.br/?q=licitacoes</w:t>
                            </w:r>
                            <w:r>
                              <w:rPr>
                                <w:rFonts w:ascii="Verdana" w:eastAsia="Verdana" w:hAnsi="Verdana" w:cs="Verdana"/>
                                <w:color w:val="000000"/>
                                <w:sz w:val="20"/>
                              </w:rPr>
                              <w:t xml:space="preserve">. </w:t>
                            </w:r>
                          </w:p>
                          <w:p w14:paraId="23642868" w14:textId="77777777" w:rsidR="002775AD" w:rsidRDefault="002775AD">
                            <w:pPr>
                              <w:jc w:val="center"/>
                            </w:pPr>
                          </w:p>
                          <w:p w14:paraId="546EDF6B" w14:textId="77777777" w:rsidR="002775AD" w:rsidRDefault="002775AD">
                            <w:pPr>
                              <w:ind w:firstLine="300"/>
                              <w:jc w:val="both"/>
                            </w:pPr>
                          </w:p>
                        </w:txbxContent>
                      </wps:txbx>
                      <wps:bodyPr spcFirstLastPara="1" wrap="square" lIns="91425" tIns="45700" rIns="91425" bIns="45700" anchor="t" anchorCtr="0">
                        <a:noAutofit/>
                      </wps:bodyPr>
                    </wps:wsp>
                  </a:graphicData>
                </a:graphic>
              </wp:anchor>
            </w:drawing>
          </mc:Choice>
          <mc:Fallback>
            <w:pict>
              <v:rect w14:anchorId="1E7221E3" id="Rectangles 325" o:spid="_x0000_s1039" style="position:absolute;left:0;text-align:left;margin-left:-37.95pt;margin-top:489pt;width:532.15pt;height:64.3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" fillcolor="white [3201]" strokecolor="#4f81bd [3204]" strokeweight="2pt">
                <v:stroke startarrowwidth="narrow" startarrowlength="short" endarrowwidth="narrow" endarrowlength="short" joinstyle="round"/>
                <v:textbox inset="2.53958mm,1.2694mm,2.53958mm,1.2694mm">
                  <w:txbxContent>
                    <w:p w14:paraId="0EBD0DB1" w14:textId="77777777" w:rsidR="002775AD" w:rsidRDefault="00000000">
                      <w:r>
                        <w:rPr>
                          <w:rFonts w:ascii="Verdana" w:eastAsia="Verdana" w:hAnsi="Verdana" w:cs="Verdana"/>
                          <w:b/>
                          <w:color w:val="4F81BD"/>
                          <w:sz w:val="20"/>
                        </w:rPr>
                        <w:t>6</w:t>
                      </w:r>
                    </w:p>
                    <w:p w14:paraId="05C2F601" w14:textId="77777777" w:rsidR="002775AD" w:rsidRDefault="00000000">
                      <w:pPr>
                        <w:ind w:firstLine="300"/>
                        <w:jc w:val="both"/>
                      </w:pPr>
                      <w:r>
                        <w:rPr>
                          <w:rFonts w:ascii="Verdana" w:eastAsia="Verdana" w:hAnsi="Verdana" w:cs="Verdana"/>
                          <w:color w:val="000000"/>
                          <w:sz w:val="20"/>
                        </w:rPr>
                        <w:t xml:space="preserve">A CLI/AD não encaminha seus Editais e/ou Anexos diretamente ou de forma individualizada aos interessados, que poderão acessá-los nos sítios www.comprasgovernamentais.gov.br </w:t>
                      </w:r>
                      <w:proofErr w:type="gramStart"/>
                      <w:r>
                        <w:rPr>
                          <w:rFonts w:ascii="Verdana" w:eastAsia="Verdana" w:hAnsi="Verdana" w:cs="Verdana"/>
                          <w:color w:val="000000"/>
                          <w:sz w:val="20"/>
                        </w:rPr>
                        <w:t xml:space="preserve">ou </w:t>
                      </w:r>
                      <w:r w:rsidRPr="009F0904">
                        <w:rPr>
                          <w:rFonts w:ascii="Verdana" w:eastAsia="Verdana" w:hAnsi="Verdana" w:cs="Verdana"/>
                          <w:color w:val="000000"/>
                          <w:sz w:val="20"/>
                        </w:rPr>
                        <w:t xml:space="preserve"> HYPERLINK</w:t>
                      </w:r>
                      <w:proofErr w:type="gramEnd"/>
                      <w:r>
                        <w:rPr>
                          <w:rFonts w:cs="Ecofont_Spranq_eco_Sans"/>
                          <w:color w:val="000000"/>
                        </w:rPr>
                        <w:t xml:space="preserve"> "https://www.uff.br/?q=licitacoes" </w:t>
                      </w:r>
                      <w:r>
                        <w:rPr>
                          <w:rFonts w:ascii="Verdana" w:eastAsia="Verdana" w:hAnsi="Verdana" w:cs="Verdana"/>
                          <w:color w:val="0000FF"/>
                          <w:sz w:val="20"/>
                          <w:u w:val="single"/>
                        </w:rPr>
                        <w:t>https://www.uff.br/?q=licitacoes</w:t>
                      </w:r>
                      <w:r>
                        <w:rPr>
                          <w:rFonts w:ascii="Verdana" w:eastAsia="Verdana" w:hAnsi="Verdana" w:cs="Verdana"/>
                          <w:color w:val="000000"/>
                          <w:sz w:val="20"/>
                        </w:rPr>
                        <w:t xml:space="preserve">. </w:t>
                      </w:r>
                    </w:p>
                    <w:p w14:paraId="23642868" w14:textId="77777777" w:rsidR="002775AD" w:rsidRDefault="002775AD">
                      <w:pPr>
                        <w:jc w:val="center"/>
                      </w:pPr>
                    </w:p>
                    <w:p w14:paraId="546EDF6B" w14:textId="77777777" w:rsidR="002775AD" w:rsidRDefault="002775AD">
                      <w:pPr>
                        <w:ind w:firstLine="300"/>
                        <w:jc w:val="both"/>
                      </w:pPr>
                    </w:p>
                  </w:txbxContent>
                </v:textbox>
              </v:rect>
            </w:pict>
          </mc:Fallback>
        </mc:AlternateContent>
      </w:r>
      <w:r>
        <w:rPr>
          <w:noProof/>
        </w:rPr>
        <mc:AlternateContent>
          <mc:Choice Requires="wps">
            <w:drawing>
              <wp:anchor distT="0" distB="0" distL="114300" distR="114300" simplePos="0" relativeHeight="251666432" behindDoc="0" locked="0" layoutInCell="1" allowOverlap="1" wp14:anchorId="36E9E995" wp14:editId="46B2BBE4">
                <wp:simplePos x="0" y="0"/>
                <wp:positionH relativeFrom="column">
                  <wp:posOffset>-481965</wp:posOffset>
                </wp:positionH>
                <wp:positionV relativeFrom="paragraph">
                  <wp:posOffset>7124700</wp:posOffset>
                </wp:positionV>
                <wp:extent cx="6758305" cy="1007110"/>
                <wp:effectExtent l="0" t="0" r="0" b="0"/>
                <wp:wrapNone/>
                <wp:docPr id="314" name="Rectangles 314"/>
                <wp:cNvGraphicFramePr/>
                <a:graphic xmlns:a="http://schemas.openxmlformats.org/drawingml/2006/main">
                  <a:graphicData uri="http://schemas.microsoft.com/office/word/2010/wordprocessingShape">
                    <wps:wsp>
                      <wps:cNvSpPr/>
                      <wps:spPr>
                        <a:xfrm>
                          <a:off x="1979548" y="3289145"/>
                          <a:ext cx="6732905" cy="98171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58EC108" w14:textId="77777777" w:rsidR="002775AD" w:rsidRDefault="00000000">
                            <w:r>
                              <w:rPr>
                                <w:rFonts w:ascii="Verdana" w:eastAsia="Verdana" w:hAnsi="Verdana" w:cs="Verdana"/>
                                <w:b/>
                                <w:color w:val="4F81BD"/>
                                <w:sz w:val="20"/>
                              </w:rPr>
                              <w:t>7</w:t>
                            </w:r>
                          </w:p>
                          <w:p w14:paraId="10901837" w14:textId="77777777" w:rsidR="002775AD" w:rsidRDefault="00000000">
                            <w:pPr>
                              <w:jc w:val="cente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02FDB453" w14:textId="77777777" w:rsidR="002775AD" w:rsidRDefault="002775AD">
                            <w:pPr>
                              <w:jc w:val="center"/>
                            </w:pPr>
                          </w:p>
                          <w:p w14:paraId="59FB8C6C" w14:textId="77777777" w:rsidR="002775AD" w:rsidRDefault="002775AD">
                            <w:pPr>
                              <w:ind w:firstLine="300"/>
                              <w:jc w:val="both"/>
                            </w:pPr>
                          </w:p>
                        </w:txbxContent>
                      </wps:txbx>
                      <wps:bodyPr spcFirstLastPara="1" wrap="square" lIns="91425" tIns="45700" rIns="91425" bIns="45700" anchor="t" anchorCtr="0">
                        <a:noAutofit/>
                      </wps:bodyPr>
                    </wps:wsp>
                  </a:graphicData>
                </a:graphic>
              </wp:anchor>
            </w:drawing>
          </mc:Choice>
          <mc:Fallback>
            <w:pict>
              <v:rect w14:anchorId="36E9E995" id="Rectangles 314" o:spid="_x0000_s1040" style="position:absolute;left:0;text-align:left;margin-left:-37.95pt;margin-top:561pt;width:532.15pt;height:79.3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" fillcolor="white [3201]" strokecolor="#4f81bd [3204]" strokeweight="2pt">
                <v:stroke startarrowwidth="narrow" startarrowlength="short" endarrowwidth="narrow" endarrowlength="short" joinstyle="round"/>
                <v:textbox inset="2.53958mm,1.2694mm,2.53958mm,1.2694mm">
                  <w:txbxContent>
                    <w:p w14:paraId="458EC108" w14:textId="77777777" w:rsidR="002775AD" w:rsidRDefault="00000000">
                      <w:r>
                        <w:rPr>
                          <w:rFonts w:ascii="Verdana" w:eastAsia="Verdana" w:hAnsi="Verdana" w:cs="Verdana"/>
                          <w:b/>
                          <w:color w:val="4F81BD"/>
                          <w:sz w:val="20"/>
                        </w:rPr>
                        <w:t>7</w:t>
                      </w:r>
                    </w:p>
                    <w:p w14:paraId="10901837" w14:textId="77777777" w:rsidR="002775AD" w:rsidRDefault="00000000">
                      <w:pPr>
                        <w:jc w:val="cente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02FDB453" w14:textId="77777777" w:rsidR="002775AD" w:rsidRDefault="002775AD">
                      <w:pPr>
                        <w:jc w:val="center"/>
                      </w:pPr>
                    </w:p>
                    <w:p w14:paraId="59FB8C6C" w14:textId="77777777" w:rsidR="002775AD" w:rsidRDefault="002775AD">
                      <w:pPr>
                        <w:ind w:firstLine="300"/>
                        <w:jc w:val="both"/>
                      </w:pPr>
                    </w:p>
                  </w:txbxContent>
                </v:textbox>
              </v:rect>
            </w:pict>
          </mc:Fallback>
        </mc:AlternateContent>
      </w:r>
    </w:p>
    <w:p w14:paraId="32652850" w14:textId="77777777" w:rsidR="002775AD" w:rsidRDefault="00000000">
      <w:pPr>
        <w:keepNext/>
        <w:keepLines/>
        <w:spacing w:before="240" w:line="259" w:lineRule="auto"/>
        <w:rPr>
          <w:rFonts w:ascii="Arial" w:eastAsia="Arial" w:hAnsi="Arial" w:cs="Arial"/>
          <w:color w:val="366091"/>
          <w:sz w:val="22"/>
          <w:szCs w:val="22"/>
        </w:rPr>
      </w:pPr>
      <w:r>
        <w:rPr>
          <w:noProof/>
        </w:rPr>
        <w:lastRenderedPageBreak/>
        <mc:AlternateContent>
          <mc:Choice Requires="wps">
            <w:drawing>
              <wp:anchor distT="0" distB="0" distL="114300" distR="114300" simplePos="0" relativeHeight="251667456" behindDoc="0" locked="0" layoutInCell="1" allowOverlap="1" wp14:anchorId="51DEED99" wp14:editId="704DE344">
                <wp:simplePos x="0" y="0"/>
                <wp:positionH relativeFrom="column">
                  <wp:posOffset>-456565</wp:posOffset>
                </wp:positionH>
                <wp:positionV relativeFrom="paragraph">
                  <wp:posOffset>25400</wp:posOffset>
                </wp:positionV>
                <wp:extent cx="6758305" cy="675005"/>
                <wp:effectExtent l="0" t="0" r="0" b="0"/>
                <wp:wrapNone/>
                <wp:docPr id="318" name="Rectangles 318"/>
                <wp:cNvGraphicFramePr/>
                <a:graphic xmlns:a="http://schemas.openxmlformats.org/drawingml/2006/main">
                  <a:graphicData uri="http://schemas.microsoft.com/office/word/2010/wordprocessingShape">
                    <wps:wsp>
                      <wps:cNvSpPr/>
                      <wps:spPr>
                        <a:xfrm>
                          <a:off x="1979548" y="3455198"/>
                          <a:ext cx="6732905" cy="64960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172D774B" w14:textId="77777777" w:rsidR="002775AD" w:rsidRDefault="00000000">
                            <w:r>
                              <w:rPr>
                                <w:rFonts w:ascii="Verdana" w:eastAsia="Verdana" w:hAnsi="Verdana" w:cs="Verdana"/>
                                <w:b/>
                                <w:color w:val="4F81BD"/>
                                <w:sz w:val="20"/>
                              </w:rPr>
                              <w:t>8</w:t>
                            </w:r>
                          </w:p>
                          <w:p w14:paraId="46462F05" w14:textId="77777777" w:rsidR="002775AD" w:rsidRDefault="00000000">
                            <w:pPr>
                              <w:ind w:firstLine="300"/>
                              <w:jc w:val="both"/>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0D86A431" w14:textId="77777777" w:rsidR="002775AD" w:rsidRDefault="002775AD">
                            <w:pPr>
                              <w:ind w:firstLine="300"/>
                              <w:jc w:val="both"/>
                            </w:pPr>
                          </w:p>
                        </w:txbxContent>
                      </wps:txbx>
                      <wps:bodyPr spcFirstLastPara="1" wrap="square" lIns="91425" tIns="45700" rIns="91425" bIns="45700" anchor="t" anchorCtr="0">
                        <a:noAutofit/>
                      </wps:bodyPr>
                    </wps:wsp>
                  </a:graphicData>
                </a:graphic>
              </wp:anchor>
            </w:drawing>
          </mc:Choice>
          <mc:Fallback>
            <w:pict>
              <v:rect w14:anchorId="51DEED99" id="Rectangles 318" o:spid="_x0000_s1041" style="position:absolute;margin-left:-35.95pt;margin-top:2pt;width:532.15pt;height:53.1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" fillcolor="white [3201]" strokecolor="#4f81bd [3204]" strokeweight="2pt">
                <v:stroke startarrowwidth="narrow" startarrowlength="short" endarrowwidth="narrow" endarrowlength="short" joinstyle="round"/>
                <v:textbox inset="2.53958mm,1.2694mm,2.53958mm,1.2694mm">
                  <w:txbxContent>
                    <w:p w14:paraId="172D774B" w14:textId="77777777" w:rsidR="002775AD" w:rsidRDefault="00000000">
                      <w:r>
                        <w:rPr>
                          <w:rFonts w:ascii="Verdana" w:eastAsia="Verdana" w:hAnsi="Verdana" w:cs="Verdana"/>
                          <w:b/>
                          <w:color w:val="4F81BD"/>
                          <w:sz w:val="20"/>
                        </w:rPr>
                        <w:t>8</w:t>
                      </w:r>
                    </w:p>
                    <w:p w14:paraId="46462F05" w14:textId="77777777" w:rsidR="002775AD" w:rsidRDefault="00000000">
                      <w:pPr>
                        <w:ind w:firstLine="300"/>
                        <w:jc w:val="both"/>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0D86A431" w14:textId="77777777" w:rsidR="002775AD" w:rsidRDefault="002775AD">
                      <w:pPr>
                        <w:ind w:firstLine="300"/>
                        <w:jc w:val="both"/>
                      </w:pPr>
                    </w:p>
                  </w:txbxContent>
                </v:textbox>
              </v:rect>
            </w:pict>
          </mc:Fallback>
        </mc:AlternateContent>
      </w:r>
    </w:p>
    <w:p w14:paraId="6DC8511D" w14:textId="77777777" w:rsidR="002775AD" w:rsidRDefault="002775AD">
      <w:pPr>
        <w:keepNext/>
        <w:keepLines/>
        <w:spacing w:before="240" w:line="259" w:lineRule="auto"/>
        <w:rPr>
          <w:rFonts w:ascii="Arial" w:eastAsia="Arial" w:hAnsi="Arial" w:cs="Arial"/>
          <w:color w:val="366091"/>
          <w:sz w:val="22"/>
          <w:szCs w:val="22"/>
        </w:rPr>
      </w:pPr>
      <w:bookmarkStart w:id="1" w:name="_heading=h.gjdgxs" w:colFirst="0" w:colLast="0"/>
      <w:bookmarkEnd w:id="1"/>
    </w:p>
    <w:p w14:paraId="38DCAD63" w14:textId="77777777" w:rsidR="002775AD" w:rsidRDefault="00000000">
      <w:pPr>
        <w:keepNext/>
        <w:keepLines/>
        <w:spacing w:before="240" w:line="259" w:lineRule="auto"/>
        <w:rPr>
          <w:rFonts w:ascii="Arial" w:eastAsia="Arial" w:hAnsi="Arial" w:cs="Arial"/>
          <w:color w:val="366091"/>
          <w:sz w:val="22"/>
          <w:szCs w:val="22"/>
        </w:rPr>
      </w:pPr>
      <w:r>
        <w:rPr>
          <w:noProof/>
        </w:rPr>
        <mc:AlternateContent>
          <mc:Choice Requires="wps">
            <w:drawing>
              <wp:anchor distT="0" distB="0" distL="114300" distR="114300" simplePos="0" relativeHeight="251668480" behindDoc="0" locked="0" layoutInCell="1" allowOverlap="1" wp14:anchorId="77149BFD" wp14:editId="6CB13583">
                <wp:simplePos x="0" y="0"/>
                <wp:positionH relativeFrom="column">
                  <wp:posOffset>-456565</wp:posOffset>
                </wp:positionH>
                <wp:positionV relativeFrom="paragraph">
                  <wp:posOffset>304800</wp:posOffset>
                </wp:positionV>
                <wp:extent cx="6758305" cy="960120"/>
                <wp:effectExtent l="0" t="0" r="0" b="0"/>
                <wp:wrapNone/>
                <wp:docPr id="321" name="Rectangles 321"/>
                <wp:cNvGraphicFramePr/>
                <a:graphic xmlns:a="http://schemas.openxmlformats.org/drawingml/2006/main">
                  <a:graphicData uri="http://schemas.microsoft.com/office/word/2010/wordprocessingShape">
                    <wps:wsp>
                      <wps:cNvSpPr/>
                      <wps:spPr>
                        <a:xfrm>
                          <a:off x="1979548" y="3312640"/>
                          <a:ext cx="6732905" cy="93472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E4D6722" w14:textId="77777777" w:rsidR="002775AD" w:rsidRDefault="00000000">
                            <w:r>
                              <w:rPr>
                                <w:rFonts w:ascii="Verdana" w:eastAsia="Verdana" w:hAnsi="Verdana" w:cs="Verdana"/>
                                <w:b/>
                                <w:color w:val="4F81BD"/>
                                <w:sz w:val="20"/>
                              </w:rPr>
                              <w:t>9</w:t>
                            </w:r>
                          </w:p>
                          <w:p w14:paraId="0A7A73F9" w14:textId="77777777" w:rsidR="002775AD" w:rsidRDefault="00000000">
                            <w:pPr>
                              <w:ind w:firstLine="300"/>
                              <w:jc w:val="both"/>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16BFD6A0" w14:textId="77777777" w:rsidR="002775AD" w:rsidRDefault="002775AD">
                            <w:pPr>
                              <w:ind w:firstLine="300"/>
                              <w:jc w:val="both"/>
                            </w:pPr>
                          </w:p>
                        </w:txbxContent>
                      </wps:txbx>
                      <wps:bodyPr spcFirstLastPara="1" wrap="square" lIns="91425" tIns="45700" rIns="91425" bIns="45700" anchor="t" anchorCtr="0">
                        <a:noAutofit/>
                      </wps:bodyPr>
                    </wps:wsp>
                  </a:graphicData>
                </a:graphic>
              </wp:anchor>
            </w:drawing>
          </mc:Choice>
          <mc:Fallback>
            <w:pict>
              <v:rect w14:anchorId="77149BFD" id="Rectangles 321" o:spid="_x0000_s1042" style="position:absolute;margin-left:-35.95pt;margin-top:24pt;width:532.15pt;height:75.6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" fillcolor="white [3201]" strokecolor="#4f81bd [3204]" strokeweight="2pt">
                <v:stroke startarrowwidth="narrow" startarrowlength="short" endarrowwidth="narrow" endarrowlength="short" joinstyle="round"/>
                <v:textbox inset="2.53958mm,1.2694mm,2.53958mm,1.2694mm">
                  <w:txbxContent>
                    <w:p w14:paraId="4E4D6722" w14:textId="77777777" w:rsidR="002775AD" w:rsidRDefault="00000000">
                      <w:r>
                        <w:rPr>
                          <w:rFonts w:ascii="Verdana" w:eastAsia="Verdana" w:hAnsi="Verdana" w:cs="Verdana"/>
                          <w:b/>
                          <w:color w:val="4F81BD"/>
                          <w:sz w:val="20"/>
                        </w:rPr>
                        <w:t>9</w:t>
                      </w:r>
                    </w:p>
                    <w:p w14:paraId="0A7A73F9" w14:textId="77777777" w:rsidR="002775AD" w:rsidRDefault="00000000">
                      <w:pPr>
                        <w:ind w:firstLine="300"/>
                        <w:jc w:val="both"/>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16BFD6A0" w14:textId="77777777" w:rsidR="002775AD" w:rsidRDefault="002775AD">
                      <w:pPr>
                        <w:ind w:firstLine="300"/>
                        <w:jc w:val="both"/>
                      </w:pPr>
                    </w:p>
                  </w:txbxContent>
                </v:textbox>
              </v:rect>
            </w:pict>
          </mc:Fallback>
        </mc:AlternateContent>
      </w:r>
    </w:p>
    <w:p w14:paraId="04F47F84" w14:textId="77777777" w:rsidR="002775AD" w:rsidRDefault="002775AD">
      <w:pPr>
        <w:keepNext/>
        <w:keepLines/>
        <w:spacing w:before="240" w:line="259" w:lineRule="auto"/>
        <w:rPr>
          <w:rFonts w:ascii="Arial" w:eastAsia="Arial" w:hAnsi="Arial" w:cs="Arial"/>
          <w:color w:val="366091"/>
          <w:sz w:val="22"/>
          <w:szCs w:val="22"/>
        </w:rPr>
      </w:pPr>
    </w:p>
    <w:p w14:paraId="32CCA88C" w14:textId="77777777" w:rsidR="002775AD" w:rsidRDefault="002775AD">
      <w:pPr>
        <w:keepNext/>
        <w:keepLines/>
        <w:spacing w:before="240" w:line="259" w:lineRule="auto"/>
        <w:rPr>
          <w:rFonts w:ascii="Arial" w:eastAsia="Arial" w:hAnsi="Arial" w:cs="Arial"/>
          <w:color w:val="366091"/>
          <w:sz w:val="22"/>
          <w:szCs w:val="22"/>
        </w:rPr>
      </w:pPr>
    </w:p>
    <w:p w14:paraId="706AC22C" w14:textId="77777777" w:rsidR="002775AD" w:rsidRDefault="002775AD">
      <w:pPr>
        <w:keepNext/>
        <w:keepLines/>
        <w:spacing w:before="240" w:line="259" w:lineRule="auto"/>
        <w:rPr>
          <w:rFonts w:ascii="Arial" w:eastAsia="Arial" w:hAnsi="Arial" w:cs="Arial"/>
          <w:color w:val="366091"/>
          <w:sz w:val="22"/>
          <w:szCs w:val="22"/>
        </w:rPr>
      </w:pPr>
    </w:p>
    <w:p w14:paraId="4AA7FE7B" w14:textId="77777777" w:rsidR="002775AD" w:rsidRDefault="00000000">
      <w:pPr>
        <w:rPr>
          <w:rFonts w:ascii="Arial" w:eastAsia="Arial" w:hAnsi="Arial" w:cs="Arial"/>
          <w:color w:val="366091"/>
          <w:sz w:val="22"/>
          <w:szCs w:val="22"/>
        </w:rPr>
      </w:pPr>
      <w:r>
        <w:br w:type="page"/>
      </w:r>
      <w:r>
        <w:rPr>
          <w:noProof/>
        </w:rPr>
        <mc:AlternateContent>
          <mc:Choice Requires="wps">
            <w:drawing>
              <wp:anchor distT="0" distB="0" distL="114300" distR="114300" simplePos="0" relativeHeight="251669504" behindDoc="0" locked="0" layoutInCell="1" allowOverlap="1" wp14:anchorId="655EE57D" wp14:editId="0496D2D7">
                <wp:simplePos x="0" y="0"/>
                <wp:positionH relativeFrom="column">
                  <wp:posOffset>-456565</wp:posOffset>
                </wp:positionH>
                <wp:positionV relativeFrom="paragraph">
                  <wp:posOffset>50800</wp:posOffset>
                </wp:positionV>
                <wp:extent cx="6758305" cy="940435"/>
                <wp:effectExtent l="0" t="0" r="0" b="0"/>
                <wp:wrapNone/>
                <wp:docPr id="322" name="Rectangles 322"/>
                <wp:cNvGraphicFramePr/>
                <a:graphic xmlns:a="http://schemas.openxmlformats.org/drawingml/2006/main">
                  <a:graphicData uri="http://schemas.microsoft.com/office/word/2010/wordprocessingShape">
                    <wps:wsp>
                      <wps:cNvSpPr/>
                      <wps:spPr>
                        <a:xfrm>
                          <a:off x="1979548" y="3322483"/>
                          <a:ext cx="6732905" cy="91503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1176DC79" w14:textId="77777777" w:rsidR="002775AD" w:rsidRDefault="00000000">
                            <w:r>
                              <w:rPr>
                                <w:rFonts w:ascii="Verdana" w:eastAsia="Verdana" w:hAnsi="Verdana" w:cs="Verdana"/>
                                <w:b/>
                                <w:color w:val="4F81BD"/>
                                <w:sz w:val="20"/>
                              </w:rPr>
                              <w:t>10</w:t>
                            </w:r>
                          </w:p>
                          <w:p w14:paraId="17F4C9E7" w14:textId="77777777" w:rsidR="002775AD" w:rsidRDefault="00000000">
                            <w:pPr>
                              <w:ind w:firstLine="300"/>
                              <w:jc w:val="both"/>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24F26262" w14:textId="77777777" w:rsidR="002775AD" w:rsidRDefault="002775AD">
                            <w:pPr>
                              <w:ind w:firstLine="300"/>
                              <w:jc w:val="both"/>
                            </w:pPr>
                          </w:p>
                        </w:txbxContent>
                      </wps:txbx>
                      <wps:bodyPr spcFirstLastPara="1" wrap="square" lIns="91425" tIns="45700" rIns="91425" bIns="45700" anchor="t" anchorCtr="0">
                        <a:noAutofit/>
                      </wps:bodyPr>
                    </wps:wsp>
                  </a:graphicData>
                </a:graphic>
              </wp:anchor>
            </w:drawing>
          </mc:Choice>
          <mc:Fallback>
            <w:pict>
              <v:rect w14:anchorId="655EE57D" id="Rectangles 322" o:spid="_x0000_s1043" style="position:absolute;margin-left:-35.95pt;margin-top:4pt;width:532.15pt;height:74.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" fillcolor="white [3201]" strokecolor="#4f81bd [3204]" strokeweight="2pt">
                <v:stroke startarrowwidth="narrow" startarrowlength="short" endarrowwidth="narrow" endarrowlength="short" joinstyle="round"/>
                <v:textbox inset="2.53958mm,1.2694mm,2.53958mm,1.2694mm">
                  <w:txbxContent>
                    <w:p w14:paraId="1176DC79" w14:textId="77777777" w:rsidR="002775AD" w:rsidRDefault="00000000">
                      <w:r>
                        <w:rPr>
                          <w:rFonts w:ascii="Verdana" w:eastAsia="Verdana" w:hAnsi="Verdana" w:cs="Verdana"/>
                          <w:b/>
                          <w:color w:val="4F81BD"/>
                          <w:sz w:val="20"/>
                        </w:rPr>
                        <w:t>10</w:t>
                      </w:r>
                    </w:p>
                    <w:p w14:paraId="17F4C9E7" w14:textId="77777777" w:rsidR="002775AD" w:rsidRDefault="00000000">
                      <w:pPr>
                        <w:ind w:firstLine="300"/>
                        <w:jc w:val="both"/>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24F26262" w14:textId="77777777" w:rsidR="002775AD" w:rsidRDefault="002775AD">
                      <w:pPr>
                        <w:ind w:firstLine="300"/>
                        <w:jc w:val="both"/>
                      </w:pPr>
                    </w:p>
                  </w:txbxContent>
                </v:textbox>
              </v:rect>
            </w:pict>
          </mc:Fallback>
        </mc:AlternateContent>
      </w:r>
      <w:r>
        <w:rPr>
          <w:noProof/>
        </w:rPr>
        <mc:AlternateContent>
          <mc:Choice Requires="wps">
            <w:drawing>
              <wp:anchor distT="0" distB="0" distL="114300" distR="114300" simplePos="0" relativeHeight="251670528" behindDoc="0" locked="0" layoutInCell="1" allowOverlap="1" wp14:anchorId="29234132" wp14:editId="4888F2C1">
                <wp:simplePos x="0" y="0"/>
                <wp:positionH relativeFrom="column">
                  <wp:posOffset>-456565</wp:posOffset>
                </wp:positionH>
                <wp:positionV relativeFrom="paragraph">
                  <wp:posOffset>1079500</wp:posOffset>
                </wp:positionV>
                <wp:extent cx="6758305" cy="1082675"/>
                <wp:effectExtent l="0" t="0" r="0" b="0"/>
                <wp:wrapNone/>
                <wp:docPr id="312" name="Rectangles 312"/>
                <wp:cNvGraphicFramePr/>
                <a:graphic xmlns:a="http://schemas.openxmlformats.org/drawingml/2006/main">
                  <a:graphicData uri="http://schemas.microsoft.com/office/word/2010/wordprocessingShape">
                    <wps:wsp>
                      <wps:cNvSpPr/>
                      <wps:spPr>
                        <a:xfrm>
                          <a:off x="1979548" y="3251363"/>
                          <a:ext cx="6732905" cy="105727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1C4021AF" w14:textId="77777777" w:rsidR="002775AD" w:rsidRDefault="00000000">
                            <w:pPr>
                              <w:jc w:val="both"/>
                            </w:pPr>
                            <w:r>
                              <w:rPr>
                                <w:rFonts w:ascii="Verdana" w:eastAsia="Verdana" w:hAnsi="Verdana" w:cs="Verdana"/>
                                <w:b/>
                                <w:color w:val="4F81BD"/>
                                <w:sz w:val="20"/>
                              </w:rPr>
                              <w:t xml:space="preserve">11 </w:t>
                            </w:r>
                          </w:p>
                          <w:p w14:paraId="6358F404" w14:textId="77777777" w:rsidR="002775AD" w:rsidRDefault="00000000">
                            <w:pPr>
                              <w:ind w:firstLine="300"/>
                              <w:jc w:val="both"/>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66962C32" w14:textId="77777777" w:rsidR="002775AD" w:rsidRDefault="002775AD">
                            <w:pPr>
                              <w:jc w:val="both"/>
                            </w:pPr>
                          </w:p>
                          <w:p w14:paraId="2A2A65D6" w14:textId="77777777" w:rsidR="002775AD" w:rsidRDefault="002775AD">
                            <w:pPr>
                              <w:jc w:val="both"/>
                            </w:pPr>
                          </w:p>
                        </w:txbxContent>
                      </wps:txbx>
                      <wps:bodyPr spcFirstLastPara="1" wrap="square" lIns="91425" tIns="45700" rIns="91425" bIns="45700" anchor="t" anchorCtr="0">
                        <a:noAutofit/>
                      </wps:bodyPr>
                    </wps:wsp>
                  </a:graphicData>
                </a:graphic>
              </wp:anchor>
            </w:drawing>
          </mc:Choice>
          <mc:Fallback>
            <w:pict>
              <v:rect w14:anchorId="29234132" id="Rectangles 312" o:spid="_x0000_s1044" style="position:absolute;margin-left:-35.95pt;margin-top:85pt;width:532.15pt;height:85.2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" fillcolor="white [3201]" strokecolor="#4f81bd [3204]" strokeweight="2pt">
                <v:stroke startarrowwidth="narrow" startarrowlength="short" endarrowwidth="narrow" endarrowlength="short" joinstyle="round"/>
                <v:textbox inset="2.53958mm,1.2694mm,2.53958mm,1.2694mm">
                  <w:txbxContent>
                    <w:p w14:paraId="1C4021AF" w14:textId="77777777" w:rsidR="002775AD" w:rsidRDefault="00000000">
                      <w:pPr>
                        <w:jc w:val="both"/>
                      </w:pPr>
                      <w:r>
                        <w:rPr>
                          <w:rFonts w:ascii="Verdana" w:eastAsia="Verdana" w:hAnsi="Verdana" w:cs="Verdana"/>
                          <w:b/>
                          <w:color w:val="4F81BD"/>
                          <w:sz w:val="20"/>
                        </w:rPr>
                        <w:t xml:space="preserve">11 </w:t>
                      </w:r>
                    </w:p>
                    <w:p w14:paraId="6358F404" w14:textId="77777777" w:rsidR="002775AD" w:rsidRDefault="00000000">
                      <w:pPr>
                        <w:ind w:firstLine="300"/>
                        <w:jc w:val="both"/>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66962C32" w14:textId="77777777" w:rsidR="002775AD" w:rsidRDefault="002775AD">
                      <w:pPr>
                        <w:jc w:val="both"/>
                      </w:pPr>
                    </w:p>
                    <w:p w14:paraId="2A2A65D6" w14:textId="77777777" w:rsidR="002775AD" w:rsidRDefault="002775AD">
                      <w:pPr>
                        <w:jc w:val="both"/>
                      </w:pPr>
                    </w:p>
                  </w:txbxContent>
                </v:textbox>
              </v:rect>
            </w:pict>
          </mc:Fallback>
        </mc:AlternateContent>
      </w:r>
      <w:r>
        <w:rPr>
          <w:noProof/>
        </w:rPr>
        <mc:AlternateContent>
          <mc:Choice Requires="wps">
            <w:drawing>
              <wp:anchor distT="0" distB="0" distL="114300" distR="114300" simplePos="0" relativeHeight="251671552" behindDoc="0" locked="0" layoutInCell="1" allowOverlap="1" wp14:anchorId="48D5BCEA" wp14:editId="4ABD3EF0">
                <wp:simplePos x="0" y="0"/>
                <wp:positionH relativeFrom="column">
                  <wp:posOffset>-443865</wp:posOffset>
                </wp:positionH>
                <wp:positionV relativeFrom="paragraph">
                  <wp:posOffset>2260600</wp:posOffset>
                </wp:positionV>
                <wp:extent cx="6758305" cy="740410"/>
                <wp:effectExtent l="0" t="0" r="0" b="0"/>
                <wp:wrapNone/>
                <wp:docPr id="313" name="Rectangles 313"/>
                <wp:cNvGraphicFramePr/>
                <a:graphic xmlns:a="http://schemas.openxmlformats.org/drawingml/2006/main">
                  <a:graphicData uri="http://schemas.microsoft.com/office/word/2010/wordprocessingShape">
                    <wps:wsp>
                      <wps:cNvSpPr/>
                      <wps:spPr>
                        <a:xfrm>
                          <a:off x="1979548" y="3422495"/>
                          <a:ext cx="6732905" cy="71501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684AB0A2" w14:textId="77777777" w:rsidR="002775AD" w:rsidRDefault="00000000">
                            <w:pPr>
                              <w:jc w:val="both"/>
                            </w:pPr>
                            <w:r>
                              <w:rPr>
                                <w:rFonts w:ascii="Verdana" w:eastAsia="Verdana" w:hAnsi="Verdana" w:cs="Verdana"/>
                                <w:b/>
                                <w:color w:val="4F81BD"/>
                                <w:sz w:val="20"/>
                              </w:rPr>
                              <w:t>12</w:t>
                            </w:r>
                          </w:p>
                          <w:p w14:paraId="146737E2" w14:textId="77777777" w:rsidR="002775AD" w:rsidRDefault="00000000">
                            <w:pPr>
                              <w:ind w:firstLine="300"/>
                              <w:jc w:val="both"/>
                            </w:pPr>
                            <w:r>
                              <w:rPr>
                                <w:rFonts w:ascii="Verdana" w:eastAsia="Verdana" w:hAnsi="Verdana" w:cs="Verdana"/>
                                <w:color w:val="000000"/>
                                <w:sz w:val="20"/>
                              </w:rPr>
                              <w:t xml:space="preserve">Para informações sobre a atual prestadora dos serviços objeto deste certame, consultar o link: </w:t>
                            </w:r>
                          </w:p>
                          <w:p w14:paraId="56D78456" w14:textId="77777777" w:rsidR="002775AD" w:rsidRDefault="00000000">
                            <w:pPr>
                              <w:jc w:val="both"/>
                            </w:pPr>
                            <w:r>
                              <w:rPr>
                                <w:rFonts w:ascii="Arial" w:eastAsia="Arial" w:hAnsi="Arial" w:cs="Arial"/>
                                <w:color w:val="000000"/>
                                <w:highlight w:val="white"/>
                              </w:rPr>
                              <w:t> </w:t>
                            </w:r>
                            <w:r>
                              <w:rPr>
                                <w:rFonts w:ascii="Arial" w:eastAsia="Arial" w:hAnsi="Arial" w:cs="Arial"/>
                                <w:b/>
                                <w:color w:val="000000"/>
                                <w:highlight w:val="white"/>
                              </w:rPr>
                              <w:t xml:space="preserve"> HYPERLINK "https://www.uff.br/?q=contratos&amp;page=1" \t "https://mail.google.com/mail/u/1/" \l "search/link/_blank" </w:t>
                            </w:r>
                            <w:r>
                              <w:rPr>
                                <w:rFonts w:ascii="Arial" w:eastAsia="Arial" w:hAnsi="Arial" w:cs="Arial"/>
                                <w:b/>
                                <w:color w:val="000000"/>
                                <w:highlight w:val="white"/>
                                <w:u w:val="single"/>
                              </w:rPr>
                              <w:t>https://www.uff.br/?q=contratos&amp;page=1</w:t>
                            </w:r>
                            <w:r>
                              <w:rPr>
                                <w:rFonts w:ascii="Arial" w:eastAsia="Arial" w:hAnsi="Arial" w:cs="Arial"/>
                                <w:b/>
                                <w:color w:val="000000"/>
                                <w:highlight w:val="white"/>
                              </w:rPr>
                              <w:t>.</w:t>
                            </w:r>
                          </w:p>
                          <w:p w14:paraId="24FCA9AA" w14:textId="77777777" w:rsidR="002775AD" w:rsidRDefault="002775AD">
                            <w:pPr>
                              <w:jc w:val="both"/>
                            </w:pPr>
                          </w:p>
                        </w:txbxContent>
                      </wps:txbx>
                      <wps:bodyPr spcFirstLastPara="1" wrap="square" lIns="91425" tIns="45700" rIns="91425" bIns="45700" anchor="t" anchorCtr="0">
                        <a:noAutofit/>
                      </wps:bodyPr>
                    </wps:wsp>
                  </a:graphicData>
                </a:graphic>
              </wp:anchor>
            </w:drawing>
          </mc:Choice>
          <mc:Fallback>
            <w:pict>
              <v:rect w14:anchorId="48D5BCEA" id="Rectangles 313" o:spid="_x0000_s1045" style="position:absolute;margin-left:-34.95pt;margin-top:178pt;width:532.15pt;height:58.3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" fillcolor="white [3201]" strokecolor="#4f81bd [3204]" strokeweight="2pt">
                <v:stroke startarrowwidth="narrow" startarrowlength="short" endarrowwidth="narrow" endarrowlength="short" joinstyle="round"/>
                <v:textbox inset="2.53958mm,1.2694mm,2.53958mm,1.2694mm">
                  <w:txbxContent>
                    <w:p w14:paraId="684AB0A2" w14:textId="77777777" w:rsidR="002775AD" w:rsidRDefault="00000000">
                      <w:pPr>
                        <w:jc w:val="both"/>
                      </w:pPr>
                      <w:r>
                        <w:rPr>
                          <w:rFonts w:ascii="Verdana" w:eastAsia="Verdana" w:hAnsi="Verdana" w:cs="Verdana"/>
                          <w:b/>
                          <w:color w:val="4F81BD"/>
                          <w:sz w:val="20"/>
                        </w:rPr>
                        <w:t>12</w:t>
                      </w:r>
                    </w:p>
                    <w:p w14:paraId="146737E2" w14:textId="77777777" w:rsidR="002775AD" w:rsidRDefault="00000000">
                      <w:pPr>
                        <w:ind w:firstLine="300"/>
                        <w:jc w:val="both"/>
                      </w:pPr>
                      <w:r>
                        <w:rPr>
                          <w:rFonts w:ascii="Verdana" w:eastAsia="Verdana" w:hAnsi="Verdana" w:cs="Verdana"/>
                          <w:color w:val="000000"/>
                          <w:sz w:val="20"/>
                        </w:rPr>
                        <w:t xml:space="preserve">Para informações sobre a atual prestadora dos serviços objeto deste certame, consultar o link: </w:t>
                      </w:r>
                    </w:p>
                    <w:p w14:paraId="56D78456" w14:textId="77777777" w:rsidR="002775AD" w:rsidRDefault="00000000">
                      <w:pPr>
                        <w:jc w:val="both"/>
                      </w:pPr>
                      <w:r>
                        <w:rPr>
                          <w:rFonts w:ascii="Arial" w:eastAsia="Arial" w:hAnsi="Arial" w:cs="Arial"/>
                          <w:color w:val="000000"/>
                          <w:highlight w:val="white"/>
                        </w:rPr>
                        <w:t> </w:t>
                      </w:r>
                      <w:r>
                        <w:rPr>
                          <w:rFonts w:ascii="Arial" w:eastAsia="Arial" w:hAnsi="Arial" w:cs="Arial"/>
                          <w:b/>
                          <w:color w:val="000000"/>
                          <w:highlight w:val="white"/>
                        </w:rPr>
                        <w:t xml:space="preserve"> HYPERLINK "https://www.uff.br/?q=contratos&amp;page=1" \t "https://mail.google.com/mail/u/1/" \l "search/link/_blank" </w:t>
                      </w:r>
                      <w:r>
                        <w:rPr>
                          <w:rFonts w:ascii="Arial" w:eastAsia="Arial" w:hAnsi="Arial" w:cs="Arial"/>
                          <w:b/>
                          <w:color w:val="000000"/>
                          <w:highlight w:val="white"/>
                          <w:u w:val="single"/>
                        </w:rPr>
                        <w:t>https://www.uff.br/?q=contratos&amp;page=1</w:t>
                      </w:r>
                      <w:r>
                        <w:rPr>
                          <w:rFonts w:ascii="Arial" w:eastAsia="Arial" w:hAnsi="Arial" w:cs="Arial"/>
                          <w:b/>
                          <w:color w:val="000000"/>
                          <w:highlight w:val="white"/>
                        </w:rPr>
                        <w:t>.</w:t>
                      </w:r>
                    </w:p>
                    <w:p w14:paraId="24FCA9AA" w14:textId="77777777" w:rsidR="002775AD" w:rsidRDefault="002775AD">
                      <w:pPr>
                        <w:jc w:val="both"/>
                      </w:pPr>
                    </w:p>
                  </w:txbxContent>
                </v:textbox>
              </v:rect>
            </w:pict>
          </mc:Fallback>
        </mc:AlternateContent>
      </w:r>
      <w:r>
        <w:rPr>
          <w:noProof/>
        </w:rPr>
        <mc:AlternateContent>
          <mc:Choice Requires="wps">
            <w:drawing>
              <wp:anchor distT="0" distB="0" distL="114300" distR="114300" simplePos="0" relativeHeight="251672576" behindDoc="0" locked="0" layoutInCell="1" allowOverlap="1" wp14:anchorId="59246689" wp14:editId="647E7E71">
                <wp:simplePos x="0" y="0"/>
                <wp:positionH relativeFrom="column">
                  <wp:posOffset>-456565</wp:posOffset>
                </wp:positionH>
                <wp:positionV relativeFrom="paragraph">
                  <wp:posOffset>3098800</wp:posOffset>
                </wp:positionV>
                <wp:extent cx="6758305" cy="568960"/>
                <wp:effectExtent l="0" t="0" r="0" b="0"/>
                <wp:wrapNone/>
                <wp:docPr id="319" name="Rectangles 319"/>
                <wp:cNvGraphicFramePr/>
                <a:graphic xmlns:a="http://schemas.openxmlformats.org/drawingml/2006/main">
                  <a:graphicData uri="http://schemas.microsoft.com/office/word/2010/wordprocessingShape">
                    <wps:wsp>
                      <wps:cNvSpPr/>
                      <wps:spPr>
                        <a:xfrm>
                          <a:off x="1979548" y="3508220"/>
                          <a:ext cx="6732905" cy="54356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51682430" w14:textId="77777777" w:rsidR="002775AD" w:rsidRDefault="00000000">
                            <w:pPr>
                              <w:jc w:val="both"/>
                            </w:pPr>
                            <w:r>
                              <w:rPr>
                                <w:rFonts w:ascii="Verdana" w:eastAsia="Verdana" w:hAnsi="Verdana" w:cs="Verdana"/>
                                <w:b/>
                                <w:color w:val="4F81BD"/>
                                <w:sz w:val="20"/>
                              </w:rPr>
                              <w:t>13</w:t>
                            </w:r>
                          </w:p>
                          <w:p w14:paraId="234114F0" w14:textId="77777777" w:rsidR="002775AD" w:rsidRDefault="00000000">
                            <w:pPr>
                              <w:ind w:firstLine="300"/>
                              <w:jc w:val="both"/>
                            </w:pPr>
                            <w:r>
                              <w:rPr>
                                <w:rFonts w:ascii="Verdana" w:eastAsia="Verdana" w:hAnsi="Verdana" w:cs="Verdana"/>
                                <w:color w:val="000000"/>
                                <w:sz w:val="20"/>
                              </w:rPr>
                              <w:t>A utilização da CCT na composição dos custos não é de uso obrigatório pelas licitantes.</w:t>
                            </w:r>
                          </w:p>
                          <w:p w14:paraId="12CD0A51" w14:textId="77777777" w:rsidR="002775AD" w:rsidRDefault="002775AD">
                            <w:pPr>
                              <w:jc w:val="both"/>
                            </w:pPr>
                          </w:p>
                        </w:txbxContent>
                      </wps:txbx>
                      <wps:bodyPr spcFirstLastPara="1" wrap="square" lIns="91425" tIns="45700" rIns="91425" bIns="45700" anchor="t" anchorCtr="0">
                        <a:noAutofit/>
                      </wps:bodyPr>
                    </wps:wsp>
                  </a:graphicData>
                </a:graphic>
              </wp:anchor>
            </w:drawing>
          </mc:Choice>
          <mc:Fallback>
            <w:pict>
              <v:rect w14:anchorId="59246689" id="Rectangles 319" o:spid="_x0000_s1046" style="position:absolute;margin-left:-35.95pt;margin-top:244pt;width:532.15pt;height:44.8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" fillcolor="white [3201]" strokecolor="#4f81bd [3204]" strokeweight="2pt">
                <v:stroke startarrowwidth="narrow" startarrowlength="short" endarrowwidth="narrow" endarrowlength="short" joinstyle="round"/>
                <v:textbox inset="2.53958mm,1.2694mm,2.53958mm,1.2694mm">
                  <w:txbxContent>
                    <w:p w14:paraId="51682430" w14:textId="77777777" w:rsidR="002775AD" w:rsidRDefault="00000000">
                      <w:pPr>
                        <w:jc w:val="both"/>
                      </w:pPr>
                      <w:r>
                        <w:rPr>
                          <w:rFonts w:ascii="Verdana" w:eastAsia="Verdana" w:hAnsi="Verdana" w:cs="Verdana"/>
                          <w:b/>
                          <w:color w:val="4F81BD"/>
                          <w:sz w:val="20"/>
                        </w:rPr>
                        <w:t>13</w:t>
                      </w:r>
                    </w:p>
                    <w:p w14:paraId="234114F0" w14:textId="77777777" w:rsidR="002775AD" w:rsidRDefault="00000000">
                      <w:pPr>
                        <w:ind w:firstLine="300"/>
                        <w:jc w:val="both"/>
                      </w:pPr>
                      <w:r>
                        <w:rPr>
                          <w:rFonts w:ascii="Verdana" w:eastAsia="Verdana" w:hAnsi="Verdana" w:cs="Verdana"/>
                          <w:color w:val="000000"/>
                          <w:sz w:val="20"/>
                        </w:rPr>
                        <w:t>A utilização da CCT na composição dos custos não é de uso obrigatório pelas licitantes.</w:t>
                      </w:r>
                    </w:p>
                    <w:p w14:paraId="12CD0A51" w14:textId="77777777" w:rsidR="002775AD" w:rsidRDefault="002775AD">
                      <w:pPr>
                        <w:jc w:val="both"/>
                      </w:pPr>
                    </w:p>
                  </w:txbxContent>
                </v:textbox>
              </v:rect>
            </w:pict>
          </mc:Fallback>
        </mc:AlternateContent>
      </w:r>
      <w:r>
        <w:rPr>
          <w:noProof/>
        </w:rPr>
        <mc:AlternateContent>
          <mc:Choice Requires="wps">
            <w:drawing>
              <wp:anchor distT="0" distB="0" distL="114300" distR="114300" simplePos="0" relativeHeight="251673600" behindDoc="0" locked="0" layoutInCell="1" allowOverlap="1" wp14:anchorId="63C5ABBC" wp14:editId="315A40B6">
                <wp:simplePos x="0" y="0"/>
                <wp:positionH relativeFrom="column">
                  <wp:posOffset>-456565</wp:posOffset>
                </wp:positionH>
                <wp:positionV relativeFrom="paragraph">
                  <wp:posOffset>3810000</wp:posOffset>
                </wp:positionV>
                <wp:extent cx="6758305" cy="682625"/>
                <wp:effectExtent l="0" t="0" r="0" b="0"/>
                <wp:wrapNone/>
                <wp:docPr id="311" name="Rectangles 311"/>
                <wp:cNvGraphicFramePr/>
                <a:graphic xmlns:a="http://schemas.openxmlformats.org/drawingml/2006/main">
                  <a:graphicData uri="http://schemas.microsoft.com/office/word/2010/wordprocessingShape">
                    <wps:wsp>
                      <wps:cNvSpPr/>
                      <wps:spPr>
                        <a:xfrm>
                          <a:off x="1979548" y="3451388"/>
                          <a:ext cx="6732905" cy="65722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3B441401" w14:textId="77777777" w:rsidR="002775AD" w:rsidRDefault="00000000">
                            <w:pPr>
                              <w:jc w:val="both"/>
                            </w:pPr>
                            <w:r>
                              <w:rPr>
                                <w:rFonts w:ascii="Verdana" w:eastAsia="Verdana" w:hAnsi="Verdana" w:cs="Verdana"/>
                                <w:b/>
                                <w:color w:val="4F81BD"/>
                                <w:sz w:val="20"/>
                              </w:rPr>
                              <w:t>14</w:t>
                            </w:r>
                          </w:p>
                          <w:p w14:paraId="3DC04FBE" w14:textId="2A26E160" w:rsidR="002775AD" w:rsidRDefault="00000000">
                            <w:pPr>
                              <w:ind w:firstLine="300"/>
                              <w:jc w:val="both"/>
                            </w:pPr>
                            <w:r>
                              <w:rPr>
                                <w:rFonts w:ascii="Verdana" w:eastAsia="Verdana" w:hAnsi="Verdana" w:cs="Verdana"/>
                                <w:color w:val="000000"/>
                                <w:sz w:val="20"/>
                              </w:rPr>
                              <w:t>A licitante poderá anexar a planilha juntamente com a proposta, mas aso não envie não será desclassificada. A planilha readequada s</w:t>
                            </w:r>
                            <w:r w:rsidR="0058246D">
                              <w:rPr>
                                <w:rFonts w:ascii="Verdana" w:eastAsia="Verdana" w:hAnsi="Verdana" w:cs="Verdana"/>
                                <w:color w:val="000000"/>
                                <w:sz w:val="20"/>
                              </w:rPr>
                              <w:t>ó</w:t>
                            </w:r>
                            <w:r>
                              <w:rPr>
                                <w:rFonts w:ascii="Verdana" w:eastAsia="Verdana" w:hAnsi="Verdana" w:cs="Verdana"/>
                                <w:color w:val="000000"/>
                                <w:sz w:val="20"/>
                              </w:rPr>
                              <w:t xml:space="preserve"> será exigida do licitante melhor colocado.</w:t>
                            </w:r>
                          </w:p>
                          <w:p w14:paraId="15BFFCA6" w14:textId="77777777" w:rsidR="002775AD" w:rsidRDefault="002775AD">
                            <w:pPr>
                              <w:jc w:val="both"/>
                            </w:pPr>
                          </w:p>
                        </w:txbxContent>
                      </wps:txbx>
                      <wps:bodyPr spcFirstLastPara="1" wrap="square" lIns="91425" tIns="45700" rIns="91425" bIns="45700" anchor="t" anchorCtr="0">
                        <a:noAutofit/>
                      </wps:bodyPr>
                    </wps:wsp>
                  </a:graphicData>
                </a:graphic>
              </wp:anchor>
            </w:drawing>
          </mc:Choice>
          <mc:Fallback>
            <w:pict>
              <v:rect w14:anchorId="63C5ABBC" id="Rectangles 311" o:spid="_x0000_s1047" style="position:absolute;margin-left:-35.95pt;margin-top:300pt;width:532.15pt;height:53.7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" fillcolor="white [3201]" strokecolor="#4f81bd [3204]" strokeweight="2pt">
                <v:stroke startarrowwidth="narrow" startarrowlength="short" endarrowwidth="narrow" endarrowlength="short" joinstyle="round"/>
                <v:textbox inset="2.53958mm,1.2694mm,2.53958mm,1.2694mm">
                  <w:txbxContent>
                    <w:p w14:paraId="3B441401" w14:textId="77777777" w:rsidR="002775AD" w:rsidRDefault="00000000">
                      <w:pPr>
                        <w:jc w:val="both"/>
                      </w:pPr>
                      <w:r>
                        <w:rPr>
                          <w:rFonts w:ascii="Verdana" w:eastAsia="Verdana" w:hAnsi="Verdana" w:cs="Verdana"/>
                          <w:b/>
                          <w:color w:val="4F81BD"/>
                          <w:sz w:val="20"/>
                        </w:rPr>
                        <w:t>14</w:t>
                      </w:r>
                    </w:p>
                    <w:p w14:paraId="3DC04FBE" w14:textId="2A26E160" w:rsidR="002775AD" w:rsidRDefault="00000000">
                      <w:pPr>
                        <w:ind w:firstLine="300"/>
                        <w:jc w:val="both"/>
                      </w:pPr>
                      <w:r>
                        <w:rPr>
                          <w:rFonts w:ascii="Verdana" w:eastAsia="Verdana" w:hAnsi="Verdana" w:cs="Verdana"/>
                          <w:color w:val="000000"/>
                          <w:sz w:val="20"/>
                        </w:rPr>
                        <w:t>A licitante poderá anexar a planilha juntamente com a proposta, mas aso não envie não será desclassificada. A planilha readequada s</w:t>
                      </w:r>
                      <w:r w:rsidR="0058246D">
                        <w:rPr>
                          <w:rFonts w:ascii="Verdana" w:eastAsia="Verdana" w:hAnsi="Verdana" w:cs="Verdana"/>
                          <w:color w:val="000000"/>
                          <w:sz w:val="20"/>
                        </w:rPr>
                        <w:t>ó</w:t>
                      </w:r>
                      <w:r>
                        <w:rPr>
                          <w:rFonts w:ascii="Verdana" w:eastAsia="Verdana" w:hAnsi="Verdana" w:cs="Verdana"/>
                          <w:color w:val="000000"/>
                          <w:sz w:val="20"/>
                        </w:rPr>
                        <w:t xml:space="preserve"> será exigida do licitante melhor colocado.</w:t>
                      </w:r>
                    </w:p>
                    <w:p w14:paraId="15BFFCA6" w14:textId="77777777" w:rsidR="002775AD" w:rsidRDefault="002775AD">
                      <w:pPr>
                        <w:jc w:val="both"/>
                      </w:pPr>
                    </w:p>
                  </w:txbxContent>
                </v:textbox>
              </v:rect>
            </w:pict>
          </mc:Fallback>
        </mc:AlternateContent>
      </w:r>
    </w:p>
    <w:p w14:paraId="29DA8F20" w14:textId="77777777" w:rsidR="002775AD" w:rsidRDefault="002775AD">
      <w:pPr>
        <w:keepNext/>
        <w:keepLines/>
        <w:spacing w:before="240" w:line="259" w:lineRule="auto"/>
        <w:rPr>
          <w:rFonts w:ascii="Arial" w:eastAsia="Arial" w:hAnsi="Arial" w:cs="Arial"/>
          <w:color w:val="366091"/>
          <w:sz w:val="22"/>
          <w:szCs w:val="22"/>
        </w:rPr>
      </w:pPr>
    </w:p>
    <w:p w14:paraId="40B17B51" w14:textId="77777777" w:rsidR="002775AD" w:rsidRDefault="00000000">
      <w:pPr>
        <w:keepNext/>
        <w:keepLines/>
        <w:spacing w:before="240" w:line="259" w:lineRule="auto"/>
        <w:rPr>
          <w:rFonts w:ascii="Arial" w:eastAsia="Arial" w:hAnsi="Arial" w:cs="Arial"/>
          <w:color w:val="366091"/>
          <w:sz w:val="22"/>
          <w:szCs w:val="22"/>
        </w:rPr>
      </w:pPr>
      <w:r>
        <w:rPr>
          <w:rFonts w:ascii="Arial" w:eastAsia="Arial" w:hAnsi="Arial" w:cs="Arial"/>
          <w:color w:val="366091"/>
          <w:sz w:val="22"/>
          <w:szCs w:val="22"/>
        </w:rPr>
        <w:t>Sumário</w:t>
      </w:r>
    </w:p>
    <w:p w14:paraId="73D4B135" w14:textId="77777777" w:rsidR="002775AD" w:rsidRDefault="002775AD">
      <w:pPr>
        <w:rPr>
          <w:rFonts w:ascii="Arial" w:eastAsia="Arial" w:hAnsi="Arial" w:cs="Arial"/>
        </w:rPr>
      </w:pPr>
    </w:p>
    <w:sdt>
      <w:sdtPr>
        <w:id w:val="1567995485"/>
        <w:docPartObj>
          <w:docPartGallery w:val="Table of Contents"/>
          <w:docPartUnique/>
        </w:docPartObj>
      </w:sdtPr>
      <w:sdtContent>
        <w:p w14:paraId="419F35D7" w14:textId="77777777" w:rsidR="002775AD" w:rsidRDefault="00000000">
          <w:pPr>
            <w:tabs>
              <w:tab w:val="left" w:pos="426"/>
              <w:tab w:val="right" w:pos="9628"/>
            </w:tabs>
            <w:spacing w:after="100"/>
            <w:rPr>
              <w:rFonts w:ascii="Cambria" w:eastAsia="Cambria" w:hAnsi="Cambria" w:cs="Cambria"/>
              <w:color w:val="000000"/>
              <w:sz w:val="22"/>
              <w:szCs w:val="22"/>
            </w:rPr>
          </w:pPr>
          <w:r>
            <w:fldChar w:fldCharType="begin"/>
          </w:r>
          <w:r>
            <w:instrText xml:space="preserve"> TOC \h \u \z \t "Heading 1,1,Heading 2,2,Heading 3,3,Heading 4,4,Heading 5,5,Heading 6,6,"</w:instrText>
          </w:r>
          <w:r>
            <w:fldChar w:fldCharType="separate"/>
          </w:r>
          <w:hyperlink w:anchor="_heading=h.30j0zll">
            <w:r>
              <w:rPr>
                <w:rFonts w:ascii="Arial" w:eastAsia="Arial" w:hAnsi="Arial" w:cs="Arial"/>
                <w:color w:val="000000"/>
                <w:sz w:val="20"/>
                <w:szCs w:val="20"/>
              </w:rPr>
              <w:t>1.</w:t>
            </w:r>
          </w:hyperlink>
          <w:hyperlink w:anchor="_heading=h.30j0zll">
            <w:r>
              <w:rPr>
                <w:rFonts w:ascii="Cambria" w:eastAsia="Cambria" w:hAnsi="Cambria" w:cs="Cambria"/>
                <w:color w:val="000000"/>
                <w:sz w:val="22"/>
                <w:szCs w:val="22"/>
              </w:rPr>
              <w:tab/>
            </w:r>
          </w:hyperlink>
          <w:r>
            <w:fldChar w:fldCharType="begin"/>
          </w:r>
          <w:r>
            <w:instrText xml:space="preserve"> PAGEREF _heading=h.30j0zll \h </w:instrText>
          </w:r>
          <w:r>
            <w:fldChar w:fldCharType="separate"/>
          </w:r>
          <w:r>
            <w:rPr>
              <w:rFonts w:ascii="Arial" w:eastAsia="Arial" w:hAnsi="Arial" w:cs="Arial"/>
              <w:color w:val="000000"/>
              <w:sz w:val="20"/>
              <w:szCs w:val="20"/>
            </w:rPr>
            <w:t>DO OBJETO</w:t>
          </w:r>
          <w:r>
            <w:rPr>
              <w:rFonts w:ascii="Arial" w:eastAsia="Arial" w:hAnsi="Arial" w:cs="Arial"/>
              <w:color w:val="000000"/>
              <w:sz w:val="20"/>
              <w:szCs w:val="20"/>
            </w:rPr>
            <w:tab/>
            <w:t>3</w:t>
          </w:r>
          <w:hyperlink w:anchor="_heading=h.30j0zll" w:history="1"/>
        </w:p>
        <w:p w14:paraId="13E14F0D" w14:textId="77777777" w:rsidR="002775AD" w:rsidRDefault="00000000">
          <w:pPr>
            <w:tabs>
              <w:tab w:val="left" w:pos="426"/>
              <w:tab w:val="right" w:pos="9628"/>
            </w:tabs>
            <w:spacing w:after="100"/>
            <w:rPr>
              <w:rFonts w:ascii="Cambria" w:eastAsia="Cambria" w:hAnsi="Cambria" w:cs="Cambria"/>
              <w:color w:val="000000"/>
              <w:sz w:val="22"/>
              <w:szCs w:val="22"/>
            </w:rPr>
          </w:pPr>
          <w:r>
            <w:fldChar w:fldCharType="end"/>
          </w:r>
          <w:hyperlink w:anchor="_heading=h.1fob9te">
            <w:r>
              <w:rPr>
                <w:rFonts w:ascii="Arial" w:eastAsia="Arial" w:hAnsi="Arial" w:cs="Arial"/>
                <w:color w:val="000000"/>
                <w:sz w:val="20"/>
                <w:szCs w:val="20"/>
              </w:rPr>
              <w:t>2.</w:t>
            </w:r>
          </w:hyperlink>
          <w:hyperlink w:anchor="_heading=h.1fob9te">
            <w:r>
              <w:rPr>
                <w:rFonts w:ascii="Cambria" w:eastAsia="Cambria" w:hAnsi="Cambria" w:cs="Cambria"/>
                <w:color w:val="000000"/>
                <w:sz w:val="22"/>
                <w:szCs w:val="22"/>
              </w:rPr>
              <w:tab/>
            </w:r>
          </w:hyperlink>
          <w:r>
            <w:fldChar w:fldCharType="begin"/>
          </w:r>
          <w:r>
            <w:instrText xml:space="preserve"> PAGEREF _heading=h.1fob9te \h </w:instrText>
          </w:r>
          <w:r>
            <w:fldChar w:fldCharType="separate"/>
          </w:r>
          <w:r>
            <w:rPr>
              <w:rFonts w:ascii="Arial" w:eastAsia="Arial" w:hAnsi="Arial" w:cs="Arial"/>
              <w:color w:val="000000"/>
              <w:sz w:val="20"/>
              <w:szCs w:val="20"/>
            </w:rPr>
            <w:t>DA PARTICIPAÇÃO NA LICITAÇÃO</w:t>
          </w:r>
          <w:r>
            <w:rPr>
              <w:rFonts w:ascii="Arial" w:eastAsia="Arial" w:hAnsi="Arial" w:cs="Arial"/>
              <w:color w:val="000000"/>
              <w:sz w:val="20"/>
              <w:szCs w:val="20"/>
            </w:rPr>
            <w:tab/>
            <w:t>3</w:t>
          </w:r>
          <w:hyperlink w:anchor="_heading=h.1fob9te" w:history="1"/>
        </w:p>
        <w:p w14:paraId="45A26650" w14:textId="77777777" w:rsidR="002775AD" w:rsidRDefault="00000000">
          <w:pPr>
            <w:tabs>
              <w:tab w:val="left" w:pos="426"/>
              <w:tab w:val="right" w:pos="9628"/>
            </w:tabs>
            <w:spacing w:after="100"/>
            <w:rPr>
              <w:rFonts w:ascii="Cambria" w:eastAsia="Cambria" w:hAnsi="Cambria" w:cs="Cambria"/>
              <w:color w:val="000000"/>
              <w:sz w:val="22"/>
              <w:szCs w:val="22"/>
            </w:rPr>
          </w:pPr>
          <w:r>
            <w:fldChar w:fldCharType="end"/>
          </w:r>
          <w:hyperlink w:anchor="_heading=h.lnxbz9">
            <w:r>
              <w:rPr>
                <w:rFonts w:ascii="Arial" w:eastAsia="Arial" w:hAnsi="Arial" w:cs="Arial"/>
                <w:color w:val="000000"/>
                <w:sz w:val="20"/>
                <w:szCs w:val="20"/>
              </w:rPr>
              <w:t>3.</w:t>
            </w:r>
          </w:hyperlink>
          <w:hyperlink w:anchor="_heading=h.lnxbz9">
            <w:r>
              <w:rPr>
                <w:rFonts w:ascii="Cambria" w:eastAsia="Cambria" w:hAnsi="Cambria" w:cs="Cambria"/>
                <w:color w:val="000000"/>
                <w:sz w:val="22"/>
                <w:szCs w:val="22"/>
              </w:rPr>
              <w:tab/>
            </w:r>
          </w:hyperlink>
          <w:r>
            <w:fldChar w:fldCharType="begin"/>
          </w:r>
          <w:r>
            <w:instrText xml:space="preserve"> PAGEREF _heading=h.lnxbz9 \h </w:instrText>
          </w:r>
          <w:r>
            <w:fldChar w:fldCharType="separate"/>
          </w:r>
          <w:r>
            <w:rPr>
              <w:rFonts w:ascii="Arial" w:eastAsia="Arial" w:hAnsi="Arial" w:cs="Arial"/>
              <w:color w:val="000000"/>
              <w:sz w:val="20"/>
              <w:szCs w:val="20"/>
            </w:rPr>
            <w:t>DA APRESENTAÇÃO DA PROPOSTA E DOS DOCUMENTOS DE HABILITAÇÃO</w:t>
          </w:r>
          <w:r>
            <w:rPr>
              <w:rFonts w:ascii="Arial" w:eastAsia="Arial" w:hAnsi="Arial" w:cs="Arial"/>
              <w:color w:val="000000"/>
              <w:sz w:val="20"/>
              <w:szCs w:val="20"/>
            </w:rPr>
            <w:tab/>
            <w:t>6</w:t>
          </w:r>
          <w:hyperlink w:anchor="_heading=h.lnxbz9" w:history="1"/>
        </w:p>
        <w:p w14:paraId="023BD492" w14:textId="77777777" w:rsidR="002775AD" w:rsidRDefault="00000000">
          <w:pPr>
            <w:tabs>
              <w:tab w:val="left" w:pos="426"/>
              <w:tab w:val="right" w:pos="9628"/>
            </w:tabs>
            <w:spacing w:after="100"/>
            <w:rPr>
              <w:rFonts w:ascii="Cambria" w:eastAsia="Cambria" w:hAnsi="Cambria" w:cs="Cambria"/>
              <w:color w:val="000000"/>
              <w:sz w:val="22"/>
              <w:szCs w:val="22"/>
            </w:rPr>
          </w:pPr>
          <w:r>
            <w:fldChar w:fldCharType="end"/>
          </w:r>
          <w:hyperlink w:anchor="_heading=h.3j2qqm3">
            <w:r>
              <w:rPr>
                <w:rFonts w:ascii="Arial" w:eastAsia="Arial" w:hAnsi="Arial" w:cs="Arial"/>
                <w:color w:val="000000"/>
                <w:sz w:val="20"/>
                <w:szCs w:val="20"/>
              </w:rPr>
              <w:t>4.</w:t>
            </w:r>
          </w:hyperlink>
          <w:hyperlink w:anchor="_heading=h.3j2qqm3">
            <w:r>
              <w:rPr>
                <w:rFonts w:ascii="Cambria" w:eastAsia="Cambria" w:hAnsi="Cambria" w:cs="Cambria"/>
                <w:color w:val="000000"/>
                <w:sz w:val="22"/>
                <w:szCs w:val="22"/>
              </w:rPr>
              <w:tab/>
            </w:r>
          </w:hyperlink>
          <w:r>
            <w:fldChar w:fldCharType="begin"/>
          </w:r>
          <w:r>
            <w:instrText xml:space="preserve"> PAGEREF _heading=h.3j2qqm3 \h </w:instrText>
          </w:r>
          <w:r>
            <w:fldChar w:fldCharType="separate"/>
          </w:r>
          <w:r>
            <w:rPr>
              <w:rFonts w:ascii="Arial" w:eastAsia="Arial" w:hAnsi="Arial" w:cs="Arial"/>
              <w:color w:val="000000"/>
              <w:sz w:val="20"/>
              <w:szCs w:val="20"/>
            </w:rPr>
            <w:t>DO PREENCHIMENTO DA PROPOSTA</w:t>
          </w:r>
          <w:r>
            <w:rPr>
              <w:rFonts w:ascii="Arial" w:eastAsia="Arial" w:hAnsi="Arial" w:cs="Arial"/>
              <w:color w:val="000000"/>
              <w:sz w:val="20"/>
              <w:szCs w:val="20"/>
            </w:rPr>
            <w:tab/>
            <w:t>8</w:t>
          </w:r>
          <w:hyperlink w:anchor="_heading=h.3j2qqm3" w:history="1"/>
        </w:p>
        <w:p w14:paraId="4C569FC8" w14:textId="77777777" w:rsidR="002775AD" w:rsidRDefault="00000000">
          <w:pPr>
            <w:tabs>
              <w:tab w:val="left" w:pos="426"/>
              <w:tab w:val="right" w:pos="9628"/>
            </w:tabs>
            <w:spacing w:after="100"/>
            <w:rPr>
              <w:rFonts w:ascii="Cambria" w:eastAsia="Cambria" w:hAnsi="Cambria" w:cs="Cambria"/>
              <w:color w:val="000000"/>
              <w:sz w:val="22"/>
              <w:szCs w:val="22"/>
            </w:rPr>
          </w:pPr>
          <w:r>
            <w:fldChar w:fldCharType="end"/>
          </w:r>
          <w:hyperlink w:anchor="_heading=h.1y810tw">
            <w:r>
              <w:rPr>
                <w:rFonts w:ascii="Arial" w:eastAsia="Arial" w:hAnsi="Arial" w:cs="Arial"/>
                <w:color w:val="000000"/>
                <w:sz w:val="20"/>
                <w:szCs w:val="20"/>
              </w:rPr>
              <w:t>5.</w:t>
            </w:r>
          </w:hyperlink>
          <w:hyperlink w:anchor="_heading=h.1y810tw">
            <w:r>
              <w:rPr>
                <w:rFonts w:ascii="Cambria" w:eastAsia="Cambria" w:hAnsi="Cambria" w:cs="Cambria"/>
                <w:color w:val="000000"/>
                <w:sz w:val="22"/>
                <w:szCs w:val="22"/>
              </w:rPr>
              <w:tab/>
            </w:r>
          </w:hyperlink>
          <w:r>
            <w:fldChar w:fldCharType="begin"/>
          </w:r>
          <w:r>
            <w:instrText xml:space="preserve"> PAGEREF _heading=h.1y810tw \h </w:instrText>
          </w:r>
          <w:r>
            <w:fldChar w:fldCharType="separate"/>
          </w:r>
          <w:r>
            <w:rPr>
              <w:rFonts w:ascii="Arial" w:eastAsia="Arial" w:hAnsi="Arial" w:cs="Arial"/>
              <w:color w:val="000000"/>
              <w:sz w:val="20"/>
              <w:szCs w:val="20"/>
            </w:rPr>
            <w:t>DA ABERTURA DA SESSÃO, CLASSIFICAÇÃO DAS PROPOSTAS E FORMULAÇÃO DE LANCES</w:t>
          </w:r>
          <w:r>
            <w:rPr>
              <w:rFonts w:ascii="Arial" w:eastAsia="Arial" w:hAnsi="Arial" w:cs="Arial"/>
              <w:color w:val="000000"/>
              <w:sz w:val="20"/>
              <w:szCs w:val="20"/>
            </w:rPr>
            <w:tab/>
            <w:t>9</w:t>
          </w:r>
          <w:hyperlink w:anchor="_heading=h.1y810tw" w:history="1"/>
        </w:p>
        <w:p w14:paraId="323CA515" w14:textId="77777777" w:rsidR="002775AD" w:rsidRDefault="00000000">
          <w:pPr>
            <w:tabs>
              <w:tab w:val="left" w:pos="426"/>
              <w:tab w:val="right" w:pos="9628"/>
            </w:tabs>
            <w:spacing w:after="100"/>
            <w:rPr>
              <w:rFonts w:ascii="Cambria" w:eastAsia="Cambria" w:hAnsi="Cambria" w:cs="Cambria"/>
              <w:color w:val="000000"/>
              <w:sz w:val="22"/>
              <w:szCs w:val="22"/>
            </w:rPr>
          </w:pPr>
          <w:r>
            <w:fldChar w:fldCharType="end"/>
          </w:r>
          <w:hyperlink w:anchor="_heading=h.2p2csry">
            <w:r>
              <w:rPr>
                <w:rFonts w:ascii="Arial" w:eastAsia="Arial" w:hAnsi="Arial" w:cs="Arial"/>
                <w:color w:val="000000"/>
                <w:sz w:val="20"/>
                <w:szCs w:val="20"/>
              </w:rPr>
              <w:t>6.</w:t>
            </w:r>
          </w:hyperlink>
          <w:hyperlink w:anchor="_heading=h.2p2csry">
            <w:r>
              <w:rPr>
                <w:rFonts w:ascii="Cambria" w:eastAsia="Cambria" w:hAnsi="Cambria" w:cs="Cambria"/>
                <w:color w:val="000000"/>
                <w:sz w:val="22"/>
                <w:szCs w:val="22"/>
              </w:rPr>
              <w:tab/>
            </w:r>
          </w:hyperlink>
          <w:r>
            <w:fldChar w:fldCharType="begin"/>
          </w:r>
          <w:r>
            <w:instrText xml:space="preserve"> PAGEREF _heading=h.2p2csry \h </w:instrText>
          </w:r>
          <w:r>
            <w:fldChar w:fldCharType="separate"/>
          </w:r>
          <w:r>
            <w:rPr>
              <w:rFonts w:ascii="Arial" w:eastAsia="Arial" w:hAnsi="Arial" w:cs="Arial"/>
              <w:color w:val="000000"/>
              <w:sz w:val="20"/>
              <w:szCs w:val="20"/>
            </w:rPr>
            <w:t>DA FASE DE JULGAMENTO</w:t>
          </w:r>
          <w:r>
            <w:rPr>
              <w:rFonts w:ascii="Arial" w:eastAsia="Arial" w:hAnsi="Arial" w:cs="Arial"/>
              <w:color w:val="000000"/>
              <w:sz w:val="20"/>
              <w:szCs w:val="20"/>
            </w:rPr>
            <w:tab/>
            <w:t>14</w:t>
          </w:r>
          <w:hyperlink w:anchor="_heading=h.2p2csry" w:history="1"/>
        </w:p>
        <w:p w14:paraId="5B95F6E9" w14:textId="77777777" w:rsidR="002775AD" w:rsidRDefault="00000000">
          <w:pPr>
            <w:tabs>
              <w:tab w:val="left" w:pos="426"/>
              <w:tab w:val="right" w:pos="9628"/>
            </w:tabs>
            <w:spacing w:after="100"/>
            <w:rPr>
              <w:rFonts w:ascii="Cambria" w:eastAsia="Cambria" w:hAnsi="Cambria" w:cs="Cambria"/>
              <w:color w:val="000000"/>
              <w:sz w:val="22"/>
              <w:szCs w:val="22"/>
            </w:rPr>
          </w:pPr>
          <w:r>
            <w:fldChar w:fldCharType="end"/>
          </w:r>
          <w:hyperlink w:anchor="_heading=h.3o7alnk">
            <w:r>
              <w:rPr>
                <w:rFonts w:ascii="Arial" w:eastAsia="Arial" w:hAnsi="Arial" w:cs="Arial"/>
                <w:color w:val="000000"/>
                <w:sz w:val="20"/>
                <w:szCs w:val="20"/>
              </w:rPr>
              <w:t>7.</w:t>
            </w:r>
          </w:hyperlink>
          <w:hyperlink w:anchor="_heading=h.3o7alnk">
            <w:r>
              <w:rPr>
                <w:rFonts w:ascii="Cambria" w:eastAsia="Cambria" w:hAnsi="Cambria" w:cs="Cambria"/>
                <w:color w:val="000000"/>
                <w:sz w:val="22"/>
                <w:szCs w:val="22"/>
              </w:rPr>
              <w:tab/>
            </w:r>
          </w:hyperlink>
          <w:r>
            <w:fldChar w:fldCharType="begin"/>
          </w:r>
          <w:r>
            <w:instrText xml:space="preserve"> PAGEREF _heading=h.3o7alnk \h </w:instrText>
          </w:r>
          <w:r>
            <w:fldChar w:fldCharType="separate"/>
          </w:r>
          <w:r>
            <w:rPr>
              <w:rFonts w:ascii="Arial" w:eastAsia="Arial" w:hAnsi="Arial" w:cs="Arial"/>
              <w:color w:val="000000"/>
              <w:sz w:val="20"/>
              <w:szCs w:val="20"/>
            </w:rPr>
            <w:t>DA FASE DE HABILITAÇÃO</w:t>
          </w:r>
          <w:r>
            <w:rPr>
              <w:rFonts w:ascii="Arial" w:eastAsia="Arial" w:hAnsi="Arial" w:cs="Arial"/>
              <w:color w:val="000000"/>
              <w:sz w:val="20"/>
              <w:szCs w:val="20"/>
            </w:rPr>
            <w:tab/>
            <w:t>17</w:t>
          </w:r>
          <w:hyperlink w:anchor="_heading=h.3o7alnk" w:history="1"/>
        </w:p>
        <w:p w14:paraId="232E3225" w14:textId="77777777" w:rsidR="002775AD" w:rsidRDefault="00000000">
          <w:pPr>
            <w:tabs>
              <w:tab w:val="left" w:pos="426"/>
              <w:tab w:val="right" w:pos="9628"/>
            </w:tabs>
            <w:spacing w:after="100"/>
            <w:rPr>
              <w:rFonts w:ascii="Cambria" w:eastAsia="Cambria" w:hAnsi="Cambria" w:cs="Cambria"/>
              <w:color w:val="000000"/>
              <w:sz w:val="22"/>
              <w:szCs w:val="22"/>
            </w:rPr>
          </w:pPr>
          <w:r>
            <w:fldChar w:fldCharType="end"/>
          </w:r>
          <w:hyperlink w:anchor="_heading=h.2grqrue">
            <w:r>
              <w:rPr>
                <w:rFonts w:ascii="Arial" w:eastAsia="Arial" w:hAnsi="Arial" w:cs="Arial"/>
                <w:color w:val="000000"/>
                <w:sz w:val="20"/>
                <w:szCs w:val="20"/>
              </w:rPr>
              <w:t>8.</w:t>
            </w:r>
          </w:hyperlink>
          <w:hyperlink w:anchor="_heading=h.2grqrue">
            <w:r>
              <w:rPr>
                <w:rFonts w:ascii="Cambria" w:eastAsia="Cambria" w:hAnsi="Cambria" w:cs="Cambria"/>
                <w:color w:val="000000"/>
                <w:sz w:val="22"/>
                <w:szCs w:val="22"/>
              </w:rPr>
              <w:tab/>
            </w:r>
          </w:hyperlink>
          <w:r>
            <w:fldChar w:fldCharType="begin"/>
          </w:r>
          <w:r>
            <w:instrText xml:space="preserve"> PAGEREF _heading=h.2grqrue \h </w:instrText>
          </w:r>
          <w:r>
            <w:fldChar w:fldCharType="separate"/>
          </w:r>
          <w:r>
            <w:rPr>
              <w:rFonts w:ascii="Arial" w:eastAsia="Arial" w:hAnsi="Arial" w:cs="Arial"/>
              <w:color w:val="000000"/>
              <w:sz w:val="20"/>
              <w:szCs w:val="20"/>
            </w:rPr>
            <w:t>DOS RECURSOS</w:t>
          </w:r>
          <w:r>
            <w:rPr>
              <w:rFonts w:ascii="Arial" w:eastAsia="Arial" w:hAnsi="Arial" w:cs="Arial"/>
              <w:color w:val="000000"/>
              <w:sz w:val="20"/>
              <w:szCs w:val="20"/>
            </w:rPr>
            <w:tab/>
            <w:t>20</w:t>
          </w:r>
          <w:hyperlink w:anchor="_heading=h.2grqrue" w:history="1"/>
        </w:p>
        <w:p w14:paraId="3E4685B1" w14:textId="77777777" w:rsidR="002775AD" w:rsidRDefault="00000000">
          <w:pPr>
            <w:tabs>
              <w:tab w:val="left" w:pos="426"/>
              <w:tab w:val="right" w:pos="9628"/>
            </w:tabs>
            <w:spacing w:after="100"/>
            <w:rPr>
              <w:rFonts w:ascii="Cambria" w:eastAsia="Cambria" w:hAnsi="Cambria" w:cs="Cambria"/>
              <w:color w:val="000000"/>
              <w:sz w:val="22"/>
              <w:szCs w:val="22"/>
            </w:rPr>
          </w:pPr>
          <w:r>
            <w:fldChar w:fldCharType="end"/>
          </w:r>
          <w:hyperlink w:anchor="_heading=h.vx1227">
            <w:r>
              <w:rPr>
                <w:rFonts w:ascii="Arial" w:eastAsia="Arial" w:hAnsi="Arial" w:cs="Arial"/>
                <w:color w:val="000000"/>
                <w:sz w:val="20"/>
                <w:szCs w:val="20"/>
              </w:rPr>
              <w:t>9.</w:t>
            </w:r>
          </w:hyperlink>
          <w:hyperlink w:anchor="_heading=h.vx1227">
            <w:r>
              <w:rPr>
                <w:rFonts w:ascii="Cambria" w:eastAsia="Cambria" w:hAnsi="Cambria" w:cs="Cambria"/>
                <w:color w:val="000000"/>
                <w:sz w:val="22"/>
                <w:szCs w:val="22"/>
              </w:rPr>
              <w:tab/>
            </w:r>
          </w:hyperlink>
          <w:r>
            <w:fldChar w:fldCharType="begin"/>
          </w:r>
          <w:r>
            <w:instrText xml:space="preserve"> PAGEREF _heading=h.vx1227 \h </w:instrText>
          </w:r>
          <w:r>
            <w:fldChar w:fldCharType="separate"/>
          </w:r>
          <w:r>
            <w:rPr>
              <w:rFonts w:ascii="Arial" w:eastAsia="Arial" w:hAnsi="Arial" w:cs="Arial"/>
              <w:color w:val="000000"/>
              <w:sz w:val="20"/>
              <w:szCs w:val="20"/>
            </w:rPr>
            <w:t>DAS INFRAÇÕES ADMINISTRATIVAS E SANÇÕES</w:t>
          </w:r>
          <w:r>
            <w:rPr>
              <w:rFonts w:ascii="Arial" w:eastAsia="Arial" w:hAnsi="Arial" w:cs="Arial"/>
              <w:color w:val="000000"/>
              <w:sz w:val="20"/>
              <w:szCs w:val="20"/>
            </w:rPr>
            <w:tab/>
            <w:t>21</w:t>
          </w:r>
          <w:hyperlink w:anchor="_heading=h.vx1227" w:history="1"/>
        </w:p>
        <w:p w14:paraId="32839F62" w14:textId="77777777" w:rsidR="002775AD" w:rsidRDefault="00000000">
          <w:pPr>
            <w:tabs>
              <w:tab w:val="left" w:pos="426"/>
              <w:tab w:val="right" w:pos="9628"/>
            </w:tabs>
            <w:spacing w:after="100"/>
            <w:rPr>
              <w:rFonts w:ascii="Cambria" w:eastAsia="Cambria" w:hAnsi="Cambria" w:cs="Cambria"/>
              <w:color w:val="000000"/>
              <w:sz w:val="22"/>
              <w:szCs w:val="22"/>
            </w:rPr>
          </w:pPr>
          <w:r>
            <w:fldChar w:fldCharType="end"/>
          </w:r>
          <w:hyperlink w:anchor="_heading=h.1mrcu09">
            <w:r>
              <w:rPr>
                <w:rFonts w:ascii="Arial" w:eastAsia="Arial" w:hAnsi="Arial" w:cs="Arial"/>
                <w:color w:val="000000"/>
                <w:sz w:val="20"/>
                <w:szCs w:val="20"/>
              </w:rPr>
              <w:t>10.</w:t>
            </w:r>
          </w:hyperlink>
          <w:hyperlink w:anchor="_heading=h.1mrcu09">
            <w:r>
              <w:rPr>
                <w:rFonts w:ascii="Cambria" w:eastAsia="Cambria" w:hAnsi="Cambria" w:cs="Cambria"/>
                <w:color w:val="000000"/>
                <w:sz w:val="22"/>
                <w:szCs w:val="22"/>
              </w:rPr>
              <w:tab/>
            </w:r>
          </w:hyperlink>
          <w:r>
            <w:fldChar w:fldCharType="begin"/>
          </w:r>
          <w:r>
            <w:instrText xml:space="preserve"> PAGEREF _heading=h.1mrcu09 \h </w:instrText>
          </w:r>
          <w:r>
            <w:fldChar w:fldCharType="separate"/>
          </w:r>
          <w:r>
            <w:rPr>
              <w:rFonts w:ascii="Arial" w:eastAsia="Arial" w:hAnsi="Arial" w:cs="Arial"/>
              <w:color w:val="000000"/>
              <w:sz w:val="20"/>
              <w:szCs w:val="20"/>
            </w:rPr>
            <w:t>DA IMPUGNAÇÃO AO EDITAL E DO PEDIDO DE ESCLARECIMENTO</w:t>
          </w:r>
          <w:r>
            <w:rPr>
              <w:rFonts w:ascii="Arial" w:eastAsia="Arial" w:hAnsi="Arial" w:cs="Arial"/>
              <w:color w:val="000000"/>
              <w:sz w:val="20"/>
              <w:szCs w:val="20"/>
            </w:rPr>
            <w:tab/>
            <w:t>24</w:t>
          </w:r>
          <w:hyperlink w:anchor="_heading=h.1mrcu09" w:history="1"/>
        </w:p>
        <w:p w14:paraId="7E864266" w14:textId="77777777" w:rsidR="002775AD" w:rsidRDefault="00000000">
          <w:pPr>
            <w:tabs>
              <w:tab w:val="left" w:pos="426"/>
              <w:tab w:val="right" w:pos="9628"/>
            </w:tabs>
            <w:spacing w:after="100"/>
            <w:rPr>
              <w:rFonts w:ascii="Cambria" w:eastAsia="Cambria" w:hAnsi="Cambria" w:cs="Cambria"/>
              <w:color w:val="000000"/>
              <w:sz w:val="22"/>
              <w:szCs w:val="22"/>
            </w:rPr>
          </w:pPr>
          <w:r>
            <w:fldChar w:fldCharType="end"/>
          </w:r>
          <w:hyperlink w:anchor="_heading=h.46r0co2">
            <w:r>
              <w:rPr>
                <w:rFonts w:ascii="Arial" w:eastAsia="Arial" w:hAnsi="Arial" w:cs="Arial"/>
                <w:color w:val="000000"/>
                <w:sz w:val="20"/>
                <w:szCs w:val="20"/>
              </w:rPr>
              <w:t>11.</w:t>
            </w:r>
          </w:hyperlink>
          <w:hyperlink w:anchor="_heading=h.46r0co2">
            <w:r>
              <w:rPr>
                <w:rFonts w:ascii="Cambria" w:eastAsia="Cambria" w:hAnsi="Cambria" w:cs="Cambria"/>
                <w:color w:val="000000"/>
                <w:sz w:val="22"/>
                <w:szCs w:val="22"/>
              </w:rPr>
              <w:tab/>
            </w:r>
          </w:hyperlink>
          <w:r>
            <w:fldChar w:fldCharType="begin"/>
          </w:r>
          <w:r>
            <w:instrText xml:space="preserve"> PAGEREF _heading=h.46r0co2 \h </w:instrText>
          </w:r>
          <w:r>
            <w:fldChar w:fldCharType="separate"/>
          </w:r>
          <w:r>
            <w:rPr>
              <w:rFonts w:ascii="Arial" w:eastAsia="Arial" w:hAnsi="Arial" w:cs="Arial"/>
              <w:color w:val="000000"/>
              <w:sz w:val="20"/>
              <w:szCs w:val="20"/>
            </w:rPr>
            <w:t>DAS DISPOSIÇÕES GERAIS</w:t>
          </w:r>
          <w:r>
            <w:rPr>
              <w:rFonts w:ascii="Arial" w:eastAsia="Arial" w:hAnsi="Arial" w:cs="Arial"/>
              <w:color w:val="000000"/>
              <w:sz w:val="20"/>
              <w:szCs w:val="20"/>
            </w:rPr>
            <w:tab/>
            <w:t>24</w:t>
          </w:r>
          <w:hyperlink w:anchor="_heading=h.46r0co2" w:history="1"/>
        </w:p>
        <w:p w14:paraId="7FAE2E0C" w14:textId="77777777" w:rsidR="002775AD" w:rsidRDefault="00000000">
          <w:pPr>
            <w:rPr>
              <w:rFonts w:ascii="Arial" w:eastAsia="Arial" w:hAnsi="Arial" w:cs="Arial"/>
              <w:b/>
              <w:sz w:val="22"/>
              <w:szCs w:val="22"/>
            </w:rPr>
          </w:pPr>
          <w:r>
            <w:fldChar w:fldCharType="end"/>
          </w:r>
          <w:r>
            <w:fldChar w:fldCharType="end"/>
          </w:r>
        </w:p>
      </w:sdtContent>
    </w:sdt>
    <w:p w14:paraId="5829913F" w14:textId="77777777" w:rsidR="002775AD" w:rsidRDefault="002775AD">
      <w:pPr>
        <w:rPr>
          <w:rFonts w:ascii="Arial" w:eastAsia="Arial" w:hAnsi="Arial" w:cs="Arial"/>
          <w:b/>
          <w:color w:val="5B5B5F"/>
          <w:sz w:val="28"/>
          <w:szCs w:val="28"/>
        </w:rPr>
      </w:pPr>
    </w:p>
    <w:p w14:paraId="4DB606B6" w14:textId="77777777" w:rsidR="002775AD" w:rsidRDefault="002775AD">
      <w:pPr>
        <w:rPr>
          <w:rFonts w:ascii="Arial" w:eastAsia="Arial" w:hAnsi="Arial" w:cs="Arial"/>
          <w:b/>
          <w:color w:val="5B5B5F"/>
          <w:sz w:val="28"/>
          <w:szCs w:val="28"/>
        </w:rPr>
      </w:pPr>
    </w:p>
    <w:p w14:paraId="5B2C5260" w14:textId="77777777" w:rsidR="002775AD" w:rsidRDefault="002775AD">
      <w:pPr>
        <w:spacing w:before="288" w:after="288" w:line="312" w:lineRule="auto"/>
        <w:ind w:firstLine="567"/>
        <w:rPr>
          <w:rFonts w:ascii="Arial" w:eastAsia="Arial" w:hAnsi="Arial" w:cs="Arial"/>
          <w:b/>
          <w:color w:val="000000"/>
          <w:sz w:val="20"/>
          <w:szCs w:val="20"/>
        </w:rPr>
      </w:pPr>
    </w:p>
    <w:p w14:paraId="4E611A0C" w14:textId="77777777" w:rsidR="002775AD" w:rsidRDefault="002775AD">
      <w:pPr>
        <w:spacing w:before="288" w:after="288" w:line="312" w:lineRule="auto"/>
        <w:ind w:firstLine="567"/>
        <w:rPr>
          <w:rFonts w:ascii="Arial" w:eastAsia="Arial" w:hAnsi="Arial" w:cs="Arial"/>
          <w:b/>
          <w:color w:val="000000"/>
          <w:sz w:val="20"/>
          <w:szCs w:val="20"/>
        </w:rPr>
      </w:pPr>
    </w:p>
    <w:p w14:paraId="7E310AC8" w14:textId="77777777" w:rsidR="002775AD" w:rsidRDefault="002775AD">
      <w:pPr>
        <w:spacing w:before="288" w:after="288" w:line="312" w:lineRule="auto"/>
        <w:ind w:firstLine="567"/>
        <w:rPr>
          <w:rFonts w:ascii="Arial" w:eastAsia="Arial" w:hAnsi="Arial" w:cs="Arial"/>
          <w:b/>
          <w:color w:val="000000"/>
          <w:sz w:val="20"/>
          <w:szCs w:val="20"/>
        </w:rPr>
      </w:pPr>
    </w:p>
    <w:p w14:paraId="3A77A559" w14:textId="77777777" w:rsidR="002775AD" w:rsidRDefault="002775AD">
      <w:pPr>
        <w:spacing w:before="288" w:after="288" w:line="312" w:lineRule="auto"/>
        <w:ind w:firstLine="567"/>
        <w:rPr>
          <w:rFonts w:ascii="Arial" w:eastAsia="Arial" w:hAnsi="Arial" w:cs="Arial"/>
          <w:b/>
          <w:color w:val="000000"/>
          <w:sz w:val="20"/>
          <w:szCs w:val="20"/>
        </w:rPr>
      </w:pPr>
    </w:p>
    <w:p w14:paraId="1B0F2991" w14:textId="77777777" w:rsidR="002775AD" w:rsidRDefault="002775AD">
      <w:pPr>
        <w:spacing w:before="288" w:after="288" w:line="312" w:lineRule="auto"/>
        <w:ind w:firstLine="567"/>
        <w:rPr>
          <w:rFonts w:ascii="Arial" w:eastAsia="Arial" w:hAnsi="Arial" w:cs="Arial"/>
          <w:b/>
          <w:color w:val="000000"/>
          <w:sz w:val="20"/>
          <w:szCs w:val="20"/>
        </w:rPr>
      </w:pPr>
    </w:p>
    <w:p w14:paraId="2FBA582C" w14:textId="77777777" w:rsidR="002775AD" w:rsidRDefault="002775AD">
      <w:pPr>
        <w:spacing w:before="288" w:after="288" w:line="312" w:lineRule="auto"/>
        <w:ind w:firstLine="567"/>
        <w:rPr>
          <w:rFonts w:ascii="Arial" w:eastAsia="Arial" w:hAnsi="Arial" w:cs="Arial"/>
          <w:b/>
          <w:color w:val="000000"/>
          <w:sz w:val="20"/>
          <w:szCs w:val="20"/>
        </w:rPr>
      </w:pPr>
    </w:p>
    <w:p w14:paraId="1AD5682D" w14:textId="77777777" w:rsidR="002775AD" w:rsidRDefault="002775AD">
      <w:pPr>
        <w:spacing w:before="288" w:after="288" w:line="312" w:lineRule="auto"/>
        <w:ind w:firstLine="567"/>
        <w:rPr>
          <w:rFonts w:ascii="Arial" w:eastAsia="Arial" w:hAnsi="Arial" w:cs="Arial"/>
          <w:b/>
          <w:color w:val="000000"/>
          <w:sz w:val="20"/>
          <w:szCs w:val="20"/>
        </w:rPr>
      </w:pPr>
    </w:p>
    <w:p w14:paraId="080A582C" w14:textId="77777777" w:rsidR="002775AD" w:rsidRDefault="002775AD">
      <w:pPr>
        <w:spacing w:before="288" w:after="288" w:line="312" w:lineRule="auto"/>
        <w:ind w:firstLine="567"/>
        <w:rPr>
          <w:rFonts w:ascii="Arial" w:eastAsia="Arial" w:hAnsi="Arial" w:cs="Arial"/>
          <w:b/>
          <w:color w:val="000000"/>
          <w:sz w:val="20"/>
          <w:szCs w:val="20"/>
        </w:rPr>
      </w:pPr>
    </w:p>
    <w:p w14:paraId="0FE550F3" w14:textId="77777777" w:rsidR="002775AD" w:rsidRDefault="002775AD">
      <w:pPr>
        <w:spacing w:before="288" w:after="288" w:line="312" w:lineRule="auto"/>
        <w:ind w:firstLine="567"/>
        <w:rPr>
          <w:rFonts w:ascii="Arial" w:eastAsia="Arial" w:hAnsi="Arial" w:cs="Arial"/>
          <w:b/>
          <w:color w:val="000000"/>
          <w:sz w:val="20"/>
          <w:szCs w:val="20"/>
        </w:rPr>
      </w:pPr>
    </w:p>
    <w:p w14:paraId="6B5F4042" w14:textId="77777777" w:rsidR="002775AD" w:rsidRDefault="002775AD">
      <w:pPr>
        <w:spacing w:before="288" w:after="288" w:line="312" w:lineRule="auto"/>
        <w:ind w:firstLine="567"/>
        <w:rPr>
          <w:rFonts w:ascii="Arial" w:eastAsia="Arial" w:hAnsi="Arial" w:cs="Arial"/>
          <w:b/>
          <w:color w:val="000000"/>
          <w:sz w:val="20"/>
          <w:szCs w:val="20"/>
        </w:rPr>
      </w:pPr>
    </w:p>
    <w:p w14:paraId="403116D8" w14:textId="77777777" w:rsidR="002775AD" w:rsidRDefault="002775AD">
      <w:pPr>
        <w:spacing w:before="288" w:after="288" w:line="312" w:lineRule="auto"/>
        <w:ind w:firstLine="567"/>
        <w:rPr>
          <w:rFonts w:ascii="Arial" w:eastAsia="Arial" w:hAnsi="Arial" w:cs="Arial"/>
          <w:b/>
          <w:color w:val="000000"/>
          <w:sz w:val="20"/>
          <w:szCs w:val="20"/>
        </w:rPr>
      </w:pPr>
    </w:p>
    <w:p w14:paraId="3646217B" w14:textId="77777777" w:rsidR="002775AD" w:rsidRDefault="002775AD">
      <w:pPr>
        <w:spacing w:before="288" w:after="288" w:line="312" w:lineRule="auto"/>
        <w:ind w:firstLine="567"/>
        <w:rPr>
          <w:rFonts w:ascii="Arial" w:eastAsia="Arial" w:hAnsi="Arial" w:cs="Arial"/>
          <w:b/>
          <w:color w:val="000000"/>
          <w:sz w:val="20"/>
          <w:szCs w:val="20"/>
        </w:rPr>
      </w:pPr>
    </w:p>
    <w:p w14:paraId="3B7F2A53" w14:textId="77777777" w:rsidR="002775AD" w:rsidRDefault="002775AD">
      <w:pPr>
        <w:spacing w:before="288" w:after="288" w:line="312" w:lineRule="auto"/>
        <w:ind w:firstLine="567"/>
        <w:rPr>
          <w:rFonts w:ascii="Arial" w:eastAsia="Arial" w:hAnsi="Arial" w:cs="Arial"/>
          <w:b/>
          <w:color w:val="000000"/>
          <w:sz w:val="20"/>
          <w:szCs w:val="20"/>
        </w:rPr>
      </w:pPr>
    </w:p>
    <w:p w14:paraId="6837794C" w14:textId="77777777" w:rsidR="00C457EC" w:rsidRDefault="00C457EC">
      <w:pPr>
        <w:spacing w:before="288" w:after="288" w:line="312" w:lineRule="auto"/>
        <w:ind w:firstLine="567"/>
        <w:rPr>
          <w:rFonts w:ascii="Arial" w:eastAsia="Arial" w:hAnsi="Arial" w:cs="Arial"/>
          <w:b/>
          <w:color w:val="000000"/>
          <w:sz w:val="20"/>
          <w:szCs w:val="20"/>
        </w:rPr>
      </w:pPr>
    </w:p>
    <w:p w14:paraId="1887864D" w14:textId="77777777" w:rsidR="002775AD" w:rsidRDefault="00000000">
      <w:pPr>
        <w:spacing w:before="288" w:after="288" w:line="312" w:lineRule="auto"/>
        <w:ind w:firstLine="567"/>
        <w:rPr>
          <w:rFonts w:ascii="Arial" w:eastAsia="Arial" w:hAnsi="Arial" w:cs="Arial"/>
          <w:b/>
          <w:color w:val="000000"/>
          <w:sz w:val="20"/>
          <w:szCs w:val="20"/>
        </w:rPr>
      </w:pPr>
      <w:r>
        <w:rPr>
          <w:noProof/>
        </w:rPr>
        <w:lastRenderedPageBreak/>
        <w:drawing>
          <wp:anchor distT="0" distB="0" distL="0" distR="0" simplePos="0" relativeHeight="251674624" behindDoc="0" locked="0" layoutInCell="1" allowOverlap="1" wp14:anchorId="6E7151CB" wp14:editId="0C5BC41F">
            <wp:simplePos x="0" y="0"/>
            <wp:positionH relativeFrom="column">
              <wp:posOffset>2745105</wp:posOffset>
            </wp:positionH>
            <wp:positionV relativeFrom="paragraph">
              <wp:posOffset>138430</wp:posOffset>
            </wp:positionV>
            <wp:extent cx="640080" cy="619125"/>
            <wp:effectExtent l="0" t="0" r="0" b="0"/>
            <wp:wrapNone/>
            <wp:docPr id="327" name="image1.png"/>
            <wp:cNvGraphicFramePr/>
            <a:graphic xmlns:a="http://schemas.openxmlformats.org/drawingml/2006/main">
              <a:graphicData uri="http://schemas.openxmlformats.org/drawingml/2006/picture">
                <pic:pic xmlns:pic="http://schemas.openxmlformats.org/drawingml/2006/picture">
                  <pic:nvPicPr>
                    <pic:cNvPr id="327" name="image1.png"/>
                    <pic:cNvPicPr preferRelativeResize="0"/>
                  </pic:nvPicPr>
                  <pic:blipFill>
                    <a:blip r:embed="rId13"/>
                    <a:srcRect/>
                    <a:stretch>
                      <a:fillRect/>
                    </a:stretch>
                  </pic:blipFill>
                  <pic:spPr>
                    <a:xfrm>
                      <a:off x="0" y="0"/>
                      <a:ext cx="640080" cy="619125"/>
                    </a:xfrm>
                    <a:prstGeom prst="rect">
                      <a:avLst/>
                    </a:prstGeom>
                  </pic:spPr>
                </pic:pic>
              </a:graphicData>
            </a:graphic>
          </wp:anchor>
        </w:drawing>
      </w:r>
    </w:p>
    <w:p w14:paraId="2237EAC7" w14:textId="77777777" w:rsidR="002775AD" w:rsidRDefault="002775AD">
      <w:pPr>
        <w:spacing w:before="288" w:after="288" w:line="312" w:lineRule="auto"/>
        <w:ind w:firstLine="567"/>
        <w:jc w:val="center"/>
        <w:rPr>
          <w:rFonts w:ascii="Arial" w:eastAsia="Arial" w:hAnsi="Arial" w:cs="Arial"/>
          <w:b/>
          <w:i/>
          <w:color w:val="FF0000"/>
          <w:sz w:val="20"/>
          <w:szCs w:val="20"/>
        </w:rPr>
      </w:pPr>
    </w:p>
    <w:p w14:paraId="56368D9D" w14:textId="77777777" w:rsidR="002775AD" w:rsidRDefault="00000000">
      <w:pPr>
        <w:tabs>
          <w:tab w:val="left" w:pos="6284"/>
        </w:tabs>
        <w:jc w:val="center"/>
      </w:pPr>
      <w:r>
        <w:rPr>
          <w:rFonts w:ascii="Calibri" w:eastAsia="Calibri" w:hAnsi="Calibri" w:cs="Calibri"/>
          <w:b/>
          <w:sz w:val="22"/>
          <w:szCs w:val="22"/>
        </w:rPr>
        <w:t>MINISTÉRIO DA EDUCAÇÃO</w:t>
      </w:r>
    </w:p>
    <w:p w14:paraId="05E39828" w14:textId="77777777" w:rsidR="002775AD" w:rsidRDefault="00000000">
      <w:pPr>
        <w:pStyle w:val="Ttulo1"/>
        <w:spacing w:before="0"/>
        <w:jc w:val="center"/>
      </w:pPr>
      <w:r>
        <w:rPr>
          <w:color w:val="000000"/>
          <w:sz w:val="22"/>
          <w:szCs w:val="22"/>
        </w:rPr>
        <w:t>UNIVERSIDADE FEDERAL FLUMINENSE</w:t>
      </w:r>
    </w:p>
    <w:p w14:paraId="0750DB06" w14:textId="77777777" w:rsidR="002775AD" w:rsidRDefault="00000000">
      <w:pPr>
        <w:jc w:val="center"/>
      </w:pPr>
      <w:r>
        <w:rPr>
          <w:rFonts w:ascii="Calibri" w:eastAsia="Calibri" w:hAnsi="Calibri" w:cs="Calibri"/>
          <w:b/>
          <w:sz w:val="22"/>
          <w:szCs w:val="22"/>
        </w:rPr>
        <w:t>PRÓ-REITORIA DE ADMINISTRAÇÃO</w:t>
      </w:r>
    </w:p>
    <w:p w14:paraId="43EF3A43" w14:textId="77777777" w:rsidR="002775AD" w:rsidRDefault="00000000">
      <w:pPr>
        <w:jc w:val="center"/>
      </w:pPr>
      <w:r>
        <w:rPr>
          <w:rFonts w:ascii="Calibri" w:eastAsia="Calibri" w:hAnsi="Calibri" w:cs="Calibri"/>
          <w:b/>
          <w:sz w:val="22"/>
          <w:szCs w:val="22"/>
        </w:rPr>
        <w:t xml:space="preserve">COORDENAÇÃO DE LICITAÇÃO </w:t>
      </w:r>
    </w:p>
    <w:p w14:paraId="4B9B0850" w14:textId="77777777" w:rsidR="002775AD" w:rsidRDefault="002775AD">
      <w:pPr>
        <w:jc w:val="center"/>
        <w:rPr>
          <w:rFonts w:ascii="Calibri" w:eastAsia="Calibri" w:hAnsi="Calibri" w:cs="Calibri"/>
          <w:b/>
          <w:sz w:val="22"/>
          <w:szCs w:val="22"/>
        </w:rPr>
      </w:pPr>
    </w:p>
    <w:p w14:paraId="159AB517" w14:textId="77777777" w:rsidR="002775AD" w:rsidRDefault="002775AD">
      <w:pPr>
        <w:tabs>
          <w:tab w:val="left" w:pos="708"/>
          <w:tab w:val="center" w:pos="4252"/>
          <w:tab w:val="right" w:pos="8504"/>
        </w:tabs>
        <w:spacing w:before="100" w:after="100"/>
        <w:jc w:val="center"/>
        <w:rPr>
          <w:rFonts w:ascii="Calibri" w:eastAsia="Calibri" w:hAnsi="Calibri" w:cs="Calibri"/>
          <w:b/>
          <w:i/>
          <w:color w:val="FF0000"/>
          <w:sz w:val="22"/>
          <w:szCs w:val="22"/>
        </w:rPr>
      </w:pPr>
    </w:p>
    <w:p w14:paraId="6B21E687" w14:textId="3E715691" w:rsidR="002775AD" w:rsidRPr="00E31282" w:rsidRDefault="004F0B20">
      <w:pPr>
        <w:tabs>
          <w:tab w:val="left" w:pos="708"/>
          <w:tab w:val="center" w:pos="4252"/>
          <w:tab w:val="right" w:pos="8504"/>
        </w:tabs>
        <w:spacing w:before="100" w:after="100"/>
        <w:jc w:val="center"/>
        <w:rPr>
          <w:sz w:val="20"/>
          <w:szCs w:val="20"/>
        </w:rPr>
      </w:pPr>
      <w:r w:rsidRPr="00E31282">
        <w:rPr>
          <w:rFonts w:ascii="Verdana" w:eastAsia="Verdana" w:hAnsi="Verdana" w:cs="Verdana"/>
          <w:b/>
          <w:sz w:val="20"/>
          <w:szCs w:val="20"/>
        </w:rPr>
        <w:t>EDITAL DE LICITAÇÃO</w:t>
      </w:r>
    </w:p>
    <w:p w14:paraId="0E95CB92" w14:textId="7CDCFBAB" w:rsidR="002775AD" w:rsidRDefault="00000000" w:rsidP="004F0B20">
      <w:pPr>
        <w:tabs>
          <w:tab w:val="left" w:pos="708"/>
          <w:tab w:val="center" w:pos="4252"/>
          <w:tab w:val="right" w:pos="8504"/>
        </w:tabs>
        <w:spacing w:before="100" w:after="100"/>
        <w:jc w:val="center"/>
        <w:rPr>
          <w:sz w:val="20"/>
          <w:szCs w:val="20"/>
        </w:rPr>
      </w:pPr>
      <w:r>
        <w:rPr>
          <w:rFonts w:ascii="Verdana" w:eastAsia="Verdana" w:hAnsi="Verdana" w:cs="Verdana"/>
          <w:b/>
          <w:sz w:val="20"/>
          <w:szCs w:val="20"/>
        </w:rPr>
        <w:t>PREGÃO ELETRÔNICO Nº 3</w:t>
      </w:r>
      <w:r w:rsidR="004F0B20">
        <w:rPr>
          <w:rFonts w:ascii="Verdana" w:eastAsia="Verdana" w:hAnsi="Verdana" w:cs="Verdana"/>
          <w:b/>
          <w:sz w:val="20"/>
          <w:szCs w:val="20"/>
        </w:rPr>
        <w:t>9</w:t>
      </w:r>
      <w:r>
        <w:rPr>
          <w:rFonts w:ascii="Verdana" w:eastAsia="Verdana" w:hAnsi="Verdana" w:cs="Verdana"/>
          <w:b/>
          <w:sz w:val="20"/>
          <w:szCs w:val="20"/>
        </w:rPr>
        <w:t>/2023/AD</w:t>
      </w:r>
    </w:p>
    <w:p w14:paraId="23AF63B4" w14:textId="7179A08E" w:rsidR="002775AD" w:rsidRDefault="00000000" w:rsidP="004F0B20">
      <w:pPr>
        <w:tabs>
          <w:tab w:val="left" w:pos="708"/>
          <w:tab w:val="center" w:pos="4252"/>
          <w:tab w:val="right" w:pos="8504"/>
        </w:tabs>
        <w:spacing w:before="100" w:after="100"/>
        <w:jc w:val="center"/>
        <w:rPr>
          <w:rFonts w:ascii="Verdana" w:eastAsia="Verdana" w:hAnsi="Verdana" w:cs="Verdana"/>
          <w:b/>
          <w:color w:val="000000"/>
          <w:sz w:val="20"/>
          <w:szCs w:val="20"/>
          <w:highlight w:val="yellow"/>
        </w:rPr>
      </w:pPr>
      <w:r>
        <w:rPr>
          <w:rFonts w:ascii="Verdana" w:eastAsia="Verdana" w:hAnsi="Verdana" w:cs="Verdana"/>
          <w:b/>
          <w:color w:val="000000"/>
          <w:sz w:val="20"/>
          <w:szCs w:val="20"/>
        </w:rPr>
        <w:t xml:space="preserve">PROCESSO Nº </w:t>
      </w:r>
      <w:r w:rsidR="004F0B20" w:rsidRPr="004F0B20">
        <w:rPr>
          <w:rFonts w:ascii="Verdana" w:eastAsia="Verdana" w:hAnsi="Verdana" w:cs="Verdana"/>
          <w:b/>
          <w:color w:val="000000"/>
          <w:sz w:val="20"/>
          <w:szCs w:val="20"/>
        </w:rPr>
        <w:t>23069.158494/2023-26</w:t>
      </w:r>
    </w:p>
    <w:p w14:paraId="1A90A4B1" w14:textId="77777777" w:rsidR="002775AD" w:rsidRDefault="00000000">
      <w:pPr>
        <w:spacing w:before="100" w:after="100" w:line="312" w:lineRule="auto"/>
        <w:ind w:firstLine="567"/>
        <w:jc w:val="center"/>
        <w:rPr>
          <w:rFonts w:ascii="Verdana" w:eastAsia="Verdana" w:hAnsi="Verdana" w:cs="Verdana"/>
          <w:b/>
          <w:color w:val="000000"/>
          <w:sz w:val="18"/>
          <w:szCs w:val="18"/>
        </w:rPr>
      </w:pPr>
      <w:r>
        <w:rPr>
          <w:rFonts w:ascii="Verdana" w:eastAsia="Verdana" w:hAnsi="Verdana" w:cs="Verdana"/>
          <w:b/>
          <w:color w:val="000000"/>
          <w:sz w:val="18"/>
          <w:szCs w:val="18"/>
        </w:rPr>
        <w:t>PRESTAÇÃO DE SERVIÇO CONTÍNUO COM DEDICAÇÃO EXCLUSIVA DE MÃO DE OBRA</w:t>
      </w:r>
    </w:p>
    <w:p w14:paraId="3A0AEBE6" w14:textId="77777777" w:rsidR="002775AD" w:rsidRDefault="002775AD">
      <w:pPr>
        <w:spacing w:before="288" w:after="288" w:line="312" w:lineRule="auto"/>
        <w:ind w:firstLine="567"/>
        <w:jc w:val="center"/>
        <w:rPr>
          <w:rFonts w:ascii="Arial" w:eastAsia="Arial" w:hAnsi="Arial" w:cs="Arial"/>
          <w:color w:val="000000"/>
          <w:sz w:val="20"/>
          <w:szCs w:val="20"/>
        </w:rPr>
      </w:pPr>
    </w:p>
    <w:p w14:paraId="5008A8FA" w14:textId="77777777" w:rsidR="002775AD" w:rsidRDefault="00000000">
      <w:pPr>
        <w:spacing w:before="288" w:after="288" w:line="312" w:lineRule="auto"/>
        <w:ind w:firstLine="567"/>
        <w:jc w:val="both"/>
        <w:rPr>
          <w:rFonts w:ascii="Arial" w:eastAsia="Arial" w:hAnsi="Arial" w:cs="Arial"/>
          <w:sz w:val="20"/>
          <w:szCs w:val="20"/>
        </w:rPr>
      </w:pPr>
      <w:r>
        <w:rPr>
          <w:rFonts w:ascii="Arial" w:eastAsia="Arial" w:hAnsi="Arial" w:cs="Arial"/>
          <w:color w:val="000000"/>
          <w:sz w:val="20"/>
          <w:szCs w:val="20"/>
        </w:rPr>
        <w:t xml:space="preserve">Torna-se público que a Universidade Federal Fluminense, por meio da </w:t>
      </w:r>
      <w:proofErr w:type="spellStart"/>
      <w:r>
        <w:rPr>
          <w:rFonts w:ascii="Arial" w:eastAsia="Arial" w:hAnsi="Arial" w:cs="Arial"/>
          <w:color w:val="000000"/>
          <w:sz w:val="20"/>
          <w:szCs w:val="20"/>
        </w:rPr>
        <w:t>Pró-Reitoria</w:t>
      </w:r>
      <w:proofErr w:type="spellEnd"/>
      <w:r>
        <w:rPr>
          <w:rFonts w:ascii="Arial" w:eastAsia="Arial" w:hAnsi="Arial" w:cs="Arial"/>
          <w:color w:val="000000"/>
          <w:sz w:val="20"/>
          <w:szCs w:val="20"/>
        </w:rPr>
        <w:t xml:space="preserve"> de Administração, inscrita no CNPJ/MF sob nº 28.523.215/0039-89, situada na Rua Miguel de Frias, 9, 1º andar, Icaraí, Niterói/RJ, CEP 24.220-008, realizará licitação, na modalidade PREGÃO, na forma ELETRÔNICA, nos termos da </w:t>
      </w:r>
      <w:hyperlink r:id="rId14">
        <w:r>
          <w:rPr>
            <w:rFonts w:ascii="Arial" w:eastAsia="Arial" w:hAnsi="Arial" w:cs="Arial"/>
            <w:color w:val="0000FF"/>
            <w:sz w:val="20"/>
            <w:szCs w:val="20"/>
            <w:u w:val="single"/>
          </w:rPr>
          <w:t>Lei nº 14.133, de 2021</w:t>
        </w:r>
      </w:hyperlink>
      <w:r>
        <w:rPr>
          <w:rFonts w:ascii="Arial" w:eastAsia="Arial" w:hAnsi="Arial" w:cs="Arial"/>
          <w:sz w:val="20"/>
          <w:szCs w:val="20"/>
        </w:rPr>
        <w:t>, e demais legislação aplicável e, ainda, de acordo com as condições estabelecidas neste Edital.</w:t>
      </w:r>
    </w:p>
    <w:p w14:paraId="7747512A" w14:textId="77777777" w:rsidR="002775AD" w:rsidRDefault="00000000">
      <w:pPr>
        <w:keepNext/>
        <w:keepLines/>
        <w:numPr>
          <w:ilvl w:val="0"/>
          <w:numId w:val="1"/>
        </w:numP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2" w:name="_heading=h.30j0zll" w:colFirst="0" w:colLast="0"/>
      <w:bookmarkEnd w:id="2"/>
      <w:r>
        <w:rPr>
          <w:rFonts w:ascii="Arial" w:eastAsia="Arial" w:hAnsi="Arial" w:cs="Arial"/>
          <w:b/>
          <w:color w:val="000000"/>
          <w:sz w:val="20"/>
          <w:szCs w:val="20"/>
          <w:highlight w:val="lightGray"/>
        </w:rPr>
        <w:t>DO OBJETO</w:t>
      </w:r>
    </w:p>
    <w:p w14:paraId="0601AA01" w14:textId="47283D09" w:rsidR="002775AD" w:rsidRDefault="00000000">
      <w:pPr>
        <w:numPr>
          <w:ilvl w:val="1"/>
          <w:numId w:val="1"/>
        </w:numPr>
        <w:spacing w:before="288" w:after="288" w:line="312" w:lineRule="auto"/>
        <w:ind w:left="-87" w:firstLine="709"/>
        <w:jc w:val="both"/>
      </w:pPr>
      <w:r>
        <w:rPr>
          <w:rFonts w:ascii="Arial" w:eastAsia="Arial" w:hAnsi="Arial" w:cs="Arial"/>
          <w:color w:val="000000"/>
          <w:sz w:val="20"/>
          <w:szCs w:val="20"/>
        </w:rPr>
        <w:t xml:space="preserve">O objeto da presente licitação é a </w:t>
      </w:r>
      <w:r w:rsidR="004F0B20" w:rsidRPr="004F0B20">
        <w:rPr>
          <w:rFonts w:ascii="Arial" w:eastAsia="Arial" w:hAnsi="Arial" w:cs="Arial"/>
          <w:color w:val="000000"/>
          <w:sz w:val="20"/>
          <w:szCs w:val="20"/>
        </w:rPr>
        <w:t xml:space="preserve">contratação, de empresa para prestação de serviços continuados, com </w:t>
      </w:r>
      <w:r w:rsidR="004F0B20" w:rsidRPr="004F0B20">
        <w:rPr>
          <w:rFonts w:ascii="Arial" w:eastAsia="Arial" w:hAnsi="Arial" w:cs="Arial"/>
          <w:b/>
          <w:bCs/>
          <w:color w:val="000000"/>
          <w:sz w:val="20"/>
          <w:szCs w:val="20"/>
        </w:rPr>
        <w:t>fornecimento de mão de obra (Motociclista)</w:t>
      </w:r>
      <w:r w:rsidR="004F0B20" w:rsidRPr="004F0B20">
        <w:rPr>
          <w:rFonts w:ascii="Arial" w:eastAsia="Arial" w:hAnsi="Arial" w:cs="Arial"/>
          <w:color w:val="000000"/>
          <w:sz w:val="20"/>
          <w:szCs w:val="20"/>
        </w:rPr>
        <w:t>, uniformes, EPI (Equipamentos de proteção individual), materiais e equipamentos, para atender em caráter ordinário ou extraordinário, nas dependências da Universidade Federal Fluminense</w:t>
      </w:r>
      <w:r w:rsidRPr="004F0B20">
        <w:rPr>
          <w:rFonts w:ascii="Arial" w:eastAsia="Arial" w:hAnsi="Arial" w:cs="Arial"/>
          <w:color w:val="000000"/>
          <w:sz w:val="20"/>
          <w:szCs w:val="20"/>
        </w:rPr>
        <w:t>,</w:t>
      </w:r>
      <w:r>
        <w:rPr>
          <w:rFonts w:ascii="Verdana" w:hAnsi="Verdana" w:cs="Verdana"/>
          <w:sz w:val="23"/>
          <w:szCs w:val="23"/>
        </w:rPr>
        <w:t xml:space="preserve"> </w:t>
      </w:r>
      <w:r>
        <w:rPr>
          <w:rFonts w:ascii="Arial" w:eastAsia="Arial" w:hAnsi="Arial" w:cs="Arial"/>
          <w:color w:val="000000"/>
          <w:sz w:val="20"/>
          <w:szCs w:val="20"/>
        </w:rPr>
        <w:t>conforme condições, quantidades e exigências estabelecidas neste Edital e seus anexos.</w:t>
      </w:r>
    </w:p>
    <w:p w14:paraId="08E391A7" w14:textId="77777777" w:rsidR="002775AD" w:rsidRDefault="00000000">
      <w:pPr>
        <w:numPr>
          <w:ilvl w:val="1"/>
          <w:numId w:val="1"/>
        </w:numPr>
        <w:spacing w:before="288" w:after="288" w:line="312" w:lineRule="auto"/>
        <w:ind w:left="-87" w:firstLine="709"/>
        <w:jc w:val="both"/>
        <w:rPr>
          <w:rFonts w:ascii="Arial" w:eastAsia="Arial" w:hAnsi="Arial" w:cs="Arial"/>
          <w:color w:val="000000"/>
          <w:sz w:val="20"/>
          <w:szCs w:val="20"/>
        </w:rPr>
      </w:pPr>
      <w:r>
        <w:rPr>
          <w:rFonts w:ascii="Arial" w:eastAsia="Arial" w:hAnsi="Arial" w:cs="Arial"/>
          <w:color w:val="000000"/>
          <w:sz w:val="20"/>
          <w:szCs w:val="20"/>
        </w:rPr>
        <w:t>A licitação será realizada em único item.</w:t>
      </w:r>
    </w:p>
    <w:p w14:paraId="1D576A5E" w14:textId="77777777" w:rsidR="002775AD" w:rsidRDefault="00000000">
      <w:pPr>
        <w:numPr>
          <w:ilvl w:val="1"/>
          <w:numId w:val="1"/>
        </w:numPr>
        <w:spacing w:before="120" w:after="120" w:line="360" w:lineRule="auto"/>
        <w:ind w:left="-87" w:firstLine="567"/>
        <w:jc w:val="both"/>
      </w:pPr>
      <w:r>
        <w:rPr>
          <w:rFonts w:ascii="Arial" w:eastAsia="Arial" w:hAnsi="Arial" w:cs="Arial"/>
          <w:color w:val="000000"/>
          <w:sz w:val="20"/>
          <w:szCs w:val="20"/>
        </w:rPr>
        <w:t xml:space="preserve">O critério de julgamento adotado será </w:t>
      </w:r>
      <w:r w:rsidRPr="004F0B20">
        <w:rPr>
          <w:rFonts w:ascii="Arial" w:eastAsia="Arial" w:hAnsi="Arial" w:cs="Arial"/>
          <w:color w:val="000000"/>
          <w:sz w:val="20"/>
          <w:szCs w:val="20"/>
        </w:rPr>
        <w:t xml:space="preserve">o </w:t>
      </w:r>
      <w:r w:rsidRPr="004F0B20">
        <w:rPr>
          <w:rFonts w:ascii="Arial" w:eastAsia="Arial" w:hAnsi="Arial" w:cs="Arial"/>
          <w:b/>
          <w:bCs/>
          <w:color w:val="000000"/>
          <w:sz w:val="20"/>
          <w:szCs w:val="20"/>
        </w:rPr>
        <w:t>menor preço do item</w:t>
      </w:r>
      <w:r w:rsidRPr="004F0B20">
        <w:rPr>
          <w:rFonts w:ascii="Arial" w:eastAsia="Arial" w:hAnsi="Arial" w:cs="Arial"/>
          <w:color w:val="000000"/>
          <w:sz w:val="20"/>
          <w:szCs w:val="20"/>
        </w:rPr>
        <w:t>,</w:t>
      </w:r>
      <w:r>
        <w:rPr>
          <w:rFonts w:ascii="Arial" w:eastAsia="Arial" w:hAnsi="Arial" w:cs="Arial"/>
          <w:color w:val="000000"/>
          <w:sz w:val="20"/>
          <w:szCs w:val="20"/>
        </w:rPr>
        <w:t xml:space="preserve"> observadas as exigências contidas neste Edital e seus Anexos quantos às especificações do objeto.</w:t>
      </w:r>
    </w:p>
    <w:p w14:paraId="3D98628D" w14:textId="77777777" w:rsidR="002775AD" w:rsidRDefault="002775AD">
      <w:pPr>
        <w:spacing w:before="288" w:after="288" w:line="312" w:lineRule="auto"/>
        <w:ind w:firstLine="567"/>
        <w:jc w:val="center"/>
        <w:rPr>
          <w:rFonts w:ascii="Arial" w:eastAsia="Arial" w:hAnsi="Arial" w:cs="Arial"/>
          <w:b/>
          <w:color w:val="FF0000"/>
          <w:sz w:val="20"/>
          <w:szCs w:val="20"/>
          <w:u w:val="single"/>
        </w:rPr>
      </w:pPr>
    </w:p>
    <w:p w14:paraId="1A09A33A" w14:textId="77777777" w:rsidR="002775AD" w:rsidRDefault="00000000">
      <w:pPr>
        <w:keepNext/>
        <w:keepLines/>
        <w:numPr>
          <w:ilvl w:val="0"/>
          <w:numId w:val="1"/>
        </w:numP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 w:name="_heading=h.1fob9te" w:colFirst="0" w:colLast="0"/>
      <w:bookmarkEnd w:id="3"/>
      <w:r>
        <w:rPr>
          <w:rFonts w:ascii="Arial" w:eastAsia="Arial" w:hAnsi="Arial" w:cs="Arial"/>
          <w:b/>
          <w:color w:val="000000"/>
          <w:sz w:val="20"/>
          <w:szCs w:val="20"/>
          <w:highlight w:val="lightGray"/>
        </w:rPr>
        <w:t>DA PARTICIPAÇÃO NA LICITAÇÃO</w:t>
      </w:r>
    </w:p>
    <w:p w14:paraId="7EC7A00A" w14:textId="77777777" w:rsidR="002775AD" w:rsidRDefault="00000000">
      <w:pPr>
        <w:numPr>
          <w:ilvl w:val="1"/>
          <w:numId w:val="1"/>
        </w:numPr>
        <w:spacing w:before="120" w:after="120" w:line="360"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Poderão participar deste Pregão os interessados que estiverem previamente credenciados no Sistema de Cadastramento Unificado de Fornecedores - SICAF e no Sistema de Compras do Governo Federal (</w:t>
      </w:r>
      <w:hyperlink r:id="rId15">
        <w:r>
          <w:rPr>
            <w:rFonts w:ascii="Arial" w:eastAsia="Arial" w:hAnsi="Arial" w:cs="Arial"/>
            <w:color w:val="0000FF"/>
            <w:sz w:val="20"/>
            <w:szCs w:val="20"/>
            <w:u w:val="single"/>
          </w:rPr>
          <w:t>www.gov.br/compras</w:t>
        </w:r>
      </w:hyperlink>
      <w:r>
        <w:rPr>
          <w:rFonts w:ascii="Arial" w:eastAsia="Arial" w:hAnsi="Arial" w:cs="Arial"/>
          <w:color w:val="000000"/>
          <w:sz w:val="20"/>
          <w:szCs w:val="20"/>
        </w:rPr>
        <w:t>), por meio de Certificado Digital conferido pela Infraestrutura de Chaves Públicas Brasileira – ICP – Brasil.</w:t>
      </w:r>
    </w:p>
    <w:p w14:paraId="4B5393C5"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lastRenderedPageBreak/>
        <w:t xml:space="preserve">Os interessados deverão atender às condições exigidas no cadastramento no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xml:space="preserve"> até o terceiro dia útil anterior à data prevista para recebimento das propostas.</w:t>
      </w:r>
    </w:p>
    <w:p w14:paraId="6058DB62"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4BE5313E"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14:paraId="329EEDEB"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A não observância do disposto no item anterior poderá ensejar desclassificação no momento da habilitação.</w:t>
      </w:r>
    </w:p>
    <w:p w14:paraId="161A1469"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 xml:space="preserve">Será concedido tratamento favorecido para as microempresas e empresas de pequeno porte nos limites previstos da </w:t>
      </w:r>
      <w:hyperlink r:id="rId16">
        <w:r>
          <w:rPr>
            <w:rFonts w:ascii="Arial" w:eastAsia="Arial" w:hAnsi="Arial" w:cs="Arial"/>
            <w:color w:val="000000"/>
            <w:sz w:val="20"/>
            <w:szCs w:val="20"/>
          </w:rPr>
          <w:t>Lei Complementar nº 123, de 2006</w:t>
        </w:r>
      </w:hyperlink>
      <w:r>
        <w:rPr>
          <w:rFonts w:ascii="Arial" w:eastAsia="Arial" w:hAnsi="Arial" w:cs="Arial"/>
          <w:color w:val="000000"/>
          <w:sz w:val="20"/>
          <w:szCs w:val="20"/>
        </w:rPr>
        <w:t>.</w:t>
      </w:r>
    </w:p>
    <w:p w14:paraId="018DB0ED"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bookmarkStart w:id="4" w:name="_heading=h.2et92p0" w:colFirst="0" w:colLast="0"/>
      <w:bookmarkEnd w:id="4"/>
      <w:r>
        <w:rPr>
          <w:rFonts w:ascii="Arial" w:eastAsia="Arial" w:hAnsi="Arial" w:cs="Arial"/>
          <w:color w:val="000000"/>
          <w:sz w:val="20"/>
          <w:szCs w:val="20"/>
        </w:rPr>
        <w:t>Não poderão disputar esta licitação:</w:t>
      </w:r>
    </w:p>
    <w:p w14:paraId="33C93117"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aquele que não atenda às condições deste Edital e seu(s) anexo(s);</w:t>
      </w:r>
    </w:p>
    <w:p w14:paraId="486D13A7"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bookmarkStart w:id="5" w:name="_heading=h.tyjcwt" w:colFirst="0" w:colLast="0"/>
      <w:bookmarkEnd w:id="5"/>
      <w:r>
        <w:rPr>
          <w:rFonts w:ascii="Arial" w:eastAsia="Arial" w:hAnsi="Arial" w:cs="Arial"/>
          <w:color w:val="000000"/>
          <w:sz w:val="20"/>
          <w:szCs w:val="20"/>
        </w:rPr>
        <w:t>autor do anteprojeto, do projeto básico ou do projeto executivo, pessoa física ou jurídica, quando a licitação versar sobre serviços ou fornecimento de bens a ele relacionados;</w:t>
      </w:r>
    </w:p>
    <w:p w14:paraId="1B97B9E9"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bookmarkStart w:id="6" w:name="_heading=h.3dy6vkm" w:colFirst="0" w:colLast="0"/>
      <w:bookmarkEnd w:id="6"/>
      <w:r>
        <w:rPr>
          <w:rFonts w:ascii="Arial" w:eastAsia="Arial" w:hAnsi="Arial" w:cs="Arial"/>
          <w:color w:val="000000"/>
          <w:sz w:val="20"/>
          <w:szCs w:val="20"/>
        </w:rPr>
        <w:t xml:space="preserve">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 </w:t>
      </w:r>
    </w:p>
    <w:p w14:paraId="26C3DF56"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bookmarkStart w:id="7" w:name="_heading=h.1t3h5sf" w:colFirst="0" w:colLast="0"/>
      <w:bookmarkEnd w:id="7"/>
      <w:r>
        <w:rPr>
          <w:rFonts w:ascii="Arial" w:eastAsia="Arial" w:hAnsi="Arial" w:cs="Arial"/>
          <w:color w:val="000000"/>
          <w:sz w:val="20"/>
          <w:szCs w:val="20"/>
        </w:rPr>
        <w:t>pessoa física ou jurídica que se encontre, ao tempo da licitação, impossibilitada de participar da licitação em decorrência de sanção que lhe foi imposta;</w:t>
      </w:r>
    </w:p>
    <w:p w14:paraId="435BA8DB"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2E699F65"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bookmarkStart w:id="8" w:name="_heading=h.4d34og8" w:colFirst="0" w:colLast="0"/>
      <w:bookmarkEnd w:id="8"/>
      <w:r>
        <w:rPr>
          <w:rFonts w:ascii="Arial" w:eastAsia="Arial" w:hAnsi="Arial" w:cs="Arial"/>
          <w:color w:val="000000"/>
          <w:sz w:val="20"/>
          <w:szCs w:val="20"/>
        </w:rPr>
        <w:t>empresas controladoras, controladas ou coligadas, nos termos da Lei nº 6.404, de 15 de dezembro de 1976, concorrendo entre si;</w:t>
      </w:r>
    </w:p>
    <w:p w14:paraId="2514A442"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 xml:space="preserve">pessoa física ou jurídica que, nos 5 (cinco) anos anteriores à divulgação do edital, tenha sido condenada judicialmente, com trânsito em julgado, por exploração de trabalho infantil, por </w:t>
      </w:r>
      <w:r>
        <w:rPr>
          <w:rFonts w:ascii="Arial" w:eastAsia="Arial" w:hAnsi="Arial" w:cs="Arial"/>
          <w:color w:val="000000"/>
          <w:sz w:val="20"/>
          <w:szCs w:val="20"/>
        </w:rPr>
        <w:lastRenderedPageBreak/>
        <w:t>submissão de trabalhadores a condições análogas às de escravo ou por contratação de adolescentes nos casos vedados pela legislação trabalhista;</w:t>
      </w:r>
    </w:p>
    <w:p w14:paraId="23EE4528"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bookmarkStart w:id="9" w:name="_heading=h.2s8eyo1" w:colFirst="0" w:colLast="0"/>
      <w:bookmarkEnd w:id="9"/>
      <w:r>
        <w:rPr>
          <w:rFonts w:ascii="Arial" w:eastAsia="Arial" w:hAnsi="Arial" w:cs="Arial"/>
          <w:color w:val="000000"/>
          <w:sz w:val="20"/>
          <w:szCs w:val="20"/>
        </w:rPr>
        <w:t>agente público do órgão ou entidade licitante;</w:t>
      </w:r>
    </w:p>
    <w:p w14:paraId="06DFC675"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pessoas jurídicas reunidas em consórcio;</w:t>
      </w:r>
    </w:p>
    <w:p w14:paraId="51CD2F73"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Organizações da Sociedade Civil de Interesse Público - OSCIP, atuando nessa condição;</w:t>
      </w:r>
    </w:p>
    <w:p w14:paraId="47A22A6A"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7" w:anchor="art9%C2%A71">
        <w:r>
          <w:rPr>
            <w:rFonts w:ascii="Arial" w:eastAsia="Arial" w:hAnsi="Arial" w:cs="Arial"/>
            <w:color w:val="000000"/>
            <w:sz w:val="20"/>
            <w:szCs w:val="20"/>
          </w:rPr>
          <w:t>§ 1º do art. 9º da Lei n.º 14.133, de 2021</w:t>
        </w:r>
      </w:hyperlink>
      <w:r>
        <w:rPr>
          <w:rFonts w:ascii="Arial" w:eastAsia="Arial" w:hAnsi="Arial" w:cs="Arial"/>
          <w:color w:val="000000"/>
          <w:sz w:val="20"/>
          <w:szCs w:val="20"/>
        </w:rPr>
        <w:t>.</w:t>
      </w:r>
    </w:p>
    <w:p w14:paraId="334203F8"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Sociedades cooperativas, considerando a vedação contida no art. 10 da Instrução Normativa SEGES/MP nº 5, de 2017, bem como o disposto no Termo de Conciliação firmado entre o Ministério Público do Trabalho e a AGU.</w:t>
      </w:r>
    </w:p>
    <w:p w14:paraId="069F044F"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O impedimento de que trata o item 2.7.4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1D74FB8E" w14:textId="77777777" w:rsidR="002775AD" w:rsidRDefault="00000000">
      <w:pPr>
        <w:numPr>
          <w:ilvl w:val="1"/>
          <w:numId w:val="1"/>
        </w:numPr>
        <w:spacing w:before="288" w:after="288" w:line="312" w:lineRule="auto"/>
        <w:ind w:left="-87" w:firstLine="567"/>
        <w:jc w:val="both"/>
      </w:pPr>
      <w:bookmarkStart w:id="10" w:name="bookmark=id.2s8eyo1" w:colFirst="0" w:colLast="0"/>
      <w:bookmarkEnd w:id="10"/>
      <w:r>
        <w:rPr>
          <w:rFonts w:ascii="Arial" w:eastAsia="Arial" w:hAnsi="Arial" w:cs="Arial"/>
          <w:color w:val="000000"/>
          <w:sz w:val="20"/>
          <w:szCs w:val="20"/>
        </w:rPr>
        <w:t>A critério da Administração e exclusivamente a seu serviço, o autor dos projetos e a empresa a que se referem os itens 2.7.2 e 2.7.3 poderão participar no apoio das atividades de planejamento da contratação, de execução da licitação ou de gestão do contrato, desde que sob supervisão exclusiva de agentes públicos do órgão ou entidade.</w:t>
      </w:r>
    </w:p>
    <w:p w14:paraId="2BE33A8C" w14:textId="77777777" w:rsidR="002775AD" w:rsidRDefault="00000000">
      <w:pPr>
        <w:numPr>
          <w:ilvl w:val="1"/>
          <w:numId w:val="1"/>
        </w:numPr>
        <w:spacing w:before="288" w:after="288" w:line="312" w:lineRule="auto"/>
        <w:ind w:left="-87" w:firstLine="567"/>
        <w:jc w:val="both"/>
      </w:pPr>
      <w:bookmarkStart w:id="11" w:name="bookmark=id.17dp8vu" w:colFirst="0" w:colLast="0"/>
      <w:bookmarkEnd w:id="11"/>
      <w:r>
        <w:rPr>
          <w:rFonts w:ascii="Arial" w:eastAsia="Arial" w:hAnsi="Arial" w:cs="Arial"/>
          <w:color w:val="000000"/>
          <w:sz w:val="20"/>
          <w:szCs w:val="20"/>
        </w:rPr>
        <w:t>Equiparam-se aos autores do projeto as empresas integrantes do mesmo grupo econômico.</w:t>
      </w:r>
    </w:p>
    <w:p w14:paraId="4749DD08" w14:textId="77777777" w:rsidR="002775AD" w:rsidRDefault="00000000">
      <w:pPr>
        <w:numPr>
          <w:ilvl w:val="1"/>
          <w:numId w:val="1"/>
        </w:numPr>
        <w:spacing w:before="288" w:after="288" w:line="312" w:lineRule="auto"/>
        <w:ind w:left="-87" w:firstLine="567"/>
        <w:jc w:val="both"/>
      </w:pPr>
      <w:bookmarkStart w:id="12" w:name="bookmark=id.3rdcrjn" w:colFirst="0" w:colLast="0"/>
      <w:bookmarkEnd w:id="12"/>
      <w:r>
        <w:rPr>
          <w:rFonts w:ascii="Arial" w:eastAsia="Arial" w:hAnsi="Arial" w:cs="Arial"/>
          <w:color w:val="000000"/>
          <w:sz w:val="20"/>
          <w:szCs w:val="20"/>
        </w:rPr>
        <w:t>O disposto nos itens 2.7.2 e 2.7.3 não impede a licitação ou a contratação de serviço que inclua como encargo do contratado a elaboração do projeto básico e do projeto executivo, nas contratações integradas, e do projeto executivo, nos demais regimes de execução.</w:t>
      </w:r>
    </w:p>
    <w:p w14:paraId="77B16361" w14:textId="77777777" w:rsidR="002775AD" w:rsidRDefault="00000000">
      <w:pPr>
        <w:numPr>
          <w:ilvl w:val="1"/>
          <w:numId w:val="1"/>
        </w:numPr>
        <w:spacing w:before="288" w:after="288" w:line="312" w:lineRule="auto"/>
        <w:ind w:left="-87" w:firstLine="567"/>
        <w:jc w:val="both"/>
      </w:pPr>
      <w:bookmarkStart w:id="13" w:name="bookmark=id.26in1rg" w:colFirst="0" w:colLast="0"/>
      <w:bookmarkEnd w:id="13"/>
      <w:r>
        <w:rPr>
          <w:rFonts w:ascii="Arial" w:eastAsia="Arial" w:hAnsi="Arial" w:cs="Arial"/>
          <w:color w:val="000000"/>
          <w:sz w:val="20"/>
          <w:szCs w:val="20"/>
        </w:rP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8">
        <w:r>
          <w:rPr>
            <w:rFonts w:ascii="Arial" w:eastAsia="Arial" w:hAnsi="Arial" w:cs="Arial"/>
            <w:color w:val="0000FF"/>
            <w:sz w:val="20"/>
            <w:szCs w:val="20"/>
            <w:u w:val="single"/>
          </w:rPr>
          <w:t>Lei nº 14.133/2021</w:t>
        </w:r>
      </w:hyperlink>
      <w:r>
        <w:rPr>
          <w:rFonts w:ascii="Arial" w:eastAsia="Arial" w:hAnsi="Arial" w:cs="Arial"/>
          <w:color w:val="000000"/>
          <w:sz w:val="20"/>
          <w:szCs w:val="20"/>
        </w:rPr>
        <w:t>.</w:t>
      </w:r>
    </w:p>
    <w:p w14:paraId="6B3E7A85"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A vedação de que trata o item 2.7.8 estende-se a terceiro que auxilie a condução da contratação na qualidade de integrante de equipe de apoio, profissional especializado ou funcionário ou representante de empresa que preste assessoria técnica.</w:t>
      </w:r>
    </w:p>
    <w:p w14:paraId="56EF2AF0" w14:textId="77777777" w:rsidR="002775AD" w:rsidRDefault="002775AD">
      <w:pPr>
        <w:spacing w:before="288" w:after="288" w:line="312" w:lineRule="auto"/>
        <w:ind w:left="567"/>
        <w:jc w:val="both"/>
        <w:rPr>
          <w:rFonts w:ascii="Arial" w:eastAsia="Arial" w:hAnsi="Arial" w:cs="Arial"/>
          <w:color w:val="000000"/>
          <w:sz w:val="20"/>
          <w:szCs w:val="20"/>
        </w:rPr>
      </w:pPr>
    </w:p>
    <w:p w14:paraId="304F254F" w14:textId="77777777" w:rsidR="002775AD" w:rsidRDefault="00000000">
      <w:pPr>
        <w:keepNext/>
        <w:keepLines/>
        <w:numPr>
          <w:ilvl w:val="0"/>
          <w:numId w:val="1"/>
        </w:numP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14" w:name="_heading=h.lnxbz9" w:colFirst="0" w:colLast="0"/>
      <w:bookmarkEnd w:id="14"/>
      <w:r>
        <w:rPr>
          <w:rFonts w:ascii="Arial" w:eastAsia="Arial" w:hAnsi="Arial" w:cs="Arial"/>
          <w:b/>
          <w:color w:val="000000"/>
          <w:sz w:val="20"/>
          <w:szCs w:val="20"/>
          <w:highlight w:val="lightGray"/>
        </w:rPr>
        <w:lastRenderedPageBreak/>
        <w:t>DA APRESENTAÇÃO DA PROPOSTA E DOS DOCUMENTOS DE HABILITAÇÃO</w:t>
      </w:r>
    </w:p>
    <w:p w14:paraId="675725A8"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bookmarkStart w:id="15" w:name="_heading=h.35nkun2" w:colFirst="0" w:colLast="0"/>
      <w:bookmarkEnd w:id="15"/>
      <w:r>
        <w:rPr>
          <w:rFonts w:ascii="Arial" w:eastAsia="Arial" w:hAnsi="Arial" w:cs="Arial"/>
          <w:color w:val="000000"/>
          <w:sz w:val="20"/>
          <w:szCs w:val="20"/>
        </w:rPr>
        <w:t>Os licitantes encaminharão, exclusivamente por meio do sistema eletrônico, a proposta com o preço ou o percentual de desconto, conforme o critério de julgamento adotado neste Edital, até a data e o horário estabelecidos para abertura da sessão pública.</w:t>
      </w:r>
    </w:p>
    <w:p w14:paraId="154C95B2" w14:textId="77777777" w:rsidR="002775AD" w:rsidRDefault="00000000">
      <w:pPr>
        <w:numPr>
          <w:ilvl w:val="1"/>
          <w:numId w:val="1"/>
        </w:numPr>
        <w:spacing w:before="120" w:after="120" w:line="360" w:lineRule="auto"/>
        <w:ind w:left="-87" w:firstLine="567"/>
        <w:jc w:val="both"/>
        <w:rPr>
          <w:rFonts w:ascii="Arial" w:eastAsia="Arial" w:hAnsi="Arial" w:cs="Arial"/>
          <w:color w:val="000000"/>
          <w:sz w:val="20"/>
          <w:szCs w:val="20"/>
        </w:rPr>
      </w:pPr>
      <w:bookmarkStart w:id="16" w:name="_heading=h.44sinio" w:colFirst="0" w:colLast="0"/>
      <w:bookmarkEnd w:id="16"/>
      <w:r>
        <w:rPr>
          <w:rFonts w:ascii="Arial" w:eastAsia="Arial" w:hAnsi="Arial" w:cs="Arial"/>
          <w:color w:val="000000"/>
          <w:sz w:val="20"/>
          <w:szCs w:val="20"/>
        </w:rPr>
        <w:t>No cadastramento da proposta inicial, o licitante declarará, em campo próprio do sistema, que:</w:t>
      </w:r>
    </w:p>
    <w:p w14:paraId="36178436"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3F37EE73"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 xml:space="preserve">não emprega menor de 18 anos em trabalho noturno, perigoso ou insalubre e não emprega menor de 16 anos, salvo menor, a partir de 14 anos, na condição de aprendiz, nos termos do </w:t>
      </w:r>
      <w:hyperlink r:id="rId19" w:anchor="art7">
        <w:r>
          <w:rPr>
            <w:rFonts w:ascii="Arial" w:eastAsia="Arial" w:hAnsi="Arial" w:cs="Arial"/>
            <w:color w:val="0000FF"/>
            <w:sz w:val="20"/>
            <w:szCs w:val="20"/>
            <w:u w:val="single"/>
          </w:rPr>
          <w:t>artigo 7°, XXXIII, da Constituição</w:t>
        </w:r>
      </w:hyperlink>
      <w:r>
        <w:rPr>
          <w:rFonts w:ascii="Arial" w:eastAsia="Arial" w:hAnsi="Arial" w:cs="Arial"/>
          <w:color w:val="000000"/>
          <w:sz w:val="20"/>
          <w:szCs w:val="20"/>
        </w:rPr>
        <w:t>;</w:t>
      </w:r>
    </w:p>
    <w:p w14:paraId="5FC37BA8"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 xml:space="preserve">não possui, em sua cadeia produtiva, empregados executando trabalho degradante ou forçado, observando o disposto nos </w:t>
      </w:r>
      <w:hyperlink r:id="rId20">
        <w:r>
          <w:rPr>
            <w:rFonts w:ascii="Arial" w:eastAsia="Arial" w:hAnsi="Arial" w:cs="Arial"/>
            <w:color w:val="0000FF"/>
            <w:sz w:val="20"/>
            <w:szCs w:val="20"/>
            <w:u w:val="single"/>
          </w:rPr>
          <w:t>incisos III e IV do art. 1º e no inciso III do art. 5º da Constituição Federal</w:t>
        </w:r>
      </w:hyperlink>
      <w:r>
        <w:rPr>
          <w:rFonts w:ascii="Arial" w:eastAsia="Arial" w:hAnsi="Arial" w:cs="Arial"/>
          <w:color w:val="000000"/>
          <w:sz w:val="20"/>
          <w:szCs w:val="20"/>
        </w:rPr>
        <w:t>;</w:t>
      </w:r>
    </w:p>
    <w:p w14:paraId="696BB99D"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cumpre as exigências de reserva de cargos para pessoa com deficiência e para reabilitado da Previdência Social, previstas em lei e em outras normas específicas.</w:t>
      </w:r>
    </w:p>
    <w:p w14:paraId="64BCB737" w14:textId="77777777" w:rsidR="002775AD" w:rsidRDefault="00000000">
      <w:pPr>
        <w:numPr>
          <w:ilvl w:val="1"/>
          <w:numId w:val="1"/>
        </w:numPr>
        <w:spacing w:before="288" w:after="288" w:line="312" w:lineRule="auto"/>
        <w:ind w:left="-87" w:firstLine="567"/>
        <w:jc w:val="both"/>
      </w:pPr>
      <w:bookmarkStart w:id="17" w:name="_heading=h.2jxsxqh" w:colFirst="0" w:colLast="0"/>
      <w:bookmarkEnd w:id="17"/>
      <w:r>
        <w:rPr>
          <w:rFonts w:ascii="Arial" w:eastAsia="Arial" w:hAnsi="Arial" w:cs="Arial"/>
          <w:color w:val="000000"/>
          <w:sz w:val="20"/>
          <w:szCs w:val="20"/>
        </w:rPr>
        <w:t xml:space="preserve">O fornecedor enquadrado como microempresa, empresa de pequeno porte ou sociedade cooperativa deverá declarar, ainda, em campo próprio do sistema eletrônico, que cumpre os requisitos estabelecidos no </w:t>
      </w:r>
      <w:hyperlink r:id="rId21" w:anchor="art3">
        <w:r>
          <w:rPr>
            <w:rFonts w:ascii="Arial" w:eastAsia="Arial" w:hAnsi="Arial" w:cs="Arial"/>
            <w:color w:val="0000FF"/>
            <w:sz w:val="20"/>
            <w:szCs w:val="20"/>
            <w:u w:val="single"/>
          </w:rPr>
          <w:t>artigo 3° da Lei Complementar nº 123, de 2006</w:t>
        </w:r>
      </w:hyperlink>
      <w:r>
        <w:rPr>
          <w:rFonts w:ascii="Arial" w:eastAsia="Arial" w:hAnsi="Arial" w:cs="Arial"/>
          <w:color w:val="000000"/>
          <w:sz w:val="20"/>
          <w:szCs w:val="20"/>
        </w:rPr>
        <w:t xml:space="preserve">, estando apto a usufruir do tratamento favorecido estabelecido em seus </w:t>
      </w:r>
      <w:hyperlink r:id="rId22" w:anchor="art42">
        <w:proofErr w:type="spellStart"/>
        <w:r>
          <w:rPr>
            <w:rFonts w:ascii="Arial" w:eastAsia="Arial" w:hAnsi="Arial" w:cs="Arial"/>
            <w:color w:val="0000FF"/>
            <w:sz w:val="20"/>
            <w:szCs w:val="20"/>
            <w:u w:val="single"/>
          </w:rPr>
          <w:t>arts</w:t>
        </w:r>
        <w:proofErr w:type="spellEnd"/>
        <w:r>
          <w:rPr>
            <w:rFonts w:ascii="Arial" w:eastAsia="Arial" w:hAnsi="Arial" w:cs="Arial"/>
            <w:color w:val="0000FF"/>
            <w:sz w:val="20"/>
            <w:szCs w:val="20"/>
            <w:u w:val="single"/>
          </w:rPr>
          <w:t>. 42 a 49</w:t>
        </w:r>
      </w:hyperlink>
      <w:r>
        <w:rPr>
          <w:rFonts w:ascii="Arial" w:eastAsia="Arial" w:hAnsi="Arial" w:cs="Arial"/>
          <w:color w:val="000000"/>
          <w:sz w:val="20"/>
          <w:szCs w:val="20"/>
        </w:rPr>
        <w:t xml:space="preserve">, observado o disposto nos </w:t>
      </w:r>
      <w:hyperlink r:id="rId23" w:anchor="art4%C2%A71">
        <w:r>
          <w:rPr>
            <w:rFonts w:ascii="Arial" w:eastAsia="Arial" w:hAnsi="Arial" w:cs="Arial"/>
            <w:color w:val="0000FF"/>
            <w:sz w:val="20"/>
            <w:szCs w:val="20"/>
            <w:u w:val="single"/>
          </w:rPr>
          <w:t>§§ 1º ao 3º do art. 4º, da Lei n.º 14.133, de 2021.</w:t>
        </w:r>
      </w:hyperlink>
      <w:r>
        <w:fldChar w:fldCharType="begin"/>
      </w:r>
      <w:r>
        <w:instrText xml:space="preserve"> HYPERLINK "http://www.planalto.gov.br/ccivil_03/_ato2019-2022/2021/lei/L14133.htm#art4%C2%A71" </w:instrText>
      </w:r>
      <w:r>
        <w:fldChar w:fldCharType="separate"/>
      </w:r>
    </w:p>
    <w:p w14:paraId="36CDAA7F" w14:textId="77777777" w:rsidR="002775AD" w:rsidRDefault="00000000">
      <w:pPr>
        <w:numPr>
          <w:ilvl w:val="2"/>
          <w:numId w:val="1"/>
        </w:numPr>
        <w:spacing w:before="120" w:after="120" w:line="360" w:lineRule="auto"/>
        <w:ind w:left="567" w:firstLine="567"/>
        <w:jc w:val="both"/>
      </w:pPr>
      <w:r>
        <w:fldChar w:fldCharType="end"/>
      </w:r>
      <w:r>
        <w:rPr>
          <w:rFonts w:ascii="Arial" w:eastAsia="Arial" w:hAnsi="Arial" w:cs="Arial"/>
          <w:color w:val="000000"/>
          <w:sz w:val="20"/>
          <w:szCs w:val="20"/>
        </w:rPr>
        <w:t>no item exclusivo para participação de microempresas e empresas de pequeno porte, a assinalação do campo “não” impedirá o prosseguimento no certame, para aquele item;</w:t>
      </w:r>
    </w:p>
    <w:p w14:paraId="0B12AB19"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 xml:space="preserve">nos itens em que a participação não for exclusiva para microempresas e empresas de pequeno porte, a assinalação do campo “não” apenas produzirá o efeito de o licitante não ter direito ao tratamento favorecido previsto na </w:t>
      </w:r>
      <w:hyperlink r:id="rId24">
        <w:r>
          <w:rPr>
            <w:rFonts w:ascii="Arial" w:eastAsia="Arial" w:hAnsi="Arial" w:cs="Arial"/>
            <w:color w:val="0000FF"/>
            <w:sz w:val="20"/>
            <w:szCs w:val="20"/>
            <w:u w:val="single"/>
          </w:rPr>
          <w:t>Lei Complementar nº 123, de 2006</w:t>
        </w:r>
      </w:hyperlink>
      <w:r>
        <w:rPr>
          <w:rFonts w:ascii="Arial" w:eastAsia="Arial" w:hAnsi="Arial" w:cs="Arial"/>
          <w:color w:val="000000"/>
          <w:sz w:val="20"/>
          <w:szCs w:val="20"/>
        </w:rPr>
        <w:t>, mesmo que microempresa, empresa de pequeno porte ou sociedade cooperativa.</w:t>
      </w:r>
    </w:p>
    <w:p w14:paraId="663A9334"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 xml:space="preserve">A falsidade da declaração de que trata os itens 3.4 ou 3.6 sujeitará o licitante às sanções previstas na </w:t>
      </w:r>
      <w:hyperlink r:id="rId25">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e neste Edital.</w:t>
      </w:r>
    </w:p>
    <w:p w14:paraId="702E29C6" w14:textId="7E61B29A" w:rsidR="002775AD" w:rsidRPr="00EF049A" w:rsidRDefault="00000000">
      <w:pPr>
        <w:numPr>
          <w:ilvl w:val="1"/>
          <w:numId w:val="1"/>
        </w:numPr>
        <w:spacing w:before="288" w:after="288" w:line="312" w:lineRule="auto"/>
        <w:ind w:left="-87" w:firstLine="567"/>
        <w:jc w:val="both"/>
        <w:rPr>
          <w:rFonts w:ascii="Arial" w:eastAsia="Arial" w:hAnsi="Arial" w:cs="Arial"/>
          <w:color w:val="000000"/>
          <w:sz w:val="20"/>
          <w:szCs w:val="20"/>
        </w:rPr>
      </w:pPr>
      <w:r w:rsidRPr="00EF049A">
        <w:rPr>
          <w:rFonts w:ascii="Arial" w:eastAsia="Arial" w:hAnsi="Arial" w:cs="Arial"/>
          <w:b/>
          <w:color w:val="000000"/>
          <w:sz w:val="20"/>
          <w:szCs w:val="20"/>
        </w:rPr>
        <w:lastRenderedPageBreak/>
        <w:t xml:space="preserve">Os licitantes </w:t>
      </w:r>
      <w:r w:rsidR="00EF049A">
        <w:rPr>
          <w:rFonts w:ascii="Arial" w:hAnsi="Arial" w:cs="Arial"/>
          <w:b/>
          <w:bCs/>
          <w:color w:val="000000"/>
          <w:sz w:val="20"/>
          <w:szCs w:val="20"/>
        </w:rPr>
        <w:t>poderão alterar o cadastro de seus valores iniciais</w:t>
      </w:r>
      <w:r w:rsidR="00EF049A">
        <w:rPr>
          <w:rFonts w:ascii="Arial" w:hAnsi="Arial" w:cs="Arial"/>
          <w:b/>
          <w:bCs/>
          <w:color w:val="000000"/>
          <w:sz w:val="20"/>
          <w:szCs w:val="20"/>
        </w:rPr>
        <w:t xml:space="preserve"> </w:t>
      </w:r>
      <w:r w:rsidRPr="00EF049A">
        <w:rPr>
          <w:rFonts w:ascii="Arial" w:eastAsia="Arial" w:hAnsi="Arial" w:cs="Arial"/>
          <w:color w:val="000000"/>
          <w:sz w:val="20"/>
          <w:szCs w:val="20"/>
        </w:rPr>
        <w:t xml:space="preserve">ou, </w:t>
      </w:r>
      <w:r w:rsidRPr="00EF049A">
        <w:rPr>
          <w:rFonts w:ascii="Arial" w:eastAsia="Arial" w:hAnsi="Arial" w:cs="Arial"/>
          <w:i/>
          <w:color w:val="000000"/>
          <w:sz w:val="20"/>
          <w:szCs w:val="20"/>
        </w:rPr>
        <w:t>na hipótese de a fase de habilitação anteceder as fases de apresentação de propostas e lances e de julgamento, os documentos de habilitação</w:t>
      </w:r>
      <w:r w:rsidRPr="00EF049A">
        <w:rPr>
          <w:rFonts w:ascii="Arial" w:eastAsia="Arial" w:hAnsi="Arial" w:cs="Arial"/>
          <w:color w:val="000000"/>
          <w:sz w:val="20"/>
          <w:szCs w:val="20"/>
        </w:rPr>
        <w:t xml:space="preserve"> </w:t>
      </w:r>
      <w:r w:rsidRPr="00EF049A">
        <w:rPr>
          <w:rFonts w:ascii="Arial" w:eastAsia="Arial" w:hAnsi="Arial" w:cs="Arial"/>
          <w:b/>
          <w:color w:val="000000"/>
          <w:sz w:val="20"/>
          <w:szCs w:val="20"/>
        </w:rPr>
        <w:t>anteriormente inseridos no sistema, até a abertura da sessão pública</w:t>
      </w:r>
      <w:r w:rsidRPr="00EF049A">
        <w:rPr>
          <w:rFonts w:ascii="Arial" w:eastAsia="Arial" w:hAnsi="Arial" w:cs="Arial"/>
          <w:color w:val="000000"/>
          <w:sz w:val="20"/>
          <w:szCs w:val="20"/>
        </w:rPr>
        <w:t>.</w:t>
      </w:r>
    </w:p>
    <w:p w14:paraId="360582BF"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Não haverá ordem de classificação na etapa de apresentação da proposta e dos documentos de habilitação pelo licitante, o que ocorrerá somente após os procedimentos de abertura da sessão pública e da fase de envio de lances.</w:t>
      </w:r>
    </w:p>
    <w:p w14:paraId="0C75AFEF"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Serão disponibilizados para acesso público os documentos que compõem a proposta dos licitantes convocados para apresentação de propostas, após a fase de envio de lances.</w:t>
      </w:r>
    </w:p>
    <w:p w14:paraId="19EB0F6F" w14:textId="77777777" w:rsidR="002775AD" w:rsidRDefault="00000000">
      <w:pPr>
        <w:numPr>
          <w:ilvl w:val="1"/>
          <w:numId w:val="1"/>
        </w:numPr>
        <w:spacing w:before="120" w:after="120" w:line="360" w:lineRule="auto"/>
        <w:ind w:left="-87" w:firstLine="567"/>
        <w:jc w:val="both"/>
      </w:pPr>
      <w:bookmarkStart w:id="18" w:name="_heading=h.z337ya" w:colFirst="0" w:colLast="0"/>
      <w:bookmarkEnd w:id="18"/>
      <w:r>
        <w:rPr>
          <w:rFonts w:ascii="Arial" w:eastAsia="Arial" w:hAnsi="Arial" w:cs="Arial"/>
          <w:b/>
          <w:sz w:val="20"/>
          <w:szCs w:val="20"/>
          <w:u w:val="single"/>
        </w:rPr>
        <w:t>Desde que disponibilizada a funcionalidade no sistema</w:t>
      </w:r>
      <w:r>
        <w:rPr>
          <w:rFonts w:ascii="Arial" w:eastAsia="Arial" w:hAnsi="Arial" w:cs="Arial"/>
          <w:color w:val="000000"/>
          <w:sz w:val="20"/>
          <w:szCs w:val="20"/>
        </w:rPr>
        <w:t>, o licitante poderá parametrizar o seu valor final mínimo ou o seu percentual de desconto máximo quando do cadastramento da proposta e obedecerá às seguintes regras:</w:t>
      </w:r>
    </w:p>
    <w:p w14:paraId="69BBE439"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a aplicação do intervalo mínimo de diferença de valores ou de percentuais entre os lances, que incidirá tanto em relação aos lances intermediários quanto em relação ao lance que cobrir a melhor oferta; e</w:t>
      </w:r>
    </w:p>
    <w:p w14:paraId="682F42CF"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os lances serão de envio automático pelo sistema, respeitado o valor final mínimo estabelecido e o intervalo de que trata o subitem acima.</w:t>
      </w:r>
    </w:p>
    <w:p w14:paraId="7822F2CF"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O valor final mínimo ou o percentual de desconto final máximo parametrizado no sistema poderá ser alterado pelo fornecedor durante a fase de disputa, sendo vedado:</w:t>
      </w:r>
    </w:p>
    <w:p w14:paraId="6FC9F9D0"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valor superior a lance já registrado pelo fornecedor no sistema, quando adotado o critério de julgamento por menor preço; e</w:t>
      </w:r>
    </w:p>
    <w:p w14:paraId="3281A244"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 xml:space="preserve"> percentual de desconto inferior a lance já registrado pelo fornecedor no sistema, quando adotado o critério de julgamento por maior desconto.</w:t>
      </w:r>
    </w:p>
    <w:p w14:paraId="323ACE5D"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O valor final mínimo ou o percentual de desconto final máximo parametrizado na forma do item 3.9 possuirá caráter sigiloso para os demais fornecedores e para o órgão ou entidade promotora da licitação, podendo ser disponibilizado estrita e permanentemente aos órgãos de controle externo e interno.</w:t>
      </w:r>
    </w:p>
    <w:p w14:paraId="150BA074"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14:paraId="7A172D5F"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O licitante deverá comunicar imediatamente ao provedor do sistema qualquer acontecimento que possa comprometer o sigilo ou a segurança, para imediato bloqueio de acesso.</w:t>
      </w:r>
    </w:p>
    <w:p w14:paraId="66348E4B" w14:textId="77777777" w:rsidR="002775AD" w:rsidRDefault="002775AD">
      <w:pPr>
        <w:rPr>
          <w:rFonts w:ascii="Arial" w:eastAsia="Arial" w:hAnsi="Arial" w:cs="Arial"/>
        </w:rPr>
      </w:pPr>
    </w:p>
    <w:p w14:paraId="0943CBF6" w14:textId="77777777" w:rsidR="002775AD" w:rsidRDefault="00000000">
      <w:pPr>
        <w:keepNext/>
        <w:keepLines/>
        <w:numPr>
          <w:ilvl w:val="0"/>
          <w:numId w:val="1"/>
        </w:numP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19" w:name="_heading=h.3j2qqm3" w:colFirst="0" w:colLast="0"/>
      <w:bookmarkEnd w:id="19"/>
      <w:r>
        <w:rPr>
          <w:rFonts w:ascii="Arial" w:eastAsia="Arial" w:hAnsi="Arial" w:cs="Arial"/>
          <w:b/>
          <w:color w:val="000000"/>
          <w:sz w:val="20"/>
          <w:szCs w:val="20"/>
          <w:highlight w:val="lightGray"/>
        </w:rPr>
        <w:lastRenderedPageBreak/>
        <w:t>DO PREENCHIMENTO DA PROPOSTA</w:t>
      </w:r>
    </w:p>
    <w:p w14:paraId="08F44163"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O licitante deverá enviar sua proposta mediante o preenchimento, no sistema eletrônico, dos seguintes campos:</w:t>
      </w:r>
    </w:p>
    <w:p w14:paraId="1D7D1C1A"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Valor unitário mensal e anual do item licitado, conforme planilha de composição de custos.</w:t>
      </w:r>
    </w:p>
    <w:p w14:paraId="67CD03F7"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Nos valores propostos estarão inclusos todos os custos operacionais, encargos previdenciários, trabalhistas, tributários, comerciais e quaisquer outros que incidam direta ou indiretamente na execução do objeto, apurados mediante o preenchimento do modelo de Planilha de Custos e Formação de Preços, conforme anexo deste Edital.</w:t>
      </w:r>
    </w:p>
    <w:p w14:paraId="3F1DFC4A"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A Contratada deverá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7C646963"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 xml:space="preserve">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124 da Lei n. 8.666/93 e nos termos do art. 63, §2° da IN SEGES/MP n.5/2017. </w:t>
      </w:r>
    </w:p>
    <w:p w14:paraId="332BF83F"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Os preços ofertados, tanto na proposta inicial, quanto na etapa de lances, serão de exclusiva responsabilidade do licitante, não lhe assistindo o direito de pleitear qualquer alteração, sob alegação de erro, omissão ou qualquer outro pretexto.</w:t>
      </w:r>
    </w:p>
    <w:p w14:paraId="38DF5756"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 xml:space="preserve">Se o regime tributário da empresa implicar o recolhimento de tributos em percentuais variáveis, a cotação adequada será a que corresponde à média dos efetivos recolhimentos da empresa nos últimos doze meses. </w:t>
      </w:r>
    </w:p>
    <w:p w14:paraId="6B265EE6"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Independentemente do percentual de tributo inserido na planilha, no pagamento serão retidos na fonte os percentuais estabelecidos na legislação vigente.</w:t>
      </w:r>
    </w:p>
    <w:p w14:paraId="3A138388" w14:textId="77777777" w:rsidR="002775AD" w:rsidRPr="004E4D2B" w:rsidRDefault="00000000">
      <w:pPr>
        <w:numPr>
          <w:ilvl w:val="1"/>
          <w:numId w:val="1"/>
        </w:numPr>
        <w:spacing w:before="288" w:after="288" w:line="312" w:lineRule="auto"/>
        <w:ind w:left="-87" w:firstLine="567"/>
        <w:jc w:val="both"/>
        <w:rPr>
          <w:rFonts w:ascii="Arial" w:eastAsia="Arial" w:hAnsi="Arial" w:cs="Arial"/>
          <w:color w:val="000000"/>
          <w:sz w:val="20"/>
          <w:szCs w:val="20"/>
          <w:highlight w:val="yellow"/>
        </w:rPr>
      </w:pPr>
      <w:r w:rsidRPr="004E4D2B">
        <w:rPr>
          <w:rFonts w:ascii="Arial" w:eastAsia="Arial" w:hAnsi="Arial" w:cs="Arial"/>
          <w:color w:val="000000"/>
          <w:sz w:val="20"/>
          <w:szCs w:val="20"/>
          <w:highlight w:val="yellow"/>
        </w:rPr>
        <w:t xml:space="preserve">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inciso XII, da Lei Complementar no 123/2006. </w:t>
      </w:r>
    </w:p>
    <w:p w14:paraId="19A9DA7D"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 xml:space="preserve">A apresentação das propostas implica obrigatoriedade do cumprimento das disposições nelas contidas, em conformidade com o que dispõe o Termo de Referência, assumindo o proponente o compromisso de executar o objeto licitado nos seus termos, bem como de fornecer os materiais, </w:t>
      </w:r>
      <w:r>
        <w:rPr>
          <w:rFonts w:ascii="Arial" w:eastAsia="Arial" w:hAnsi="Arial" w:cs="Arial"/>
          <w:color w:val="000000"/>
          <w:sz w:val="20"/>
          <w:szCs w:val="20"/>
        </w:rPr>
        <w:lastRenderedPageBreak/>
        <w:t>equipamentos, ferramentas e utensílios necessários, em quantidades e qualidades adequadas à perfeita execução contratual, promovendo, quando requerido, sua substituição.</w:t>
      </w:r>
    </w:p>
    <w:p w14:paraId="242FBE56"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O prazo de validade da proposta não será inferior a </w:t>
      </w:r>
      <w:r w:rsidRPr="004E4D2B">
        <w:rPr>
          <w:rFonts w:ascii="Arial" w:eastAsia="Arial" w:hAnsi="Arial" w:cs="Arial"/>
          <w:b/>
          <w:color w:val="000000"/>
          <w:sz w:val="20"/>
          <w:szCs w:val="20"/>
          <w:highlight w:val="yellow"/>
        </w:rPr>
        <w:t>60 (sessenta)</w:t>
      </w:r>
      <w:r w:rsidRPr="004E4D2B">
        <w:rPr>
          <w:rFonts w:ascii="Arial" w:eastAsia="Arial" w:hAnsi="Arial" w:cs="Arial"/>
          <w:color w:val="000000"/>
          <w:sz w:val="20"/>
          <w:szCs w:val="20"/>
          <w:highlight w:val="yellow"/>
        </w:rPr>
        <w:t xml:space="preserve"> dias</w:t>
      </w:r>
      <w:r w:rsidRPr="004E4D2B">
        <w:rPr>
          <w:rFonts w:ascii="Arial" w:eastAsia="Arial" w:hAnsi="Arial" w:cs="Arial"/>
          <w:b/>
          <w:color w:val="000000"/>
          <w:sz w:val="20"/>
          <w:szCs w:val="20"/>
          <w:highlight w:val="yellow"/>
        </w:rPr>
        <w:t>,</w:t>
      </w:r>
      <w:r>
        <w:rPr>
          <w:rFonts w:ascii="Arial" w:eastAsia="Arial" w:hAnsi="Arial" w:cs="Arial"/>
          <w:color w:val="000000"/>
          <w:sz w:val="20"/>
          <w:szCs w:val="20"/>
        </w:rPr>
        <w:t xml:space="preserve"> a contar da data de sua apresentação.</w:t>
      </w:r>
    </w:p>
    <w:p w14:paraId="56A5A350"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Os licitantes devem respeitar os preços máximos estabelecidos nas normas de regência de contratações públicas federais, quando participarem de licitações públicas;</w:t>
      </w:r>
    </w:p>
    <w:p w14:paraId="2B770523" w14:textId="77777777" w:rsidR="002775AD" w:rsidRDefault="00000000">
      <w:pPr>
        <w:numPr>
          <w:ilvl w:val="2"/>
          <w:numId w:val="1"/>
        </w:numPr>
        <w:spacing w:before="288" w:after="288" w:line="312" w:lineRule="auto"/>
        <w:ind w:left="567" w:firstLine="567"/>
        <w:jc w:val="both"/>
      </w:pPr>
      <w:r>
        <w:rPr>
          <w:rFonts w:ascii="Arial" w:eastAsia="Arial" w:hAnsi="Arial" w:cs="Arial"/>
          <w:color w:val="000000"/>
          <w:sz w:val="20"/>
          <w:szCs w:val="20"/>
        </w:rPr>
        <w:t>Caso o critério de julgamento seja o de maior desconto, o preço já decorrente da aplicação do desconto ofertado deverá respeitar os preços máximos previstos no item 4.9.</w:t>
      </w:r>
    </w:p>
    <w:p w14:paraId="100CD7B9"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w:t>
      </w:r>
      <w:hyperlink r:id="rId26">
        <w:r>
          <w:rPr>
            <w:rFonts w:ascii="Arial" w:eastAsia="Arial" w:hAnsi="Arial" w:cs="Arial"/>
            <w:color w:val="0000FF"/>
            <w:sz w:val="20"/>
            <w:szCs w:val="20"/>
            <w:u w:val="single"/>
          </w:rPr>
          <w:t>art. 71, inciso IX, da Constituição</w:t>
        </w:r>
      </w:hyperlink>
      <w:r>
        <w:rPr>
          <w:rFonts w:ascii="Arial" w:eastAsia="Arial" w:hAnsi="Arial" w:cs="Arial"/>
          <w:color w:val="000000"/>
          <w:sz w:val="20"/>
          <w:szCs w:val="20"/>
        </w:rPr>
        <w:t>; ou condenação dos agentes públicos responsáveis e da empresa contratada ao pagamento dos prejuízos ao erário, caso verificada a ocorrência de superfaturamento por sobrepreço na execução do contrato.</w:t>
      </w:r>
    </w:p>
    <w:p w14:paraId="6A7E2E3C" w14:textId="77777777" w:rsidR="004E4D2B" w:rsidRDefault="004E4D2B" w:rsidP="004E4D2B">
      <w:pPr>
        <w:spacing w:before="288" w:after="288" w:line="312" w:lineRule="auto"/>
        <w:ind w:left="480"/>
        <w:jc w:val="both"/>
        <w:rPr>
          <w:rFonts w:ascii="Arial" w:eastAsia="Arial" w:hAnsi="Arial" w:cs="Arial"/>
          <w:color w:val="000000"/>
          <w:sz w:val="20"/>
          <w:szCs w:val="20"/>
        </w:rPr>
      </w:pPr>
    </w:p>
    <w:p w14:paraId="57BC9D09" w14:textId="77777777" w:rsidR="002775AD" w:rsidRDefault="00000000">
      <w:pPr>
        <w:keepNext/>
        <w:keepLines/>
        <w:numPr>
          <w:ilvl w:val="0"/>
          <w:numId w:val="1"/>
        </w:numPr>
        <w:tabs>
          <w:tab w:val="left" w:pos="567"/>
        </w:tabs>
        <w:spacing w:before="288" w:after="288" w:line="312" w:lineRule="auto"/>
        <w:ind w:left="0" w:firstLine="0"/>
        <w:jc w:val="both"/>
        <w:rPr>
          <w:rFonts w:ascii="Arial" w:eastAsia="Arial" w:hAnsi="Arial" w:cs="Arial"/>
          <w:b/>
          <w:color w:val="000000"/>
          <w:sz w:val="20"/>
          <w:szCs w:val="20"/>
          <w:highlight w:val="lightGray"/>
        </w:rPr>
      </w:pPr>
      <w:r>
        <w:rPr>
          <w:rFonts w:ascii="Arial" w:eastAsia="Arial" w:hAnsi="Arial" w:cs="Arial"/>
          <w:b/>
          <w:color w:val="000000"/>
          <w:sz w:val="20"/>
          <w:szCs w:val="20"/>
          <w:highlight w:val="lightGray"/>
        </w:rPr>
        <w:t>DA ABERTURA DA SESSÃO, CLASSIFICAÇÃO DAS PROPOSTAS E FORMULAÇÃO DE LANCES</w:t>
      </w:r>
    </w:p>
    <w:p w14:paraId="79E15163" w14:textId="77777777" w:rsidR="002775AD" w:rsidRPr="00735097"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A abertura da presente licitação dar-se-á automaticamente em sessão pública, por meio de </w:t>
      </w:r>
      <w:r w:rsidRPr="00735097">
        <w:rPr>
          <w:rFonts w:ascii="Arial" w:eastAsia="Arial" w:hAnsi="Arial" w:cs="Arial"/>
          <w:color w:val="000000"/>
          <w:sz w:val="20"/>
          <w:szCs w:val="20"/>
        </w:rPr>
        <w:t>sistema eletrônico, na data, horário e local indicados neste Edital.</w:t>
      </w:r>
    </w:p>
    <w:p w14:paraId="53FC2B1D" w14:textId="4286AB91" w:rsidR="002775AD" w:rsidRPr="00735097" w:rsidRDefault="00000000">
      <w:pPr>
        <w:numPr>
          <w:ilvl w:val="1"/>
          <w:numId w:val="1"/>
        </w:numPr>
        <w:spacing w:before="120" w:after="120" w:line="360" w:lineRule="auto"/>
        <w:ind w:left="-87" w:firstLine="567"/>
        <w:jc w:val="both"/>
      </w:pPr>
      <w:r w:rsidRPr="00735097">
        <w:rPr>
          <w:rFonts w:ascii="Arial" w:eastAsia="Arial" w:hAnsi="Arial" w:cs="Arial"/>
          <w:b/>
          <w:color w:val="000000"/>
          <w:sz w:val="20"/>
          <w:szCs w:val="20"/>
        </w:rPr>
        <w:t xml:space="preserve">Os licitantes </w:t>
      </w:r>
      <w:r w:rsidR="00735097" w:rsidRPr="00735097">
        <w:rPr>
          <w:rFonts w:ascii="Arial" w:hAnsi="Arial" w:cs="Arial"/>
          <w:b/>
          <w:bCs/>
          <w:color w:val="000000"/>
          <w:sz w:val="20"/>
          <w:szCs w:val="20"/>
        </w:rPr>
        <w:t>poderão alterar o cadastro de seus valores iniciais</w:t>
      </w:r>
      <w:r w:rsidR="00735097">
        <w:rPr>
          <w:rFonts w:ascii="Arial" w:hAnsi="Arial" w:cs="Arial"/>
          <w:b/>
          <w:bCs/>
          <w:color w:val="000000"/>
          <w:sz w:val="20"/>
          <w:szCs w:val="20"/>
        </w:rPr>
        <w:t xml:space="preserve"> </w:t>
      </w:r>
      <w:r w:rsidRPr="00735097">
        <w:rPr>
          <w:rFonts w:ascii="Arial" w:eastAsia="Arial" w:hAnsi="Arial" w:cs="Arial"/>
          <w:color w:val="000000"/>
          <w:sz w:val="20"/>
          <w:szCs w:val="20"/>
        </w:rPr>
        <w:t xml:space="preserve">ou os documentos de habilitação, quando for o caso, </w:t>
      </w:r>
      <w:r w:rsidRPr="00735097">
        <w:rPr>
          <w:rFonts w:ascii="Arial" w:eastAsia="Arial" w:hAnsi="Arial" w:cs="Arial"/>
          <w:b/>
          <w:color w:val="000000"/>
          <w:sz w:val="20"/>
          <w:szCs w:val="20"/>
        </w:rPr>
        <w:t>anteriormente inseridos no sistema, até a abertura da sessão pública</w:t>
      </w:r>
      <w:r w:rsidRPr="00735097">
        <w:rPr>
          <w:rFonts w:ascii="Arial" w:eastAsia="Arial" w:hAnsi="Arial" w:cs="Arial"/>
          <w:color w:val="000000"/>
          <w:sz w:val="20"/>
          <w:szCs w:val="20"/>
        </w:rPr>
        <w:t>.</w:t>
      </w:r>
    </w:p>
    <w:p w14:paraId="324C017A"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A desclassificação será sempre fundamentada e registrada no sistema, com acompanhamento em tempo real por todos os participantes.</w:t>
      </w:r>
    </w:p>
    <w:p w14:paraId="28E16623"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A não desclassificação da proposta não impede o seu julgamento definitivo em sentido contrário, levado a efeito na fase de aceitação.</w:t>
      </w:r>
    </w:p>
    <w:p w14:paraId="6A1804C2"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O sistema ordenará automaticamente as propostas classificadas, sendo que somente estas participarão da fase de lances.</w:t>
      </w:r>
    </w:p>
    <w:p w14:paraId="367B8196"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O sistema disponibilizará campo próprio para troca de mensagens entre o Pregoeiro e os licitantes.</w:t>
      </w:r>
    </w:p>
    <w:p w14:paraId="3B271BAD"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Iniciada a etapa competitiva, os licitantes deverão encaminhar lances exclusivamente por meio de sistema eletrônico, sendo imediatamente informados do seu recebimento e do valor consignado no registro. </w:t>
      </w:r>
    </w:p>
    <w:p w14:paraId="665DA0ED" w14:textId="77777777" w:rsidR="002775AD" w:rsidRPr="004E4D2B" w:rsidRDefault="00000000">
      <w:pPr>
        <w:numPr>
          <w:ilvl w:val="1"/>
          <w:numId w:val="1"/>
        </w:numPr>
        <w:spacing w:before="288" w:after="288" w:line="312" w:lineRule="auto"/>
        <w:ind w:left="-87" w:firstLine="567"/>
        <w:jc w:val="both"/>
      </w:pPr>
      <w:r>
        <w:rPr>
          <w:rFonts w:ascii="Arial" w:eastAsia="Arial" w:hAnsi="Arial" w:cs="Arial"/>
          <w:b/>
          <w:color w:val="000000"/>
          <w:sz w:val="20"/>
          <w:szCs w:val="20"/>
        </w:rPr>
        <w:t xml:space="preserve">O lance deverá ser ofertado pelo </w:t>
      </w:r>
      <w:r w:rsidRPr="004E4D2B">
        <w:rPr>
          <w:rFonts w:ascii="Arial" w:eastAsia="Arial" w:hAnsi="Arial" w:cs="Arial"/>
          <w:b/>
          <w:color w:val="000000"/>
          <w:sz w:val="20"/>
          <w:szCs w:val="20"/>
        </w:rPr>
        <w:t>valor total do item.</w:t>
      </w:r>
    </w:p>
    <w:p w14:paraId="30F37F36"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lastRenderedPageBreak/>
        <w:t>Os licitantes poderão oferecer lances sucessivos, observando o horário fixado para abertura da sessão e as regras estabelecidas no Edital.</w:t>
      </w:r>
    </w:p>
    <w:p w14:paraId="08640FAA"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O licitante somente poderá oferecer lance de valor inferior ou percentual de desconto superior ao último por ele ofertado e registrado pelo sistema. </w:t>
      </w:r>
    </w:p>
    <w:p w14:paraId="01B9A675" w14:textId="1020C795" w:rsidR="002775AD" w:rsidRDefault="00000000">
      <w:pPr>
        <w:numPr>
          <w:ilvl w:val="1"/>
          <w:numId w:val="1"/>
        </w:numPr>
        <w:spacing w:before="288" w:after="288" w:line="312" w:lineRule="auto"/>
        <w:ind w:left="-87" w:firstLine="567"/>
        <w:jc w:val="both"/>
        <w:rPr>
          <w:highlight w:val="yellow"/>
        </w:rPr>
      </w:pPr>
      <w:r>
        <w:rPr>
          <w:rFonts w:ascii="Arial" w:eastAsia="Arial" w:hAnsi="Arial" w:cs="Arial"/>
          <w:color w:val="000000"/>
          <w:sz w:val="20"/>
          <w:szCs w:val="20"/>
          <w:highlight w:val="yellow"/>
        </w:rPr>
        <w:t xml:space="preserve">O </w:t>
      </w:r>
      <w:r w:rsidRPr="004E4D2B">
        <w:rPr>
          <w:rFonts w:ascii="Arial" w:eastAsia="Arial" w:hAnsi="Arial" w:cs="Arial"/>
          <w:b/>
          <w:bCs/>
          <w:color w:val="000000"/>
          <w:sz w:val="20"/>
          <w:szCs w:val="20"/>
          <w:highlight w:val="yellow"/>
        </w:rPr>
        <w:t>intervalo mínimo de diferença de valores</w:t>
      </w:r>
      <w:r>
        <w:rPr>
          <w:rFonts w:ascii="Arial" w:eastAsia="Arial" w:hAnsi="Arial" w:cs="Arial"/>
          <w:color w:val="000000"/>
          <w:sz w:val="20"/>
          <w:szCs w:val="20"/>
          <w:highlight w:val="yellow"/>
        </w:rPr>
        <w:t xml:space="preserve"> ou percentuais entre os lances, que incidirá tanto em relação aos lances intermediários quanto em relação à proposta que cobrir a melhor oferta deverá ser de 0,</w:t>
      </w:r>
      <w:r w:rsidR="00E70D04">
        <w:rPr>
          <w:rFonts w:ascii="Arial" w:eastAsia="Arial" w:hAnsi="Arial" w:cs="Arial"/>
          <w:color w:val="000000"/>
          <w:sz w:val="20"/>
          <w:szCs w:val="20"/>
          <w:highlight w:val="yellow"/>
        </w:rPr>
        <w:t>5</w:t>
      </w:r>
      <w:r>
        <w:rPr>
          <w:rFonts w:ascii="Arial" w:eastAsia="Arial" w:hAnsi="Arial" w:cs="Arial"/>
          <w:color w:val="000000"/>
          <w:sz w:val="20"/>
          <w:szCs w:val="20"/>
          <w:highlight w:val="yellow"/>
        </w:rPr>
        <w:t>%</w:t>
      </w:r>
      <w:r>
        <w:rPr>
          <w:rFonts w:ascii="Arial" w:eastAsia="Arial" w:hAnsi="Arial" w:cs="Arial"/>
          <w:i/>
          <w:color w:val="000000"/>
          <w:sz w:val="20"/>
          <w:szCs w:val="20"/>
          <w:highlight w:val="yellow"/>
        </w:rPr>
        <w:t>.</w:t>
      </w:r>
    </w:p>
    <w:p w14:paraId="4A3384BC"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O licitante poderá, uma única vez, excluir seu último lance ofertado, no intervalo de quinze segundos após o registro no sistema, na hipótese de lance inconsistente ou inexequível.</w:t>
      </w:r>
    </w:p>
    <w:p w14:paraId="3577FCE9"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O procedimento seguirá de acordo com o modo de disputa </w:t>
      </w:r>
      <w:r>
        <w:rPr>
          <w:rFonts w:ascii="Arial" w:eastAsia="Arial" w:hAnsi="Arial" w:cs="Arial"/>
          <w:b/>
          <w:color w:val="000000"/>
          <w:sz w:val="20"/>
          <w:szCs w:val="20"/>
          <w:highlight w:val="yellow"/>
        </w:rPr>
        <w:t>aberto/fechado, onde os licitantes apresentarão lances públicos e sucessivos, com lance final e fechado</w:t>
      </w:r>
      <w:r>
        <w:rPr>
          <w:rFonts w:ascii="Arial" w:eastAsia="Arial" w:hAnsi="Arial" w:cs="Arial"/>
          <w:b/>
          <w:color w:val="000000"/>
          <w:sz w:val="20"/>
          <w:szCs w:val="20"/>
        </w:rPr>
        <w:t>.</w:t>
      </w:r>
    </w:p>
    <w:p w14:paraId="572E549B"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7708F9C"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 xml:space="preserve">Encerrado o prazo previsto no subitem anterior, o sistema abrirá oportunidade para que o autor da oferta de valor mais baixo e os das ofertas com preços até 10% (dez por cento) </w:t>
      </w:r>
      <w:proofErr w:type="spellStart"/>
      <w:r>
        <w:rPr>
          <w:rFonts w:ascii="Arial" w:eastAsia="Arial" w:hAnsi="Arial" w:cs="Arial"/>
          <w:color w:val="000000"/>
          <w:sz w:val="20"/>
          <w:szCs w:val="20"/>
        </w:rPr>
        <w:t>superiores</w:t>
      </w:r>
      <w:proofErr w:type="spellEnd"/>
      <w:r>
        <w:rPr>
          <w:rFonts w:ascii="Arial" w:eastAsia="Arial" w:hAnsi="Arial" w:cs="Arial"/>
          <w:color w:val="000000"/>
          <w:sz w:val="20"/>
          <w:szCs w:val="20"/>
        </w:rPr>
        <w:t xml:space="preserve"> àquela possam ofertar um lance final e fechado em até cinco minutos, o qual será sigiloso até o encerramento deste prazo.</w:t>
      </w:r>
    </w:p>
    <w:p w14:paraId="24420A39"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No procedimento de que trata o subitem supra, o licitante poderá optar por manter o seu último lance da etapa aberta, ou por ofertar melhor lance.</w:t>
      </w:r>
    </w:p>
    <w:p w14:paraId="148EE92D"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9942D3A"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Após o término dos prazos estabelecidos nos itens anteriores, o sistema ordenará e divulgará os lances segundo a ordem crescente de valores.</w:t>
      </w:r>
    </w:p>
    <w:p w14:paraId="5497E7A8" w14:textId="77777777" w:rsidR="002775AD" w:rsidRDefault="00000000">
      <w:pPr>
        <w:numPr>
          <w:ilvl w:val="1"/>
          <w:numId w:val="1"/>
        </w:numPr>
        <w:spacing w:before="288" w:after="288" w:line="312" w:lineRule="auto"/>
        <w:ind w:left="-87" w:firstLine="567"/>
        <w:jc w:val="both"/>
      </w:pPr>
      <w:bookmarkStart w:id="20" w:name="_heading=h.1ci93xb" w:colFirst="0" w:colLast="0"/>
      <w:bookmarkEnd w:id="20"/>
      <w:r>
        <w:rPr>
          <w:rFonts w:ascii="Arial" w:eastAsia="Arial" w:hAnsi="Arial" w:cs="Arial"/>
          <w:color w:val="000000"/>
          <w:sz w:val="20"/>
          <w:szCs w:val="20"/>
        </w:rPr>
        <w:t xml:space="preserve">Não serão aceitos dois ou mais lances de mesmo valor, prevalecendo aquele que for recebido e registrado em primeiro lugar. </w:t>
      </w:r>
    </w:p>
    <w:p w14:paraId="629EECD9"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Durante o transcurso da sessão pública, os licitantes serão informados, em tempo real, do valor do menor lance registrado, vedada a identificação do licitante. </w:t>
      </w:r>
    </w:p>
    <w:p w14:paraId="05F1325A"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No caso de desconexão com o Pregoeiro, no decorrer da etapa competitiva do Pregão, o sistema eletrônico poderá permanecer acessível aos licitantes para a recepção dos lances. </w:t>
      </w:r>
    </w:p>
    <w:p w14:paraId="1125614B"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lastRenderedPageBreak/>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62122F5E"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Caso o licitante não apresente lances, concorrerá com o valor de sua proposta.</w:t>
      </w:r>
    </w:p>
    <w:p w14:paraId="6EB02108"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hyperlink r:id="rId27" w:anchor="art44">
        <w:proofErr w:type="spellStart"/>
        <w:r>
          <w:rPr>
            <w:rFonts w:ascii="Arial" w:eastAsia="Arial" w:hAnsi="Arial" w:cs="Arial"/>
            <w:color w:val="0000FF"/>
            <w:sz w:val="20"/>
            <w:szCs w:val="20"/>
            <w:u w:val="single"/>
          </w:rPr>
          <w:t>arts</w:t>
        </w:r>
        <w:proofErr w:type="spellEnd"/>
        <w:r>
          <w:rPr>
            <w:rFonts w:ascii="Arial" w:eastAsia="Arial" w:hAnsi="Arial" w:cs="Arial"/>
            <w:color w:val="0000FF"/>
            <w:sz w:val="20"/>
            <w:szCs w:val="20"/>
            <w:u w:val="single"/>
          </w:rPr>
          <w:t>. 44 e 45 da Lei Complementar nº 123, de 2006</w:t>
        </w:r>
      </w:hyperlink>
      <w:r>
        <w:rPr>
          <w:rFonts w:ascii="Arial" w:eastAsia="Arial" w:hAnsi="Arial" w:cs="Arial"/>
          <w:color w:val="000000"/>
          <w:sz w:val="20"/>
          <w:szCs w:val="20"/>
        </w:rPr>
        <w:t xml:space="preserve">, regulamentada pelo </w:t>
      </w:r>
      <w:hyperlink r:id="rId28">
        <w:r>
          <w:rPr>
            <w:rFonts w:ascii="Arial" w:eastAsia="Arial" w:hAnsi="Arial" w:cs="Arial"/>
            <w:color w:val="0000FF"/>
            <w:sz w:val="20"/>
            <w:szCs w:val="20"/>
            <w:u w:val="single"/>
          </w:rPr>
          <w:t>Decreto nº 8.538, de 2015</w:t>
        </w:r>
      </w:hyperlink>
      <w:r>
        <w:rPr>
          <w:rFonts w:ascii="Arial" w:eastAsia="Arial" w:hAnsi="Arial" w:cs="Arial"/>
          <w:color w:val="000000"/>
          <w:sz w:val="20"/>
          <w:szCs w:val="20"/>
        </w:rPr>
        <w:t>.</w:t>
      </w:r>
    </w:p>
    <w:p w14:paraId="75F021B8"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Nessas condições, as propostas de microempresas e empresas de pequeno porte que se encontrarem na faixa de até 5% (cinco por cento) acima da melhor proposta ou melhor lance serão consideradas empatadas com a primeira colocada.</w:t>
      </w:r>
    </w:p>
    <w:p w14:paraId="184A8CC1"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14:paraId="7F0673CB"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35952EFA"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37380CF4"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 xml:space="preserve">Só poderá haver empate entre propostas iguais (não seguidas de lances), ou entre lances finais da fase fechada do modo de disputa aberto e fechado. </w:t>
      </w:r>
    </w:p>
    <w:p w14:paraId="7C55C833" w14:textId="77777777" w:rsidR="002775AD" w:rsidRDefault="00000000">
      <w:pPr>
        <w:numPr>
          <w:ilvl w:val="2"/>
          <w:numId w:val="1"/>
        </w:numPr>
        <w:spacing w:before="288" w:after="288" w:line="312" w:lineRule="auto"/>
        <w:ind w:left="567" w:firstLine="567"/>
        <w:jc w:val="both"/>
      </w:pPr>
      <w:r>
        <w:rPr>
          <w:rFonts w:ascii="Arial" w:eastAsia="Arial" w:hAnsi="Arial" w:cs="Arial"/>
          <w:color w:val="000000"/>
          <w:sz w:val="20"/>
          <w:szCs w:val="20"/>
        </w:rPr>
        <w:t xml:space="preserve">Havendo eventual empate entre propostas ou lances, o critério de desempate será aquele previsto no </w:t>
      </w:r>
      <w:hyperlink r:id="rId29" w:anchor="art60">
        <w:r>
          <w:rPr>
            <w:rFonts w:ascii="Arial" w:eastAsia="Arial" w:hAnsi="Arial" w:cs="Arial"/>
            <w:color w:val="0000FF"/>
            <w:sz w:val="20"/>
            <w:szCs w:val="20"/>
            <w:u w:val="single"/>
          </w:rPr>
          <w:t>art</w:t>
        </w:r>
      </w:hyperlink>
      <w:r>
        <w:rPr>
          <w:rFonts w:ascii="Arial" w:eastAsia="Arial" w:hAnsi="Arial" w:cs="Arial"/>
          <w:color w:val="0000FF"/>
          <w:sz w:val="20"/>
          <w:szCs w:val="20"/>
          <w:u w:val="single"/>
        </w:rPr>
        <w:t>. 60 da Lei nº 14.133, de 2021</w:t>
      </w:r>
      <w:r>
        <w:rPr>
          <w:rFonts w:ascii="Arial" w:eastAsia="Arial" w:hAnsi="Arial" w:cs="Arial"/>
          <w:color w:val="000000"/>
          <w:sz w:val="20"/>
          <w:szCs w:val="20"/>
        </w:rPr>
        <w:t>, nesta ordem:</w:t>
      </w:r>
    </w:p>
    <w:p w14:paraId="01EE4B63" w14:textId="77777777" w:rsidR="002775AD" w:rsidRDefault="00000000">
      <w:pPr>
        <w:numPr>
          <w:ilvl w:val="3"/>
          <w:numId w:val="1"/>
        </w:numPr>
        <w:spacing w:before="120" w:after="120" w:line="312" w:lineRule="auto"/>
        <w:ind w:left="1276" w:firstLine="284"/>
        <w:jc w:val="both"/>
      </w:pPr>
      <w:r>
        <w:rPr>
          <w:rFonts w:ascii="Arial" w:eastAsia="Arial" w:hAnsi="Arial" w:cs="Arial"/>
          <w:color w:val="000000"/>
          <w:sz w:val="20"/>
          <w:szCs w:val="20"/>
        </w:rPr>
        <w:t>disputa final, hipótese em que os licitantes empatados poderão apresentar nova proposta em ato contínuo à classificação;</w:t>
      </w:r>
    </w:p>
    <w:p w14:paraId="2DCEB602" w14:textId="77777777" w:rsidR="002775AD" w:rsidRDefault="00000000">
      <w:pPr>
        <w:numPr>
          <w:ilvl w:val="3"/>
          <w:numId w:val="1"/>
        </w:numPr>
        <w:spacing w:before="120" w:after="120" w:line="312" w:lineRule="auto"/>
        <w:ind w:left="1276" w:firstLine="284"/>
        <w:jc w:val="both"/>
      </w:pPr>
      <w:r>
        <w:rPr>
          <w:rFonts w:ascii="Arial" w:eastAsia="Arial" w:hAnsi="Arial" w:cs="Arial"/>
          <w:color w:val="000000"/>
          <w:sz w:val="20"/>
          <w:szCs w:val="20"/>
        </w:rPr>
        <w:t>avaliação do desempenho contratual prévio dos licitantes, para a qual deverão preferencialmente ser utilizados registros cadastrais para efeito de atesto de cumprimento de obrigações previstos nesta Lei;</w:t>
      </w:r>
    </w:p>
    <w:p w14:paraId="6E294889" w14:textId="77777777" w:rsidR="002775AD" w:rsidRDefault="00000000">
      <w:pPr>
        <w:numPr>
          <w:ilvl w:val="3"/>
          <w:numId w:val="1"/>
        </w:numPr>
        <w:spacing w:before="120" w:after="120" w:line="312" w:lineRule="auto"/>
        <w:ind w:left="1276" w:firstLine="284"/>
        <w:jc w:val="both"/>
      </w:pPr>
      <w:r>
        <w:rPr>
          <w:rFonts w:ascii="Arial" w:eastAsia="Arial" w:hAnsi="Arial" w:cs="Arial"/>
          <w:color w:val="000000"/>
          <w:sz w:val="20"/>
          <w:szCs w:val="20"/>
        </w:rPr>
        <w:lastRenderedPageBreak/>
        <w:t>desenvolvimento pelo licitante de ações de equidade entre homens e mulheres no ambiente de trabalho, conforme regulamento;</w:t>
      </w:r>
    </w:p>
    <w:p w14:paraId="40D0B07F" w14:textId="77777777" w:rsidR="002775AD" w:rsidRDefault="00000000">
      <w:pPr>
        <w:numPr>
          <w:ilvl w:val="3"/>
          <w:numId w:val="1"/>
        </w:numPr>
        <w:spacing w:before="120" w:after="120" w:line="312" w:lineRule="auto"/>
        <w:ind w:left="1276" w:firstLine="284"/>
        <w:jc w:val="both"/>
      </w:pPr>
      <w:r>
        <w:rPr>
          <w:rFonts w:ascii="Arial" w:eastAsia="Arial" w:hAnsi="Arial" w:cs="Arial"/>
          <w:color w:val="000000"/>
          <w:sz w:val="20"/>
          <w:szCs w:val="20"/>
        </w:rPr>
        <w:t>desenvolvimento pelo licitante de programa de integridade, conforme orientações dos órgãos de controle.</w:t>
      </w:r>
    </w:p>
    <w:p w14:paraId="210FD460" w14:textId="77777777" w:rsidR="002775AD" w:rsidRDefault="00000000">
      <w:pPr>
        <w:numPr>
          <w:ilvl w:val="2"/>
          <w:numId w:val="1"/>
        </w:numPr>
        <w:spacing w:before="288" w:after="288" w:line="312" w:lineRule="auto"/>
        <w:ind w:left="567" w:firstLine="567"/>
        <w:jc w:val="both"/>
      </w:pPr>
      <w:r>
        <w:rPr>
          <w:rFonts w:ascii="Arial" w:eastAsia="Arial" w:hAnsi="Arial" w:cs="Arial"/>
          <w:color w:val="000000"/>
          <w:sz w:val="20"/>
          <w:szCs w:val="20"/>
        </w:rPr>
        <w:t>Persistindo o empate, será assegurada preferência, sucessivamente, aos bens e serviços produzidos ou prestados por:</w:t>
      </w:r>
    </w:p>
    <w:p w14:paraId="7753315A" w14:textId="77777777" w:rsidR="002775AD" w:rsidRDefault="00000000">
      <w:pPr>
        <w:numPr>
          <w:ilvl w:val="3"/>
          <w:numId w:val="1"/>
        </w:numPr>
        <w:spacing w:before="120" w:after="120" w:line="312" w:lineRule="auto"/>
        <w:ind w:left="1276" w:firstLine="284"/>
        <w:jc w:val="both"/>
      </w:pPr>
      <w:bookmarkStart w:id="21" w:name="bookmark=id.3whwml4" w:colFirst="0" w:colLast="0"/>
      <w:bookmarkEnd w:id="21"/>
      <w:r>
        <w:rPr>
          <w:rFonts w:ascii="Arial" w:eastAsia="Arial" w:hAnsi="Arial" w:cs="Arial"/>
          <w:color w:val="000000"/>
          <w:sz w:val="20"/>
          <w:szCs w:val="20"/>
        </w:rP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4D9938AA" w14:textId="77777777" w:rsidR="002775AD" w:rsidRDefault="00000000">
      <w:pPr>
        <w:numPr>
          <w:ilvl w:val="3"/>
          <w:numId w:val="1"/>
        </w:numPr>
        <w:spacing w:before="120" w:after="120" w:line="312" w:lineRule="auto"/>
        <w:ind w:left="1276" w:firstLine="284"/>
        <w:jc w:val="both"/>
      </w:pPr>
      <w:bookmarkStart w:id="22" w:name="bookmark=id.2bn6wsx" w:colFirst="0" w:colLast="0"/>
      <w:bookmarkEnd w:id="22"/>
      <w:r>
        <w:rPr>
          <w:rFonts w:ascii="Arial" w:eastAsia="Arial" w:hAnsi="Arial" w:cs="Arial"/>
          <w:color w:val="000000"/>
          <w:sz w:val="20"/>
          <w:szCs w:val="20"/>
        </w:rPr>
        <w:t>empresas brasileiras;</w:t>
      </w:r>
    </w:p>
    <w:p w14:paraId="0A1FAC0D" w14:textId="77777777" w:rsidR="002775AD" w:rsidRDefault="00000000">
      <w:pPr>
        <w:numPr>
          <w:ilvl w:val="3"/>
          <w:numId w:val="1"/>
        </w:numPr>
        <w:spacing w:before="120" w:after="120" w:line="312" w:lineRule="auto"/>
        <w:ind w:left="1276" w:firstLine="284"/>
        <w:jc w:val="both"/>
      </w:pPr>
      <w:bookmarkStart w:id="23" w:name="bookmark=id.qsh70q" w:colFirst="0" w:colLast="0"/>
      <w:bookmarkEnd w:id="23"/>
      <w:r>
        <w:rPr>
          <w:rFonts w:ascii="Arial" w:eastAsia="Arial" w:hAnsi="Arial" w:cs="Arial"/>
          <w:color w:val="000000"/>
          <w:sz w:val="20"/>
          <w:szCs w:val="20"/>
        </w:rPr>
        <w:t>empresas que invistam em pesquisa e no desenvolvimento de tecnologia no País;</w:t>
      </w:r>
    </w:p>
    <w:p w14:paraId="7C181D79" w14:textId="77777777" w:rsidR="002775AD" w:rsidRDefault="00000000">
      <w:pPr>
        <w:numPr>
          <w:ilvl w:val="3"/>
          <w:numId w:val="1"/>
        </w:numPr>
        <w:spacing w:before="120" w:after="120" w:line="312" w:lineRule="auto"/>
        <w:ind w:left="1276" w:firstLine="284"/>
        <w:jc w:val="both"/>
      </w:pPr>
      <w:bookmarkStart w:id="24" w:name="bookmark=id.3as4poj" w:colFirst="0" w:colLast="0"/>
      <w:bookmarkEnd w:id="24"/>
      <w:r>
        <w:rPr>
          <w:rFonts w:ascii="Arial" w:eastAsia="Arial" w:hAnsi="Arial" w:cs="Arial"/>
          <w:color w:val="000000"/>
          <w:sz w:val="20"/>
          <w:szCs w:val="20"/>
        </w:rPr>
        <w:t>empresas que comprovem a prática de mitigação, nos termos da </w:t>
      </w:r>
      <w:hyperlink r:id="rId30" w:anchor=":~:text=LEI%20N%C2%BA%2012.187%2C%20DE%2029%20DE%20DEZEMBRO%20DE%202009.&amp;text=Institui%20a%20Pol%C3%ADtica%20Nacional%20sobre,PNMC%20e%20d%C3%A1%20outras%20provid%C3%AAncias.">
        <w:r>
          <w:rPr>
            <w:rFonts w:ascii="Arial" w:eastAsia="Arial" w:hAnsi="Arial" w:cs="Arial"/>
            <w:color w:val="0000FF"/>
            <w:sz w:val="20"/>
            <w:szCs w:val="20"/>
            <w:u w:val="single"/>
          </w:rPr>
          <w:t>Lei nº 12.187, de 29 de dezembro de 2009</w:t>
        </w:r>
      </w:hyperlink>
      <w:r>
        <w:rPr>
          <w:rFonts w:ascii="Arial" w:eastAsia="Arial" w:hAnsi="Arial" w:cs="Arial"/>
          <w:color w:val="000000"/>
          <w:sz w:val="20"/>
          <w:szCs w:val="20"/>
        </w:rPr>
        <w:t>.</w:t>
      </w:r>
    </w:p>
    <w:p w14:paraId="442FB859"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14:paraId="75BFFEE1"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61A1E1B1"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A negociação será realizada por meio do sistema, podendo ser acompanhada pelos demais licitantes.</w:t>
      </w:r>
    </w:p>
    <w:p w14:paraId="1A5C2922"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O resultado da negociação será divulgado a todos os licitantes e anexado aos autos do processo licitatório</w:t>
      </w:r>
    </w:p>
    <w:p w14:paraId="5CA2AB0E" w14:textId="77777777" w:rsidR="002775AD" w:rsidRDefault="00000000">
      <w:pPr>
        <w:numPr>
          <w:ilvl w:val="2"/>
          <w:numId w:val="1"/>
        </w:numPr>
        <w:spacing w:before="120" w:after="120" w:line="360" w:lineRule="auto"/>
        <w:ind w:left="567" w:firstLine="567"/>
        <w:jc w:val="both"/>
      </w:pPr>
      <w:bookmarkStart w:id="25" w:name="_heading=h.1pxezwc" w:colFirst="0" w:colLast="0"/>
      <w:bookmarkEnd w:id="25"/>
      <w:r>
        <w:rPr>
          <w:rFonts w:ascii="Arial" w:eastAsia="Arial" w:hAnsi="Arial" w:cs="Arial"/>
          <w:color w:val="000000"/>
          <w:sz w:val="20"/>
          <w:szCs w:val="20"/>
        </w:rPr>
        <w:t>O pregoeiro solicitará ao licitante mais bem classificado que, no prazo de 2 (duas) horas, ou conforme descrito no chat pelo Pregoeiro, envie a proposta adequada ao último lance ofertado após a negociação realizada, acompanhada, se for o caso, dos documentos complementares, quando necessários à confirmação daqueles exigidos neste Edital e já apresentados.</w:t>
      </w:r>
    </w:p>
    <w:p w14:paraId="678930A5"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 xml:space="preserve">É facultado ao pregoeiro prorrogar o prazo estabelecido, a partir de solicitação fundamentada feita no chat pelo licitante, ou através de solicitação e justificativa encaminhados para o e-mail – </w:t>
      </w:r>
      <w:hyperlink r:id="rId31">
        <w:r>
          <w:rPr>
            <w:rFonts w:ascii="Arial" w:eastAsia="Arial" w:hAnsi="Arial" w:cs="Arial"/>
            <w:color w:val="0000FF"/>
            <w:sz w:val="20"/>
            <w:szCs w:val="20"/>
            <w:u w:val="single"/>
          </w:rPr>
          <w:t>cpl@id.uff.br</w:t>
        </w:r>
      </w:hyperlink>
      <w:r>
        <w:rPr>
          <w:rFonts w:ascii="Arial" w:eastAsia="Arial" w:hAnsi="Arial" w:cs="Arial"/>
          <w:color w:val="000000"/>
          <w:sz w:val="20"/>
          <w:szCs w:val="20"/>
        </w:rPr>
        <w:t>, antes de findo o prazo.</w:t>
      </w:r>
    </w:p>
    <w:p w14:paraId="151C0DC0" w14:textId="77777777" w:rsidR="002775AD" w:rsidRDefault="00000000">
      <w:pPr>
        <w:numPr>
          <w:ilvl w:val="1"/>
          <w:numId w:val="1"/>
        </w:numPr>
        <w:spacing w:before="120" w:after="120" w:line="360" w:lineRule="auto"/>
        <w:ind w:left="-87" w:firstLine="567"/>
        <w:jc w:val="both"/>
        <w:rPr>
          <w:rFonts w:ascii="Arial" w:eastAsia="Arial" w:hAnsi="Arial" w:cs="Arial"/>
          <w:color w:val="000000"/>
          <w:sz w:val="20"/>
          <w:szCs w:val="20"/>
        </w:rPr>
      </w:pPr>
      <w:bookmarkStart w:id="26" w:name="_heading=h.49x2ik5" w:colFirst="0" w:colLast="0"/>
      <w:bookmarkEnd w:id="26"/>
      <w:r>
        <w:rPr>
          <w:rFonts w:ascii="Arial" w:eastAsia="Arial" w:hAnsi="Arial" w:cs="Arial"/>
          <w:color w:val="000000"/>
          <w:sz w:val="20"/>
          <w:szCs w:val="20"/>
        </w:rPr>
        <w:t>Após a negociação do preço, o Pregoeiro iniciará a fase de aceitação e julgamento da proposta.</w:t>
      </w:r>
    </w:p>
    <w:p w14:paraId="70483020" w14:textId="77777777" w:rsidR="002775AD" w:rsidRDefault="002775AD">
      <w:pPr>
        <w:spacing w:before="120" w:after="120" w:line="360" w:lineRule="auto"/>
        <w:ind w:left="567"/>
        <w:jc w:val="both"/>
        <w:rPr>
          <w:rFonts w:ascii="Arial" w:eastAsia="Arial" w:hAnsi="Arial" w:cs="Arial"/>
          <w:color w:val="000000"/>
          <w:sz w:val="20"/>
          <w:szCs w:val="20"/>
        </w:rPr>
      </w:pPr>
    </w:p>
    <w:p w14:paraId="1C6B305E" w14:textId="77777777" w:rsidR="002775AD" w:rsidRDefault="00000000">
      <w:pPr>
        <w:keepNext/>
        <w:keepLines/>
        <w:numPr>
          <w:ilvl w:val="0"/>
          <w:numId w:val="1"/>
        </w:numP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27" w:name="_heading=h.2p2csry" w:colFirst="0" w:colLast="0"/>
      <w:bookmarkEnd w:id="27"/>
      <w:r>
        <w:rPr>
          <w:rFonts w:ascii="Arial" w:eastAsia="Arial" w:hAnsi="Arial" w:cs="Arial"/>
          <w:b/>
          <w:color w:val="000000"/>
          <w:sz w:val="20"/>
          <w:szCs w:val="20"/>
          <w:highlight w:val="lightGray"/>
        </w:rPr>
        <w:t>DA FASE DE JULGAMENTO</w:t>
      </w:r>
    </w:p>
    <w:p w14:paraId="572B39A0" w14:textId="77777777" w:rsidR="002775AD" w:rsidRDefault="00000000">
      <w:pPr>
        <w:numPr>
          <w:ilvl w:val="1"/>
          <w:numId w:val="1"/>
        </w:numPr>
        <w:spacing w:before="288" w:after="288" w:line="312" w:lineRule="auto"/>
        <w:ind w:left="-87" w:firstLine="567"/>
        <w:jc w:val="both"/>
        <w:rPr>
          <w:rFonts w:ascii="Arial" w:eastAsia="Arial" w:hAnsi="Arial" w:cs="Arial"/>
          <w:b/>
          <w:color w:val="000000"/>
          <w:sz w:val="20"/>
          <w:szCs w:val="20"/>
        </w:rPr>
      </w:pPr>
      <w:bookmarkStart w:id="28" w:name="_heading=h.147n2zr" w:colFirst="0" w:colLast="0"/>
      <w:bookmarkEnd w:id="28"/>
      <w:r>
        <w:rPr>
          <w:rFonts w:ascii="Arial" w:eastAsia="Arial" w:hAnsi="Arial" w:cs="Arial"/>
          <w:color w:val="000000"/>
          <w:sz w:val="20"/>
          <w:szCs w:val="20"/>
        </w:rPr>
        <w:t xml:space="preserve">Encerrada a etapa de negociação, o pregoeiro verificará se o licitante provisoriamente classificado em primeiro lugar atende às condições de participação no certame, conforme previsto no </w:t>
      </w:r>
      <w:hyperlink r:id="rId32" w:anchor="art14">
        <w:r>
          <w:rPr>
            <w:rFonts w:ascii="Arial" w:eastAsia="Arial" w:hAnsi="Arial" w:cs="Arial"/>
            <w:color w:val="0000FF"/>
            <w:sz w:val="20"/>
            <w:szCs w:val="20"/>
            <w:u w:val="single"/>
          </w:rPr>
          <w:t>art. 14 da Lei nº 14.133/2021</w:t>
        </w:r>
      </w:hyperlink>
      <w:r>
        <w:rPr>
          <w:rFonts w:ascii="Arial" w:eastAsia="Arial" w:hAnsi="Arial" w:cs="Arial"/>
          <w:color w:val="000000"/>
          <w:sz w:val="20"/>
          <w:szCs w:val="20"/>
        </w:rPr>
        <w:t>, legislação correlata e no item 2.7 do edital, especialmente quanto à existência de sanção que impeça a participação no certame ou a futura contratação, mediante a consulta aos seguintes cadastros:</w:t>
      </w:r>
    </w:p>
    <w:p w14:paraId="304E80CC" w14:textId="77777777" w:rsidR="002775AD" w:rsidRDefault="00000000">
      <w:pPr>
        <w:spacing w:before="113" w:line="312" w:lineRule="auto"/>
        <w:ind w:left="924" w:firstLine="851"/>
        <w:rPr>
          <w:rFonts w:ascii="Arial" w:eastAsia="Arial" w:hAnsi="Arial" w:cs="Arial"/>
          <w:color w:val="000000"/>
          <w:sz w:val="20"/>
          <w:szCs w:val="20"/>
        </w:rPr>
      </w:pPr>
      <w:r>
        <w:rPr>
          <w:rFonts w:ascii="Arial" w:eastAsia="Arial" w:hAnsi="Arial" w:cs="Arial"/>
          <w:color w:val="000000"/>
          <w:sz w:val="20"/>
          <w:szCs w:val="20"/>
        </w:rPr>
        <w:t xml:space="preserve">a) SICAF;  </w:t>
      </w:r>
    </w:p>
    <w:p w14:paraId="4EAFEB80" w14:textId="77777777" w:rsidR="002775AD" w:rsidRDefault="00000000">
      <w:pPr>
        <w:spacing w:line="312" w:lineRule="auto"/>
        <w:ind w:left="924" w:firstLine="851"/>
        <w:rPr>
          <w:rFonts w:ascii="Arial" w:eastAsia="Arial" w:hAnsi="Arial" w:cs="Arial"/>
          <w:color w:val="000000"/>
          <w:sz w:val="20"/>
          <w:szCs w:val="20"/>
        </w:rPr>
      </w:pPr>
      <w:r>
        <w:rPr>
          <w:rFonts w:ascii="Arial" w:eastAsia="Arial" w:hAnsi="Arial" w:cs="Arial"/>
          <w:color w:val="000000"/>
          <w:sz w:val="20"/>
          <w:szCs w:val="20"/>
        </w:rPr>
        <w:t>b) Cadastro Nacional de Empresas Inidôneas e Suspensas - CEIS, mantido pela Controladoria-Geral da União (</w:t>
      </w:r>
      <w:hyperlink r:id="rId33">
        <w:r>
          <w:rPr>
            <w:rFonts w:ascii="Arial" w:eastAsia="Arial" w:hAnsi="Arial" w:cs="Arial"/>
            <w:color w:val="0000FF"/>
            <w:sz w:val="20"/>
            <w:szCs w:val="20"/>
            <w:u w:val="single"/>
          </w:rPr>
          <w:t>https://www.portaltransparencia.gov.br/sancoes/ceis</w:t>
        </w:r>
      </w:hyperlink>
      <w:r>
        <w:rPr>
          <w:rFonts w:ascii="Arial" w:eastAsia="Arial" w:hAnsi="Arial" w:cs="Arial"/>
          <w:color w:val="000000"/>
          <w:sz w:val="20"/>
          <w:szCs w:val="20"/>
        </w:rPr>
        <w:t xml:space="preserve">); e </w:t>
      </w:r>
    </w:p>
    <w:p w14:paraId="4DEA5BBA" w14:textId="77777777" w:rsidR="002775AD" w:rsidRDefault="00000000">
      <w:pPr>
        <w:spacing w:line="312" w:lineRule="auto"/>
        <w:ind w:left="924" w:firstLine="851"/>
        <w:rPr>
          <w:color w:val="000000"/>
        </w:rPr>
      </w:pPr>
      <w:r>
        <w:rPr>
          <w:rFonts w:ascii="Arial" w:eastAsia="Arial" w:hAnsi="Arial" w:cs="Arial"/>
          <w:color w:val="000000"/>
          <w:sz w:val="20"/>
          <w:szCs w:val="20"/>
        </w:rPr>
        <w:t>c) Cadastro Nacional de Empresas Punidas – CNEP, mantido pela Controladoria-Geral da União (</w:t>
      </w:r>
      <w:hyperlink r:id="rId34">
        <w:r>
          <w:rPr>
            <w:rFonts w:ascii="Arial" w:eastAsia="Arial" w:hAnsi="Arial" w:cs="Arial"/>
            <w:color w:val="0000FF"/>
            <w:sz w:val="20"/>
            <w:szCs w:val="20"/>
            <w:u w:val="single"/>
          </w:rPr>
          <w:t>https://www.portaltransparencia.gov.br/sancoes/cnep</w:t>
        </w:r>
      </w:hyperlink>
      <w:r>
        <w:rPr>
          <w:rFonts w:ascii="Arial" w:eastAsia="Arial" w:hAnsi="Arial" w:cs="Arial"/>
          <w:color w:val="000000"/>
          <w:sz w:val="20"/>
          <w:szCs w:val="20"/>
        </w:rPr>
        <w:t>).</w:t>
      </w:r>
    </w:p>
    <w:p w14:paraId="32CDBA53" w14:textId="77777777" w:rsidR="002775AD" w:rsidRPr="00F9415C" w:rsidRDefault="00000000">
      <w:pPr>
        <w:spacing w:after="113" w:line="312" w:lineRule="auto"/>
        <w:ind w:left="924" w:firstLine="851"/>
        <w:rPr>
          <w:color w:val="000000"/>
        </w:rPr>
      </w:pPr>
      <w:r w:rsidRPr="00F9415C">
        <w:rPr>
          <w:rFonts w:ascii="Arial" w:eastAsia="Arial" w:hAnsi="Arial" w:cs="Arial"/>
          <w:color w:val="000000"/>
          <w:sz w:val="20"/>
          <w:szCs w:val="20"/>
        </w:rPr>
        <w:t>d) Lista de Inidôneos e o Cadastro Integrado de Condenações por Ilícitos Administrativos - CADICON, mantidos pelo Tribunal de Contas da União - TCU;</w:t>
      </w:r>
    </w:p>
    <w:p w14:paraId="1971CE22" w14:textId="77777777" w:rsidR="002775AD" w:rsidRPr="00F9415C" w:rsidRDefault="00000000">
      <w:pPr>
        <w:numPr>
          <w:ilvl w:val="2"/>
          <w:numId w:val="1"/>
        </w:numPr>
        <w:spacing w:before="288" w:after="288" w:line="312" w:lineRule="auto"/>
        <w:ind w:left="567" w:firstLine="567"/>
        <w:jc w:val="both"/>
        <w:rPr>
          <w:rFonts w:ascii="Arial" w:eastAsia="Arial" w:hAnsi="Arial" w:cs="Arial"/>
          <w:color w:val="000000"/>
          <w:sz w:val="20"/>
          <w:szCs w:val="20"/>
        </w:rPr>
      </w:pPr>
      <w:r w:rsidRPr="00F9415C">
        <w:rPr>
          <w:rFonts w:ascii="Arial" w:eastAsia="Arial" w:hAnsi="Arial" w:cs="Arial"/>
          <w:color w:val="000000"/>
          <w:sz w:val="20"/>
          <w:szCs w:val="20"/>
        </w:rPr>
        <w:t>Para a consulta de licitantes pessoa jurídica poderá haver a substituição das consultas das alíneas “b”, “c” e “d” acima pela Consulta Consolidada de Pessoa Jurídica do TCU (https://certidoesapf.apps.tcu.gov.br/)</w:t>
      </w:r>
    </w:p>
    <w:p w14:paraId="3DFDA8DF"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A consulta aos cadastros será realizada em nome da empresa licitante e também de seu sócio majoritário, por força da vedação de que trata o </w:t>
      </w:r>
      <w:hyperlink r:id="rId35" w:anchor=":~:text=%C3%A0s%20seguintes%20comina%C3%A7%C3%B5es%3A-,Art.,n%C2%BA%2012.120%2C%20de%202009).">
        <w:r>
          <w:rPr>
            <w:rFonts w:ascii="Arial" w:eastAsia="Arial" w:hAnsi="Arial" w:cs="Arial"/>
            <w:color w:val="0000FF"/>
            <w:sz w:val="20"/>
            <w:szCs w:val="20"/>
            <w:u w:val="single"/>
          </w:rPr>
          <w:t>artigo 12 da Lei n° 8.429, de 1992</w:t>
        </w:r>
      </w:hyperlink>
      <w:r>
        <w:rPr>
          <w:rFonts w:ascii="Arial" w:eastAsia="Arial" w:hAnsi="Arial" w:cs="Arial"/>
          <w:color w:val="000000"/>
          <w:sz w:val="20"/>
          <w:szCs w:val="20"/>
        </w:rPr>
        <w:t>.</w:t>
      </w:r>
    </w:p>
    <w:p w14:paraId="47444788"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Caso conste na Consulta de Situação do licitante a existência de Ocorrências Impeditivas Indiretas, o Pregoeiro diligenciará para verificar se houve fraude por parte das empresas apontadas no Relatório de Ocorrências Impeditivas Indiretas. (</w:t>
      </w:r>
      <w:hyperlink r:id="rId36" w:anchor="art29">
        <w:r>
          <w:rPr>
            <w:rFonts w:ascii="Arial" w:eastAsia="Arial" w:hAnsi="Arial" w:cs="Arial"/>
            <w:color w:val="0000FF"/>
            <w:sz w:val="20"/>
            <w:szCs w:val="20"/>
            <w:u w:val="single"/>
          </w:rPr>
          <w:t xml:space="preserve">IN nº 3/2018, art. 29, </w:t>
        </w:r>
      </w:hyperlink>
      <w:r>
        <w:rPr>
          <w:rFonts w:ascii="Arial" w:eastAsia="Arial" w:hAnsi="Arial" w:cs="Arial"/>
          <w:i/>
          <w:color w:val="0000FF"/>
          <w:sz w:val="20"/>
          <w:szCs w:val="20"/>
          <w:u w:val="single"/>
        </w:rPr>
        <w:t>caput</w:t>
      </w:r>
      <w:r>
        <w:rPr>
          <w:rFonts w:ascii="Arial" w:eastAsia="Arial" w:hAnsi="Arial" w:cs="Arial"/>
          <w:color w:val="000000"/>
          <w:sz w:val="20"/>
          <w:szCs w:val="20"/>
        </w:rPr>
        <w:t>)</w:t>
      </w:r>
    </w:p>
    <w:p w14:paraId="2179020D"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A tentativa de burla será verificada por meio dos vínculos societários, linhas de fornecimento similares, dentre outros. (</w:t>
      </w:r>
      <w:hyperlink r:id="rId37">
        <w:r>
          <w:rPr>
            <w:rFonts w:ascii="Arial" w:eastAsia="Arial" w:hAnsi="Arial" w:cs="Arial"/>
            <w:color w:val="0000FF"/>
            <w:sz w:val="20"/>
            <w:szCs w:val="20"/>
            <w:u w:val="single"/>
          </w:rPr>
          <w:t>IN nº 3/2018, art. 29, §1º</w:t>
        </w:r>
      </w:hyperlink>
      <w:r>
        <w:rPr>
          <w:rFonts w:ascii="Arial" w:eastAsia="Arial" w:hAnsi="Arial" w:cs="Arial"/>
          <w:color w:val="000000"/>
          <w:sz w:val="20"/>
          <w:szCs w:val="20"/>
        </w:rPr>
        <w:t>).</w:t>
      </w:r>
    </w:p>
    <w:p w14:paraId="3A5077CD"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O licitante será convocado para manifestação previamente a uma eventual desclassificação. (</w:t>
      </w:r>
      <w:hyperlink r:id="rId38">
        <w:r>
          <w:rPr>
            <w:rFonts w:ascii="Arial" w:eastAsia="Arial" w:hAnsi="Arial" w:cs="Arial"/>
            <w:color w:val="0000FF"/>
            <w:sz w:val="20"/>
            <w:szCs w:val="20"/>
            <w:u w:val="single"/>
          </w:rPr>
          <w:t>IN nº 3/2018, art. 29, §2º</w:t>
        </w:r>
      </w:hyperlink>
      <w:r>
        <w:rPr>
          <w:rFonts w:ascii="Arial" w:eastAsia="Arial" w:hAnsi="Arial" w:cs="Arial"/>
          <w:color w:val="000000"/>
          <w:sz w:val="20"/>
          <w:szCs w:val="20"/>
        </w:rPr>
        <w:t>).</w:t>
      </w:r>
    </w:p>
    <w:p w14:paraId="3C10CD76"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Constatada a existência de sanção, o licitante será reputado inabilitado, por falta de condição de participação.</w:t>
      </w:r>
    </w:p>
    <w:p w14:paraId="6BA70779"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Caso atendidas as condições de participação, será iniciado o procedimento de habilitação.</w:t>
      </w:r>
    </w:p>
    <w:p w14:paraId="01D6A479"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Caso o licitante provisoriamente classificado em primeiro lugar tenha se utilizado de algum tratamento favorecido às ME/</w:t>
      </w:r>
      <w:proofErr w:type="spellStart"/>
      <w:r>
        <w:rPr>
          <w:rFonts w:ascii="Arial" w:eastAsia="Arial" w:hAnsi="Arial" w:cs="Arial"/>
          <w:color w:val="000000"/>
          <w:sz w:val="20"/>
          <w:szCs w:val="20"/>
        </w:rPr>
        <w:t>EPPs</w:t>
      </w:r>
      <w:proofErr w:type="spellEnd"/>
      <w:r>
        <w:rPr>
          <w:rFonts w:ascii="Arial" w:eastAsia="Arial" w:hAnsi="Arial" w:cs="Arial"/>
          <w:color w:val="000000"/>
          <w:sz w:val="20"/>
          <w:szCs w:val="20"/>
        </w:rPr>
        <w:t>, o pregoeiro verificará se faz jus ao benefício, em conformidade com os itens 2.5.1 e 3.6 deste edital.</w:t>
      </w:r>
    </w:p>
    <w:p w14:paraId="22705EA5" w14:textId="77777777" w:rsidR="002775AD" w:rsidRDefault="00000000">
      <w:pPr>
        <w:numPr>
          <w:ilvl w:val="1"/>
          <w:numId w:val="1"/>
        </w:numPr>
        <w:spacing w:before="288" w:after="288" w:line="312" w:lineRule="auto"/>
        <w:ind w:left="-87" w:firstLine="567"/>
        <w:jc w:val="both"/>
        <w:rPr>
          <w:rFonts w:ascii="Arial" w:eastAsia="Arial" w:hAnsi="Arial" w:cs="Arial"/>
          <w:b/>
          <w:color w:val="000000"/>
          <w:sz w:val="20"/>
          <w:szCs w:val="20"/>
        </w:rPr>
      </w:pPr>
      <w:r>
        <w:rPr>
          <w:rFonts w:ascii="Arial" w:eastAsia="Arial" w:hAnsi="Arial" w:cs="Arial"/>
          <w:color w:val="000000"/>
          <w:sz w:val="20"/>
          <w:szCs w:val="20"/>
        </w:rPr>
        <w:t xml:space="preserve">Verificadas as condições de participação e de utilização do tratamento favorecido, o pregoeiro examinará a proposta classificada em primeiro lugar quanto à adequação ao objeto e à </w:t>
      </w:r>
      <w:r>
        <w:rPr>
          <w:rFonts w:ascii="Arial" w:eastAsia="Arial" w:hAnsi="Arial" w:cs="Arial"/>
          <w:color w:val="000000"/>
          <w:sz w:val="20"/>
          <w:szCs w:val="20"/>
        </w:rPr>
        <w:lastRenderedPageBreak/>
        <w:t xml:space="preserve">compatibilidade do preço em relação ao máximo estipulado para contratação neste Edital e em seus anexos, observado o disposto no </w:t>
      </w:r>
      <w:hyperlink r:id="rId39" w:anchor="art29">
        <w:r>
          <w:rPr>
            <w:rFonts w:ascii="Arial" w:eastAsia="Arial" w:hAnsi="Arial" w:cs="Arial"/>
            <w:color w:val="0000FF"/>
            <w:sz w:val="20"/>
            <w:szCs w:val="20"/>
            <w:u w:val="single"/>
          </w:rPr>
          <w:t>artigo 29 a 35 da IN SEGES nº 73, de 30 de setembro de 2022</w:t>
        </w:r>
      </w:hyperlink>
      <w:r>
        <w:rPr>
          <w:rFonts w:ascii="Arial" w:eastAsia="Arial" w:hAnsi="Arial" w:cs="Arial"/>
          <w:color w:val="000000"/>
          <w:sz w:val="20"/>
          <w:szCs w:val="20"/>
        </w:rPr>
        <w:t>.</w:t>
      </w:r>
    </w:p>
    <w:p w14:paraId="4BEBAB9F" w14:textId="77777777" w:rsidR="002775AD" w:rsidRDefault="00000000">
      <w:pPr>
        <w:numPr>
          <w:ilvl w:val="1"/>
          <w:numId w:val="1"/>
        </w:numPr>
        <w:spacing w:before="288" w:after="288" w:line="312" w:lineRule="auto"/>
        <w:ind w:left="-87" w:firstLine="567"/>
        <w:jc w:val="both"/>
        <w:rPr>
          <w:rFonts w:ascii="Arial" w:eastAsia="Arial" w:hAnsi="Arial" w:cs="Arial"/>
          <w:b/>
          <w:color w:val="000000"/>
          <w:sz w:val="20"/>
          <w:szCs w:val="20"/>
        </w:rPr>
      </w:pPr>
      <w:r>
        <w:rPr>
          <w:rFonts w:ascii="Arial" w:eastAsia="Arial" w:hAnsi="Arial" w:cs="Arial"/>
          <w:color w:val="000000"/>
          <w:sz w:val="20"/>
          <w:szCs w:val="20"/>
        </w:rPr>
        <w:t xml:space="preserve">Será desclassificada a proposta vencedora que: </w:t>
      </w:r>
    </w:p>
    <w:p w14:paraId="2B23CEC6" w14:textId="77777777" w:rsidR="002775AD" w:rsidRDefault="00000000">
      <w:pPr>
        <w:numPr>
          <w:ilvl w:val="2"/>
          <w:numId w:val="1"/>
        </w:numP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contiver vícios insanáveis;</w:t>
      </w:r>
    </w:p>
    <w:p w14:paraId="17C05DDF" w14:textId="77777777" w:rsidR="002775AD" w:rsidRDefault="00000000">
      <w:pPr>
        <w:numPr>
          <w:ilvl w:val="2"/>
          <w:numId w:val="1"/>
        </w:numP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não obedecer às especificações técnicas contidas no Termo de Referência;</w:t>
      </w:r>
    </w:p>
    <w:p w14:paraId="49DDE29E" w14:textId="77777777" w:rsidR="002775AD" w:rsidRDefault="00000000">
      <w:pPr>
        <w:numPr>
          <w:ilvl w:val="2"/>
          <w:numId w:val="1"/>
        </w:numP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apresentar preços inexequíveis ou permanecerem acima do preço máximo definido para a contratação;</w:t>
      </w:r>
    </w:p>
    <w:p w14:paraId="604BA07D" w14:textId="77777777" w:rsidR="002775AD" w:rsidRDefault="00000000">
      <w:pPr>
        <w:numPr>
          <w:ilvl w:val="2"/>
          <w:numId w:val="1"/>
        </w:numP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não tiverem sua exequibilidade demonstrada, quando exigido pela Administração;</w:t>
      </w:r>
    </w:p>
    <w:p w14:paraId="5058B420" w14:textId="77777777" w:rsidR="002775AD" w:rsidRDefault="00000000">
      <w:pPr>
        <w:numPr>
          <w:ilvl w:val="2"/>
          <w:numId w:val="1"/>
        </w:numP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apresentar desconformidade com quaisquer outras exigências deste Edital ou seus anexos, desde que insanável.</w:t>
      </w:r>
    </w:p>
    <w:p w14:paraId="76030BDC"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apresentar preço final superior ao preço máximo fixado (Acórdão nº 1455/2018 -TCU - Plenário), percentual de desconto inferior</w:t>
      </w:r>
      <w:r>
        <w:rPr>
          <w:color w:val="000000"/>
        </w:rPr>
        <w:t xml:space="preserve"> </w:t>
      </w:r>
      <w:r>
        <w:rPr>
          <w:rFonts w:ascii="Arial" w:eastAsia="Arial" w:hAnsi="Arial" w:cs="Arial"/>
          <w:color w:val="000000"/>
          <w:sz w:val="20"/>
          <w:szCs w:val="20"/>
        </w:rPr>
        <w:t xml:space="preserve">ao mínimo exigido ou que apresentar preço manifestamente inexequível. </w:t>
      </w:r>
    </w:p>
    <w:p w14:paraId="6DEAE7C3" w14:textId="77777777" w:rsidR="002775AD" w:rsidRDefault="00000000">
      <w:pPr>
        <w:numPr>
          <w:ilvl w:val="3"/>
          <w:numId w:val="1"/>
        </w:numPr>
        <w:spacing w:before="120" w:after="120" w:line="312" w:lineRule="auto"/>
        <w:ind w:left="1276" w:firstLine="284"/>
        <w:jc w:val="both"/>
        <w:rPr>
          <w:rFonts w:ascii="Arial" w:eastAsia="Arial" w:hAnsi="Arial" w:cs="Arial"/>
          <w:color w:val="000000"/>
          <w:sz w:val="20"/>
          <w:szCs w:val="20"/>
        </w:rPr>
      </w:pPr>
      <w:r>
        <w:rPr>
          <w:rFonts w:ascii="Arial" w:eastAsia="Arial" w:hAnsi="Arial" w:cs="Arial"/>
          <w:color w:val="000000"/>
          <w:sz w:val="20"/>
          <w:szCs w:val="20"/>
        </w:rPr>
        <w:t>Quando o licitante não conseguir comprovar que possui ou possuirá recursos suficientes para executar a contento o objeto, será considerada inexequível a proposta de preços ou menor lance que:</w:t>
      </w:r>
    </w:p>
    <w:p w14:paraId="67CA12F5" w14:textId="77777777" w:rsidR="002775AD" w:rsidRDefault="00000000">
      <w:pPr>
        <w:numPr>
          <w:ilvl w:val="4"/>
          <w:numId w:val="1"/>
        </w:numPr>
        <w:spacing w:line="276" w:lineRule="auto"/>
        <w:ind w:hanging="389"/>
        <w:jc w:val="both"/>
        <w:rPr>
          <w:color w:val="000000"/>
        </w:rPr>
      </w:pPr>
      <w:r>
        <w:rPr>
          <w:rFonts w:ascii="Arial" w:eastAsia="Arial" w:hAnsi="Arial" w:cs="Arial"/>
          <w:color w:val="000000"/>
          <w:sz w:val="20"/>
          <w:szCs w:val="20"/>
        </w:rP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w:t>
      </w:r>
      <w:r>
        <w:rPr>
          <w:color w:val="000000"/>
        </w:rPr>
        <w:t xml:space="preserve"> </w:t>
      </w:r>
      <w:r>
        <w:rPr>
          <w:rFonts w:ascii="Arial" w:eastAsia="Arial" w:hAnsi="Arial" w:cs="Arial"/>
          <w:color w:val="000000"/>
          <w:sz w:val="20"/>
          <w:szCs w:val="20"/>
        </w:rPr>
        <w:t>materiais e instalações de propriedade do próprio licitante, para os quais ele renuncie a parcela ou à totalidade da remuneração.</w:t>
      </w:r>
    </w:p>
    <w:p w14:paraId="4E46293B" w14:textId="77777777" w:rsidR="002775AD" w:rsidRDefault="00000000">
      <w:pPr>
        <w:numPr>
          <w:ilvl w:val="4"/>
          <w:numId w:val="1"/>
        </w:numPr>
        <w:spacing w:line="276" w:lineRule="auto"/>
        <w:ind w:hanging="389"/>
        <w:jc w:val="both"/>
        <w:rPr>
          <w:rFonts w:ascii="Arial" w:eastAsia="Arial" w:hAnsi="Arial" w:cs="Arial"/>
          <w:color w:val="000000"/>
          <w:sz w:val="20"/>
          <w:szCs w:val="20"/>
        </w:rPr>
      </w:pPr>
      <w:r>
        <w:rPr>
          <w:rFonts w:ascii="Arial" w:eastAsia="Arial" w:hAnsi="Arial" w:cs="Arial"/>
          <w:color w:val="000000"/>
          <w:sz w:val="20"/>
          <w:szCs w:val="20"/>
        </w:rPr>
        <w:t>apresentar um ou mais valores da planilha de custo que sejam inferiores àqueles fixados em instrumentos de caráter normativo obrigatório, tais como leis, medidas provisórias e convenções coletivas de trabalho vigentes.</w:t>
      </w:r>
    </w:p>
    <w:p w14:paraId="74A8894F" w14:textId="77777777" w:rsidR="002775AD" w:rsidRDefault="00000000">
      <w:pPr>
        <w:numPr>
          <w:ilvl w:val="3"/>
          <w:numId w:val="1"/>
        </w:numPr>
        <w:spacing w:before="120" w:after="120" w:line="312" w:lineRule="auto"/>
        <w:ind w:left="1276" w:firstLine="284"/>
        <w:jc w:val="both"/>
        <w:rPr>
          <w:rFonts w:ascii="Arial" w:eastAsia="Arial" w:hAnsi="Arial" w:cs="Arial"/>
          <w:color w:val="000000"/>
          <w:sz w:val="20"/>
          <w:szCs w:val="20"/>
        </w:rPr>
      </w:pPr>
      <w:r>
        <w:rPr>
          <w:rFonts w:ascii="Arial" w:eastAsia="Arial" w:hAnsi="Arial" w:cs="Arial"/>
          <w:color w:val="000000"/>
          <w:sz w:val="20"/>
          <w:szCs w:val="20"/>
        </w:rPr>
        <w:t>A fim de assegurar o tratamento isonômico entre as licitantes, bem como para a contagem da anualidade prevista no art. 3º, §1º da Lei n. 10.192/2001, informa-se que foram utilizadas as convenções coletivas de trabalho, anexo do Edital, no cálculo do valor estimado pela Administração</w:t>
      </w:r>
    </w:p>
    <w:p w14:paraId="00A8837B" w14:textId="719276DB" w:rsidR="002775AD" w:rsidRPr="00F9415C" w:rsidRDefault="00000000">
      <w:pPr>
        <w:numPr>
          <w:ilvl w:val="4"/>
          <w:numId w:val="1"/>
        </w:numPr>
        <w:spacing w:line="276" w:lineRule="auto"/>
        <w:ind w:hanging="389"/>
        <w:jc w:val="both"/>
        <w:rPr>
          <w:rFonts w:ascii="Arial" w:eastAsia="Arial" w:hAnsi="Arial" w:cs="Arial"/>
          <w:color w:val="000000"/>
          <w:sz w:val="20"/>
          <w:szCs w:val="20"/>
          <w:u w:val="single"/>
        </w:rPr>
      </w:pPr>
      <w:r w:rsidRPr="00F9415C">
        <w:rPr>
          <w:rFonts w:ascii="Arial" w:eastAsia="Arial" w:hAnsi="Arial" w:cs="Arial"/>
          <w:color w:val="000000"/>
          <w:sz w:val="20"/>
          <w:szCs w:val="20"/>
          <w:u w:val="single"/>
        </w:rPr>
        <w:t>CCT 2022/202</w:t>
      </w:r>
      <w:r w:rsidR="00F9415C" w:rsidRPr="00F9415C">
        <w:rPr>
          <w:rFonts w:ascii="Arial" w:eastAsia="Arial" w:hAnsi="Arial" w:cs="Arial"/>
          <w:color w:val="000000"/>
          <w:sz w:val="20"/>
          <w:szCs w:val="20"/>
          <w:u w:val="single"/>
        </w:rPr>
        <w:t>3</w:t>
      </w:r>
      <w:r w:rsidRPr="00F9415C">
        <w:rPr>
          <w:rFonts w:ascii="Arial" w:eastAsia="Arial" w:hAnsi="Arial" w:cs="Arial"/>
          <w:color w:val="000000"/>
          <w:sz w:val="20"/>
          <w:szCs w:val="20"/>
          <w:u w:val="single"/>
        </w:rPr>
        <w:t xml:space="preserve"> </w:t>
      </w:r>
      <w:r w:rsidR="00F9415C" w:rsidRPr="00F9415C">
        <w:rPr>
          <w:rFonts w:ascii="Arial" w:eastAsia="Arial" w:hAnsi="Arial" w:cs="Arial"/>
          <w:color w:val="000000"/>
          <w:sz w:val="20"/>
          <w:szCs w:val="20"/>
          <w:u w:val="single"/>
        </w:rPr>
        <w:t>–</w:t>
      </w:r>
      <w:r w:rsidRPr="00F9415C">
        <w:rPr>
          <w:rFonts w:ascii="Arial" w:eastAsia="Arial" w:hAnsi="Arial" w:cs="Arial"/>
          <w:color w:val="000000"/>
          <w:sz w:val="20"/>
          <w:szCs w:val="20"/>
          <w:u w:val="single"/>
        </w:rPr>
        <w:t xml:space="preserve"> </w:t>
      </w:r>
      <w:r w:rsidR="00F9415C" w:rsidRPr="00F9415C">
        <w:rPr>
          <w:rFonts w:ascii="Arial" w:eastAsia="Arial" w:hAnsi="Arial" w:cs="Arial"/>
          <w:color w:val="000000"/>
          <w:sz w:val="20"/>
          <w:szCs w:val="20"/>
          <w:u w:val="single"/>
        </w:rPr>
        <w:t>RJ001864/2022</w:t>
      </w:r>
      <w:r w:rsidRPr="00F9415C">
        <w:rPr>
          <w:rFonts w:ascii="Arial" w:eastAsia="Arial" w:hAnsi="Arial" w:cs="Arial"/>
          <w:color w:val="000000"/>
          <w:sz w:val="20"/>
          <w:szCs w:val="20"/>
          <w:u w:val="single"/>
        </w:rPr>
        <w:t>;</w:t>
      </w:r>
    </w:p>
    <w:p w14:paraId="5BC8A8D3" w14:textId="77777777" w:rsidR="002775AD" w:rsidRDefault="002775AD">
      <w:pPr>
        <w:spacing w:line="276" w:lineRule="auto"/>
        <w:ind w:left="2232"/>
        <w:jc w:val="both"/>
        <w:rPr>
          <w:rFonts w:ascii="Arial" w:eastAsia="Arial" w:hAnsi="Arial" w:cs="Arial"/>
          <w:color w:val="000000"/>
          <w:sz w:val="20"/>
          <w:szCs w:val="20"/>
        </w:rPr>
      </w:pPr>
    </w:p>
    <w:p w14:paraId="3C0187C3" w14:textId="77777777" w:rsidR="002775AD" w:rsidRDefault="00000000">
      <w:pPr>
        <w:numPr>
          <w:ilvl w:val="4"/>
          <w:numId w:val="1"/>
        </w:numPr>
        <w:spacing w:line="276" w:lineRule="auto"/>
        <w:ind w:hanging="389"/>
        <w:jc w:val="both"/>
        <w:rPr>
          <w:rFonts w:ascii="Arial" w:eastAsia="Arial" w:hAnsi="Arial" w:cs="Arial"/>
          <w:color w:val="000000"/>
          <w:sz w:val="20"/>
          <w:szCs w:val="20"/>
        </w:rPr>
      </w:pPr>
      <w:r>
        <w:rPr>
          <w:rFonts w:ascii="Arial" w:eastAsia="Arial" w:hAnsi="Arial" w:cs="Arial"/>
          <w:color w:val="000000"/>
          <w:sz w:val="20"/>
          <w:szCs w:val="20"/>
        </w:rPr>
        <w:t>O(s) sindicato(s) indicado(s) nos subitens acima não são de utilização obrigatória pelos licitantes (Acórdão TCU nº 369/2012), mas sempre se exigirá o cumprimento das convenções coletivas adotadas por cada licitante/contratante.</w:t>
      </w:r>
    </w:p>
    <w:p w14:paraId="21C2125E" w14:textId="77777777" w:rsidR="002775AD" w:rsidRDefault="00000000">
      <w:pPr>
        <w:numPr>
          <w:ilvl w:val="1"/>
          <w:numId w:val="1"/>
        </w:numPr>
        <w:spacing w:before="288" w:after="288" w:line="312" w:lineRule="auto"/>
        <w:ind w:left="-87" w:firstLine="567"/>
        <w:jc w:val="both"/>
        <w:rPr>
          <w:rFonts w:ascii="Arial" w:eastAsia="Arial" w:hAnsi="Arial" w:cs="Arial"/>
          <w:b/>
          <w:color w:val="000000"/>
          <w:sz w:val="20"/>
          <w:szCs w:val="20"/>
        </w:rPr>
      </w:pPr>
      <w:r>
        <w:rPr>
          <w:rFonts w:ascii="Arial" w:eastAsia="Arial" w:hAnsi="Arial" w:cs="Arial"/>
          <w:color w:val="000000"/>
          <w:sz w:val="20"/>
          <w:szCs w:val="20"/>
        </w:rPr>
        <w:t>No caso de bens e serviços em geral, é indício de inexequibilidade das propostas valores inferiores a 50% (cinquenta por cento) do valor orçado pela Administração.</w:t>
      </w:r>
    </w:p>
    <w:p w14:paraId="2D47616A" w14:textId="77777777" w:rsidR="002775AD" w:rsidRDefault="00000000">
      <w:pPr>
        <w:numPr>
          <w:ilvl w:val="2"/>
          <w:numId w:val="1"/>
        </w:numPr>
        <w:spacing w:before="288" w:after="288" w:line="312" w:lineRule="auto"/>
        <w:ind w:left="567" w:firstLine="567"/>
        <w:jc w:val="both"/>
      </w:pPr>
      <w:r>
        <w:rPr>
          <w:rFonts w:ascii="Arial" w:eastAsia="Arial" w:hAnsi="Arial" w:cs="Arial"/>
          <w:color w:val="000000"/>
          <w:sz w:val="20"/>
          <w:szCs w:val="20"/>
        </w:rPr>
        <w:t xml:space="preserve">A inexequibilidade, na hipótese de que trata o </w:t>
      </w:r>
      <w:r>
        <w:rPr>
          <w:rFonts w:ascii="Arial" w:eastAsia="Arial" w:hAnsi="Arial" w:cs="Arial"/>
          <w:b/>
          <w:color w:val="000000"/>
          <w:sz w:val="20"/>
          <w:szCs w:val="20"/>
        </w:rPr>
        <w:t>caput</w:t>
      </w:r>
      <w:r>
        <w:rPr>
          <w:rFonts w:ascii="Arial" w:eastAsia="Arial" w:hAnsi="Arial" w:cs="Arial"/>
          <w:color w:val="000000"/>
          <w:sz w:val="20"/>
          <w:szCs w:val="20"/>
        </w:rPr>
        <w:t>, só será considerada após diligência do pregoeiro, que comprove:</w:t>
      </w:r>
    </w:p>
    <w:p w14:paraId="2670DB01" w14:textId="77777777" w:rsidR="002775AD" w:rsidRDefault="00000000">
      <w:pPr>
        <w:numPr>
          <w:ilvl w:val="3"/>
          <w:numId w:val="1"/>
        </w:numPr>
        <w:spacing w:before="120" w:after="120" w:line="312" w:lineRule="auto"/>
        <w:ind w:left="1276" w:firstLine="284"/>
        <w:jc w:val="both"/>
      </w:pPr>
      <w:r>
        <w:rPr>
          <w:rFonts w:ascii="Arial" w:eastAsia="Arial" w:hAnsi="Arial" w:cs="Arial"/>
          <w:color w:val="000000"/>
          <w:sz w:val="20"/>
          <w:szCs w:val="20"/>
        </w:rPr>
        <w:lastRenderedPageBreak/>
        <w:t>que o custo do licitante ultrapassa o valor da proposta; e</w:t>
      </w:r>
    </w:p>
    <w:p w14:paraId="528E7161" w14:textId="77777777" w:rsidR="002775AD" w:rsidRDefault="00000000">
      <w:pPr>
        <w:numPr>
          <w:ilvl w:val="3"/>
          <w:numId w:val="1"/>
        </w:numPr>
        <w:spacing w:before="120" w:after="120" w:line="312" w:lineRule="auto"/>
        <w:ind w:left="1276" w:firstLine="284"/>
        <w:jc w:val="both"/>
      </w:pPr>
      <w:r>
        <w:rPr>
          <w:rFonts w:ascii="Arial" w:eastAsia="Arial" w:hAnsi="Arial" w:cs="Arial"/>
          <w:color w:val="000000"/>
          <w:sz w:val="20"/>
          <w:szCs w:val="20"/>
        </w:rPr>
        <w:t>inexistirem custos de oportunidade capazes de justificar o vulto da oferta.</w:t>
      </w:r>
    </w:p>
    <w:p w14:paraId="51CFC038" w14:textId="77777777" w:rsidR="002775AD" w:rsidRDefault="00000000">
      <w:pPr>
        <w:numPr>
          <w:ilvl w:val="1"/>
          <w:numId w:val="1"/>
        </w:numPr>
        <w:shd w:val="clear" w:color="auto" w:fill="FFFFFF" w:themeFill="background1"/>
        <w:spacing w:before="288" w:after="288" w:line="312" w:lineRule="auto"/>
        <w:ind w:left="-87" w:firstLine="567"/>
        <w:jc w:val="both"/>
        <w:rPr>
          <w:rFonts w:ascii="Arial" w:eastAsia="Arial" w:hAnsi="Arial" w:cs="Arial"/>
          <w:b/>
          <w:color w:val="000000"/>
          <w:sz w:val="20"/>
          <w:szCs w:val="20"/>
        </w:rPr>
      </w:pPr>
      <w:r>
        <w:rPr>
          <w:rFonts w:ascii="Arial" w:eastAsia="Arial" w:hAnsi="Arial" w:cs="Arial"/>
          <w:color w:val="000000"/>
          <w:sz w:val="20"/>
          <w:szCs w:val="20"/>
        </w:rPr>
        <w:t>Em contratação de serviços de engenharia, além das disposições acima, a análise de exequibilidade e sobrepreço considerará o seguinte:</w:t>
      </w:r>
    </w:p>
    <w:p w14:paraId="2A0DF6EB" w14:textId="77777777" w:rsidR="002775AD" w:rsidRDefault="00000000">
      <w:pPr>
        <w:numPr>
          <w:ilvl w:val="2"/>
          <w:numId w:val="1"/>
        </w:numPr>
        <w:shd w:val="clear" w:color="auto" w:fill="FFFFFF" w:themeFill="background1"/>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 xml:space="preserve">Nos regimes de execução por tarefa, empreitada por preço global ou empreitada integral, </w:t>
      </w:r>
      <w:proofErr w:type="spellStart"/>
      <w:r>
        <w:rPr>
          <w:rFonts w:ascii="Arial" w:eastAsia="Arial" w:hAnsi="Arial" w:cs="Arial"/>
          <w:color w:val="000000"/>
          <w:sz w:val="20"/>
          <w:szCs w:val="20"/>
        </w:rPr>
        <w:t>semi-integrada</w:t>
      </w:r>
      <w:proofErr w:type="spellEnd"/>
      <w:r>
        <w:rPr>
          <w:rFonts w:ascii="Arial" w:eastAsia="Arial" w:hAnsi="Arial" w:cs="Arial"/>
          <w:color w:val="000000"/>
          <w:sz w:val="20"/>
          <w:szCs w:val="20"/>
        </w:rPr>
        <w:t xml:space="preserve"> ou integrada, a caracterização do sobrepreço se dará pela superação do valor global estimado;</w:t>
      </w:r>
    </w:p>
    <w:p w14:paraId="74C64F4A" w14:textId="77777777" w:rsidR="002775AD" w:rsidRDefault="00000000">
      <w:pPr>
        <w:numPr>
          <w:ilvl w:val="2"/>
          <w:numId w:val="1"/>
        </w:numPr>
        <w:shd w:val="clear" w:color="auto" w:fill="FFFFFF" w:themeFill="background1"/>
        <w:spacing w:before="120" w:after="120" w:line="360" w:lineRule="auto"/>
        <w:ind w:left="0" w:firstLine="0"/>
        <w:jc w:val="both"/>
        <w:rPr>
          <w:rFonts w:ascii="Arial" w:eastAsia="Arial" w:hAnsi="Arial" w:cs="Arial"/>
          <w:b/>
          <w:color w:val="000000"/>
          <w:sz w:val="20"/>
          <w:szCs w:val="20"/>
        </w:rPr>
      </w:pPr>
      <w:sdt>
        <w:sdtPr>
          <w:tag w:val="goog_rdk_0"/>
          <w:id w:val="2028290777"/>
        </w:sdtPr>
        <w:sdtContent/>
      </w:sdt>
      <w:r>
        <w:rPr>
          <w:rFonts w:ascii="Arial" w:eastAsia="Arial" w:hAnsi="Arial" w:cs="Arial"/>
          <w:color w:val="000000"/>
          <w:sz w:val="20"/>
          <w:szCs w:val="20"/>
        </w:rPr>
        <w:t xml:space="preserve">No regime de empreitada por preço unitário, a caracterização do sobrepreço se dará pela superação do valor global estimado e </w:t>
      </w:r>
      <w:r>
        <w:rPr>
          <w:rFonts w:ascii="Arial" w:eastAsia="Arial" w:hAnsi="Arial" w:cs="Arial"/>
          <w:i/>
          <w:color w:val="FF0000"/>
          <w:sz w:val="20"/>
          <w:szCs w:val="20"/>
        </w:rPr>
        <w:t>pela superação de custo unitário tido como relevante, conforme planilha anexa ao edital;</w:t>
      </w:r>
    </w:p>
    <w:p w14:paraId="76DCB361" w14:textId="77777777" w:rsidR="002775AD" w:rsidRDefault="00000000">
      <w:pPr>
        <w:numPr>
          <w:ilvl w:val="2"/>
          <w:numId w:val="1"/>
        </w:numPr>
        <w:shd w:val="clear" w:color="auto" w:fill="FFFFFF" w:themeFill="background1"/>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No caso de serviços de engenharia, serão consideradas inexequíveis as propostas cujos valores forem inferiores a 75% (setenta e cinco por cento) do valor orçado pela Administração, independentemente do regime de execução.</w:t>
      </w:r>
    </w:p>
    <w:p w14:paraId="0BDA86DA" w14:textId="77777777" w:rsidR="002775AD" w:rsidRDefault="00000000">
      <w:pPr>
        <w:numPr>
          <w:ilvl w:val="2"/>
          <w:numId w:val="1"/>
        </w:numPr>
        <w:shd w:val="clear" w:color="auto" w:fill="FFFFFF" w:themeFill="background1"/>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14:paraId="5974215A" w14:textId="77777777" w:rsidR="002775AD" w:rsidRDefault="00000000">
      <w:pPr>
        <w:numPr>
          <w:ilvl w:val="1"/>
          <w:numId w:val="1"/>
        </w:numPr>
        <w:shd w:val="clear" w:color="auto" w:fill="FFFFFF" w:themeFill="background1"/>
        <w:spacing w:before="288" w:after="288" w:line="312" w:lineRule="auto"/>
        <w:ind w:left="-87" w:firstLine="567"/>
        <w:jc w:val="both"/>
        <w:rPr>
          <w:rFonts w:ascii="Arial" w:eastAsia="Arial" w:hAnsi="Arial" w:cs="Arial"/>
          <w:b/>
          <w:color w:val="000000"/>
          <w:sz w:val="20"/>
          <w:szCs w:val="20"/>
        </w:rPr>
      </w:pPr>
      <w:r>
        <w:rPr>
          <w:rFonts w:ascii="Arial" w:eastAsia="Arial" w:hAnsi="Arial" w:cs="Arial"/>
          <w:color w:val="000000"/>
          <w:sz w:val="20"/>
          <w:szCs w:val="20"/>
        </w:rPr>
        <w:t>Se houver indícios de inexequibilidade da proposta de preço, ou em caso da necessidade de esclarecimentos complementares, poderão ser efetuadas diligências, para que a empresa comprove a exequibilidade da proposta.</w:t>
      </w:r>
    </w:p>
    <w:p w14:paraId="57305076" w14:textId="77777777" w:rsidR="002775AD" w:rsidRDefault="00000000">
      <w:pPr>
        <w:numPr>
          <w:ilvl w:val="1"/>
          <w:numId w:val="1"/>
        </w:numPr>
        <w:shd w:val="clear" w:color="auto" w:fill="FFFFFF" w:themeFill="background1"/>
        <w:spacing w:before="288" w:after="288" w:line="312" w:lineRule="auto"/>
        <w:ind w:left="-87" w:firstLine="567"/>
        <w:jc w:val="both"/>
        <w:rPr>
          <w:rFonts w:ascii="Arial" w:eastAsia="Arial" w:hAnsi="Arial" w:cs="Arial"/>
          <w:b/>
          <w:color w:val="000000"/>
          <w:sz w:val="20"/>
          <w:szCs w:val="20"/>
        </w:rPr>
      </w:pPr>
      <w:r>
        <w:rPr>
          <w:rFonts w:ascii="Arial" w:eastAsia="Arial" w:hAnsi="Arial" w:cs="Arial"/>
          <w:color w:val="000000"/>
          <w:sz w:val="20"/>
          <w:szCs w:val="20"/>
        </w:rP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738BA5BE" w14:textId="77777777" w:rsidR="002775AD" w:rsidRDefault="00000000">
      <w:pPr>
        <w:numPr>
          <w:ilvl w:val="2"/>
          <w:numId w:val="1"/>
        </w:numPr>
        <w:shd w:val="clear" w:color="auto" w:fill="FFFFFF" w:themeFill="background1"/>
        <w:spacing w:before="288" w:after="288" w:line="312"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 xml:space="preserve">Em se tratando de serviços de engenharia, o licitante vencedor será convocado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Pr>
          <w:rFonts w:ascii="Arial" w:eastAsia="Arial" w:hAnsi="Arial" w:cs="Arial"/>
          <w:color w:val="000000"/>
          <w:sz w:val="20"/>
          <w:szCs w:val="20"/>
        </w:rPr>
        <w:t>semi-integrada</w:t>
      </w:r>
      <w:proofErr w:type="spellEnd"/>
      <w:r>
        <w:rPr>
          <w:rFonts w:ascii="Arial" w:eastAsia="Arial" w:hAnsi="Arial" w:cs="Arial"/>
          <w:color w:val="000000"/>
          <w:sz w:val="20"/>
          <w:szCs w:val="20"/>
        </w:rPr>
        <w:t xml:space="preserve"> e contratação integrada, exclusivamente para eventuais adequações indispensáveis no cronograma físico-financeiro e para balizar excepcional aditamento posterior do contrato.  </w:t>
      </w:r>
    </w:p>
    <w:p w14:paraId="4F6252EC" w14:textId="77777777" w:rsidR="002775AD" w:rsidRDefault="00000000">
      <w:pPr>
        <w:numPr>
          <w:ilvl w:val="1"/>
          <w:numId w:val="1"/>
        </w:numPr>
        <w:spacing w:before="288" w:after="288" w:line="312" w:lineRule="auto"/>
        <w:ind w:left="-87" w:firstLine="567"/>
        <w:jc w:val="both"/>
        <w:rPr>
          <w:rFonts w:ascii="Arial" w:eastAsia="Arial" w:hAnsi="Arial" w:cs="Arial"/>
          <w:b/>
          <w:color w:val="000000"/>
          <w:sz w:val="20"/>
          <w:szCs w:val="20"/>
        </w:rPr>
      </w:pPr>
      <w:r>
        <w:rPr>
          <w:rFonts w:ascii="Arial" w:eastAsia="Arial" w:hAnsi="Arial" w:cs="Arial"/>
          <w:color w:val="000000"/>
          <w:sz w:val="20"/>
          <w:szCs w:val="20"/>
        </w:rPr>
        <w:t>Erros no preenchimento da planilha não constituem motivo para a desclassificação da proposta. A planilha poderá́ ser ajustada pelo fornecedor, no prazo indicado pelo sistema, desde que não haja majoração do preço.</w:t>
      </w:r>
    </w:p>
    <w:p w14:paraId="0A140CF7" w14:textId="77777777" w:rsidR="002775AD" w:rsidRDefault="00000000">
      <w:pPr>
        <w:numPr>
          <w:ilvl w:val="2"/>
          <w:numId w:val="1"/>
        </w:numP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O ajuste de que trata este dispositivo se limita a sanar erros ou falhas que não alterem a substância das propostas;</w:t>
      </w:r>
    </w:p>
    <w:p w14:paraId="3E42226B" w14:textId="77777777" w:rsidR="002775AD" w:rsidRDefault="00000000">
      <w:pPr>
        <w:numPr>
          <w:ilvl w:val="2"/>
          <w:numId w:val="1"/>
        </w:numP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lastRenderedPageBreak/>
        <w:t>Considera-se erro no preenchimento da planilha passível de correção a indicação de recolhimento de impostos e contribuições na forma do Simples Nacional, quando não cabível esse regime.</w:t>
      </w:r>
    </w:p>
    <w:p w14:paraId="0A2F2FAD"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É vedado à proponente incluir na Planilha de Custos e Formação de Preços:</w:t>
      </w:r>
    </w:p>
    <w:p w14:paraId="4F44BA4B" w14:textId="77777777" w:rsidR="002775AD" w:rsidRDefault="00000000">
      <w:pPr>
        <w:numPr>
          <w:ilvl w:val="2"/>
          <w:numId w:val="1"/>
        </w:numPr>
        <w:spacing w:before="120" w:after="120" w:line="360" w:lineRule="auto"/>
        <w:ind w:left="567" w:firstLine="567"/>
        <w:jc w:val="both"/>
        <w:rPr>
          <w:color w:val="000000"/>
        </w:rPr>
      </w:pPr>
      <w:r>
        <w:rPr>
          <w:rFonts w:ascii="Arial" w:eastAsia="Arial" w:hAnsi="Arial" w:cs="Arial"/>
          <w:color w:val="000000"/>
          <w:sz w:val="20"/>
          <w:szCs w:val="20"/>
        </w:rPr>
        <w:t>item relativo a despesas decorrentes de disposições contidas em Acordos, Convenções ou Dissídios Coletivos de Trabalho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 (art. 9º, parágrafo único, incisos I a III, do Decreto n.º 9.507/2018, e art. 6º da IN SEGES/MP n.º 5, de 2017);</w:t>
      </w:r>
    </w:p>
    <w:p w14:paraId="1AAB9CCD"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item relativo a despesas decorrentes de disposições contidas em Acordos, Convenções ou Dissídios Coletivos de Trabalho que tratem de obrigações e direitos que somente se aplicam aos contratos com a Administração Pública (art. 6º, parágrafo único, da IN SEGES/MP n.º 5/2017);</w:t>
      </w:r>
    </w:p>
    <w:p w14:paraId="44AB17E0"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rubricas que prevejam o custeio de despesas com treinamento, reciclagem e capacitação ou congêneres, pois tais parcelas já são cobertas pelas despesas administrativas (Acórdão TCU nº 2.746/2015 - Plenário);</w:t>
      </w:r>
    </w:p>
    <w:p w14:paraId="72BFB713"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rubrica denominada “reserva técnica”, exceto se houver justificativa, na proposta, que indique, claramente e por meio de memória de cálculo, o que está sendo custeado, de modo a haver a comprovação da não cobertura do valor, direta ou indiretamente, por outra rubrica da planilha (Acórdãos TCU nº 2.746/2015 – Plenário, nº 64/2010 - 2ª Câmara e nº 953/2016 - Plenário);</w:t>
      </w:r>
    </w:p>
    <w:p w14:paraId="3FDF57C7"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rubrica para pagamento do Imposto de Renda Pessoa Jurídica - IRPJ e da Contribuição Social Sobre o Lucro Líquido – CSLL (Súmula TCU nº 254/2010);</w:t>
      </w:r>
    </w:p>
    <w:p w14:paraId="76373B24"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rubrica denominada “verba” ou “verba provisional”, pois o item não está vinculado a qualquer contraprestação mensurável (Acórdãos TCU nº 1.949/2007 – Plenário e nº 6.439/2011 – 1ª Câmara).</w:t>
      </w:r>
    </w:p>
    <w:p w14:paraId="3FE4C9B7"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A inclusão na proposta de item de custo vedado não acarretará a desclassificação do licitante, devendo o pregoeiro determinar que os respectivos custos sejam excluídos da Planilha.</w:t>
      </w:r>
    </w:p>
    <w:p w14:paraId="471B5236"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Na hipótese de contratação com a previsão de itens de custos vedados, tais valores serão glosados e os itens serão excluídos da Planilha, garantidas ampla defesa e contraditório.</w:t>
      </w:r>
    </w:p>
    <w:p w14:paraId="7E2DCE8F"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A inexequibilidade dos valores referentes a itens isolados da Planilha de Custos e Formação de Preços não caracteriza motivo suficiente para a desclassificação da proposta, desde que não contrariem exigências legais.</w:t>
      </w:r>
    </w:p>
    <w:p w14:paraId="1499FDE4" w14:textId="77777777" w:rsidR="00F9415C" w:rsidRDefault="00F9415C" w:rsidP="00F9415C">
      <w:pPr>
        <w:spacing w:before="288" w:after="288" w:line="312" w:lineRule="auto"/>
        <w:ind w:left="480"/>
        <w:jc w:val="both"/>
        <w:rPr>
          <w:rFonts w:ascii="Arial" w:eastAsia="Arial" w:hAnsi="Arial" w:cs="Arial"/>
          <w:color w:val="000000"/>
          <w:sz w:val="20"/>
          <w:szCs w:val="20"/>
        </w:rPr>
      </w:pPr>
    </w:p>
    <w:p w14:paraId="3E5A4833" w14:textId="77777777" w:rsidR="002775AD" w:rsidRDefault="00000000">
      <w:pPr>
        <w:keepNext/>
        <w:keepLines/>
        <w:numPr>
          <w:ilvl w:val="0"/>
          <w:numId w:val="1"/>
        </w:numP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29" w:name="_heading=h.3o7alnk" w:colFirst="0" w:colLast="0"/>
      <w:bookmarkEnd w:id="29"/>
      <w:r>
        <w:rPr>
          <w:rFonts w:ascii="Arial" w:eastAsia="Arial" w:hAnsi="Arial" w:cs="Arial"/>
          <w:b/>
          <w:color w:val="000000"/>
          <w:sz w:val="20"/>
          <w:szCs w:val="20"/>
          <w:highlight w:val="lightGray"/>
        </w:rPr>
        <w:t>DA FASE DE HABILITAÇÃO</w:t>
      </w:r>
    </w:p>
    <w:p w14:paraId="289096EF"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Os documentos previstos no Termo de Referência, necessários e suficientes para demonstrar a capacidade do licitante de realizar o objeto da licitação, serão exigidos para fins de habilitação, nos termos dos </w:t>
      </w:r>
      <w:hyperlink r:id="rId40" w:anchor="art62">
        <w:proofErr w:type="spellStart"/>
        <w:r>
          <w:rPr>
            <w:rFonts w:ascii="Arial" w:eastAsia="Arial" w:hAnsi="Arial" w:cs="Arial"/>
            <w:color w:val="0000FF"/>
            <w:sz w:val="20"/>
            <w:szCs w:val="20"/>
            <w:u w:val="single"/>
          </w:rPr>
          <w:t>arts</w:t>
        </w:r>
        <w:proofErr w:type="spellEnd"/>
        <w:r>
          <w:rPr>
            <w:rFonts w:ascii="Arial" w:eastAsia="Arial" w:hAnsi="Arial" w:cs="Arial"/>
            <w:color w:val="0000FF"/>
            <w:sz w:val="20"/>
            <w:szCs w:val="20"/>
            <w:u w:val="single"/>
          </w:rPr>
          <w:t>. 62 a 70 da Lei nº 14.133, de 2021</w:t>
        </w:r>
      </w:hyperlink>
      <w:r>
        <w:rPr>
          <w:rFonts w:ascii="Arial" w:eastAsia="Arial" w:hAnsi="Arial" w:cs="Arial"/>
          <w:color w:val="000000"/>
          <w:sz w:val="20"/>
          <w:szCs w:val="20"/>
        </w:rPr>
        <w:t>.</w:t>
      </w:r>
    </w:p>
    <w:p w14:paraId="4DFB1076" w14:textId="77777777" w:rsidR="002775AD" w:rsidRDefault="00000000">
      <w:pPr>
        <w:numPr>
          <w:ilvl w:val="2"/>
          <w:numId w:val="1"/>
        </w:numPr>
        <w:spacing w:before="288" w:after="288" w:line="312" w:lineRule="auto"/>
        <w:ind w:left="567" w:firstLine="567"/>
        <w:jc w:val="both"/>
        <w:rPr>
          <w:rFonts w:ascii="Arial" w:eastAsia="Arial" w:hAnsi="Arial" w:cs="Arial"/>
          <w:i/>
          <w:color w:val="000000"/>
          <w:sz w:val="20"/>
          <w:szCs w:val="20"/>
        </w:rPr>
      </w:pPr>
      <w:bookmarkStart w:id="30" w:name="_heading=h.23ckvvd" w:colFirst="0" w:colLast="0"/>
      <w:bookmarkEnd w:id="30"/>
      <w:r>
        <w:rPr>
          <w:rFonts w:ascii="Arial" w:eastAsia="Arial" w:hAnsi="Arial" w:cs="Arial"/>
          <w:color w:val="000000"/>
          <w:sz w:val="20"/>
          <w:szCs w:val="20"/>
        </w:rPr>
        <w:t>A documentação exigida para fins de habilitação jurídica, fiscal, social e trabalhista e econômico-</w:t>
      </w:r>
      <w:proofErr w:type="spellStart"/>
      <w:r>
        <w:rPr>
          <w:rFonts w:ascii="Arial" w:eastAsia="Arial" w:hAnsi="Arial" w:cs="Arial"/>
          <w:color w:val="000000"/>
          <w:sz w:val="20"/>
          <w:szCs w:val="20"/>
        </w:rPr>
        <w:t>ﬁnanceira</w:t>
      </w:r>
      <w:proofErr w:type="spellEnd"/>
      <w:r>
        <w:rPr>
          <w:rFonts w:ascii="Arial" w:eastAsia="Arial" w:hAnsi="Arial" w:cs="Arial"/>
          <w:color w:val="000000"/>
          <w:sz w:val="20"/>
          <w:szCs w:val="20"/>
        </w:rPr>
        <w:t>, poderá ser substituída pelo registro cadastral no SICAF.</w:t>
      </w:r>
    </w:p>
    <w:p w14:paraId="33B35D34" w14:textId="77777777" w:rsidR="002775AD" w:rsidRDefault="00000000">
      <w:pPr>
        <w:numPr>
          <w:ilvl w:val="1"/>
          <w:numId w:val="1"/>
        </w:numPr>
        <w:spacing w:before="288" w:after="288" w:line="312" w:lineRule="auto"/>
        <w:ind w:left="-87" w:firstLine="567"/>
        <w:jc w:val="both"/>
        <w:rPr>
          <w:rFonts w:ascii="Arial" w:eastAsia="Arial" w:hAnsi="Arial" w:cs="Arial"/>
          <w:i/>
          <w:color w:val="000000"/>
          <w:sz w:val="20"/>
          <w:szCs w:val="20"/>
        </w:rPr>
      </w:pPr>
      <w:r>
        <w:rPr>
          <w:rFonts w:ascii="Arial" w:eastAsia="Arial" w:hAnsi="Arial" w:cs="Arial"/>
          <w:color w:val="000000"/>
          <w:sz w:val="20"/>
          <w:szCs w:val="20"/>
        </w:rPr>
        <w:t>Quando permitida a participação de empresas estrangeiras que não funcionem no País, as exigências de habilitação serão atendidas mediante documentos equivalentes, inicialmente apresentados em tradução livre.</w:t>
      </w:r>
    </w:p>
    <w:p w14:paraId="030B61AC" w14:textId="77777777" w:rsidR="002775AD" w:rsidRDefault="00000000">
      <w:pPr>
        <w:numPr>
          <w:ilvl w:val="2"/>
          <w:numId w:val="1"/>
        </w:numPr>
        <w:spacing w:before="288" w:after="288" w:line="312"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 xml:space="preserve">Na hipótese de o licitante vencedor ser empresa estrangeira que não funcione no País, para </w:t>
      </w:r>
      <w:proofErr w:type="spellStart"/>
      <w:r>
        <w:rPr>
          <w:rFonts w:ascii="Arial" w:eastAsia="Arial" w:hAnsi="Arial" w:cs="Arial"/>
          <w:color w:val="000000"/>
          <w:sz w:val="20"/>
          <w:szCs w:val="20"/>
        </w:rPr>
        <w:t>ﬁns</w:t>
      </w:r>
      <w:proofErr w:type="spellEnd"/>
      <w:r>
        <w:rPr>
          <w:rFonts w:ascii="Arial" w:eastAsia="Arial" w:hAnsi="Arial" w:cs="Arial"/>
          <w:color w:val="000000"/>
          <w:sz w:val="20"/>
          <w:szCs w:val="20"/>
        </w:rPr>
        <w:t xml:space="preserve"> de assinatura do contrato ou da ata de registro de preços, os documentos exigidos para a habilitação serão traduzidos por tradutor juramentado no País e apostilados nos termos do disposto no </w:t>
      </w:r>
      <w:hyperlink r:id="rId41">
        <w:r>
          <w:rPr>
            <w:rFonts w:ascii="Arial" w:eastAsia="Arial" w:hAnsi="Arial" w:cs="Arial"/>
            <w:color w:val="0000FF"/>
            <w:sz w:val="20"/>
            <w:szCs w:val="20"/>
            <w:u w:val="single"/>
          </w:rPr>
          <w:t>Decreto nº 8.660, de 29 de janeiro de 2016</w:t>
        </w:r>
      </w:hyperlink>
      <w:r>
        <w:rPr>
          <w:rFonts w:ascii="Arial" w:eastAsia="Arial" w:hAnsi="Arial" w:cs="Arial"/>
          <w:color w:val="000000"/>
          <w:sz w:val="20"/>
          <w:szCs w:val="20"/>
        </w:rPr>
        <w:t xml:space="preserve">, ou de outro que venha a substituí-lo, ou </w:t>
      </w:r>
      <w:proofErr w:type="spellStart"/>
      <w:r>
        <w:rPr>
          <w:rFonts w:ascii="Arial" w:eastAsia="Arial" w:hAnsi="Arial" w:cs="Arial"/>
          <w:color w:val="000000"/>
          <w:sz w:val="20"/>
          <w:szCs w:val="20"/>
        </w:rPr>
        <w:t>consularizados</w:t>
      </w:r>
      <w:proofErr w:type="spellEnd"/>
      <w:r>
        <w:rPr>
          <w:rFonts w:ascii="Arial" w:eastAsia="Arial" w:hAnsi="Arial" w:cs="Arial"/>
          <w:color w:val="000000"/>
          <w:sz w:val="20"/>
          <w:szCs w:val="20"/>
        </w:rPr>
        <w:t xml:space="preserve"> pelos respectivos consulados ou embaixadas.</w:t>
      </w:r>
    </w:p>
    <w:p w14:paraId="66AEA56D"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Os documentos exigidos para fins de habilitação poderão ser apresentados em original, por cópia ou por meio eletrônico, certificados ou assinados digitalmente.</w:t>
      </w:r>
    </w:p>
    <w:p w14:paraId="550D2B4D" w14:textId="77777777" w:rsidR="002775AD" w:rsidRDefault="00000000">
      <w:pPr>
        <w:numPr>
          <w:ilvl w:val="1"/>
          <w:numId w:val="1"/>
        </w:numPr>
        <w:spacing w:before="288" w:after="288" w:line="312" w:lineRule="auto"/>
        <w:ind w:left="-87" w:firstLine="567"/>
        <w:jc w:val="both"/>
        <w:rPr>
          <w:rFonts w:ascii="Arial" w:eastAsia="Arial" w:hAnsi="Arial" w:cs="Arial"/>
          <w:i/>
          <w:color w:val="000000"/>
          <w:sz w:val="20"/>
          <w:szCs w:val="20"/>
        </w:rPr>
      </w:pPr>
      <w:r>
        <w:rPr>
          <w:rFonts w:ascii="Arial" w:eastAsia="Arial" w:hAnsi="Arial" w:cs="Arial"/>
          <w:color w:val="000000"/>
          <w:sz w:val="20"/>
          <w:szCs w:val="20"/>
        </w:rPr>
        <w:t>Os documentos exigidos para fins de habilitação poderão ser substituídos por registro cadastral emitido por órgão ou entidade pública, desde que o registro tenha sido feito em obediência ao disposto na Lei nº 14.133/2021.</w:t>
      </w:r>
    </w:p>
    <w:p w14:paraId="75431E9B"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Será verificado </w:t>
      </w:r>
      <w:r>
        <w:rPr>
          <w:rFonts w:ascii="Arial" w:eastAsia="Arial" w:hAnsi="Arial" w:cs="Arial"/>
          <w:color w:val="000000"/>
          <w:sz w:val="20"/>
          <w:szCs w:val="20"/>
          <w:highlight w:val="yellow"/>
        </w:rPr>
        <w:t>se o licitante apresentou declaração</w:t>
      </w:r>
      <w:r>
        <w:rPr>
          <w:rFonts w:ascii="Arial" w:eastAsia="Arial" w:hAnsi="Arial" w:cs="Arial"/>
          <w:color w:val="000000"/>
          <w:sz w:val="20"/>
          <w:szCs w:val="20"/>
        </w:rPr>
        <w:t xml:space="preserve"> de que atende aos requisitos de habilitação, e o declarante responderá pela veracidade das informações prestadas, na forma da lei (</w:t>
      </w:r>
      <w:hyperlink r:id="rId42" w:anchor="art63">
        <w:r>
          <w:rPr>
            <w:rFonts w:ascii="Arial" w:eastAsia="Arial" w:hAnsi="Arial" w:cs="Arial"/>
            <w:color w:val="0000FF"/>
            <w:sz w:val="20"/>
            <w:szCs w:val="20"/>
            <w:u w:val="single"/>
          </w:rPr>
          <w:t>art. 63, I, da Lei nº 14.133/2021</w:t>
        </w:r>
      </w:hyperlink>
      <w:r>
        <w:rPr>
          <w:rFonts w:ascii="Arial" w:eastAsia="Arial" w:hAnsi="Arial" w:cs="Arial"/>
          <w:color w:val="000000"/>
          <w:sz w:val="20"/>
          <w:szCs w:val="20"/>
        </w:rPr>
        <w:t>).</w:t>
      </w:r>
    </w:p>
    <w:p w14:paraId="2AFA2742" w14:textId="77777777" w:rsidR="002775AD" w:rsidRDefault="00000000">
      <w:pPr>
        <w:numPr>
          <w:ilvl w:val="1"/>
          <w:numId w:val="1"/>
        </w:numPr>
        <w:spacing w:before="288" w:after="288" w:line="312" w:lineRule="auto"/>
        <w:ind w:left="-87" w:firstLine="567"/>
        <w:jc w:val="both"/>
        <w:rPr>
          <w:rFonts w:ascii="Arial" w:eastAsia="Arial" w:hAnsi="Arial" w:cs="Arial"/>
          <w:i/>
          <w:color w:val="000000"/>
          <w:sz w:val="20"/>
          <w:szCs w:val="20"/>
        </w:rPr>
      </w:pPr>
      <w:r>
        <w:rPr>
          <w:rFonts w:ascii="Arial" w:eastAsia="Arial" w:hAnsi="Arial" w:cs="Arial"/>
          <w:color w:val="000000"/>
          <w:sz w:val="20"/>
          <w:szCs w:val="20"/>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14:paraId="59C0C7B2" w14:textId="77777777" w:rsidR="002775AD" w:rsidRDefault="00000000">
      <w:pPr>
        <w:numPr>
          <w:ilvl w:val="1"/>
          <w:numId w:val="1"/>
        </w:numPr>
        <w:spacing w:before="288" w:after="288" w:line="312" w:lineRule="auto"/>
        <w:ind w:left="-87" w:firstLine="567"/>
        <w:jc w:val="both"/>
        <w:rPr>
          <w:rFonts w:ascii="Arial" w:eastAsia="Arial" w:hAnsi="Arial" w:cs="Arial"/>
          <w:i/>
          <w:color w:val="000000"/>
          <w:sz w:val="20"/>
          <w:szCs w:val="20"/>
        </w:rPr>
      </w:pPr>
      <w:r>
        <w:rPr>
          <w:rFonts w:ascii="Arial" w:eastAsia="Arial" w:hAnsi="Arial" w:cs="Arial"/>
          <w:color w:val="000000"/>
          <w:sz w:val="20"/>
          <w:szCs w:val="20"/>
        </w:rPr>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53B9E4C2" w14:textId="77777777" w:rsidR="002775AD" w:rsidRDefault="00000000">
      <w:pPr>
        <w:spacing w:before="288" w:after="288" w:line="312" w:lineRule="auto"/>
        <w:ind w:left="567"/>
        <w:jc w:val="center"/>
        <w:rPr>
          <w:rFonts w:ascii="Arial" w:eastAsia="Arial" w:hAnsi="Arial" w:cs="Arial"/>
          <w:b/>
          <w:i/>
          <w:sz w:val="20"/>
          <w:szCs w:val="20"/>
        </w:rPr>
      </w:pPr>
      <w:r>
        <w:rPr>
          <w:rFonts w:ascii="Arial" w:eastAsia="Arial" w:hAnsi="Arial" w:cs="Arial"/>
          <w:b/>
          <w:i/>
          <w:sz w:val="20"/>
          <w:szCs w:val="20"/>
        </w:rPr>
        <w:t>VISTORIA</w:t>
      </w:r>
    </w:p>
    <w:p w14:paraId="1D89D24D" w14:textId="77777777" w:rsidR="002775AD" w:rsidRDefault="00000000">
      <w:pPr>
        <w:numPr>
          <w:ilvl w:val="1"/>
          <w:numId w:val="1"/>
        </w:numPr>
        <w:spacing w:before="288" w:after="288" w:line="312" w:lineRule="auto"/>
        <w:ind w:left="-87" w:firstLine="567"/>
        <w:jc w:val="both"/>
        <w:rPr>
          <w:rFonts w:ascii="Arial" w:eastAsia="Arial" w:hAnsi="Arial" w:cs="Arial"/>
          <w:i/>
          <w:color w:val="FF0000"/>
          <w:sz w:val="20"/>
          <w:szCs w:val="20"/>
        </w:rPr>
      </w:pPr>
      <w:r>
        <w:rPr>
          <w:rFonts w:ascii="Arial" w:eastAsia="Arial" w:hAnsi="Arial" w:cs="Arial"/>
          <w:color w:val="000000"/>
          <w:sz w:val="20"/>
          <w:szCs w:val="20"/>
        </w:rPr>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14:paraId="4B55960F" w14:textId="77777777" w:rsidR="002775AD" w:rsidRDefault="00000000">
      <w:pPr>
        <w:numPr>
          <w:ilvl w:val="2"/>
          <w:numId w:val="1"/>
        </w:numPr>
        <w:spacing w:before="120" w:after="120" w:line="360" w:lineRule="auto"/>
        <w:ind w:left="567" w:firstLine="567"/>
        <w:jc w:val="both"/>
        <w:rPr>
          <w:rFonts w:ascii="Arial" w:eastAsia="Arial" w:hAnsi="Arial" w:cs="Arial"/>
          <w:i/>
          <w:color w:val="FF0000"/>
          <w:sz w:val="20"/>
          <w:szCs w:val="20"/>
        </w:rPr>
      </w:pPr>
      <w:r>
        <w:rPr>
          <w:rFonts w:ascii="Arial" w:eastAsia="Arial" w:hAnsi="Arial" w:cs="Arial"/>
          <w:color w:val="000000"/>
          <w:sz w:val="20"/>
          <w:szCs w:val="20"/>
        </w:rPr>
        <w:lastRenderedPageBreak/>
        <w:t>O licitante que optar por realizar vistoria prévia terá disponibilizado pela Administração data e horário exclusivos, a ser agendado conforme descrito no Anexo I – Termo de Referência, de modo que seu agendamento não coincida com o agendamento de outros licitantes.</w:t>
      </w:r>
    </w:p>
    <w:p w14:paraId="2D6A9F3B"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Caso o licitante opte por não realizar vistoria, poderá substituir a declaração exigida no presente item por declaração formal assinada pelo seu responsável técnico acerca do conhecimento pleno das condições e peculiaridades da contratação.</w:t>
      </w:r>
    </w:p>
    <w:p w14:paraId="6E6B75D8" w14:textId="77777777" w:rsidR="002775AD" w:rsidRDefault="00000000">
      <w:pPr>
        <w:numPr>
          <w:ilvl w:val="1"/>
          <w:numId w:val="1"/>
        </w:numPr>
        <w:spacing w:before="288" w:after="288" w:line="312" w:lineRule="auto"/>
        <w:ind w:left="-87" w:firstLine="567"/>
        <w:jc w:val="both"/>
        <w:rPr>
          <w:rFonts w:ascii="Arial" w:eastAsia="Arial" w:hAnsi="Arial" w:cs="Arial"/>
          <w:i/>
          <w:color w:val="000000"/>
          <w:sz w:val="20"/>
          <w:szCs w:val="20"/>
        </w:rPr>
      </w:pPr>
      <w:r>
        <w:rPr>
          <w:rFonts w:ascii="Arial" w:eastAsia="Arial" w:hAnsi="Arial" w:cs="Arial"/>
          <w:color w:val="000000"/>
          <w:sz w:val="20"/>
          <w:szCs w:val="20"/>
        </w:rPr>
        <w:t xml:space="preserve">A habilitação será verificada por meio do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nos documentos por ele abrangidos.</w:t>
      </w:r>
    </w:p>
    <w:p w14:paraId="2B94D063" w14:textId="77777777" w:rsidR="002775AD" w:rsidRDefault="00000000">
      <w:pPr>
        <w:numPr>
          <w:ilvl w:val="2"/>
          <w:numId w:val="1"/>
        </w:numPr>
        <w:spacing w:before="288" w:after="288" w:line="312" w:lineRule="auto"/>
        <w:ind w:left="567" w:firstLine="567"/>
        <w:jc w:val="both"/>
      </w:pPr>
      <w:r>
        <w:rPr>
          <w:rFonts w:ascii="Arial" w:eastAsia="Arial" w:hAnsi="Arial" w:cs="Arial"/>
          <w:color w:val="000000"/>
          <w:sz w:val="20"/>
          <w:szCs w:val="20"/>
        </w:rPr>
        <w:t xml:space="preserve">Somente haverá a necessidade de comprovação do preenchimento de requisitos mediante apresentação dos documentos originais </w:t>
      </w:r>
      <w:proofErr w:type="spellStart"/>
      <w:r>
        <w:rPr>
          <w:rFonts w:ascii="Arial" w:eastAsia="Arial" w:hAnsi="Arial" w:cs="Arial"/>
          <w:color w:val="000000"/>
          <w:sz w:val="20"/>
          <w:szCs w:val="20"/>
        </w:rPr>
        <w:t>não-digitais</w:t>
      </w:r>
      <w:proofErr w:type="spellEnd"/>
      <w:r>
        <w:rPr>
          <w:rFonts w:ascii="Arial" w:eastAsia="Arial" w:hAnsi="Arial" w:cs="Arial"/>
          <w:color w:val="000000"/>
          <w:sz w:val="20"/>
          <w:szCs w:val="20"/>
        </w:rPr>
        <w:t xml:space="preserve"> quando houver dúvida em relação à integridade do documento digital ou quando a lei expressamente o exigir. (</w:t>
      </w:r>
      <w:hyperlink r:id="rId43" w:anchor="art4">
        <w:r>
          <w:rPr>
            <w:rFonts w:ascii="Arial" w:eastAsia="Arial" w:hAnsi="Arial" w:cs="Arial"/>
            <w:color w:val="0000FF"/>
            <w:sz w:val="20"/>
            <w:szCs w:val="20"/>
            <w:u w:val="single"/>
          </w:rPr>
          <w:t>IN nº 3/2018, art. 4º, §1º, e art. 6º, §4º</w:t>
        </w:r>
      </w:hyperlink>
      <w:r>
        <w:rPr>
          <w:rFonts w:ascii="Arial" w:eastAsia="Arial" w:hAnsi="Arial" w:cs="Arial"/>
          <w:color w:val="000000"/>
          <w:sz w:val="20"/>
          <w:szCs w:val="20"/>
        </w:rPr>
        <w:t>).</w:t>
      </w:r>
    </w:p>
    <w:p w14:paraId="070B359E"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 xml:space="preserve">É de responsabilidade do licitante conferir a exatidão dos seus dados cadastrais no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xml:space="preserve"> e mantê-los atualizados junto aos órgãos responsáveis pela informação, devendo proceder, imediatamente, à correção ou à alteração dos registros tão logo identifique incorreção ou aqueles se tornem desatualizados. (</w:t>
      </w:r>
      <w:hyperlink r:id="rId44">
        <w:r>
          <w:rPr>
            <w:rFonts w:ascii="Arial" w:eastAsia="Arial" w:hAnsi="Arial" w:cs="Arial"/>
            <w:color w:val="0000FF"/>
            <w:sz w:val="20"/>
            <w:szCs w:val="20"/>
            <w:u w:val="single"/>
          </w:rPr>
          <w:t xml:space="preserve">IN nº 3/2018, art. 7º, </w:t>
        </w:r>
      </w:hyperlink>
      <w:hyperlink r:id="rId45">
        <w:r>
          <w:rPr>
            <w:rFonts w:ascii="Arial" w:eastAsia="Arial" w:hAnsi="Arial" w:cs="Arial"/>
            <w:i/>
            <w:color w:val="0000FF"/>
            <w:sz w:val="20"/>
            <w:szCs w:val="20"/>
            <w:u w:val="single"/>
          </w:rPr>
          <w:t>caput</w:t>
        </w:r>
      </w:hyperlink>
      <w:r>
        <w:rPr>
          <w:rFonts w:ascii="Arial" w:eastAsia="Arial" w:hAnsi="Arial" w:cs="Arial"/>
          <w:color w:val="000000"/>
          <w:sz w:val="20"/>
          <w:szCs w:val="20"/>
        </w:rPr>
        <w:t>).</w:t>
      </w:r>
    </w:p>
    <w:p w14:paraId="5414A518" w14:textId="77777777" w:rsidR="002775AD" w:rsidRDefault="00000000">
      <w:pPr>
        <w:numPr>
          <w:ilvl w:val="2"/>
          <w:numId w:val="1"/>
        </w:numPr>
        <w:spacing w:before="288" w:after="288" w:line="312" w:lineRule="auto"/>
        <w:ind w:left="567" w:firstLine="567"/>
        <w:jc w:val="both"/>
      </w:pPr>
      <w:r>
        <w:rPr>
          <w:rFonts w:ascii="Arial" w:eastAsia="Arial" w:hAnsi="Arial" w:cs="Arial"/>
          <w:color w:val="000000"/>
          <w:sz w:val="20"/>
          <w:szCs w:val="20"/>
        </w:rPr>
        <w:t>A não observância do disposto no item anterior poderá ensejar desclassificação no momento da habilitação. (</w:t>
      </w:r>
      <w:hyperlink r:id="rId46">
        <w:r>
          <w:rPr>
            <w:rFonts w:ascii="Arial" w:eastAsia="Arial" w:hAnsi="Arial" w:cs="Arial"/>
            <w:color w:val="0000FF"/>
            <w:sz w:val="20"/>
            <w:szCs w:val="20"/>
            <w:u w:val="single"/>
          </w:rPr>
          <w:t>IN nº 3/2018, art. 7º, parágrafo único</w:t>
        </w:r>
      </w:hyperlink>
      <w:r>
        <w:rPr>
          <w:rFonts w:ascii="Arial" w:eastAsia="Arial" w:hAnsi="Arial" w:cs="Arial"/>
          <w:color w:val="000000"/>
          <w:sz w:val="20"/>
          <w:szCs w:val="20"/>
        </w:rPr>
        <w:t>).</w:t>
      </w:r>
    </w:p>
    <w:p w14:paraId="370E7A7D" w14:textId="77777777" w:rsidR="002775AD" w:rsidRDefault="00000000">
      <w:pPr>
        <w:numPr>
          <w:ilvl w:val="1"/>
          <w:numId w:val="1"/>
        </w:numPr>
        <w:spacing w:before="288" w:after="288" w:line="312" w:lineRule="auto"/>
        <w:ind w:left="-87" w:firstLine="567"/>
        <w:jc w:val="both"/>
        <w:rPr>
          <w:rFonts w:ascii="Arial" w:eastAsia="Arial" w:hAnsi="Arial" w:cs="Arial"/>
          <w:i/>
          <w:color w:val="000000"/>
          <w:sz w:val="20"/>
          <w:szCs w:val="20"/>
        </w:rPr>
      </w:pPr>
      <w:r>
        <w:rPr>
          <w:rFonts w:ascii="Arial" w:eastAsia="Arial" w:hAnsi="Arial" w:cs="Arial"/>
          <w:color w:val="000000"/>
          <w:sz w:val="20"/>
          <w:szCs w:val="20"/>
        </w:rPr>
        <w:t>A verificação pelo pregoeiro, em sítios eletrônicos oficiais de órgãos e entidades emissores de certidões constitui meio legal de prova, para fins de habilitação.</w:t>
      </w:r>
    </w:p>
    <w:p w14:paraId="417DCF0C" w14:textId="77777777" w:rsidR="002775AD" w:rsidRDefault="00000000">
      <w:pPr>
        <w:numPr>
          <w:ilvl w:val="2"/>
          <w:numId w:val="1"/>
        </w:numPr>
        <w:spacing w:before="120" w:after="120" w:line="360" w:lineRule="auto"/>
        <w:ind w:left="567" w:firstLine="567"/>
        <w:jc w:val="both"/>
      </w:pPr>
      <w:bookmarkStart w:id="31" w:name="_heading=h.ihv636" w:colFirst="0" w:colLast="0"/>
      <w:bookmarkEnd w:id="31"/>
      <w:r>
        <w:rPr>
          <w:rFonts w:ascii="Arial" w:eastAsia="Arial" w:hAnsi="Arial" w:cs="Arial"/>
          <w:color w:val="000000"/>
          <w:sz w:val="20"/>
          <w:szCs w:val="20"/>
        </w:rPr>
        <w:t xml:space="preserve">Os documentos exigidos para habilitação que não estejam contemplados no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xml:space="preserve"> serão enviados por meio do sistema, em formato digital, no prazo de 2 (duas) horas, ou conforme solicitação do Pregoeiro através do chat, prorrogável por igual período, contado da solicitação do pregoeiro.</w:t>
      </w:r>
    </w:p>
    <w:p w14:paraId="127CDDB2" w14:textId="77777777" w:rsidR="002775AD" w:rsidRDefault="00000000">
      <w:pPr>
        <w:numPr>
          <w:ilvl w:val="2"/>
          <w:numId w:val="1"/>
        </w:numP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47">
        <w:r>
          <w:rPr>
            <w:rFonts w:ascii="Arial" w:eastAsia="Arial" w:hAnsi="Arial" w:cs="Arial"/>
            <w:color w:val="0000FF"/>
            <w:sz w:val="20"/>
            <w:szCs w:val="20"/>
            <w:u w:val="single"/>
          </w:rPr>
          <w:t xml:space="preserve">§ 1º do art. 36 e no § 1º do art. 39 da </w:t>
        </w:r>
      </w:hyperlink>
      <w:hyperlink r:id="rId48">
        <w:r>
          <w:rPr>
            <w:rFonts w:ascii="Arial" w:eastAsia="Arial" w:hAnsi="Arial" w:cs="Arial"/>
            <w:i/>
            <w:color w:val="0000FF"/>
            <w:sz w:val="20"/>
            <w:szCs w:val="20"/>
            <w:u w:val="single"/>
          </w:rPr>
          <w:t>Instrução Normativa SEGES nº 73, de 30 de setembro de 2022</w:t>
        </w:r>
      </w:hyperlink>
      <w:hyperlink r:id="rId49">
        <w:r>
          <w:rPr>
            <w:rFonts w:ascii="Arial" w:eastAsia="Arial" w:hAnsi="Arial" w:cs="Arial"/>
            <w:color w:val="0000FF"/>
            <w:sz w:val="20"/>
            <w:szCs w:val="20"/>
            <w:u w:val="single"/>
          </w:rPr>
          <w:t>.</w:t>
        </w:r>
      </w:hyperlink>
      <w:r>
        <w:fldChar w:fldCharType="begin"/>
      </w:r>
      <w:r>
        <w:instrText xml:space="preserve"> HYPERLINK "https://www.gov.br/compras/pt-br/acesso-a-informacao/legislacao/instrucoes-normativas/instrucao-normativa-seges-me-no-73-de-30-de-setembro-de-2022" </w:instrText>
      </w:r>
      <w:r>
        <w:fldChar w:fldCharType="separate"/>
      </w:r>
    </w:p>
    <w:p w14:paraId="5B51C370" w14:textId="77777777" w:rsidR="002775AD" w:rsidRDefault="00000000">
      <w:pPr>
        <w:numPr>
          <w:ilvl w:val="1"/>
          <w:numId w:val="1"/>
        </w:numPr>
        <w:spacing w:before="288" w:after="288" w:line="312" w:lineRule="auto"/>
        <w:ind w:left="-87" w:firstLine="567"/>
        <w:jc w:val="both"/>
        <w:rPr>
          <w:rFonts w:ascii="Arial" w:eastAsia="Arial" w:hAnsi="Arial" w:cs="Arial"/>
          <w:i/>
          <w:color w:val="000000"/>
          <w:sz w:val="20"/>
          <w:szCs w:val="20"/>
        </w:rPr>
      </w:pPr>
      <w:r>
        <w:fldChar w:fldCharType="end"/>
      </w:r>
      <w:r>
        <w:rPr>
          <w:rFonts w:ascii="Arial" w:eastAsia="Arial" w:hAnsi="Arial" w:cs="Arial"/>
          <w:color w:val="000000"/>
          <w:sz w:val="20"/>
          <w:szCs w:val="20"/>
        </w:rPr>
        <w:t xml:space="preserve">A verificação no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xml:space="preserve"> ou a exigência dos documentos nele não contidos somente será feita em relação ao licitante vencedor.</w:t>
      </w:r>
    </w:p>
    <w:p w14:paraId="6AC38E5B" w14:textId="77777777" w:rsidR="002775AD" w:rsidRDefault="00000000">
      <w:pPr>
        <w:numPr>
          <w:ilvl w:val="2"/>
          <w:numId w:val="1"/>
        </w:numP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Os documentos relativos à regularidade fiscal que constem do Termo de Referência somente serão exigidos, em qualquer caso, em momento posterior ao julgamento das propostas, e apenas do licitante mais bem classificado.</w:t>
      </w:r>
    </w:p>
    <w:p w14:paraId="6B391DC3" w14:textId="77777777" w:rsidR="002775AD" w:rsidRDefault="00000000">
      <w:pPr>
        <w:numPr>
          <w:ilvl w:val="2"/>
          <w:numId w:val="1"/>
        </w:numP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lastRenderedPageBreak/>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0937A07A" w14:textId="77777777" w:rsidR="002775AD" w:rsidRDefault="00000000">
      <w:pPr>
        <w:numPr>
          <w:ilvl w:val="1"/>
          <w:numId w:val="1"/>
        </w:numPr>
        <w:spacing w:before="288" w:after="288" w:line="312" w:lineRule="auto"/>
        <w:ind w:left="-87" w:firstLine="567"/>
        <w:jc w:val="both"/>
        <w:rPr>
          <w:rFonts w:ascii="Arial" w:eastAsia="Arial" w:hAnsi="Arial" w:cs="Arial"/>
          <w:i/>
          <w:color w:val="000000"/>
          <w:sz w:val="20"/>
          <w:szCs w:val="20"/>
        </w:rPr>
      </w:pPr>
      <w:r>
        <w:rPr>
          <w:rFonts w:ascii="Arial" w:eastAsia="Arial" w:hAnsi="Arial" w:cs="Arial"/>
          <w:color w:val="000000"/>
          <w:sz w:val="20"/>
          <w:szCs w:val="20"/>
        </w:rPr>
        <w:t>Após a entrega dos documentos para habilitação, não será permitida a substituição ou a apresentação de novos documentos, salvo em sede de diligência, para (</w:t>
      </w:r>
      <w:hyperlink r:id="rId50" w:anchor="art64">
        <w:r>
          <w:rPr>
            <w:rFonts w:ascii="Arial" w:eastAsia="Arial" w:hAnsi="Arial" w:cs="Arial"/>
            <w:color w:val="0000FF"/>
            <w:sz w:val="20"/>
            <w:szCs w:val="20"/>
            <w:u w:val="single"/>
          </w:rPr>
          <w:t>Lei 14.133/21, art. 64</w:t>
        </w:r>
      </w:hyperlink>
      <w:r>
        <w:rPr>
          <w:rFonts w:ascii="Arial" w:eastAsia="Arial" w:hAnsi="Arial" w:cs="Arial"/>
          <w:color w:val="000000"/>
          <w:sz w:val="20"/>
          <w:szCs w:val="20"/>
        </w:rPr>
        <w:t xml:space="preserve">, e </w:t>
      </w:r>
      <w:hyperlink r:id="rId51">
        <w:r>
          <w:rPr>
            <w:rFonts w:ascii="Arial" w:eastAsia="Arial" w:hAnsi="Arial" w:cs="Arial"/>
            <w:color w:val="0000FF"/>
            <w:sz w:val="20"/>
            <w:szCs w:val="20"/>
            <w:u w:val="single"/>
          </w:rPr>
          <w:t>IN 73/2022, art. 39, §4º</w:t>
        </w:r>
      </w:hyperlink>
      <w:r>
        <w:rPr>
          <w:rFonts w:ascii="Arial" w:eastAsia="Arial" w:hAnsi="Arial" w:cs="Arial"/>
          <w:color w:val="000000"/>
          <w:sz w:val="20"/>
          <w:szCs w:val="20"/>
        </w:rPr>
        <w:t>):</w:t>
      </w:r>
    </w:p>
    <w:p w14:paraId="36142BAF" w14:textId="77777777" w:rsidR="002775AD" w:rsidRDefault="00000000">
      <w:pPr>
        <w:numPr>
          <w:ilvl w:val="2"/>
          <w:numId w:val="1"/>
        </w:numP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complementação de informações acerca dos documentos já apresentados pelos licitantes e desde que necessária para apurar fatos existentes à época da abertura do certame; e</w:t>
      </w:r>
    </w:p>
    <w:p w14:paraId="3EDC975D" w14:textId="77777777" w:rsidR="002775AD" w:rsidRDefault="00000000">
      <w:pPr>
        <w:numPr>
          <w:ilvl w:val="2"/>
          <w:numId w:val="1"/>
        </w:numP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atualização de documentos cuja validade tenha expirado após a data de recebimento das propostas;</w:t>
      </w:r>
    </w:p>
    <w:p w14:paraId="2FA7ACDE" w14:textId="77777777" w:rsidR="002775AD" w:rsidRDefault="00000000">
      <w:pPr>
        <w:numPr>
          <w:ilvl w:val="2"/>
          <w:numId w:val="1"/>
        </w:numPr>
        <w:spacing w:before="120" w:after="120" w:line="360" w:lineRule="auto"/>
        <w:ind w:left="567" w:firstLine="567"/>
        <w:jc w:val="both"/>
        <w:rPr>
          <w:rFonts w:ascii="Arial" w:eastAsia="Arial" w:hAnsi="Arial" w:cs="Arial"/>
          <w:b/>
          <w:color w:val="000000"/>
          <w:sz w:val="20"/>
          <w:szCs w:val="20"/>
        </w:rPr>
      </w:pPr>
      <w:r>
        <w:rPr>
          <w:rFonts w:ascii="Arial" w:eastAsia="Arial" w:hAnsi="Arial" w:cs="Arial"/>
          <w:b/>
          <w:color w:val="000000"/>
          <w:sz w:val="20"/>
          <w:szCs w:val="20"/>
        </w:rPr>
        <w:t>A desclassificação da licitante sem que lhe seja conferida a oportunidade para sanear os seus documentos de habilitação e/ou proposta, resulta em objetivo dissociado do interesse público (Acordão n.º 1211/2021 – Plenário do TCU);</w:t>
      </w:r>
    </w:p>
    <w:p w14:paraId="4E9F9192" w14:textId="77777777" w:rsidR="002775AD" w:rsidRDefault="00000000">
      <w:pPr>
        <w:numPr>
          <w:ilvl w:val="2"/>
          <w:numId w:val="1"/>
        </w:numPr>
        <w:spacing w:before="120" w:after="120" w:line="360" w:lineRule="auto"/>
        <w:ind w:left="567" w:firstLine="567"/>
        <w:jc w:val="both"/>
        <w:rPr>
          <w:rFonts w:ascii="Arial" w:eastAsia="Arial" w:hAnsi="Arial" w:cs="Arial"/>
          <w:b/>
          <w:color w:val="000000"/>
          <w:sz w:val="20"/>
          <w:szCs w:val="20"/>
        </w:rPr>
      </w:pPr>
      <w:r>
        <w:rPr>
          <w:rFonts w:ascii="Arial" w:eastAsia="Arial" w:hAnsi="Arial" w:cs="Arial"/>
          <w:b/>
          <w:color w:val="000000"/>
          <w:sz w:val="20"/>
          <w:szCs w:val="20"/>
        </w:rPr>
        <w:t>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 conforme Acórdãos do TCU 2.673/2021 e 2.443/2021, ambos do Plenário.</w:t>
      </w:r>
    </w:p>
    <w:p w14:paraId="5AA06E78" w14:textId="77777777" w:rsidR="002775AD" w:rsidRDefault="00000000">
      <w:pPr>
        <w:numPr>
          <w:ilvl w:val="1"/>
          <w:numId w:val="1"/>
        </w:numPr>
        <w:spacing w:before="288" w:after="288" w:line="312" w:lineRule="auto"/>
        <w:ind w:left="-87" w:firstLine="567"/>
        <w:jc w:val="both"/>
        <w:rPr>
          <w:rFonts w:ascii="Arial" w:eastAsia="Arial" w:hAnsi="Arial" w:cs="Arial"/>
          <w:i/>
          <w:color w:val="000000"/>
          <w:sz w:val="20"/>
          <w:szCs w:val="20"/>
        </w:rPr>
      </w:pPr>
      <w:bookmarkStart w:id="32" w:name="_heading=h.32hioqz" w:colFirst="0" w:colLast="0"/>
      <w:bookmarkEnd w:id="32"/>
      <w:r>
        <w:rPr>
          <w:rFonts w:ascii="Arial" w:eastAsia="Arial" w:hAnsi="Arial" w:cs="Arial"/>
          <w:color w:val="000000"/>
          <w:sz w:val="20"/>
          <w:szCs w:val="20"/>
        </w:rPr>
        <w:t xml:space="preserve">Na análise dos documentos de habilitação, a comissão de contratação poderá sanar erros ou falhas, que não alterem a substância dos documentos e sua validade jurídica, mediante decisão fundamentada, registrada em ata e acessível a todos, atribuindo-lhes </w:t>
      </w:r>
      <w:proofErr w:type="spellStart"/>
      <w:r>
        <w:rPr>
          <w:rFonts w:ascii="Arial" w:eastAsia="Arial" w:hAnsi="Arial" w:cs="Arial"/>
          <w:color w:val="000000"/>
          <w:sz w:val="20"/>
          <w:szCs w:val="20"/>
        </w:rPr>
        <w:t>eﬁcácia</w:t>
      </w:r>
      <w:proofErr w:type="spellEnd"/>
      <w:r>
        <w:rPr>
          <w:rFonts w:ascii="Arial" w:eastAsia="Arial" w:hAnsi="Arial" w:cs="Arial"/>
          <w:color w:val="000000"/>
          <w:sz w:val="20"/>
          <w:szCs w:val="20"/>
        </w:rPr>
        <w:t xml:space="preserve"> para fins de habilitação e classificação.</w:t>
      </w:r>
    </w:p>
    <w:p w14:paraId="57BAE907" w14:textId="77777777" w:rsidR="002775AD" w:rsidRDefault="00000000">
      <w:pPr>
        <w:numPr>
          <w:ilvl w:val="1"/>
          <w:numId w:val="1"/>
        </w:numPr>
        <w:spacing w:before="288" w:after="288" w:line="312" w:lineRule="auto"/>
        <w:ind w:left="-87" w:firstLine="567"/>
        <w:jc w:val="both"/>
        <w:rPr>
          <w:rFonts w:ascii="Arial" w:eastAsia="Arial" w:hAnsi="Arial" w:cs="Arial"/>
          <w:i/>
          <w:color w:val="000000"/>
          <w:sz w:val="20"/>
          <w:szCs w:val="20"/>
        </w:rPr>
      </w:pPr>
      <w:bookmarkStart w:id="33" w:name="_heading=h.1hmsyys" w:colFirst="0" w:colLast="0"/>
      <w:bookmarkEnd w:id="33"/>
      <w:r>
        <w:rPr>
          <w:rFonts w:ascii="Arial" w:eastAsia="Arial" w:hAnsi="Arial" w:cs="Arial"/>
          <w:color w:val="000000"/>
          <w:sz w:val="20"/>
          <w:szCs w:val="20"/>
        </w:rPr>
        <w:t>Na hipótese de o licitante não atender às exigências para habilitação, o pregoeiro examinará a proposta subsequente e assim sucessivamente, na ordem de classificação, até a apuração de uma proposta que atenda ao presente edital, observado o prazo disposto no subitem 7.12.1.</w:t>
      </w:r>
    </w:p>
    <w:p w14:paraId="388A9FEA" w14:textId="77777777" w:rsidR="002775AD" w:rsidRDefault="00000000">
      <w:pPr>
        <w:numPr>
          <w:ilvl w:val="1"/>
          <w:numId w:val="1"/>
        </w:numPr>
        <w:spacing w:before="288" w:after="288" w:line="312" w:lineRule="auto"/>
        <w:ind w:left="-87" w:firstLine="567"/>
        <w:jc w:val="both"/>
        <w:rPr>
          <w:rFonts w:ascii="Arial" w:eastAsia="Arial" w:hAnsi="Arial" w:cs="Arial"/>
          <w:i/>
          <w:color w:val="000000"/>
          <w:sz w:val="20"/>
          <w:szCs w:val="20"/>
        </w:rPr>
      </w:pPr>
      <w:bookmarkStart w:id="34" w:name="_heading=h.41mghml" w:colFirst="0" w:colLast="0"/>
      <w:bookmarkEnd w:id="34"/>
      <w:r>
        <w:rPr>
          <w:rFonts w:ascii="Arial" w:eastAsia="Arial" w:hAnsi="Arial" w:cs="Arial"/>
          <w:color w:val="000000"/>
          <w:sz w:val="20"/>
          <w:szCs w:val="20"/>
        </w:rPr>
        <w:t>Somente serão disponibilizados para acesso público os documentos de habilitação do licitante cuja proposta atenda ao edital de licitação, após concluídos os procedimentos de que trata o subitem anterior.</w:t>
      </w:r>
    </w:p>
    <w:p w14:paraId="39259CD7" w14:textId="77777777" w:rsidR="002775AD" w:rsidRDefault="00000000">
      <w:pPr>
        <w:numPr>
          <w:ilvl w:val="1"/>
          <w:numId w:val="1"/>
        </w:numPr>
        <w:spacing w:before="288" w:after="288" w:line="312" w:lineRule="auto"/>
        <w:ind w:left="-87" w:firstLine="567"/>
        <w:jc w:val="both"/>
        <w:rPr>
          <w:rFonts w:ascii="Arial" w:eastAsia="Arial" w:hAnsi="Arial" w:cs="Arial"/>
          <w:i/>
          <w:color w:val="000000"/>
          <w:sz w:val="20"/>
          <w:szCs w:val="20"/>
        </w:rPr>
      </w:pPr>
      <w:r>
        <w:rPr>
          <w:rFonts w:ascii="Arial" w:eastAsia="Arial" w:hAnsi="Arial" w:cs="Arial"/>
          <w:color w:val="000000"/>
          <w:sz w:val="20"/>
          <w:szCs w:val="20"/>
        </w:rPr>
        <w:t>A comprovação de regularidade fiscal e trabalhista das microempresas e das empresas de pequeno porte somente será exigida para efeito de contratação, e não como condição para participação na licitação (</w:t>
      </w:r>
      <w:hyperlink r:id="rId52" w:anchor="art4">
        <w:r>
          <w:rPr>
            <w:rFonts w:ascii="Arial" w:eastAsia="Arial" w:hAnsi="Arial" w:cs="Arial"/>
            <w:color w:val="0000FF"/>
            <w:sz w:val="20"/>
            <w:szCs w:val="20"/>
            <w:u w:val="single"/>
          </w:rPr>
          <w:t>art. 4º do Decreto nº 8.538/2015</w:t>
        </w:r>
      </w:hyperlink>
      <w:r>
        <w:rPr>
          <w:rFonts w:ascii="Arial" w:eastAsia="Arial" w:hAnsi="Arial" w:cs="Arial"/>
          <w:color w:val="000000"/>
          <w:sz w:val="20"/>
          <w:szCs w:val="20"/>
        </w:rPr>
        <w:t>).</w:t>
      </w:r>
    </w:p>
    <w:p w14:paraId="72FEACDC" w14:textId="77777777" w:rsidR="002775AD" w:rsidRDefault="00000000">
      <w:pPr>
        <w:numPr>
          <w:ilvl w:val="1"/>
          <w:numId w:val="1"/>
        </w:numPr>
        <w:spacing w:before="288" w:after="288" w:line="312" w:lineRule="auto"/>
        <w:ind w:left="-87" w:firstLine="567"/>
        <w:jc w:val="both"/>
        <w:rPr>
          <w:rFonts w:ascii="Arial" w:eastAsia="Arial" w:hAnsi="Arial" w:cs="Arial"/>
          <w:i/>
          <w:color w:val="000000"/>
          <w:sz w:val="20"/>
          <w:szCs w:val="20"/>
          <w:highlight w:val="yellow"/>
        </w:rPr>
      </w:pPr>
      <w:r>
        <w:rPr>
          <w:rFonts w:ascii="Arial" w:eastAsia="Arial" w:hAnsi="Arial" w:cs="Arial"/>
          <w:color w:val="000000"/>
          <w:sz w:val="20"/>
          <w:szCs w:val="20"/>
          <w:highlight w:val="yellow"/>
        </w:rPr>
        <w:t>Quando a fase de habilitação anteceder a de julgamento e já tiver sido encerrada, não caberá exclusão de licitante por motivo relacionado à habilitação, salvo em razão de fatos supervenientes ou só conhecidos após o julgamento.</w:t>
      </w:r>
    </w:p>
    <w:p w14:paraId="2F3A5C13" w14:textId="77777777" w:rsidR="002775AD" w:rsidRDefault="002775AD">
      <w:pPr>
        <w:spacing w:before="288" w:after="288" w:line="312" w:lineRule="auto"/>
        <w:ind w:left="567"/>
        <w:jc w:val="both"/>
        <w:rPr>
          <w:rFonts w:ascii="Arial" w:eastAsia="Arial" w:hAnsi="Arial" w:cs="Arial"/>
          <w:i/>
          <w:color w:val="000000"/>
          <w:sz w:val="20"/>
          <w:szCs w:val="20"/>
          <w:highlight w:val="lightGray"/>
        </w:rPr>
      </w:pPr>
    </w:p>
    <w:p w14:paraId="6CEB0AF5" w14:textId="77777777" w:rsidR="002775AD" w:rsidRDefault="00000000">
      <w:pPr>
        <w:keepNext/>
        <w:keepLines/>
        <w:numPr>
          <w:ilvl w:val="0"/>
          <w:numId w:val="1"/>
        </w:numP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5" w:name="_heading=h.2grqrue" w:colFirst="0" w:colLast="0"/>
      <w:bookmarkEnd w:id="35"/>
      <w:r>
        <w:rPr>
          <w:rFonts w:ascii="Arial" w:eastAsia="Arial" w:hAnsi="Arial" w:cs="Arial"/>
          <w:b/>
          <w:color w:val="000000"/>
          <w:sz w:val="20"/>
          <w:szCs w:val="20"/>
          <w:highlight w:val="lightGray"/>
        </w:rPr>
        <w:lastRenderedPageBreak/>
        <w:t>DOS RECURSOS</w:t>
      </w:r>
    </w:p>
    <w:p w14:paraId="101052D7"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A interposição de recurso referente ao julgamento das propostas, à habilitação ou inabilitação de licitantes, à anulação ou revogação da licitação, observará o disposto no </w:t>
      </w:r>
      <w:hyperlink r:id="rId53" w:anchor="art165">
        <w:r>
          <w:rPr>
            <w:rFonts w:ascii="Arial" w:eastAsia="Arial" w:hAnsi="Arial" w:cs="Arial"/>
            <w:color w:val="0000FF"/>
            <w:sz w:val="20"/>
            <w:szCs w:val="20"/>
            <w:u w:val="single"/>
          </w:rPr>
          <w:t>art. 165 da Lei nº 14.133, de 2021</w:t>
        </w:r>
      </w:hyperlink>
      <w:r>
        <w:rPr>
          <w:rFonts w:ascii="Arial" w:eastAsia="Arial" w:hAnsi="Arial" w:cs="Arial"/>
          <w:color w:val="000000"/>
          <w:sz w:val="20"/>
          <w:szCs w:val="20"/>
        </w:rPr>
        <w:t>.</w:t>
      </w:r>
    </w:p>
    <w:p w14:paraId="5D46C311"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O prazo recursal é de 3 (três) dias úteis, contados da data de intimação ou de lavratura da ata.</w:t>
      </w:r>
    </w:p>
    <w:p w14:paraId="7EB64F85"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Quando o recurso apresentado impugnar o julgamento das propostas ou o ato de habilitação ou inabilitação do licitante:</w:t>
      </w:r>
    </w:p>
    <w:p w14:paraId="3315942F"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a intenção de recorrer deverá ser manifestada imediatamente, sob pena de preclusão;</w:t>
      </w:r>
    </w:p>
    <w:p w14:paraId="5DE29415"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o prazo para apresentação das razões recursais será iniciado na data de intimação ou de lavratura da ata de habilitação ou inabilitação;</w:t>
      </w:r>
    </w:p>
    <w:p w14:paraId="5857CEA2"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na hipótese de adoção da inversão de fases prevista no </w:t>
      </w:r>
      <w:hyperlink r:id="rId54" w:anchor="art17%C2%A71">
        <w:r>
          <w:rPr>
            <w:rFonts w:ascii="Arial" w:eastAsia="Arial" w:hAnsi="Arial" w:cs="Arial"/>
            <w:color w:val="0000FF"/>
            <w:sz w:val="20"/>
            <w:szCs w:val="20"/>
            <w:u w:val="single"/>
          </w:rPr>
          <w:t>§ 1º do art. 17 da Lei nº 14.133, de 2021</w:t>
        </w:r>
      </w:hyperlink>
      <w:r>
        <w:rPr>
          <w:rFonts w:ascii="Arial" w:eastAsia="Arial" w:hAnsi="Arial" w:cs="Arial"/>
          <w:color w:val="000000"/>
          <w:sz w:val="20"/>
          <w:szCs w:val="20"/>
        </w:rPr>
        <w:t>, o prazo para apresentação das razões recursais será iniciado na data de intimação da ata de julgamento.</w:t>
      </w:r>
    </w:p>
    <w:p w14:paraId="3B9EF0FF"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Os recursos deverão ser encaminhados em campo próprio do sistema.</w:t>
      </w:r>
    </w:p>
    <w:p w14:paraId="5B903FCD"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47EC7B28"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Os recursos interpostos fora do prazo não serão conhecidos. </w:t>
      </w:r>
    </w:p>
    <w:p w14:paraId="563D85A5"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113CFC29"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O recurso e o pedido de reconsideração terão efeito suspensivo do ato ou da decisão recorrida até que sobrevenha decisão final da autoridade competente. </w:t>
      </w:r>
    </w:p>
    <w:p w14:paraId="6BA275FA"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O acolhimento do recurso invalida tão somente os atos insuscetíveis de aproveitamento. </w:t>
      </w:r>
    </w:p>
    <w:p w14:paraId="5294E3CB"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Os autos do processo permanecerão com vista franqueada aos interessados, por meio do clique no nº do processo, constante também do endereço eletrônico &lt;</w:t>
      </w:r>
      <w:hyperlink r:id="rId55">
        <w:r>
          <w:rPr>
            <w:rFonts w:ascii="Arial" w:eastAsia="Arial" w:hAnsi="Arial" w:cs="Arial"/>
            <w:color w:val="000000"/>
            <w:sz w:val="20"/>
            <w:szCs w:val="20"/>
          </w:rPr>
          <w:t xml:space="preserve"> www.uff.br/licitacoes</w:t>
        </w:r>
      </w:hyperlink>
      <w:r>
        <w:rPr>
          <w:rFonts w:ascii="Arial" w:eastAsia="Arial" w:hAnsi="Arial" w:cs="Arial"/>
          <w:color w:val="000000"/>
          <w:sz w:val="20"/>
          <w:szCs w:val="20"/>
        </w:rPr>
        <w:t>&gt;.</w:t>
      </w:r>
    </w:p>
    <w:p w14:paraId="34F3B2D8" w14:textId="77777777" w:rsidR="002775AD" w:rsidRDefault="002775AD">
      <w:pPr>
        <w:spacing w:before="288" w:after="288" w:line="312" w:lineRule="auto"/>
        <w:ind w:left="567"/>
        <w:jc w:val="both"/>
        <w:rPr>
          <w:rFonts w:ascii="Arial" w:eastAsia="Arial" w:hAnsi="Arial" w:cs="Arial"/>
          <w:color w:val="000000"/>
          <w:sz w:val="20"/>
          <w:szCs w:val="20"/>
        </w:rPr>
      </w:pPr>
    </w:p>
    <w:p w14:paraId="0420E8FB" w14:textId="77777777" w:rsidR="002775AD" w:rsidRDefault="00000000">
      <w:pPr>
        <w:keepNext/>
        <w:keepLines/>
        <w:numPr>
          <w:ilvl w:val="0"/>
          <w:numId w:val="1"/>
        </w:numP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6" w:name="_heading=h.vx1227" w:colFirst="0" w:colLast="0"/>
      <w:bookmarkEnd w:id="36"/>
      <w:r>
        <w:rPr>
          <w:rFonts w:ascii="Arial" w:eastAsia="Arial" w:hAnsi="Arial" w:cs="Arial"/>
          <w:b/>
          <w:color w:val="000000"/>
          <w:sz w:val="20"/>
          <w:szCs w:val="20"/>
          <w:highlight w:val="lightGray"/>
        </w:rPr>
        <w:lastRenderedPageBreak/>
        <w:t>DAS INFRAÇÕES ADMINISTRATIVAS E SANÇÕES</w:t>
      </w:r>
    </w:p>
    <w:p w14:paraId="7D9696DC"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Comete infração administrativa, nos termos da lei, o licitante que, com dolo ou culpa: </w:t>
      </w:r>
    </w:p>
    <w:p w14:paraId="1526602C" w14:textId="77777777" w:rsidR="002775AD" w:rsidRDefault="00000000">
      <w:pPr>
        <w:numPr>
          <w:ilvl w:val="2"/>
          <w:numId w:val="1"/>
        </w:numPr>
        <w:spacing w:before="120" w:after="120" w:line="360" w:lineRule="auto"/>
        <w:ind w:left="567" w:firstLine="567"/>
        <w:jc w:val="both"/>
      </w:pPr>
      <w:bookmarkStart w:id="37" w:name="_heading=h.3fwokq0" w:colFirst="0" w:colLast="0"/>
      <w:bookmarkEnd w:id="37"/>
      <w:r>
        <w:rPr>
          <w:rFonts w:ascii="Arial" w:eastAsia="Arial" w:hAnsi="Arial" w:cs="Arial"/>
          <w:color w:val="000000"/>
          <w:sz w:val="20"/>
          <w:szCs w:val="20"/>
        </w:rPr>
        <w:t>deixar de entregar a documentação exigida para o certame ou não entregar qualquer documento que tenha sido solicitado pelo/a pregoeiro/a durante o certame;</w:t>
      </w:r>
    </w:p>
    <w:p w14:paraId="7C444156" w14:textId="77777777" w:rsidR="002775AD" w:rsidRDefault="00000000">
      <w:pPr>
        <w:numPr>
          <w:ilvl w:val="2"/>
          <w:numId w:val="1"/>
        </w:numPr>
        <w:spacing w:before="120" w:after="120" w:line="360" w:lineRule="auto"/>
        <w:ind w:left="567" w:firstLine="567"/>
        <w:jc w:val="both"/>
      </w:pPr>
      <w:bookmarkStart w:id="38" w:name="_heading=h.1v1yuxt" w:colFirst="0" w:colLast="0"/>
      <w:bookmarkEnd w:id="38"/>
      <w:r>
        <w:rPr>
          <w:rFonts w:ascii="Arial" w:eastAsia="Arial" w:hAnsi="Arial" w:cs="Arial"/>
          <w:color w:val="000000"/>
          <w:sz w:val="20"/>
          <w:szCs w:val="20"/>
        </w:rPr>
        <w:t>Salvo em decorrência de fato superveniente devidamente justificado, não mantiver a proposta em especial quando:</w:t>
      </w:r>
    </w:p>
    <w:p w14:paraId="618B79C6" w14:textId="77777777" w:rsidR="002775AD" w:rsidRDefault="00000000">
      <w:pPr>
        <w:numPr>
          <w:ilvl w:val="3"/>
          <w:numId w:val="1"/>
        </w:numPr>
        <w:spacing w:before="120" w:after="120" w:line="312" w:lineRule="auto"/>
        <w:ind w:left="1276" w:firstLine="284"/>
        <w:jc w:val="both"/>
      </w:pPr>
      <w:r>
        <w:rPr>
          <w:rFonts w:ascii="Arial" w:eastAsia="Arial" w:hAnsi="Arial" w:cs="Arial"/>
          <w:color w:val="000000"/>
          <w:sz w:val="20"/>
          <w:szCs w:val="20"/>
        </w:rPr>
        <w:t xml:space="preserve">não enviar a proposta adequada ao último lance ofertado ou após a negociação; </w:t>
      </w:r>
    </w:p>
    <w:p w14:paraId="3ECB92BF" w14:textId="77777777" w:rsidR="002775AD" w:rsidRDefault="00000000">
      <w:pPr>
        <w:numPr>
          <w:ilvl w:val="3"/>
          <w:numId w:val="1"/>
        </w:numPr>
        <w:spacing w:before="120" w:after="120" w:line="312" w:lineRule="auto"/>
        <w:ind w:left="1276" w:firstLine="284"/>
        <w:jc w:val="both"/>
      </w:pPr>
      <w:r>
        <w:rPr>
          <w:rFonts w:ascii="Arial" w:eastAsia="Arial" w:hAnsi="Arial" w:cs="Arial"/>
          <w:color w:val="000000"/>
          <w:sz w:val="20"/>
          <w:szCs w:val="20"/>
        </w:rPr>
        <w:t xml:space="preserve">recusar-se a enviar o detalhamento da proposta quando exigível; </w:t>
      </w:r>
    </w:p>
    <w:p w14:paraId="22C97FDB" w14:textId="77777777" w:rsidR="002775AD" w:rsidRDefault="00000000">
      <w:pPr>
        <w:numPr>
          <w:ilvl w:val="3"/>
          <w:numId w:val="1"/>
        </w:numPr>
        <w:spacing w:before="120" w:after="120" w:line="312" w:lineRule="auto"/>
        <w:ind w:left="1276" w:firstLine="284"/>
        <w:jc w:val="both"/>
      </w:pPr>
      <w:r>
        <w:rPr>
          <w:rFonts w:ascii="Arial" w:eastAsia="Arial" w:hAnsi="Arial" w:cs="Arial"/>
          <w:color w:val="000000"/>
          <w:sz w:val="20"/>
          <w:szCs w:val="20"/>
        </w:rPr>
        <w:t xml:space="preserve">pedir para ser desclassificado quando encerrada a etapa competitiva; ou </w:t>
      </w:r>
    </w:p>
    <w:p w14:paraId="273ABF90" w14:textId="77777777" w:rsidR="002775AD" w:rsidRDefault="00000000">
      <w:pPr>
        <w:numPr>
          <w:ilvl w:val="3"/>
          <w:numId w:val="1"/>
        </w:numPr>
        <w:spacing w:before="120" w:after="120" w:line="312" w:lineRule="auto"/>
        <w:ind w:left="1276" w:firstLine="284"/>
        <w:jc w:val="both"/>
      </w:pPr>
      <w:r>
        <w:rPr>
          <w:rFonts w:ascii="Arial" w:eastAsia="Arial" w:hAnsi="Arial" w:cs="Arial"/>
          <w:color w:val="000000"/>
          <w:sz w:val="20"/>
          <w:szCs w:val="20"/>
        </w:rPr>
        <w:t>deixar de apresentar amostra;</w:t>
      </w:r>
    </w:p>
    <w:p w14:paraId="13D3CA56" w14:textId="77777777" w:rsidR="002775AD" w:rsidRDefault="00000000">
      <w:pPr>
        <w:numPr>
          <w:ilvl w:val="3"/>
          <w:numId w:val="1"/>
        </w:numPr>
        <w:spacing w:before="120" w:after="120" w:line="312" w:lineRule="auto"/>
        <w:ind w:left="1276" w:firstLine="284"/>
        <w:jc w:val="both"/>
      </w:pPr>
      <w:r>
        <w:rPr>
          <w:rFonts w:ascii="Arial" w:eastAsia="Arial" w:hAnsi="Arial" w:cs="Arial"/>
          <w:color w:val="000000"/>
          <w:sz w:val="20"/>
          <w:szCs w:val="20"/>
        </w:rPr>
        <w:t xml:space="preserve">apresentar proposta ou amostra em desacordo com as especificações do edital; </w:t>
      </w:r>
    </w:p>
    <w:p w14:paraId="3F06029C" w14:textId="77777777" w:rsidR="002775AD" w:rsidRDefault="00000000">
      <w:pPr>
        <w:numPr>
          <w:ilvl w:val="2"/>
          <w:numId w:val="1"/>
        </w:numPr>
        <w:spacing w:before="288" w:after="288" w:line="312" w:lineRule="auto"/>
        <w:ind w:left="567" w:firstLine="567"/>
        <w:jc w:val="both"/>
      </w:pPr>
      <w:bookmarkStart w:id="39" w:name="_heading=h.4f1mdlm" w:colFirst="0" w:colLast="0"/>
      <w:bookmarkEnd w:id="39"/>
      <w:r>
        <w:rPr>
          <w:rFonts w:ascii="Arial" w:eastAsia="Arial" w:hAnsi="Arial" w:cs="Arial"/>
          <w:color w:val="000000"/>
          <w:sz w:val="20"/>
          <w:szCs w:val="20"/>
        </w:rPr>
        <w:t>não celebrar o contrato ou não entregar a documentação exigida para a contratação, quando convocado dentro do prazo de validade de sua proposta;</w:t>
      </w:r>
    </w:p>
    <w:p w14:paraId="649EEB71" w14:textId="77777777" w:rsidR="002775AD" w:rsidRDefault="00000000">
      <w:pPr>
        <w:numPr>
          <w:ilvl w:val="3"/>
          <w:numId w:val="1"/>
        </w:numPr>
        <w:spacing w:before="288" w:after="288" w:line="312" w:lineRule="auto"/>
        <w:ind w:left="1276" w:firstLine="284"/>
        <w:jc w:val="both"/>
      </w:pPr>
      <w:r>
        <w:rPr>
          <w:rFonts w:ascii="Arial" w:eastAsia="Arial" w:hAnsi="Arial" w:cs="Arial"/>
          <w:color w:val="000000"/>
          <w:sz w:val="20"/>
          <w:szCs w:val="20"/>
        </w:rPr>
        <w:t>recusar-se, sem justificativa, a assinar o contrato ou a ata de registro de preço, ou a aceitar ou retirar o instrumento equivalente no prazo estabelecido pela Administração;</w:t>
      </w:r>
    </w:p>
    <w:p w14:paraId="3FBB46E9" w14:textId="77777777" w:rsidR="002775AD" w:rsidRDefault="00000000">
      <w:pPr>
        <w:numPr>
          <w:ilvl w:val="2"/>
          <w:numId w:val="1"/>
        </w:numPr>
        <w:spacing w:before="120" w:after="120" w:line="360" w:lineRule="auto"/>
        <w:ind w:left="567" w:firstLine="567"/>
        <w:jc w:val="both"/>
      </w:pPr>
      <w:bookmarkStart w:id="40" w:name="_heading=h.2u6wntf" w:colFirst="0" w:colLast="0"/>
      <w:bookmarkEnd w:id="40"/>
      <w:r>
        <w:rPr>
          <w:rFonts w:ascii="Arial" w:eastAsia="Arial" w:hAnsi="Arial" w:cs="Arial"/>
          <w:color w:val="000000"/>
          <w:sz w:val="20"/>
          <w:szCs w:val="20"/>
        </w:rPr>
        <w:t>apresentar declaração ou documentação falsa exigida para o certame ou prestar declaração falsa durante a licitação</w:t>
      </w:r>
    </w:p>
    <w:p w14:paraId="0E9C31F6" w14:textId="77777777" w:rsidR="002775AD" w:rsidRDefault="00000000">
      <w:pPr>
        <w:numPr>
          <w:ilvl w:val="2"/>
          <w:numId w:val="1"/>
        </w:numPr>
        <w:spacing w:before="120" w:after="120" w:line="360" w:lineRule="auto"/>
        <w:ind w:left="567" w:firstLine="567"/>
        <w:jc w:val="both"/>
      </w:pPr>
      <w:bookmarkStart w:id="41" w:name="_heading=h.19c6y18" w:colFirst="0" w:colLast="0"/>
      <w:bookmarkEnd w:id="41"/>
      <w:r>
        <w:rPr>
          <w:rFonts w:ascii="Arial" w:eastAsia="Arial" w:hAnsi="Arial" w:cs="Arial"/>
          <w:color w:val="000000"/>
          <w:sz w:val="20"/>
          <w:szCs w:val="20"/>
        </w:rPr>
        <w:t>fraudar a licitação</w:t>
      </w:r>
    </w:p>
    <w:p w14:paraId="193571A0" w14:textId="77777777" w:rsidR="002775AD" w:rsidRDefault="00000000">
      <w:pPr>
        <w:numPr>
          <w:ilvl w:val="2"/>
          <w:numId w:val="1"/>
        </w:numPr>
        <w:spacing w:before="120" w:after="120" w:line="360" w:lineRule="auto"/>
        <w:ind w:left="567" w:firstLine="567"/>
        <w:jc w:val="both"/>
      </w:pPr>
      <w:bookmarkStart w:id="42" w:name="_heading=h.3tbugp1" w:colFirst="0" w:colLast="0"/>
      <w:bookmarkEnd w:id="42"/>
      <w:r>
        <w:rPr>
          <w:rFonts w:ascii="Arial" w:eastAsia="Arial" w:hAnsi="Arial" w:cs="Arial"/>
          <w:color w:val="000000"/>
          <w:sz w:val="20"/>
          <w:szCs w:val="20"/>
        </w:rPr>
        <w:t>comportar-se de modo inidôneo ou cometer fraude de qualquer natureza, em especial quando:</w:t>
      </w:r>
    </w:p>
    <w:p w14:paraId="3254D700" w14:textId="77777777" w:rsidR="002775AD" w:rsidRDefault="00000000">
      <w:pPr>
        <w:numPr>
          <w:ilvl w:val="3"/>
          <w:numId w:val="1"/>
        </w:numPr>
        <w:spacing w:before="120" w:after="120" w:line="312" w:lineRule="auto"/>
        <w:ind w:left="1276" w:firstLine="284"/>
        <w:jc w:val="both"/>
      </w:pPr>
      <w:r>
        <w:rPr>
          <w:rFonts w:ascii="Arial" w:eastAsia="Arial" w:hAnsi="Arial" w:cs="Arial"/>
          <w:color w:val="000000"/>
          <w:sz w:val="20"/>
          <w:szCs w:val="20"/>
        </w:rPr>
        <w:t xml:space="preserve">agir em conluio ou em desconformidade com a lei; </w:t>
      </w:r>
    </w:p>
    <w:p w14:paraId="7BC8E699" w14:textId="77777777" w:rsidR="002775AD" w:rsidRDefault="00000000">
      <w:pPr>
        <w:numPr>
          <w:ilvl w:val="3"/>
          <w:numId w:val="1"/>
        </w:numPr>
        <w:spacing w:before="120" w:after="120" w:line="312" w:lineRule="auto"/>
        <w:ind w:left="1276" w:firstLine="284"/>
        <w:jc w:val="both"/>
      </w:pPr>
      <w:r>
        <w:rPr>
          <w:rFonts w:ascii="Arial" w:eastAsia="Arial" w:hAnsi="Arial" w:cs="Arial"/>
          <w:color w:val="000000"/>
          <w:sz w:val="20"/>
          <w:szCs w:val="20"/>
        </w:rPr>
        <w:t xml:space="preserve">induzir deliberadamente a erro no julgamento; </w:t>
      </w:r>
    </w:p>
    <w:p w14:paraId="65438659" w14:textId="77777777" w:rsidR="002775AD" w:rsidRDefault="00000000">
      <w:pPr>
        <w:numPr>
          <w:ilvl w:val="3"/>
          <w:numId w:val="1"/>
        </w:numPr>
        <w:spacing w:before="120" w:after="120" w:line="312" w:lineRule="auto"/>
        <w:ind w:left="1276" w:firstLine="284"/>
        <w:jc w:val="both"/>
      </w:pPr>
      <w:r>
        <w:rPr>
          <w:rFonts w:ascii="Arial" w:eastAsia="Arial" w:hAnsi="Arial" w:cs="Arial"/>
          <w:color w:val="000000"/>
          <w:sz w:val="20"/>
          <w:szCs w:val="20"/>
        </w:rPr>
        <w:t xml:space="preserve">apresentar amostra falsificada ou deteriorada; </w:t>
      </w:r>
    </w:p>
    <w:p w14:paraId="6A85ED74" w14:textId="77777777" w:rsidR="002775AD" w:rsidRDefault="00000000">
      <w:pPr>
        <w:numPr>
          <w:ilvl w:val="2"/>
          <w:numId w:val="1"/>
        </w:numPr>
        <w:spacing w:before="120" w:after="120" w:line="360" w:lineRule="auto"/>
        <w:ind w:left="567" w:firstLine="567"/>
        <w:jc w:val="both"/>
      </w:pPr>
      <w:bookmarkStart w:id="43" w:name="_heading=h.28h4qwu" w:colFirst="0" w:colLast="0"/>
      <w:bookmarkEnd w:id="43"/>
      <w:r>
        <w:rPr>
          <w:rFonts w:ascii="Arial" w:eastAsia="Arial" w:hAnsi="Arial" w:cs="Arial"/>
          <w:color w:val="000000"/>
          <w:sz w:val="20"/>
          <w:szCs w:val="20"/>
        </w:rPr>
        <w:t>praticar atos ilícitos com vistas a frustrar os objetivos da licitação</w:t>
      </w:r>
    </w:p>
    <w:p w14:paraId="2EF37546" w14:textId="77777777" w:rsidR="002775AD" w:rsidRDefault="00000000">
      <w:pPr>
        <w:numPr>
          <w:ilvl w:val="2"/>
          <w:numId w:val="1"/>
        </w:numPr>
        <w:spacing w:before="120" w:after="120" w:line="360" w:lineRule="auto"/>
        <w:ind w:left="567" w:firstLine="567"/>
        <w:jc w:val="both"/>
      </w:pPr>
      <w:bookmarkStart w:id="44" w:name="_heading=h.nmf14n" w:colFirst="0" w:colLast="0"/>
      <w:bookmarkEnd w:id="44"/>
      <w:r>
        <w:rPr>
          <w:rFonts w:ascii="Arial" w:eastAsia="Arial" w:hAnsi="Arial" w:cs="Arial"/>
          <w:color w:val="000000"/>
          <w:sz w:val="20"/>
          <w:szCs w:val="20"/>
        </w:rPr>
        <w:t xml:space="preserve">praticar ato lesivo previsto no </w:t>
      </w:r>
      <w:hyperlink r:id="rId56" w:anchor="art5">
        <w:r>
          <w:rPr>
            <w:rFonts w:ascii="Arial" w:eastAsia="Arial" w:hAnsi="Arial" w:cs="Arial"/>
            <w:color w:val="0000FF"/>
            <w:sz w:val="20"/>
            <w:szCs w:val="20"/>
            <w:u w:val="single"/>
          </w:rPr>
          <w:t>art. 5º da Lei n.º 12.846, de 2013</w:t>
        </w:r>
      </w:hyperlink>
      <w:r>
        <w:rPr>
          <w:rFonts w:ascii="Arial" w:eastAsia="Arial" w:hAnsi="Arial" w:cs="Arial"/>
          <w:color w:val="000000"/>
          <w:sz w:val="20"/>
          <w:szCs w:val="20"/>
        </w:rPr>
        <w:t>.</w:t>
      </w:r>
    </w:p>
    <w:p w14:paraId="4CE6DB1E"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Com fulcro na </w:t>
      </w:r>
      <w:hyperlink r:id="rId57">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xml:space="preserve">, a Administração poderá, garantida a prévia defesa, aplicar aos licitantes e/ou adjudicatários as seguintes sanções, sem prejuízo das responsabilidades civil e criminal: </w:t>
      </w:r>
    </w:p>
    <w:p w14:paraId="4F70DBD3"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 xml:space="preserve">advertência; </w:t>
      </w:r>
    </w:p>
    <w:p w14:paraId="37AE03E5"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lastRenderedPageBreak/>
        <w:t>multa;</w:t>
      </w:r>
    </w:p>
    <w:p w14:paraId="29D844A8"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impedimento de licitar e contratar e</w:t>
      </w:r>
    </w:p>
    <w:p w14:paraId="68CE9A0D"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declaração de inidoneidade para licitar ou contratar, enquanto perdurarem os motivos determinantes da punição ou até que seja promovida sua reabilitação perante a própria autoridade que aplicou a penalidade.</w:t>
      </w:r>
    </w:p>
    <w:p w14:paraId="58F8C754"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Na aplicação das sanções serão considerados:</w:t>
      </w:r>
    </w:p>
    <w:p w14:paraId="5B03BCDA"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a natureza e a gravidade da infração cometida.</w:t>
      </w:r>
    </w:p>
    <w:p w14:paraId="3970E125"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as peculiaridades do caso concreto</w:t>
      </w:r>
    </w:p>
    <w:p w14:paraId="3A7A1C23"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as circunstâncias agravantes ou atenuantes</w:t>
      </w:r>
    </w:p>
    <w:p w14:paraId="7996406E"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os danos que dela provierem para a Administração Pública</w:t>
      </w:r>
    </w:p>
    <w:p w14:paraId="1432B460"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a implantação ou o aperfeiçoamento de programa de integridade, conforme normas e orientações dos órgãos de controle.</w:t>
      </w:r>
    </w:p>
    <w:p w14:paraId="783E7674"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A multa será recolhida em percentual de 0,5% a 30% incidente sobre o valor do contrato licitado, recolhida no prazo máximo de </w:t>
      </w:r>
      <w:r>
        <w:rPr>
          <w:rFonts w:ascii="Arial" w:eastAsia="Arial" w:hAnsi="Arial" w:cs="Arial"/>
          <w:b/>
          <w:sz w:val="20"/>
          <w:szCs w:val="20"/>
        </w:rPr>
        <w:t>30 (trinta) dias</w:t>
      </w:r>
      <w:r>
        <w:rPr>
          <w:rFonts w:ascii="Arial" w:eastAsia="Arial" w:hAnsi="Arial" w:cs="Arial"/>
          <w:color w:val="FF0000"/>
          <w:sz w:val="20"/>
          <w:szCs w:val="20"/>
        </w:rPr>
        <w:t xml:space="preserve"> </w:t>
      </w:r>
      <w:r>
        <w:rPr>
          <w:rFonts w:ascii="Arial" w:eastAsia="Arial" w:hAnsi="Arial" w:cs="Arial"/>
          <w:color w:val="000000"/>
          <w:sz w:val="20"/>
          <w:szCs w:val="20"/>
        </w:rPr>
        <w:t xml:space="preserve">úteis, a contar da comunicação oficial. </w:t>
      </w:r>
    </w:p>
    <w:p w14:paraId="0F532718"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bookmarkStart w:id="45" w:name="_heading=h.37m2jsg" w:colFirst="0" w:colLast="0"/>
      <w:bookmarkEnd w:id="45"/>
      <w:r>
        <w:rPr>
          <w:rFonts w:ascii="Arial" w:eastAsia="Arial" w:hAnsi="Arial" w:cs="Arial"/>
          <w:color w:val="000000"/>
          <w:sz w:val="20"/>
          <w:szCs w:val="20"/>
        </w:rPr>
        <w:t xml:space="preserve">Para as infrações previstas nos itens 9.1.1, 9.1.2 e 9.1.3, a multa será de </w:t>
      </w:r>
      <w:r>
        <w:rPr>
          <w:rFonts w:ascii="Arial" w:eastAsia="Arial" w:hAnsi="Arial" w:cs="Arial"/>
          <w:b/>
          <w:sz w:val="20"/>
          <w:szCs w:val="20"/>
        </w:rPr>
        <w:t>1% (um por cento)</w:t>
      </w:r>
      <w:r>
        <w:rPr>
          <w:rFonts w:ascii="Arial" w:eastAsia="Arial" w:hAnsi="Arial" w:cs="Arial"/>
          <w:color w:val="0000FF"/>
          <w:sz w:val="20"/>
          <w:szCs w:val="20"/>
        </w:rPr>
        <w:t xml:space="preserve"> </w:t>
      </w:r>
      <w:r>
        <w:rPr>
          <w:rFonts w:ascii="Arial" w:eastAsia="Arial" w:hAnsi="Arial" w:cs="Arial"/>
          <w:color w:val="000000"/>
          <w:sz w:val="20"/>
          <w:szCs w:val="20"/>
        </w:rPr>
        <w:t>do valor do contrato licitado.</w:t>
      </w:r>
    </w:p>
    <w:p w14:paraId="040F8D61" w14:textId="77777777" w:rsidR="002775AD" w:rsidRDefault="00000000">
      <w:pPr>
        <w:numPr>
          <w:ilvl w:val="2"/>
          <w:numId w:val="1"/>
        </w:numP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 xml:space="preserve">Para as infrações previstas nos itens 9.1.4, 9.1.5, 9.1.6, 9.1.7 e 9.1.8, a multa será de </w:t>
      </w:r>
      <w:r>
        <w:rPr>
          <w:rFonts w:ascii="Arial" w:eastAsia="Arial" w:hAnsi="Arial" w:cs="Arial"/>
          <w:b/>
          <w:sz w:val="20"/>
          <w:szCs w:val="20"/>
        </w:rPr>
        <w:t>5% (cinco por cento)</w:t>
      </w:r>
      <w:r>
        <w:rPr>
          <w:rFonts w:ascii="Arial" w:eastAsia="Arial" w:hAnsi="Arial" w:cs="Arial"/>
          <w:sz w:val="20"/>
          <w:szCs w:val="20"/>
        </w:rPr>
        <w:t xml:space="preserve"> </w:t>
      </w:r>
      <w:r>
        <w:rPr>
          <w:rFonts w:ascii="Arial" w:eastAsia="Arial" w:hAnsi="Arial" w:cs="Arial"/>
          <w:color w:val="000000"/>
          <w:sz w:val="20"/>
          <w:szCs w:val="20"/>
        </w:rPr>
        <w:t>do valor do contrato licitado.</w:t>
      </w:r>
    </w:p>
    <w:p w14:paraId="63AF648E"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As sanções de advertência, impedimento de licitar e contratar e declaração de inidoneidade para licitar ou contratar poderão ser aplicadas, cumulativamente ou não, à penalidade de multa.</w:t>
      </w:r>
    </w:p>
    <w:p w14:paraId="5AB17CC4"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Na aplicação da sanção de multa será facultada a defesa do interessado no prazo de 15 (quinze) dias úteis, contado da data de sua intimação.</w:t>
      </w:r>
    </w:p>
    <w:p w14:paraId="660C5B98"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A sanção de impedimento de licitar e contratar será aplicada ao responsável em decorrência das infrações administrativas relacionadas nos itens 9.1.1, 9.1.2 e 9.1.3,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0322C1BF"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Poderá ser aplicada ao responsável a sanção de declaração de inidoneidade para licitar ou contratar, em decorrência da prática das infrações dispostas nos itens 9.1.4, 9.1.5, 9.1.6, 9.1.7 e 9.1.8, bem como pelas infrações administrativas previstas nos itens 9.1.1, 9.1.2 e 9.1.3 que justifiquem a imposição de penalidade mais grave que a sanção de impedimento de licitar e contratar, cuja duração observará o prazo previsto no </w:t>
      </w:r>
      <w:hyperlink r:id="rId58" w:anchor="art156%C2%A75">
        <w:r>
          <w:rPr>
            <w:rFonts w:ascii="Arial" w:eastAsia="Arial" w:hAnsi="Arial" w:cs="Arial"/>
            <w:color w:val="0000FF"/>
            <w:sz w:val="20"/>
            <w:szCs w:val="20"/>
            <w:u w:val="single"/>
          </w:rPr>
          <w:t>art. 156, §5º, da Lei n.º 14.133/2021</w:t>
        </w:r>
      </w:hyperlink>
      <w:r>
        <w:rPr>
          <w:rFonts w:ascii="Arial" w:eastAsia="Arial" w:hAnsi="Arial" w:cs="Arial"/>
          <w:color w:val="000000"/>
          <w:sz w:val="20"/>
          <w:szCs w:val="20"/>
        </w:rPr>
        <w:t>.</w:t>
      </w:r>
    </w:p>
    <w:p w14:paraId="676F6299"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lastRenderedPageBreak/>
        <w:t xml:space="preserve">A recusa injustificada do adjudicatário em assinar o contrato ou a ata de registro de preço, ou em aceitar ou retirar o instrumento equivalente no prazo estabelecido pela Administração, descrita no item 9.1.3, caracterizará o descumprimento total da obrigação assumida e o sujeitará às penalidades e à imediata perda da garantia de proposta em favor do órgão ou entidade promotora da licitação, nos termos do </w:t>
      </w:r>
      <w:hyperlink r:id="rId59">
        <w:r>
          <w:rPr>
            <w:rFonts w:ascii="Arial" w:eastAsia="Arial" w:hAnsi="Arial" w:cs="Arial"/>
            <w:color w:val="0000FF"/>
            <w:sz w:val="20"/>
            <w:szCs w:val="20"/>
            <w:u w:val="single"/>
          </w:rPr>
          <w:t>art. 45, §4º da IN SEGES/ME n.º 73, de 2022</w:t>
        </w:r>
      </w:hyperlink>
      <w:r>
        <w:rPr>
          <w:rFonts w:ascii="Arial" w:eastAsia="Arial" w:hAnsi="Arial" w:cs="Arial"/>
          <w:color w:val="000000"/>
          <w:sz w:val="20"/>
          <w:szCs w:val="20"/>
        </w:rPr>
        <w:t xml:space="preserve">. </w:t>
      </w:r>
    </w:p>
    <w:p w14:paraId="372679DA"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5A1D6ABF"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35951753"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33ACA13F"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O recurso e o pedido de reconsideração terão efeito suspensivo do ato ou da decisão recorrida até que sobrevenha decisão final da autoridade competente.</w:t>
      </w:r>
    </w:p>
    <w:p w14:paraId="00B2BC6A"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A aplicação das sanções previstas neste edital não exclui, em hipótese alguma, a obrigação de reparação integral dos danos causados.</w:t>
      </w:r>
    </w:p>
    <w:p w14:paraId="63F2EFC5" w14:textId="77777777" w:rsidR="002775AD" w:rsidRDefault="002775AD">
      <w:pPr>
        <w:spacing w:before="288" w:after="288" w:line="312" w:lineRule="auto"/>
        <w:ind w:left="567"/>
        <w:jc w:val="both"/>
        <w:rPr>
          <w:rFonts w:ascii="Arial" w:eastAsia="Arial" w:hAnsi="Arial" w:cs="Arial"/>
          <w:color w:val="000000"/>
          <w:sz w:val="20"/>
          <w:szCs w:val="20"/>
        </w:rPr>
      </w:pPr>
    </w:p>
    <w:p w14:paraId="79E53A6C" w14:textId="77777777" w:rsidR="002775AD" w:rsidRDefault="00000000">
      <w:pPr>
        <w:keepNext/>
        <w:keepLines/>
        <w:numPr>
          <w:ilvl w:val="0"/>
          <w:numId w:val="1"/>
        </w:numP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46" w:name="_heading=h.1mrcu09" w:colFirst="0" w:colLast="0"/>
      <w:bookmarkEnd w:id="46"/>
      <w:r>
        <w:rPr>
          <w:rFonts w:ascii="Arial" w:eastAsia="Arial" w:hAnsi="Arial" w:cs="Arial"/>
          <w:b/>
          <w:color w:val="000000"/>
          <w:sz w:val="20"/>
          <w:szCs w:val="20"/>
          <w:highlight w:val="lightGray"/>
        </w:rPr>
        <w:t>DA IMPUGNAÇÃO AO EDITAL E DO PEDIDO DE ESCLARECIMENTO</w:t>
      </w:r>
    </w:p>
    <w:p w14:paraId="69FF2F14"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Qualquer pessoa é parte legítima para impugnar este Edital por irregularidade na aplicação da </w:t>
      </w:r>
      <w:hyperlink r:id="rId60">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devendo protocolar o pedido até 3 (cinco) dias úteis antes da data da abertura do certame.</w:t>
      </w:r>
    </w:p>
    <w:p w14:paraId="7DBDF731"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A resposta à impugnação ou ao pedido de esclarecimento será divulgado em sítio eletrônico oficial no prazo de até 3 (três) dias úteis, limitado ao último dia útil anterior à data da abertura do certame.</w:t>
      </w:r>
    </w:p>
    <w:p w14:paraId="7BC10656"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 xml:space="preserve">A impugnação e o pedido de esclarecimento deverão ser realizados por forma eletrônica, pelo e-mail </w:t>
      </w:r>
      <w:hyperlink r:id="rId61">
        <w:r>
          <w:rPr>
            <w:rFonts w:ascii="Arial" w:eastAsia="Arial" w:hAnsi="Arial" w:cs="Arial"/>
            <w:b/>
            <w:color w:val="0000FF"/>
            <w:sz w:val="20"/>
            <w:szCs w:val="20"/>
            <w:u w:val="single"/>
          </w:rPr>
          <w:t>cpl@id.uff.br</w:t>
        </w:r>
      </w:hyperlink>
      <w:r>
        <w:rPr>
          <w:rFonts w:ascii="Arial" w:eastAsia="Arial" w:hAnsi="Arial" w:cs="Arial"/>
          <w:b/>
          <w:color w:val="0000FF"/>
          <w:sz w:val="20"/>
          <w:szCs w:val="20"/>
          <w:u w:val="single"/>
        </w:rPr>
        <w:t>.</w:t>
      </w:r>
    </w:p>
    <w:p w14:paraId="371D150B" w14:textId="77777777" w:rsidR="002775AD" w:rsidRDefault="00000000">
      <w:pPr>
        <w:numPr>
          <w:ilvl w:val="1"/>
          <w:numId w:val="1"/>
        </w:numPr>
        <w:spacing w:before="120" w:after="120" w:line="360" w:lineRule="auto"/>
        <w:ind w:left="-87" w:firstLine="567"/>
        <w:jc w:val="both"/>
      </w:pPr>
      <w:r>
        <w:rPr>
          <w:rFonts w:ascii="Arial" w:eastAsia="Arial" w:hAnsi="Arial" w:cs="Arial"/>
          <w:color w:val="000000"/>
          <w:sz w:val="20"/>
          <w:szCs w:val="20"/>
        </w:rPr>
        <w:t>As impugnações e pedidos de esclarecimentos não suspendem os prazos previstos no certame.</w:t>
      </w:r>
    </w:p>
    <w:p w14:paraId="71BD0DF3"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lastRenderedPageBreak/>
        <w:t>A concessão de efeito suspensivo à impugnação é medida excepcional e deverá ser motivada pelo agente de contratação, nos autos do processo de licitação.</w:t>
      </w:r>
    </w:p>
    <w:p w14:paraId="7CCD2400"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Acolhida a impugnação, será definida e publicada nova data para a realização do certame.</w:t>
      </w:r>
    </w:p>
    <w:p w14:paraId="64EB1699" w14:textId="77777777" w:rsidR="002775AD" w:rsidRDefault="002775AD">
      <w:pPr>
        <w:spacing w:before="288" w:after="288" w:line="312" w:lineRule="auto"/>
        <w:ind w:left="567"/>
        <w:jc w:val="both"/>
        <w:rPr>
          <w:rFonts w:ascii="Arial" w:eastAsia="Arial" w:hAnsi="Arial" w:cs="Arial"/>
          <w:color w:val="000000"/>
          <w:sz w:val="20"/>
          <w:szCs w:val="20"/>
        </w:rPr>
      </w:pPr>
    </w:p>
    <w:p w14:paraId="29CEDC80" w14:textId="77777777" w:rsidR="002775AD" w:rsidRDefault="00000000">
      <w:pPr>
        <w:keepNext/>
        <w:keepLines/>
        <w:numPr>
          <w:ilvl w:val="0"/>
          <w:numId w:val="1"/>
        </w:numP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47" w:name="_heading=h.46r0co2" w:colFirst="0" w:colLast="0"/>
      <w:bookmarkEnd w:id="47"/>
      <w:r>
        <w:rPr>
          <w:rFonts w:ascii="Arial" w:eastAsia="Arial" w:hAnsi="Arial" w:cs="Arial"/>
          <w:b/>
          <w:color w:val="000000"/>
          <w:sz w:val="20"/>
          <w:szCs w:val="20"/>
          <w:highlight w:val="lightGray"/>
        </w:rPr>
        <w:t>DAS DISPOSIÇÕES GERAIS</w:t>
      </w:r>
    </w:p>
    <w:p w14:paraId="7FEDEA12" w14:textId="77777777" w:rsidR="002775AD" w:rsidRDefault="00000000">
      <w:pPr>
        <w:numPr>
          <w:ilvl w:val="1"/>
          <w:numId w:val="1"/>
        </w:numPr>
        <w:spacing w:before="288" w:after="288" w:line="312" w:lineRule="auto"/>
        <w:ind w:left="-87" w:firstLine="567"/>
        <w:jc w:val="both"/>
      </w:pPr>
      <w:r>
        <w:rPr>
          <w:rFonts w:ascii="Arial" w:eastAsia="Arial" w:hAnsi="Arial" w:cs="Arial"/>
          <w:color w:val="000000"/>
          <w:sz w:val="20"/>
          <w:szCs w:val="20"/>
        </w:rPr>
        <w:t>Será divulgada ata da sessão pública no sistema eletrônico.</w:t>
      </w:r>
    </w:p>
    <w:p w14:paraId="6539B0FE"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7147F53C"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Todas as referências de tempo no Edital, no aviso e durante a sessão pública observarão o horário de Brasília - DF.</w:t>
      </w:r>
    </w:p>
    <w:p w14:paraId="7097ED63"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A homologação do resultado desta licitação não implicará direito à contratação.</w:t>
      </w:r>
    </w:p>
    <w:p w14:paraId="0F7AF311"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ACB8FA4"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Os licitantes assumem todos os custos de preparação e apresentação de suas propostas e a Administração não será, em nenhum caso, responsável por esses custos, independentemente da condução ou do resultado do processo licitatório.</w:t>
      </w:r>
    </w:p>
    <w:p w14:paraId="6E5276D1"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Na contagem dos prazos estabelecidos neste Edital e seus Anexos, excluir-se-á o dia do início e incluir-se-á o do vencimento. Só se iniciam e vencem os prazos em dias de expediente na Administração.</w:t>
      </w:r>
    </w:p>
    <w:p w14:paraId="6CA53406"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O desatendimento de exigências formais não essenciais não importará o afastamento do licitante, desde que seja possível o aproveitamento do ato, observados os princípios da isonomia e do interesse público.</w:t>
      </w:r>
    </w:p>
    <w:p w14:paraId="18C9AD03"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Em caso de divergência entre disposições deste Edital e de seus anexos ou demais peças que compõem o processo, prevalecerá as deste Edital.</w:t>
      </w:r>
    </w:p>
    <w:p w14:paraId="0BFF160C" w14:textId="77777777" w:rsidR="002775AD" w:rsidRDefault="00000000">
      <w:pPr>
        <w:numPr>
          <w:ilvl w:val="1"/>
          <w:numId w:val="1"/>
        </w:numPr>
        <w:spacing w:before="288" w:after="288" w:line="312" w:lineRule="auto"/>
        <w:ind w:left="-87" w:firstLine="567"/>
        <w:jc w:val="both"/>
        <w:rPr>
          <w:rFonts w:ascii="Arial" w:eastAsia="Arial" w:hAnsi="Arial" w:cs="Arial"/>
          <w:b/>
          <w:color w:val="000000"/>
          <w:sz w:val="20"/>
          <w:szCs w:val="20"/>
        </w:rPr>
      </w:pPr>
      <w:r>
        <w:rPr>
          <w:rFonts w:ascii="Arial" w:eastAsia="Arial" w:hAnsi="Arial" w:cs="Arial"/>
          <w:b/>
          <w:color w:val="000000"/>
          <w:sz w:val="20"/>
          <w:szCs w:val="20"/>
        </w:rPr>
        <w:t xml:space="preserve">As planilhas de composição de custo constantes do presente edital são de caráter estimativo para a contratação, devendo servir apenas de auxílio para formação de preço dos licitantes, sendo de responsabilidade dos mesmos o correto preenchimento das planilhas para dimensionamento das suas propostas. As planilhas elaboradas pela Administração não engessam ou vinculam a elaboração das planilhas dos licitantes, especialmente os custos que dependem de </w:t>
      </w:r>
      <w:r>
        <w:rPr>
          <w:rFonts w:ascii="Arial" w:eastAsia="Arial" w:hAnsi="Arial" w:cs="Arial"/>
          <w:b/>
          <w:color w:val="000000"/>
          <w:sz w:val="20"/>
          <w:szCs w:val="20"/>
        </w:rPr>
        <w:lastRenderedPageBreak/>
        <w:t>mercado/ estratégias da empresa, de indicadores ou acordos, sendo todos passíveis de diligências por parte da Administração para fins de verificação de exequibilidade da proposta.</w:t>
      </w:r>
    </w:p>
    <w:p w14:paraId="53FD888D" w14:textId="77777777" w:rsidR="002775AD" w:rsidRDefault="00000000">
      <w:pPr>
        <w:numPr>
          <w:ilvl w:val="1"/>
          <w:numId w:val="1"/>
        </w:numPr>
        <w:spacing w:before="288" w:after="288" w:line="312"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 xml:space="preserve">O Edital e seus anexos estão disponíveis, na íntegra, no Portal Nacional de Contratações Públicas (PNCP) e endereço eletrônico </w:t>
      </w:r>
      <w:hyperlink r:id="rId62">
        <w:r>
          <w:rPr>
            <w:rFonts w:ascii="Arial" w:eastAsia="Arial" w:hAnsi="Arial" w:cs="Arial"/>
            <w:color w:val="000000"/>
            <w:sz w:val="20"/>
            <w:szCs w:val="20"/>
          </w:rPr>
          <w:t>www.uff.br/licitacoes</w:t>
        </w:r>
      </w:hyperlink>
      <w:r>
        <w:rPr>
          <w:rFonts w:ascii="Arial" w:eastAsia="Arial" w:hAnsi="Arial" w:cs="Arial"/>
          <w:color w:val="000000"/>
          <w:sz w:val="20"/>
          <w:szCs w:val="20"/>
        </w:rPr>
        <w:t xml:space="preserve">. Os autos do processo administrativo são digitais e podem ser consultados, por qualquer interessado, por meio do clique no nº do processo, </w:t>
      </w:r>
      <w:proofErr w:type="gramStart"/>
      <w:r>
        <w:rPr>
          <w:rFonts w:ascii="Arial" w:eastAsia="Arial" w:hAnsi="Arial" w:cs="Arial"/>
          <w:color w:val="000000"/>
          <w:sz w:val="20"/>
          <w:szCs w:val="20"/>
        </w:rPr>
        <w:t>constante</w:t>
      </w:r>
      <w:proofErr w:type="gramEnd"/>
      <w:r>
        <w:rPr>
          <w:rFonts w:ascii="Arial" w:eastAsia="Arial" w:hAnsi="Arial" w:cs="Arial"/>
          <w:color w:val="000000"/>
          <w:sz w:val="20"/>
          <w:szCs w:val="20"/>
        </w:rPr>
        <w:t xml:space="preserve"> também do endereço eletrônico &lt;</w:t>
      </w:r>
      <w:hyperlink r:id="rId63">
        <w:r>
          <w:rPr>
            <w:rFonts w:ascii="Arial" w:eastAsia="Arial" w:hAnsi="Arial" w:cs="Arial"/>
            <w:color w:val="000000"/>
            <w:sz w:val="20"/>
            <w:szCs w:val="20"/>
          </w:rPr>
          <w:t xml:space="preserve"> www.uff.br/licitacoes</w:t>
        </w:r>
      </w:hyperlink>
      <w:r>
        <w:rPr>
          <w:rFonts w:ascii="Arial" w:eastAsia="Arial" w:hAnsi="Arial" w:cs="Arial"/>
          <w:color w:val="000000"/>
          <w:sz w:val="20"/>
          <w:szCs w:val="20"/>
        </w:rPr>
        <w:t xml:space="preserve"> &gt; </w:t>
      </w:r>
    </w:p>
    <w:p w14:paraId="406C59EC" w14:textId="77777777" w:rsidR="002775AD" w:rsidRDefault="00000000">
      <w:pPr>
        <w:numPr>
          <w:ilvl w:val="1"/>
          <w:numId w:val="1"/>
        </w:numPr>
        <w:spacing w:before="120" w:after="120" w:line="360" w:lineRule="auto"/>
        <w:ind w:left="-87" w:firstLine="567"/>
        <w:jc w:val="both"/>
        <w:rPr>
          <w:rFonts w:ascii="Arial" w:eastAsia="Arial" w:hAnsi="Arial" w:cs="Arial"/>
          <w:color w:val="000000"/>
          <w:sz w:val="20"/>
          <w:szCs w:val="20"/>
        </w:rPr>
      </w:pPr>
      <w:r>
        <w:rPr>
          <w:rFonts w:ascii="Arial" w:eastAsia="Arial" w:hAnsi="Arial" w:cs="Arial"/>
          <w:color w:val="000000"/>
          <w:sz w:val="20"/>
          <w:szCs w:val="20"/>
        </w:rPr>
        <w:t>Integram este Edital, para todos os fins e efeitos, os seguintes anexos:</w:t>
      </w:r>
    </w:p>
    <w:p w14:paraId="17C27E44" w14:textId="77777777" w:rsidR="002775AD" w:rsidRDefault="00000000">
      <w:pPr>
        <w:numPr>
          <w:ilvl w:val="2"/>
          <w:numId w:val="1"/>
        </w:numPr>
        <w:spacing w:before="120" w:after="120" w:line="360" w:lineRule="auto"/>
        <w:ind w:left="567" w:firstLine="567"/>
        <w:jc w:val="both"/>
      </w:pPr>
      <w:r>
        <w:rPr>
          <w:rFonts w:ascii="Arial" w:eastAsia="Arial" w:hAnsi="Arial" w:cs="Arial"/>
          <w:color w:val="000000"/>
          <w:sz w:val="20"/>
          <w:szCs w:val="20"/>
        </w:rPr>
        <w:t>ANEXO I - Termo de Referência</w:t>
      </w:r>
    </w:p>
    <w:p w14:paraId="1B72ADC7" w14:textId="1E51BC57" w:rsidR="002775AD" w:rsidRDefault="00B32EC2">
      <w:pPr>
        <w:numPr>
          <w:ilvl w:val="3"/>
          <w:numId w:val="1"/>
        </w:numPr>
        <w:spacing w:before="120" w:after="120" w:line="312" w:lineRule="auto"/>
        <w:ind w:left="1276" w:firstLine="284"/>
        <w:jc w:val="both"/>
      </w:pPr>
      <w:r>
        <w:rPr>
          <w:rFonts w:ascii="Arial" w:eastAsia="Arial" w:hAnsi="Arial" w:cs="Arial"/>
          <w:color w:val="000000"/>
          <w:sz w:val="20"/>
          <w:szCs w:val="20"/>
        </w:rPr>
        <w:t>ANEXO I-A - Apêndice do Anexo I - Estudo Técnico Preliminar</w:t>
      </w:r>
    </w:p>
    <w:p w14:paraId="1981722E" w14:textId="77777777" w:rsidR="002775AD" w:rsidRDefault="00000000">
      <w:pPr>
        <w:numPr>
          <w:ilvl w:val="2"/>
          <w:numId w:val="1"/>
        </w:numPr>
        <w:spacing w:before="120" w:after="120" w:line="360" w:lineRule="auto"/>
        <w:ind w:left="567" w:firstLine="567"/>
        <w:jc w:val="both"/>
        <w:rPr>
          <w:rFonts w:ascii="Arial" w:eastAsia="Arial" w:hAnsi="Arial" w:cs="Arial"/>
          <w:color w:val="FF0000"/>
          <w:sz w:val="20"/>
          <w:szCs w:val="20"/>
        </w:rPr>
      </w:pPr>
      <w:r>
        <w:rPr>
          <w:rFonts w:ascii="Arial" w:eastAsia="Arial" w:hAnsi="Arial" w:cs="Arial"/>
          <w:color w:val="000000"/>
          <w:sz w:val="20"/>
          <w:szCs w:val="20"/>
        </w:rPr>
        <w:t xml:space="preserve">ANEXO II, III e IV - Planilhas de Formação de Custos </w:t>
      </w:r>
    </w:p>
    <w:p w14:paraId="1605FBBF" w14:textId="77777777" w:rsidR="002775AD" w:rsidRDefault="00000000">
      <w:pPr>
        <w:numPr>
          <w:ilvl w:val="2"/>
          <w:numId w:val="1"/>
        </w:numPr>
        <w:spacing w:before="120" w:after="120" w:line="360" w:lineRule="auto"/>
        <w:ind w:left="567" w:firstLine="567"/>
        <w:jc w:val="both"/>
        <w:rPr>
          <w:rFonts w:ascii="Arial" w:eastAsia="Arial" w:hAnsi="Arial" w:cs="Arial"/>
          <w:sz w:val="20"/>
          <w:szCs w:val="20"/>
        </w:rPr>
      </w:pPr>
      <w:r>
        <w:rPr>
          <w:rFonts w:ascii="Arial" w:eastAsia="Arial" w:hAnsi="Arial" w:cs="Arial"/>
          <w:sz w:val="20"/>
          <w:szCs w:val="20"/>
        </w:rPr>
        <w:t xml:space="preserve">ANEXO V-A - Modelos de Proposta </w:t>
      </w:r>
    </w:p>
    <w:p w14:paraId="7E97883A" w14:textId="77777777" w:rsidR="002775AD" w:rsidRDefault="00000000">
      <w:pPr>
        <w:numPr>
          <w:ilvl w:val="2"/>
          <w:numId w:val="1"/>
        </w:numPr>
        <w:spacing w:before="120" w:after="120" w:line="360" w:lineRule="auto"/>
        <w:ind w:left="567" w:firstLine="567"/>
        <w:jc w:val="both"/>
        <w:rPr>
          <w:rFonts w:ascii="Arial" w:eastAsia="Arial" w:hAnsi="Arial" w:cs="Arial"/>
          <w:sz w:val="20"/>
          <w:szCs w:val="20"/>
        </w:rPr>
      </w:pPr>
      <w:r>
        <w:rPr>
          <w:rFonts w:ascii="Arial" w:eastAsia="Arial" w:hAnsi="Arial" w:cs="Arial"/>
          <w:sz w:val="20"/>
          <w:szCs w:val="20"/>
        </w:rPr>
        <w:t>ANEXO V-B - Modelo de Declaração de Vistoria</w:t>
      </w:r>
    </w:p>
    <w:p w14:paraId="165221F8" w14:textId="77777777" w:rsidR="002775AD" w:rsidRDefault="00000000">
      <w:pPr>
        <w:numPr>
          <w:ilvl w:val="2"/>
          <w:numId w:val="1"/>
        </w:numPr>
        <w:spacing w:before="120" w:after="120" w:line="360" w:lineRule="auto"/>
        <w:ind w:left="567" w:firstLine="567"/>
        <w:jc w:val="both"/>
        <w:rPr>
          <w:rFonts w:ascii="Arial" w:eastAsia="Arial" w:hAnsi="Arial" w:cs="Arial"/>
          <w:sz w:val="20"/>
          <w:szCs w:val="20"/>
        </w:rPr>
      </w:pPr>
      <w:r>
        <w:rPr>
          <w:rFonts w:ascii="Arial" w:eastAsia="Arial" w:hAnsi="Arial" w:cs="Arial"/>
          <w:sz w:val="20"/>
          <w:szCs w:val="20"/>
        </w:rPr>
        <w:t>ANEXO V-C - Termo de Declaração SEI</w:t>
      </w:r>
    </w:p>
    <w:p w14:paraId="67EDD52C" w14:textId="77777777" w:rsidR="002775AD" w:rsidRDefault="00000000">
      <w:pPr>
        <w:numPr>
          <w:ilvl w:val="2"/>
          <w:numId w:val="1"/>
        </w:numPr>
        <w:spacing w:before="120" w:after="120" w:line="360" w:lineRule="auto"/>
        <w:ind w:left="567" w:firstLine="567"/>
        <w:jc w:val="both"/>
        <w:rPr>
          <w:rFonts w:ascii="Arial" w:eastAsia="Arial" w:hAnsi="Arial" w:cs="Arial"/>
          <w:sz w:val="20"/>
          <w:szCs w:val="20"/>
        </w:rPr>
      </w:pPr>
      <w:r>
        <w:rPr>
          <w:rFonts w:ascii="Arial" w:eastAsia="Arial" w:hAnsi="Arial" w:cs="Arial"/>
          <w:sz w:val="20"/>
          <w:szCs w:val="20"/>
        </w:rPr>
        <w:t>ANEXO VI - Termo de Conciliação Judicial</w:t>
      </w:r>
    </w:p>
    <w:p w14:paraId="2A17EE06" w14:textId="77777777" w:rsidR="002775AD" w:rsidRDefault="00000000">
      <w:pPr>
        <w:numPr>
          <w:ilvl w:val="2"/>
          <w:numId w:val="1"/>
        </w:numPr>
        <w:spacing w:before="120" w:after="120" w:line="360" w:lineRule="auto"/>
        <w:ind w:left="567" w:firstLine="567"/>
        <w:jc w:val="both"/>
        <w:rPr>
          <w:rFonts w:ascii="Arial" w:eastAsia="Arial" w:hAnsi="Arial" w:cs="Arial"/>
          <w:sz w:val="20"/>
          <w:szCs w:val="20"/>
        </w:rPr>
      </w:pPr>
      <w:r>
        <w:rPr>
          <w:rFonts w:ascii="Arial" w:eastAsia="Arial" w:hAnsi="Arial" w:cs="Arial"/>
          <w:sz w:val="20"/>
          <w:szCs w:val="20"/>
        </w:rPr>
        <w:t>ANEXO VII - Minuta Termo de Contrato</w:t>
      </w:r>
    </w:p>
    <w:p w14:paraId="73132B60" w14:textId="77777777" w:rsidR="002775AD" w:rsidRDefault="00000000">
      <w:pPr>
        <w:numPr>
          <w:ilvl w:val="2"/>
          <w:numId w:val="1"/>
        </w:numPr>
        <w:spacing w:before="120" w:after="120" w:line="360" w:lineRule="auto"/>
        <w:ind w:left="567" w:firstLine="567"/>
        <w:jc w:val="both"/>
        <w:rPr>
          <w:rFonts w:ascii="Arial" w:eastAsia="Arial" w:hAnsi="Arial" w:cs="Arial"/>
          <w:sz w:val="20"/>
          <w:szCs w:val="20"/>
        </w:rPr>
      </w:pPr>
      <w:r>
        <w:rPr>
          <w:rFonts w:ascii="Arial" w:eastAsia="Arial" w:hAnsi="Arial" w:cs="Arial"/>
          <w:sz w:val="20"/>
          <w:szCs w:val="20"/>
        </w:rPr>
        <w:t>ANEXO VIII - Instrumento de Medição de Resultado (IMR)</w:t>
      </w:r>
    </w:p>
    <w:p w14:paraId="417401DA" w14:textId="77777777" w:rsidR="002775AD" w:rsidRDefault="00000000">
      <w:pPr>
        <w:numPr>
          <w:ilvl w:val="2"/>
          <w:numId w:val="1"/>
        </w:numPr>
        <w:spacing w:before="120" w:after="120" w:line="360" w:lineRule="auto"/>
        <w:ind w:left="567" w:firstLine="567"/>
        <w:jc w:val="both"/>
        <w:rPr>
          <w:rFonts w:ascii="Arial" w:eastAsia="Arial" w:hAnsi="Arial" w:cs="Arial"/>
          <w:sz w:val="20"/>
          <w:szCs w:val="20"/>
        </w:rPr>
      </w:pPr>
      <w:r>
        <w:rPr>
          <w:rFonts w:ascii="Arial" w:eastAsia="Arial" w:hAnsi="Arial" w:cs="Arial"/>
          <w:sz w:val="20"/>
          <w:szCs w:val="20"/>
        </w:rPr>
        <w:t>ANEXO IX - CCT RJ002946.2022</w:t>
      </w:r>
    </w:p>
    <w:p w14:paraId="1A77EB54" w14:textId="77777777" w:rsidR="002775AD" w:rsidRDefault="00000000">
      <w:pPr>
        <w:numPr>
          <w:ilvl w:val="2"/>
          <w:numId w:val="1"/>
        </w:numPr>
        <w:spacing w:before="120" w:after="120" w:line="360" w:lineRule="auto"/>
        <w:ind w:left="567" w:firstLine="567"/>
        <w:jc w:val="both"/>
        <w:rPr>
          <w:rFonts w:ascii="Arial" w:eastAsia="Arial" w:hAnsi="Arial" w:cs="Arial"/>
          <w:sz w:val="20"/>
          <w:szCs w:val="20"/>
        </w:rPr>
      </w:pPr>
      <w:r>
        <w:rPr>
          <w:rFonts w:ascii="Arial" w:eastAsia="Arial" w:hAnsi="Arial" w:cs="Arial"/>
          <w:sz w:val="20"/>
          <w:szCs w:val="20"/>
        </w:rPr>
        <w:t>ANEXO X - Memória de Cálculo Planilha de Custo</w:t>
      </w:r>
    </w:p>
    <w:p w14:paraId="058BB4E9" w14:textId="77777777" w:rsidR="002775AD" w:rsidRDefault="00000000">
      <w:pPr>
        <w:numPr>
          <w:ilvl w:val="2"/>
          <w:numId w:val="1"/>
        </w:numPr>
        <w:spacing w:before="120" w:after="120" w:line="360" w:lineRule="auto"/>
        <w:ind w:left="567" w:firstLine="567"/>
        <w:jc w:val="both"/>
        <w:rPr>
          <w:rFonts w:ascii="Arial" w:eastAsia="Arial" w:hAnsi="Arial" w:cs="Arial"/>
          <w:sz w:val="20"/>
          <w:szCs w:val="20"/>
        </w:rPr>
      </w:pPr>
      <w:r>
        <w:rPr>
          <w:rFonts w:ascii="Arial" w:eastAsia="Arial" w:hAnsi="Arial" w:cs="Arial"/>
          <w:sz w:val="20"/>
          <w:szCs w:val="20"/>
        </w:rPr>
        <w:t>ANEXO XI - Declaração do Funcionário</w:t>
      </w:r>
    </w:p>
    <w:p w14:paraId="5BA7F562" w14:textId="77777777" w:rsidR="002775AD" w:rsidRDefault="00000000">
      <w:pPr>
        <w:numPr>
          <w:ilvl w:val="2"/>
          <w:numId w:val="1"/>
        </w:numPr>
        <w:spacing w:before="120" w:after="120" w:line="360" w:lineRule="auto"/>
        <w:ind w:left="567" w:firstLine="567"/>
        <w:jc w:val="both"/>
        <w:rPr>
          <w:rFonts w:ascii="Arial" w:eastAsia="Arial" w:hAnsi="Arial" w:cs="Arial"/>
          <w:sz w:val="20"/>
          <w:szCs w:val="20"/>
        </w:rPr>
      </w:pPr>
      <w:r>
        <w:rPr>
          <w:rFonts w:ascii="Arial" w:eastAsia="Arial" w:hAnsi="Arial" w:cs="Arial"/>
          <w:sz w:val="20"/>
          <w:szCs w:val="20"/>
        </w:rPr>
        <w:t>ANEXO XII - Modelo de Termo de Preposto</w:t>
      </w:r>
    </w:p>
    <w:p w14:paraId="557D86EB" w14:textId="77777777" w:rsidR="002775AD" w:rsidRDefault="00000000">
      <w:pPr>
        <w:numPr>
          <w:ilvl w:val="2"/>
          <w:numId w:val="1"/>
        </w:numPr>
        <w:spacing w:before="120" w:after="120" w:line="360" w:lineRule="auto"/>
        <w:ind w:left="567" w:firstLine="567"/>
        <w:jc w:val="both"/>
        <w:rPr>
          <w:rFonts w:ascii="Arial" w:eastAsia="Arial" w:hAnsi="Arial" w:cs="Arial"/>
          <w:color w:val="FF0000"/>
          <w:sz w:val="20"/>
          <w:szCs w:val="20"/>
        </w:rPr>
      </w:pPr>
      <w:r>
        <w:rPr>
          <w:rFonts w:ascii="Arial" w:eastAsia="Arial" w:hAnsi="Arial" w:cs="Arial"/>
          <w:sz w:val="20"/>
          <w:szCs w:val="20"/>
        </w:rPr>
        <w:t>ANEXO XIII – Modelo de Termo de Cooperação Técnica</w:t>
      </w:r>
    </w:p>
    <w:p w14:paraId="4BADC8CD" w14:textId="77777777" w:rsidR="002775AD" w:rsidRDefault="002775AD">
      <w:pPr>
        <w:spacing w:before="288" w:after="288" w:line="312" w:lineRule="auto"/>
        <w:ind w:firstLine="567"/>
        <w:jc w:val="center"/>
        <w:rPr>
          <w:rFonts w:ascii="Arial" w:eastAsia="Arial" w:hAnsi="Arial" w:cs="Arial"/>
          <w:color w:val="000000"/>
          <w:sz w:val="20"/>
          <w:szCs w:val="20"/>
        </w:rPr>
      </w:pPr>
    </w:p>
    <w:p w14:paraId="64FD3BBC" w14:textId="002A9882" w:rsidR="002775AD" w:rsidRDefault="00000000">
      <w:pPr>
        <w:spacing w:before="288" w:after="288" w:line="312" w:lineRule="auto"/>
        <w:ind w:firstLineChars="1850" w:firstLine="3700"/>
        <w:jc w:val="both"/>
        <w:rPr>
          <w:rFonts w:ascii="Arial" w:eastAsia="Arial" w:hAnsi="Arial" w:cs="Arial"/>
          <w:color w:val="000000"/>
          <w:sz w:val="20"/>
          <w:szCs w:val="20"/>
        </w:rPr>
      </w:pPr>
      <w:r>
        <w:rPr>
          <w:rFonts w:ascii="Arial" w:eastAsia="Arial" w:hAnsi="Arial" w:cs="Arial"/>
          <w:color w:val="000000"/>
          <w:sz w:val="20"/>
          <w:szCs w:val="20"/>
        </w:rPr>
        <w:t xml:space="preserve">Niterói, </w:t>
      </w:r>
      <w:r w:rsidR="00820366">
        <w:rPr>
          <w:rFonts w:ascii="Arial" w:eastAsia="Arial" w:hAnsi="Arial" w:cs="Arial"/>
          <w:color w:val="000000"/>
          <w:sz w:val="20"/>
          <w:szCs w:val="20"/>
        </w:rPr>
        <w:t>18</w:t>
      </w:r>
      <w:r>
        <w:rPr>
          <w:rFonts w:ascii="Arial" w:eastAsia="Arial" w:hAnsi="Arial" w:cs="Arial"/>
          <w:color w:val="000000"/>
          <w:sz w:val="20"/>
          <w:szCs w:val="20"/>
        </w:rPr>
        <w:t xml:space="preserve"> de </w:t>
      </w:r>
      <w:r w:rsidR="00B32EC2">
        <w:rPr>
          <w:rFonts w:ascii="Arial" w:eastAsia="Arial" w:hAnsi="Arial" w:cs="Arial"/>
          <w:color w:val="000000"/>
          <w:sz w:val="20"/>
          <w:szCs w:val="20"/>
        </w:rPr>
        <w:t>maio</w:t>
      </w:r>
      <w:r>
        <w:rPr>
          <w:rFonts w:ascii="Arial" w:eastAsia="Arial" w:hAnsi="Arial" w:cs="Arial"/>
          <w:color w:val="000000"/>
          <w:sz w:val="20"/>
          <w:szCs w:val="20"/>
        </w:rPr>
        <w:t xml:space="preserve"> de 2023</w:t>
      </w:r>
    </w:p>
    <w:p w14:paraId="61E97E47" w14:textId="77777777" w:rsidR="002775AD" w:rsidRDefault="002775AD">
      <w:pPr>
        <w:jc w:val="center"/>
        <w:rPr>
          <w:rFonts w:ascii="Arial" w:eastAsia="Arial" w:hAnsi="Arial" w:cs="Arial"/>
          <w:b/>
          <w:color w:val="000000"/>
          <w:sz w:val="20"/>
          <w:szCs w:val="20"/>
        </w:rPr>
      </w:pPr>
    </w:p>
    <w:p w14:paraId="559E419C" w14:textId="77777777" w:rsidR="002775AD" w:rsidRDefault="00000000">
      <w:pPr>
        <w:jc w:val="center"/>
        <w:rPr>
          <w:rFonts w:ascii="Arial" w:eastAsia="Arial" w:hAnsi="Arial" w:cs="Arial"/>
          <w:b/>
          <w:color w:val="000000"/>
          <w:sz w:val="20"/>
          <w:szCs w:val="20"/>
        </w:rPr>
      </w:pPr>
      <w:r>
        <w:rPr>
          <w:rFonts w:ascii="Arial" w:eastAsia="Arial" w:hAnsi="Arial" w:cs="Arial"/>
          <w:b/>
          <w:color w:val="000000"/>
          <w:sz w:val="20"/>
          <w:szCs w:val="20"/>
        </w:rPr>
        <w:t>Coordenação de Licitações</w:t>
      </w:r>
    </w:p>
    <w:p w14:paraId="3347D304" w14:textId="77777777" w:rsidR="002775AD" w:rsidRDefault="00000000">
      <w:pPr>
        <w:jc w:val="center"/>
        <w:rPr>
          <w:rFonts w:ascii="Arial" w:eastAsia="Arial" w:hAnsi="Arial" w:cs="Arial"/>
          <w:b/>
          <w:color w:val="000000"/>
          <w:sz w:val="20"/>
          <w:szCs w:val="20"/>
        </w:rPr>
      </w:pPr>
      <w:proofErr w:type="spellStart"/>
      <w:r>
        <w:rPr>
          <w:rFonts w:ascii="Arial" w:eastAsia="Arial" w:hAnsi="Arial" w:cs="Arial"/>
          <w:b/>
          <w:color w:val="000000"/>
          <w:sz w:val="20"/>
          <w:szCs w:val="20"/>
        </w:rPr>
        <w:t>Pró-Reitoria</w:t>
      </w:r>
      <w:proofErr w:type="spellEnd"/>
      <w:r>
        <w:rPr>
          <w:rFonts w:ascii="Arial" w:eastAsia="Arial" w:hAnsi="Arial" w:cs="Arial"/>
          <w:b/>
          <w:color w:val="000000"/>
          <w:sz w:val="20"/>
          <w:szCs w:val="20"/>
        </w:rPr>
        <w:t xml:space="preserve"> de Administração</w:t>
      </w:r>
    </w:p>
    <w:p w14:paraId="65771605" w14:textId="77777777" w:rsidR="002775AD" w:rsidRDefault="00000000">
      <w:pPr>
        <w:jc w:val="center"/>
        <w:rPr>
          <w:rFonts w:ascii="Arial" w:eastAsia="Arial" w:hAnsi="Arial" w:cs="Arial"/>
          <w:b/>
          <w:color w:val="000000"/>
          <w:sz w:val="20"/>
          <w:szCs w:val="20"/>
        </w:rPr>
      </w:pPr>
      <w:r>
        <w:rPr>
          <w:rFonts w:ascii="Arial" w:eastAsia="Arial" w:hAnsi="Arial" w:cs="Arial"/>
          <w:b/>
          <w:color w:val="000000"/>
          <w:sz w:val="20"/>
          <w:szCs w:val="20"/>
        </w:rPr>
        <w:t>Universidade Federal Fluminense</w:t>
      </w:r>
    </w:p>
    <w:p w14:paraId="2494A84B" w14:textId="77777777" w:rsidR="002775AD" w:rsidRDefault="002775AD">
      <w:pPr>
        <w:spacing w:before="288" w:after="288" w:line="312" w:lineRule="auto"/>
        <w:ind w:firstLine="567"/>
        <w:jc w:val="center"/>
      </w:pPr>
    </w:p>
    <w:sectPr w:rsidR="002775AD">
      <w:headerReference w:type="default" r:id="rId64"/>
      <w:footerReference w:type="default" r:id="rId65"/>
      <w:pgSz w:w="11906" w:h="16838"/>
      <w:pgMar w:top="698" w:right="1133" w:bottom="1418" w:left="1134"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80F07C" w14:textId="77777777" w:rsidR="003F6202" w:rsidRDefault="003F6202">
      <w:r>
        <w:separator/>
      </w:r>
    </w:p>
  </w:endnote>
  <w:endnote w:type="continuationSeparator" w:id="0">
    <w:p w14:paraId="49E6EA5D" w14:textId="77777777" w:rsidR="003F6202" w:rsidRDefault="003F62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WenQuanYi Micro Hei">
    <w:charset w:val="86"/>
    <w:family w:val="roman"/>
    <w:pitch w:val="default"/>
  </w:font>
  <w:font w:name="Lohit Hindi">
    <w:altName w:val="Cambria"/>
    <w:charset w:val="00"/>
    <w:family w:val="roman"/>
    <w:pitch w:val="default"/>
  </w:font>
  <w:font w:name="Liberation Serif">
    <w:altName w:val="Times New Roman"/>
    <w:charset w:val="00"/>
    <w:family w:val="roman"/>
    <w:pitch w:val="default"/>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10714" w14:textId="77777777" w:rsidR="002775AD" w:rsidRDefault="00000000">
    <w:pPr>
      <w:tabs>
        <w:tab w:val="center" w:pos="4252"/>
        <w:tab w:val="right" w:pos="8504"/>
      </w:tabs>
      <w:rPr>
        <w:color w:val="548DD4"/>
        <w:sz w:val="16"/>
        <w:szCs w:val="16"/>
      </w:rPr>
    </w:pPr>
    <w:r>
      <w:rPr>
        <w:color w:val="548DD4"/>
        <w:sz w:val="22"/>
        <w:szCs w:val="22"/>
      </w:rPr>
      <w:tab/>
    </w:r>
    <w:r>
      <w:rPr>
        <w:color w:val="548DD4"/>
        <w:sz w:val="22"/>
        <w:szCs w:val="22"/>
      </w:rPr>
      <w:tab/>
    </w:r>
  </w:p>
  <w:p w14:paraId="29E953C6" w14:textId="77777777" w:rsidR="002775AD" w:rsidRDefault="00000000">
    <w:pPr>
      <w:tabs>
        <w:tab w:val="center" w:pos="4252"/>
        <w:tab w:val="right" w:pos="8504"/>
      </w:tabs>
      <w:rPr>
        <w:rFonts w:ascii="Arial" w:eastAsia="Arial" w:hAnsi="Arial" w:cs="Arial"/>
        <w:color w:val="7F7F7F"/>
        <w:sz w:val="18"/>
        <w:szCs w:val="18"/>
      </w:rPr>
    </w:pPr>
    <w:r>
      <w:rPr>
        <w:color w:val="7F7F7F"/>
        <w:sz w:val="22"/>
        <w:szCs w:val="22"/>
      </w:rPr>
      <w:tab/>
    </w:r>
    <w:r>
      <w:rPr>
        <w:color w:val="7F7F7F"/>
        <w:sz w:val="22"/>
        <w:szCs w:val="22"/>
      </w:rPr>
      <w:tab/>
    </w:r>
    <w:r>
      <w:rPr>
        <w:rFonts w:ascii="Arial" w:eastAsia="Arial" w:hAnsi="Arial" w:cs="Arial"/>
        <w:color w:val="595959"/>
        <w:sz w:val="18"/>
        <w:szCs w:val="18"/>
      </w:rPr>
      <w:t xml:space="preserve">Página </w:t>
    </w:r>
    <w:r>
      <w:rPr>
        <w:rFonts w:ascii="Arial" w:eastAsia="Arial" w:hAnsi="Arial" w:cs="Arial"/>
        <w:color w:val="000000"/>
        <w:sz w:val="18"/>
        <w:szCs w:val="18"/>
      </w:rPr>
      <w:fldChar w:fldCharType="begin"/>
    </w:r>
    <w:r>
      <w:rPr>
        <w:rFonts w:ascii="Arial" w:eastAsia="Arial" w:hAnsi="Arial" w:cs="Arial"/>
        <w:color w:val="000000"/>
        <w:sz w:val="18"/>
        <w:szCs w:val="18"/>
      </w:rPr>
      <w:instrText>PAGE</w:instrText>
    </w:r>
    <w:r>
      <w:rPr>
        <w:rFonts w:ascii="Arial" w:eastAsia="Arial" w:hAnsi="Arial" w:cs="Arial"/>
        <w:color w:val="000000"/>
        <w:sz w:val="18"/>
        <w:szCs w:val="18"/>
      </w:rPr>
      <w:fldChar w:fldCharType="separate"/>
    </w:r>
    <w:r>
      <w:rPr>
        <w:rFonts w:ascii="Arial" w:eastAsia="Arial" w:hAnsi="Arial" w:cs="Arial"/>
        <w:color w:val="000000"/>
        <w:sz w:val="18"/>
        <w:szCs w:val="18"/>
      </w:rPr>
      <w:t>12</w:t>
    </w:r>
    <w:r>
      <w:rPr>
        <w:rFonts w:ascii="Arial" w:eastAsia="Arial" w:hAnsi="Arial" w:cs="Arial"/>
        <w:color w:val="000000"/>
        <w:sz w:val="18"/>
        <w:szCs w:val="18"/>
      </w:rPr>
      <w:fldChar w:fldCharType="end"/>
    </w:r>
    <w:r>
      <w:rPr>
        <w:rFonts w:ascii="Arial" w:eastAsia="Arial" w:hAnsi="Arial" w:cs="Arial"/>
        <w:color w:val="595959"/>
        <w:sz w:val="18"/>
        <w:szCs w:val="18"/>
      </w:rPr>
      <w:t xml:space="preserve"> | </w:t>
    </w:r>
    <w:r>
      <w:rPr>
        <w:rFonts w:ascii="Arial" w:eastAsia="Arial" w:hAnsi="Arial" w:cs="Arial"/>
        <w:color w:val="000000"/>
        <w:sz w:val="18"/>
        <w:szCs w:val="18"/>
      </w:rPr>
      <w:fldChar w:fldCharType="begin"/>
    </w:r>
    <w:r>
      <w:rPr>
        <w:rFonts w:ascii="Arial" w:eastAsia="Arial" w:hAnsi="Arial" w:cs="Arial"/>
        <w:color w:val="000000"/>
        <w:sz w:val="18"/>
        <w:szCs w:val="18"/>
      </w:rPr>
      <w:instrText>NUMPAGES</w:instrText>
    </w:r>
    <w:r>
      <w:rPr>
        <w:rFonts w:ascii="Arial" w:eastAsia="Arial" w:hAnsi="Arial" w:cs="Arial"/>
        <w:color w:val="000000"/>
        <w:sz w:val="18"/>
        <w:szCs w:val="18"/>
      </w:rPr>
      <w:fldChar w:fldCharType="separate"/>
    </w:r>
    <w:r>
      <w:rPr>
        <w:rFonts w:ascii="Arial" w:eastAsia="Arial" w:hAnsi="Arial" w:cs="Arial"/>
        <w:color w:val="000000"/>
        <w:sz w:val="18"/>
        <w:szCs w:val="18"/>
      </w:rPr>
      <w:t>30</w:t>
    </w:r>
    <w:r>
      <w:rPr>
        <w:rFonts w:ascii="Arial" w:eastAsia="Arial" w:hAnsi="Arial" w:cs="Arial"/>
        <w:color w:val="000000"/>
        <w:sz w:val="18"/>
        <w:szCs w:val="18"/>
      </w:rPr>
      <w:fldChar w:fldCharType="end"/>
    </w:r>
  </w:p>
  <w:p w14:paraId="1EA12D28" w14:textId="77777777" w:rsidR="002775AD" w:rsidRDefault="002775AD">
    <w:pPr>
      <w:tabs>
        <w:tab w:val="center" w:pos="4252"/>
        <w:tab w:val="right" w:pos="8504"/>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6BA71D" w14:textId="77777777" w:rsidR="003F6202" w:rsidRDefault="003F6202">
      <w:r>
        <w:separator/>
      </w:r>
    </w:p>
  </w:footnote>
  <w:footnote w:type="continuationSeparator" w:id="0">
    <w:p w14:paraId="00D12679" w14:textId="77777777" w:rsidR="003F6202" w:rsidRDefault="003F62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844D6" w14:textId="6EF169B6" w:rsidR="002775AD" w:rsidRDefault="004F0B20">
    <w:pPr>
      <w:tabs>
        <w:tab w:val="center" w:pos="4252"/>
        <w:tab w:val="right" w:pos="8504"/>
      </w:tabs>
      <w:jc w:val="right"/>
      <w:rPr>
        <w:rFonts w:ascii="Arial" w:eastAsia="Arial" w:hAnsi="Arial" w:cs="Arial"/>
        <w:color w:val="000000"/>
        <w:sz w:val="20"/>
        <w:szCs w:val="20"/>
      </w:rPr>
    </w:pPr>
    <w:r>
      <w:rPr>
        <w:rFonts w:ascii="Arial" w:eastAsia="Arial" w:hAnsi="Arial" w:cs="Arial"/>
        <w:color w:val="000000"/>
        <w:sz w:val="20"/>
        <w:szCs w:val="20"/>
      </w:rPr>
      <w:t>EDITAL - PREGÃO ELETRÔNICO Nº 39/2023</w:t>
    </w:r>
  </w:p>
  <w:p w14:paraId="22E57E2A" w14:textId="77777777" w:rsidR="002775AD" w:rsidRDefault="00000000">
    <w:pPr>
      <w:tabs>
        <w:tab w:val="left" w:pos="480"/>
        <w:tab w:val="center" w:pos="4252"/>
        <w:tab w:val="right" w:pos="8504"/>
      </w:tabs>
      <w:rPr>
        <w:color w:val="000000"/>
      </w:rPr>
    </w:pPr>
    <w:r>
      <w:rPr>
        <w:color w:val="000000"/>
      </w:rPr>
      <w:tab/>
    </w:r>
    <w:r>
      <w:rPr>
        <w:color w:val="000000"/>
      </w:rPr>
      <w:tab/>
    </w:r>
    <w:r>
      <w:rPr>
        <w:color w:val="000000"/>
      </w:rPr>
      <w:tab/>
    </w:r>
    <w:r>
      <w:rPr>
        <w:noProof/>
      </w:rPr>
      <w:drawing>
        <wp:anchor distT="0" distB="0" distL="0" distR="0" simplePos="0" relativeHeight="251662336" behindDoc="1" locked="0" layoutInCell="1" allowOverlap="1" wp14:anchorId="1C178D1D" wp14:editId="4E8D624F">
          <wp:simplePos x="0" y="0"/>
          <wp:positionH relativeFrom="column">
            <wp:posOffset>0</wp:posOffset>
          </wp:positionH>
          <wp:positionV relativeFrom="paragraph">
            <wp:posOffset>0</wp:posOffset>
          </wp:positionV>
          <wp:extent cx="690245" cy="373380"/>
          <wp:effectExtent l="0" t="0" r="0" b="0"/>
          <wp:wrapNone/>
          <wp:docPr id="13" name="image4.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13" name="image4.jpg" descr="Uma imagem contendo clip-art&#10;&#10;Descrição gerada automaticamente"/>
                  <pic:cNvPicPr preferRelativeResize="0"/>
                </pic:nvPicPr>
                <pic:blipFill>
                  <a:blip r:embed="rId1"/>
                  <a:srcRect/>
                  <a:stretch>
                    <a:fillRect/>
                  </a:stretch>
                </pic:blipFill>
                <pic:spPr>
                  <a:xfrm>
                    <a:off x="0" y="0"/>
                    <a:ext cx="690245" cy="373380"/>
                  </a:xfrm>
                  <a:prstGeom prst="rect">
                    <a:avLst/>
                  </a:prstGeom>
                </pic:spPr>
              </pic:pic>
            </a:graphicData>
          </a:graphic>
        </wp:anchor>
      </w:drawing>
    </w:r>
  </w:p>
  <w:p w14:paraId="5925E27B" w14:textId="77777777" w:rsidR="002775AD" w:rsidRDefault="002775AD">
    <w:pPr>
      <w:tabs>
        <w:tab w:val="center" w:pos="4252"/>
        <w:tab w:val="right" w:pos="8504"/>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2C222E"/>
    <w:multiLevelType w:val="multilevel"/>
    <w:tmpl w:val="7F2C222E"/>
    <w:lvl w:ilvl="0">
      <w:start w:val="1"/>
      <w:numFmt w:val="decimal"/>
      <w:lvlText w:val="%1."/>
      <w:lvlJc w:val="left"/>
      <w:pPr>
        <w:ind w:left="360" w:hanging="360"/>
      </w:pPr>
      <w:rPr>
        <w:b/>
      </w:rPr>
    </w:lvl>
    <w:lvl w:ilvl="1">
      <w:start w:val="1"/>
      <w:numFmt w:val="decimal"/>
      <w:lvlText w:val="%1.%2."/>
      <w:lvlJc w:val="left"/>
      <w:pPr>
        <w:ind w:left="4882" w:hanging="432"/>
      </w:pPr>
      <w:rPr>
        <w:rFonts w:ascii="Arial" w:eastAsia="Arial" w:hAnsi="Arial" w:cs="Arial"/>
        <w:b/>
        <w:i w:val="0"/>
        <w:strike w:val="0"/>
        <w:color w:val="000000"/>
        <w:sz w:val="20"/>
        <w:szCs w:val="20"/>
        <w:u w:val="none"/>
      </w:rPr>
    </w:lvl>
    <w:lvl w:ilvl="2">
      <w:start w:val="1"/>
      <w:numFmt w:val="decimal"/>
      <w:lvlText w:val="%1.%2.%3."/>
      <w:lvlJc w:val="left"/>
      <w:pPr>
        <w:ind w:left="3198" w:hanging="503"/>
      </w:pPr>
      <w:rPr>
        <w:rFonts w:ascii="Arial" w:eastAsia="Arial" w:hAnsi="Arial" w:cs="Arial"/>
        <w:b/>
        <w:i w:val="0"/>
        <w:strike w:val="0"/>
        <w:color w:val="000000"/>
        <w:sz w:val="20"/>
        <w:szCs w:val="20"/>
      </w:rPr>
    </w:lvl>
    <w:lvl w:ilvl="3">
      <w:start w:val="1"/>
      <w:numFmt w:val="decimal"/>
      <w:lvlText w:val="%1.%2.%3.%4."/>
      <w:lvlJc w:val="left"/>
      <w:pPr>
        <w:ind w:left="2491" w:hanging="648"/>
      </w:pPr>
      <w:rPr>
        <w:rFonts w:ascii="Arial" w:eastAsia="Arial" w:hAnsi="Arial" w:cs="Arial"/>
        <w:b/>
        <w:sz w:val="20"/>
        <w:szCs w:val="20"/>
      </w:rPr>
    </w:lvl>
    <w:lvl w:ilvl="4">
      <w:start w:val="1"/>
      <w:numFmt w:val="decimal"/>
      <w:lvlText w:val="%1.%2.%3.%4.%5."/>
      <w:lvlJc w:val="left"/>
      <w:pPr>
        <w:ind w:left="2232" w:hanging="792"/>
      </w:pPr>
      <w:rPr>
        <w:rFonts w:ascii="Arial" w:eastAsia="Arial" w:hAnsi="Arial" w:cs="Arial"/>
        <w:b/>
        <w:sz w:val="20"/>
        <w:szCs w:val="20"/>
      </w:r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827739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172A27"/>
    <w:rsid w:val="00172A27"/>
    <w:rsid w:val="001C7B7D"/>
    <w:rsid w:val="0024714F"/>
    <w:rsid w:val="002775AD"/>
    <w:rsid w:val="00380C8A"/>
    <w:rsid w:val="003F6202"/>
    <w:rsid w:val="004A1EEE"/>
    <w:rsid w:val="004E4D2B"/>
    <w:rsid w:val="004F0B20"/>
    <w:rsid w:val="0058246D"/>
    <w:rsid w:val="00647BEA"/>
    <w:rsid w:val="00710802"/>
    <w:rsid w:val="00735097"/>
    <w:rsid w:val="007A1257"/>
    <w:rsid w:val="00820366"/>
    <w:rsid w:val="009D5C4F"/>
    <w:rsid w:val="009F0904"/>
    <w:rsid w:val="00A03542"/>
    <w:rsid w:val="00B32EC2"/>
    <w:rsid w:val="00B619D1"/>
    <w:rsid w:val="00C457EC"/>
    <w:rsid w:val="00C97E42"/>
    <w:rsid w:val="00DA538D"/>
    <w:rsid w:val="00E31282"/>
    <w:rsid w:val="00E54648"/>
    <w:rsid w:val="00E70D04"/>
    <w:rsid w:val="00EF049A"/>
    <w:rsid w:val="00F14873"/>
    <w:rsid w:val="00F36687"/>
    <w:rsid w:val="00F70CB6"/>
    <w:rsid w:val="00F9415C"/>
    <w:rsid w:val="00FB79E7"/>
    <w:rsid w:val="16FF67AB"/>
    <w:rsid w:val="1F1533C4"/>
    <w:rsid w:val="302674D3"/>
    <w:rsid w:val="635B2DED"/>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F143ABD"/>
  <w15:docId w15:val="{F7E5DDFA-D079-4DDD-869E-B56E83606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Ecofont_Spranq_eco_Sans" w:eastAsia="Ecofont_Spranq_eco_Sans" w:hAnsi="Ecofont_Spranq_eco_Sans" w:cs="Ecofont_Spranq_eco_Sans"/>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0"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qFormat="1"/>
    <w:lsdException w:name="FollowedHyperlink" w:semiHidden="1" w:uiPriority="0" w:unhideWhenUsed="1" w:qFormat="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uiPriority="67"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Tahoma"/>
      <w:sz w:val="24"/>
      <w:szCs w:val="24"/>
    </w:rPr>
  </w:style>
  <w:style w:type="paragraph" w:styleId="Ttulo1">
    <w:name w:val="heading 1"/>
    <w:basedOn w:val="Normal"/>
    <w:next w:val="Normal"/>
    <w:link w:val="Ttulo1Char"/>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pPr>
      <w:keepNext/>
      <w:keepLines/>
      <w:spacing w:before="40" w:line="259" w:lineRule="auto"/>
      <w:outlineLvl w:val="2"/>
    </w:pPr>
    <w:rPr>
      <w:rFonts w:asciiTheme="majorHAnsi" w:eastAsiaTheme="majorEastAsia" w:hAnsiTheme="majorHAnsi" w:cstheme="majorBidi"/>
      <w:color w:val="244061" w:themeColor="accent1" w:themeShade="80"/>
      <w:lang w:eastAsia="en-US"/>
    </w:rPr>
  </w:style>
  <w:style w:type="paragraph" w:styleId="Ttulo4">
    <w:name w:val="heading 4"/>
    <w:basedOn w:val="Normal"/>
    <w:next w:val="Normal"/>
    <w:link w:val="Ttulo4Char"/>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qFormat/>
    <w:pPr>
      <w:keepNext/>
      <w:keepLines/>
      <w:spacing w:before="220" w:after="40"/>
      <w:outlineLvl w:val="4"/>
    </w:pPr>
    <w:rPr>
      <w:b/>
      <w:sz w:val="22"/>
      <w:szCs w:val="22"/>
    </w:rPr>
  </w:style>
  <w:style w:type="paragraph" w:styleId="Ttulo6">
    <w:name w:val="heading 6"/>
    <w:basedOn w:val="Normal"/>
    <w:next w:val="Normal"/>
    <w:link w:val="Ttulo6Char"/>
    <w:uiPriority w:val="9"/>
    <w:semiHidden/>
    <w:unhideWhenUsed/>
    <w:qFormat/>
    <w:pPr>
      <w:keepNext/>
      <w:keepLines/>
      <w:spacing w:before="40" w:line="259" w:lineRule="auto"/>
      <w:outlineLvl w:val="5"/>
    </w:pPr>
    <w:rPr>
      <w:rFonts w:asciiTheme="majorHAnsi" w:eastAsiaTheme="majorEastAsia" w:hAnsiTheme="majorHAnsi" w:cstheme="majorBidi"/>
      <w:color w:val="244061" w:themeColor="accent1" w:themeShade="80"/>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unhideWhenUsed/>
    <w:qFormat/>
    <w:rPr>
      <w:sz w:val="16"/>
      <w:szCs w:val="16"/>
    </w:rPr>
  </w:style>
  <w:style w:type="character" w:styleId="HiperlinkVisitado">
    <w:name w:val="FollowedHyperlink"/>
    <w:basedOn w:val="Fontepargpadro"/>
    <w:semiHidden/>
    <w:unhideWhenUsed/>
    <w:qFormat/>
    <w:rPr>
      <w:color w:val="800080" w:themeColor="followedHyperlink"/>
      <w:u w:val="single"/>
    </w:rPr>
  </w:style>
  <w:style w:type="character" w:styleId="nfase">
    <w:name w:val="Emphasis"/>
    <w:basedOn w:val="Fontepargpadro"/>
    <w:qFormat/>
    <w:rPr>
      <w:i/>
      <w:iCs/>
    </w:rPr>
  </w:style>
  <w:style w:type="character" w:styleId="Hyperlink">
    <w:name w:val="Hyperlink"/>
    <w:basedOn w:val="Fontepargpadro"/>
    <w:unhideWhenUsed/>
    <w:qFormat/>
    <w:rPr>
      <w:color w:val="0000FF" w:themeColor="hyperlink"/>
      <w:u w:val="single"/>
    </w:rPr>
  </w:style>
  <w:style w:type="paragraph" w:styleId="Lista">
    <w:name w:val="List"/>
    <w:basedOn w:val="Corpodetexto"/>
    <w:rPr>
      <w:rFonts w:cs="Arial"/>
    </w:rPr>
  </w:style>
  <w:style w:type="paragraph" w:styleId="Corpodetexto">
    <w:name w:val="Body Text"/>
    <w:basedOn w:val="Normal"/>
    <w:link w:val="CorpodetextoChar"/>
    <w:unhideWhenUsed/>
    <w:qFormat/>
    <w:pPr>
      <w:spacing w:beforeAutospacing="1" w:afterAutospacing="1"/>
    </w:pPr>
    <w:rPr>
      <w:rFonts w:ascii="Times New Roman" w:eastAsia="Times New Roman" w:hAnsi="Times New Roman" w:cs="Times New Roman"/>
    </w:rPr>
  </w:style>
  <w:style w:type="paragraph" w:styleId="Textodecomentrio">
    <w:name w:val="annotation text"/>
    <w:basedOn w:val="Normal"/>
    <w:link w:val="TextodecomentrioChar"/>
    <w:unhideWhenUsed/>
    <w:qFormat/>
    <w:rPr>
      <w:sz w:val="20"/>
      <w:szCs w:val="20"/>
    </w:rPr>
  </w:style>
  <w:style w:type="paragraph" w:styleId="Ttulo">
    <w:name w:val="Title"/>
    <w:basedOn w:val="Normal"/>
    <w:next w:val="Normal"/>
    <w:link w:val="TtuloChar"/>
    <w:qFormat/>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paragraph" w:styleId="Commarcadores5">
    <w:name w:val="List Bullet 5"/>
    <w:basedOn w:val="Normal"/>
    <w:qFormat/>
    <w:pPr>
      <w:contextualSpacing/>
    </w:pPr>
  </w:style>
  <w:style w:type="paragraph" w:styleId="NormalWeb">
    <w:name w:val="Normal (Web)"/>
    <w:basedOn w:val="Normal"/>
    <w:uiPriority w:val="99"/>
    <w:qFormat/>
    <w:pPr>
      <w:spacing w:beforeAutospacing="1" w:afterAutospacing="1"/>
    </w:pPr>
    <w:rPr>
      <w:rFonts w:ascii="Times New Roman" w:hAnsi="Times New Roman" w:cs="Times New Roman"/>
    </w:rPr>
  </w:style>
  <w:style w:type="paragraph" w:styleId="Cabealho">
    <w:name w:val="header"/>
    <w:basedOn w:val="Normal"/>
    <w:link w:val="CabealhoChar"/>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qFormat/>
    <w:pPr>
      <w:tabs>
        <w:tab w:val="center" w:pos="4252"/>
        <w:tab w:val="right" w:pos="8504"/>
      </w:tabs>
    </w:pPr>
  </w:style>
  <w:style w:type="paragraph" w:styleId="Legenda">
    <w:name w:val="caption"/>
    <w:basedOn w:val="Normal"/>
    <w:next w:val="Normal"/>
    <w:qFormat/>
    <w:pPr>
      <w:suppressLineNumbers/>
      <w:spacing w:before="120" w:after="120"/>
    </w:pPr>
    <w:rPr>
      <w:rFonts w:cs="Arial"/>
      <w:i/>
      <w:iCs/>
    </w:rPr>
  </w:style>
  <w:style w:type="paragraph" w:styleId="Textodebalo">
    <w:name w:val="Balloon Text"/>
    <w:basedOn w:val="Normal"/>
    <w:link w:val="TextodebaloChar"/>
    <w:uiPriority w:val="99"/>
    <w:qFormat/>
    <w:rPr>
      <w:rFonts w:ascii="Tahoma" w:hAnsi="Tahoma"/>
      <w:sz w:val="16"/>
      <w:szCs w:val="16"/>
    </w:rPr>
  </w:style>
  <w:style w:type="paragraph" w:styleId="Subttulo">
    <w:name w:val="Subtitle"/>
    <w:basedOn w:val="Normal"/>
    <w:next w:val="Normal"/>
    <w:qFormat/>
    <w:pPr>
      <w:keepNext/>
      <w:keepLines/>
      <w:spacing w:before="360" w:after="80"/>
    </w:pPr>
    <w:rPr>
      <w:rFonts w:ascii="Georgia" w:eastAsia="Georgia" w:hAnsi="Georgia" w:cs="Georgia"/>
      <w:i/>
      <w:color w:val="666666"/>
      <w:sz w:val="48"/>
      <w:szCs w:val="48"/>
    </w:rPr>
  </w:style>
  <w:style w:type="paragraph" w:styleId="Sumrio1">
    <w:name w:val="toc 1"/>
    <w:basedOn w:val="Normal"/>
    <w:next w:val="Normal"/>
    <w:uiPriority w:val="39"/>
    <w:unhideWhenUsed/>
    <w:qFormat/>
    <w:pPr>
      <w:tabs>
        <w:tab w:val="left" w:pos="426"/>
        <w:tab w:val="right" w:leader="dot" w:pos="9628"/>
      </w:tabs>
      <w:spacing w:after="100"/>
    </w:pPr>
    <w:rPr>
      <w:rFonts w:ascii="Arial" w:eastAsia="Times New Roman" w:hAnsi="Arial"/>
      <w:sz w:val="20"/>
    </w:rPr>
  </w:style>
  <w:style w:type="table" w:styleId="Tabelacomgrade">
    <w:name w:val="Table Grid"/>
    <w:basedOn w:val="Tabela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tblPr>
      <w:tblCellMar>
        <w:top w:w="0" w:type="dxa"/>
        <w:left w:w="0" w:type="dxa"/>
        <w:bottom w:w="0" w:type="dxa"/>
        <w:right w:w="0" w:type="dxa"/>
      </w:tblCellMar>
    </w:tblPr>
  </w:style>
  <w:style w:type="table" w:customStyle="1" w:styleId="TableNormal2">
    <w:name w:val="Table Normal2"/>
    <w:qFormat/>
    <w:tblPr>
      <w:tblCellMar>
        <w:top w:w="0" w:type="dxa"/>
        <w:left w:w="0" w:type="dxa"/>
        <w:bottom w:w="0" w:type="dxa"/>
        <w:right w:w="0" w:type="dxa"/>
      </w:tblCellMar>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basedOn w:val="Fontepargpadro"/>
    <w:uiPriority w:val="99"/>
    <w:unhideWhenUsed/>
    <w:qFormat/>
    <w:rPr>
      <w:color w:val="0000FF" w:themeColor="hyperlink"/>
      <w:u w:val="single"/>
    </w:rPr>
  </w:style>
  <w:style w:type="character" w:customStyle="1" w:styleId="CitaoChar">
    <w:name w:val="Citação Char"/>
    <w:link w:val="Citao"/>
    <w:qFormat/>
    <w:rPr>
      <w:rFonts w:ascii="Arial" w:eastAsia="Calibri" w:hAnsi="Arial" w:cs="Tahoma"/>
      <w:i/>
      <w:iCs/>
      <w:color w:val="000000"/>
      <w:szCs w:val="24"/>
      <w:shd w:val="clear" w:color="auto" w:fill="FFFFCC"/>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NotaexplicativaChar">
    <w:name w:val="Nota explicativa Char"/>
    <w:basedOn w:val="CitaoChar"/>
    <w:link w:val="Notaexplicativa"/>
    <w:qFormat/>
    <w:rPr>
      <w:rFonts w:ascii="Arial" w:eastAsia="Calibri" w:hAnsi="Arial" w:cs="Tahoma"/>
      <w:i/>
      <w:iCs/>
      <w:color w:val="000000"/>
      <w:szCs w:val="24"/>
      <w:shd w:val="clear" w:color="auto" w:fill="FFFFCC"/>
    </w:rPr>
  </w:style>
  <w:style w:type="paragraph" w:customStyle="1" w:styleId="Notaexplicativa">
    <w:name w:val="Nota explicativa"/>
    <w:basedOn w:val="Citao"/>
    <w:link w:val="NotaexplicativaChar"/>
    <w:qFormat/>
    <w:rPr>
      <w:szCs w:val="20"/>
    </w:rPr>
  </w:style>
  <w:style w:type="character" w:customStyle="1" w:styleId="CabealhoChar">
    <w:name w:val="Cabeçalho Char"/>
    <w:link w:val="Cabealho"/>
    <w:qFormat/>
    <w:rPr>
      <w:rFonts w:ascii="Ecofont_Spranq_eco_Sans" w:hAnsi="Ecofont_Spranq_eco_Sans" w:cs="Tahoma"/>
      <w:sz w:val="24"/>
      <w:szCs w:val="24"/>
    </w:rPr>
  </w:style>
  <w:style w:type="character" w:customStyle="1" w:styleId="RodapChar">
    <w:name w:val="Rodapé Char"/>
    <w:link w:val="Rodap"/>
    <w:uiPriority w:val="99"/>
    <w:qFormat/>
    <w:rPr>
      <w:rFonts w:ascii="Ecofont_Spranq_eco_Sans" w:hAnsi="Ecofont_Spranq_eco_Sans" w:cs="Tahoma"/>
      <w:sz w:val="24"/>
      <w:szCs w:val="24"/>
    </w:rPr>
  </w:style>
  <w:style w:type="character" w:customStyle="1" w:styleId="TextodecomentrioChar">
    <w:name w:val="Texto de comentário Char"/>
    <w:basedOn w:val="Fontepargpadro"/>
    <w:link w:val="Textodecomentrio"/>
    <w:qFormat/>
    <w:rPr>
      <w:rFonts w:ascii="Ecofont_Spranq_eco_Sans" w:hAnsi="Ecofont_Spranq_eco_Sans" w:cs="Tahoma"/>
      <w:lang w:eastAsia="pt-BR"/>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lang w:eastAsia="pt-BR"/>
    </w:rPr>
  </w:style>
  <w:style w:type="character" w:customStyle="1" w:styleId="Ttulo4Char">
    <w:name w:val="Título 4 Char"/>
    <w:basedOn w:val="Fontepargpadro"/>
    <w:link w:val="Ttulo4"/>
    <w:qFormat/>
    <w:rPr>
      <w:rFonts w:asciiTheme="majorHAnsi" w:eastAsiaTheme="majorEastAsia" w:hAnsiTheme="majorHAnsi" w:cstheme="majorBidi"/>
      <w:i/>
      <w:iCs/>
      <w:color w:val="365F91" w:themeColor="accent1" w:themeShade="BF"/>
      <w:sz w:val="24"/>
      <w:szCs w:val="24"/>
      <w:lang w:eastAsia="pt-BR"/>
    </w:rPr>
  </w:style>
  <w:style w:type="character" w:customStyle="1" w:styleId="TtuloChar">
    <w:name w:val="Título Char"/>
    <w:basedOn w:val="Fontepargpadro"/>
    <w:link w:val="Ttulo"/>
    <w:qFormat/>
    <w:rPr>
      <w:rFonts w:asciiTheme="majorHAnsi" w:eastAsiaTheme="majorEastAsia" w:hAnsiTheme="majorHAnsi" w:cstheme="majorBidi"/>
      <w:color w:val="17365D" w:themeColor="text2" w:themeShade="BF"/>
      <w:spacing w:val="5"/>
      <w:kern w:val="2"/>
      <w:sz w:val="52"/>
      <w:szCs w:val="52"/>
      <w:lang w:eastAsia="pt-BR"/>
    </w:rPr>
  </w:style>
  <w:style w:type="character" w:customStyle="1" w:styleId="Nivel01Char">
    <w:name w:val="Nivel 01 Char"/>
    <w:basedOn w:val="TtuloChar"/>
    <w:link w:val="Nivel01"/>
    <w:qFormat/>
    <w:rPr>
      <w:rFonts w:ascii="Arial" w:eastAsiaTheme="majorEastAsia" w:hAnsi="Arial" w:cs="Arial"/>
      <w:b/>
      <w:bCs/>
      <w:color w:val="17365D" w:themeColor="text2" w:themeShade="BF"/>
      <w:spacing w:val="5"/>
      <w:kern w:val="2"/>
      <w:sz w:val="52"/>
      <w:szCs w:val="52"/>
      <w:lang w:eastAsia="pt-BR"/>
    </w:rPr>
  </w:style>
  <w:style w:type="paragraph" w:customStyle="1" w:styleId="Nivel01">
    <w:name w:val="Nivel 01"/>
    <w:basedOn w:val="Ttulo1"/>
    <w:next w:val="Normal"/>
    <w:link w:val="Nivel01Char"/>
    <w:qFormat/>
    <w:pPr>
      <w:tabs>
        <w:tab w:val="left" w:pos="567"/>
      </w:tabs>
      <w:spacing w:before="240"/>
      <w:jc w:val="both"/>
    </w:pPr>
    <w:rPr>
      <w:rFonts w:ascii="Arial" w:hAnsi="Arial" w:cs="Arial"/>
      <w:color w:val="auto"/>
      <w:sz w:val="20"/>
      <w:szCs w:val="20"/>
    </w:rPr>
  </w:style>
  <w:style w:type="character" w:customStyle="1" w:styleId="Ttulo1Char">
    <w:name w:val="Título 1 Char"/>
    <w:basedOn w:val="Fontepargpadro"/>
    <w:link w:val="Ttulo1"/>
    <w:qFormat/>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Pr>
      <w:rFonts w:ascii="Arial" w:eastAsiaTheme="majorEastAsia" w:hAnsi="Arial" w:cstheme="majorBidi"/>
      <w:b/>
      <w:bCs/>
      <w:color w:val="000000" w:themeColor="text1"/>
      <w:spacing w:val="5"/>
      <w:kern w:val="2"/>
      <w:sz w:val="52"/>
      <w:szCs w:val="52"/>
      <w:lang w:eastAsia="pt-BR"/>
    </w:rPr>
  </w:style>
  <w:style w:type="paragraph" w:customStyle="1" w:styleId="Nivel01Titulo">
    <w:name w:val="Nivel_01_Titulo"/>
    <w:basedOn w:val="Nivel01"/>
    <w:link w:val="Nivel01TituloChar"/>
    <w:qFormat/>
    <w:pPr>
      <w:jc w:val="left"/>
    </w:pPr>
    <w:rPr>
      <w:rFonts w:cstheme="majorBidi"/>
      <w:color w:val="000000" w:themeColor="text1"/>
      <w:spacing w:val="5"/>
      <w:kern w:val="2"/>
      <w:sz w:val="52"/>
      <w:szCs w:val="52"/>
    </w:rPr>
  </w:style>
  <w:style w:type="character" w:customStyle="1" w:styleId="QuoteChar">
    <w:name w:val="Quote Char"/>
    <w:basedOn w:val="Fontepargpadro"/>
    <w:link w:val="Citao1"/>
    <w:qFormat/>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character" w:customStyle="1" w:styleId="CorpodetextoChar">
    <w:name w:val="Corpo de texto Char"/>
    <w:basedOn w:val="Fontepargpadro"/>
    <w:link w:val="Corpodetexto"/>
    <w:qFormat/>
    <w:rPr>
      <w:rFonts w:eastAsia="Times New Roman"/>
      <w:sz w:val="24"/>
      <w:szCs w:val="24"/>
      <w:lang w:eastAsia="pt-BR"/>
    </w:rPr>
  </w:style>
  <w:style w:type="character" w:customStyle="1" w:styleId="Nivel1Char">
    <w:name w:val="Nivel1 Char"/>
    <w:basedOn w:val="Ttulo1Char"/>
    <w:link w:val="Nivel1"/>
    <w:qFormat/>
    <w:rPr>
      <w:rFonts w:ascii="Arial" w:eastAsiaTheme="majorEastAsia" w:hAnsi="Arial" w:cs="Arial"/>
      <w:b/>
      <w:bCs w:val="0"/>
      <w:color w:val="000000"/>
      <w:sz w:val="28"/>
      <w:szCs w:val="28"/>
      <w:lang w:eastAsia="pt-BR"/>
    </w:rPr>
  </w:style>
  <w:style w:type="paragraph" w:customStyle="1" w:styleId="Nivel1">
    <w:name w:val="Nivel1"/>
    <w:basedOn w:val="Ttulo1"/>
    <w:link w:val="Nivel1Char"/>
    <w:qFormat/>
    <w:pPr>
      <w:spacing w:line="276" w:lineRule="auto"/>
      <w:ind w:left="357" w:hanging="357"/>
      <w:jc w:val="both"/>
    </w:pPr>
    <w:rPr>
      <w:rFonts w:ascii="Arial" w:hAnsi="Arial" w:cs="Arial"/>
      <w:bCs w:val="0"/>
      <w:color w:val="000000"/>
    </w:rPr>
  </w:style>
  <w:style w:type="character" w:customStyle="1" w:styleId="Nivel4Char">
    <w:name w:val="Nivel 4 Char"/>
    <w:basedOn w:val="Fontepargpadro"/>
    <w:link w:val="Nivel4"/>
    <w:qFormat/>
    <w:rPr>
      <w:rFonts w:ascii="Arial" w:hAnsi="Arial" w:cs="Arial"/>
      <w:lang w:eastAsia="pt-BR"/>
    </w:rPr>
  </w:style>
  <w:style w:type="paragraph" w:customStyle="1" w:styleId="Nivel4">
    <w:name w:val="Nivel 4"/>
    <w:basedOn w:val="Nivel3"/>
    <w:link w:val="Nivel4Char"/>
    <w:qFormat/>
    <w:pPr>
      <w:ind w:left="851"/>
    </w:pPr>
    <w:rPr>
      <w:color w:val="auto"/>
    </w:rPr>
  </w:style>
  <w:style w:type="paragraph" w:customStyle="1" w:styleId="Nivel3">
    <w:name w:val="Nivel 3"/>
    <w:basedOn w:val="Normal"/>
    <w:link w:val="Nivel3Char"/>
    <w:qFormat/>
    <w:pPr>
      <w:spacing w:before="120" w:after="120" w:line="276" w:lineRule="auto"/>
      <w:ind w:left="425"/>
      <w:jc w:val="both"/>
    </w:pPr>
    <w:rPr>
      <w:rFonts w:ascii="Arial" w:hAnsi="Arial" w:cs="Arial"/>
      <w:color w:val="000000"/>
      <w:sz w:val="20"/>
      <w:szCs w:val="20"/>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Manoel">
    <w:name w:val="Manoel"/>
    <w:qFormat/>
    <w:rPr>
      <w:rFonts w:ascii="Arial" w:hAnsi="Arial" w:cs="Arial"/>
      <w:color w:val="7030A0"/>
      <w:sz w:val="20"/>
    </w:rPr>
  </w:style>
  <w:style w:type="character" w:customStyle="1" w:styleId="GradeColorida-nfase1Char">
    <w:name w:val="Grade Colorida - Ênfase 1 Char"/>
    <w:uiPriority w:val="29"/>
    <w:qFormat/>
    <w:rPr>
      <w:rFonts w:ascii="Arial" w:eastAsia="Calibri" w:hAnsi="Arial"/>
      <w:i/>
      <w:iCs/>
      <w:color w:val="000000"/>
      <w:szCs w:val="24"/>
      <w:shd w:val="clear" w:color="auto" w:fill="FFFFCC"/>
    </w:rPr>
  </w:style>
  <w:style w:type="character" w:customStyle="1" w:styleId="highlight">
    <w:name w:val="highlight"/>
    <w:basedOn w:val="Fontepargpadro"/>
    <w:qFormat/>
  </w:style>
  <w:style w:type="character" w:customStyle="1" w:styleId="MenoPendente1">
    <w:name w:val="Menção Pendente1"/>
    <w:basedOn w:val="Fontepargpadro"/>
    <w:uiPriority w:val="99"/>
    <w:semiHidden/>
    <w:unhideWhenUsed/>
    <w:qFormat/>
    <w:rPr>
      <w:color w:val="605E5C"/>
      <w:shd w:val="clear" w:color="auto" w:fill="E1DFDD"/>
    </w:r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Nivel2Char">
    <w:name w:val="Nivel 2 Char"/>
    <w:basedOn w:val="Fontepargpadro"/>
    <w:link w:val="Nivel2"/>
    <w:qFormat/>
    <w:locked/>
    <w:rPr>
      <w:rFonts w:ascii="Arial" w:hAnsi="Arial" w:cs="Arial"/>
      <w:color w:val="000000"/>
      <w:lang w:eastAsia="pt-BR"/>
    </w:rPr>
  </w:style>
  <w:style w:type="paragraph" w:customStyle="1" w:styleId="Nivel2">
    <w:name w:val="Nivel 2"/>
    <w:basedOn w:val="Normal"/>
    <w:link w:val="Nivel2Char"/>
    <w:qFormat/>
    <w:pPr>
      <w:spacing w:before="120" w:after="120" w:line="276" w:lineRule="auto"/>
      <w:jc w:val="both"/>
    </w:pPr>
    <w:rPr>
      <w:rFonts w:ascii="Arial" w:hAnsi="Arial" w:cs="Arial"/>
      <w:color w:val="000000"/>
      <w:sz w:val="20"/>
      <w:szCs w:val="20"/>
    </w:rPr>
  </w:style>
  <w:style w:type="character" w:customStyle="1" w:styleId="Nvel2OpcionalChar">
    <w:name w:val="Nível 2 Opcional Char"/>
    <w:basedOn w:val="Fontepargpadro"/>
    <w:link w:val="Nvel2Opcional"/>
    <w:qFormat/>
    <w:rPr>
      <w:rFonts w:ascii="Arial" w:eastAsia="Times New Roman" w:hAnsi="Arial" w:cs="Arial"/>
      <w:i/>
      <w:color w:val="FF0000"/>
      <w:lang w:eastAsia="pt-BR"/>
    </w:rPr>
  </w:style>
  <w:style w:type="paragraph" w:customStyle="1" w:styleId="Nvel2Opcional">
    <w:name w:val="Nível 2 Opcional"/>
    <w:basedOn w:val="Nivel2"/>
    <w:link w:val="Nvel2OpcionalChar"/>
    <w:qFormat/>
    <w:pPr>
      <w:ind w:left="432" w:hanging="432"/>
    </w:pPr>
    <w:rPr>
      <w:rFonts w:eastAsia="Times New Roman"/>
      <w:i/>
      <w:color w:val="FF0000"/>
    </w:rPr>
  </w:style>
  <w:style w:type="character" w:customStyle="1" w:styleId="Nvel3OpcionalChar">
    <w:name w:val="Nível 3 Opcional Char"/>
    <w:basedOn w:val="Fontepargpadro"/>
    <w:link w:val="Nvel3Opcional"/>
    <w:qFormat/>
    <w:rPr>
      <w:rFonts w:ascii="Arial" w:eastAsia="Times New Roman" w:hAnsi="Arial" w:cs="Arial"/>
      <w:i/>
      <w:iCs/>
      <w:color w:val="FF0000"/>
      <w:lang w:eastAsia="pt-BR"/>
    </w:rPr>
  </w:style>
  <w:style w:type="paragraph" w:customStyle="1" w:styleId="Nvel3Opcional">
    <w:name w:val="Nível 3 Opcional"/>
    <w:basedOn w:val="Nivel3"/>
    <w:link w:val="Nvel3OpcionalChar"/>
    <w:qFormat/>
    <w:pPr>
      <w:ind w:left="1072" w:hanging="504"/>
    </w:pPr>
    <w:rPr>
      <w:rFonts w:eastAsia="Times New Roman"/>
      <w:i/>
      <w:iCs/>
      <w:color w:val="FF0000"/>
    </w:rPr>
  </w:style>
  <w:style w:type="character" w:styleId="TextodoEspaoReservado">
    <w:name w:val="Placeholder Text"/>
    <w:basedOn w:val="Fontepargpadro"/>
    <w:uiPriority w:val="67"/>
    <w:semiHidden/>
    <w:qFormat/>
    <w:rPr>
      <w:color w:val="808080"/>
    </w:rPr>
  </w:style>
  <w:style w:type="character" w:customStyle="1" w:styleId="PargrafodaListaChar">
    <w:name w:val="Parágrafo da Lista Char"/>
    <w:basedOn w:val="Fontepargpadro"/>
    <w:link w:val="PargrafodaLista"/>
    <w:uiPriority w:val="34"/>
    <w:qFormat/>
    <w:rPr>
      <w:rFonts w:ascii="Ecofont_Spranq_eco_Sans" w:hAnsi="Ecofont_Spranq_eco_Sans" w:cs="Tahoma"/>
      <w:sz w:val="24"/>
      <w:szCs w:val="24"/>
      <w:lang w:eastAsia="pt-BR"/>
    </w:rPr>
  </w:style>
  <w:style w:type="paragraph" w:styleId="PargrafodaLista">
    <w:name w:val="List Paragraph"/>
    <w:basedOn w:val="Normal"/>
    <w:link w:val="PargrafodaListaChar"/>
    <w:uiPriority w:val="34"/>
    <w:qFormat/>
    <w:pPr>
      <w:ind w:left="720"/>
      <w:contextualSpacing/>
    </w:pPr>
  </w:style>
  <w:style w:type="character" w:customStyle="1" w:styleId="Ttulo3Char">
    <w:name w:val="Título 3 Char"/>
    <w:basedOn w:val="Fontepargpadro"/>
    <w:link w:val="Ttulo3"/>
    <w:uiPriority w:val="9"/>
    <w:semiHidden/>
    <w:qFormat/>
    <w:rPr>
      <w:rFonts w:asciiTheme="majorHAnsi" w:eastAsiaTheme="majorEastAsia" w:hAnsiTheme="majorHAnsi" w:cstheme="majorBidi"/>
      <w:color w:val="244061" w:themeColor="accent1" w:themeShade="80"/>
      <w:sz w:val="24"/>
      <w:szCs w:val="24"/>
    </w:rPr>
  </w:style>
  <w:style w:type="character" w:customStyle="1" w:styleId="Ttulo6Char">
    <w:name w:val="Título 6 Char"/>
    <w:basedOn w:val="Fontepargpadro"/>
    <w:link w:val="Ttulo6"/>
    <w:uiPriority w:val="9"/>
    <w:semiHidden/>
    <w:qFormat/>
    <w:rPr>
      <w:rFonts w:asciiTheme="majorHAnsi" w:eastAsiaTheme="majorEastAsia" w:hAnsiTheme="majorHAnsi" w:cstheme="majorBidi"/>
      <w:color w:val="244061" w:themeColor="accent1" w:themeShade="80"/>
      <w:sz w:val="22"/>
      <w:szCs w:val="22"/>
    </w:rPr>
  </w:style>
  <w:style w:type="character" w:customStyle="1" w:styleId="markedcontent">
    <w:name w:val="markedcontent"/>
    <w:basedOn w:val="Fontepargpadro"/>
    <w:qFormat/>
  </w:style>
  <w:style w:type="character" w:customStyle="1" w:styleId="MenoPendente3">
    <w:name w:val="Menção Pendente3"/>
    <w:basedOn w:val="Fontepargpadro"/>
    <w:uiPriority w:val="99"/>
    <w:semiHidden/>
    <w:unhideWhenUsed/>
    <w:qFormat/>
    <w:rPr>
      <w:color w:val="605E5C"/>
      <w:shd w:val="clear" w:color="auto" w:fill="E1DFDD"/>
    </w:rPr>
  </w:style>
  <w:style w:type="character" w:customStyle="1" w:styleId="MenoPendente4">
    <w:name w:val="Menção Pendente4"/>
    <w:basedOn w:val="Fontepargpadro"/>
    <w:uiPriority w:val="99"/>
    <w:semiHidden/>
    <w:unhideWhenUsed/>
    <w:qFormat/>
    <w:rPr>
      <w:color w:val="605E5C"/>
      <w:shd w:val="clear" w:color="auto" w:fill="E1DFDD"/>
    </w:rPr>
  </w:style>
  <w:style w:type="character" w:customStyle="1" w:styleId="ouChar">
    <w:name w:val="ou Char"/>
    <w:basedOn w:val="PargrafodaListaChar"/>
    <w:qFormat/>
    <w:rPr>
      <w:rFonts w:ascii="Arial" w:eastAsiaTheme="minorHAnsi" w:hAnsi="Arial" w:cs="Arial"/>
      <w:b/>
      <w:bCs/>
      <w:i/>
      <w:iCs/>
      <w:color w:val="FF0000"/>
      <w:sz w:val="24"/>
      <w:szCs w:val="24"/>
      <w:u w:val="single"/>
      <w:lang w:eastAsia="pt-BR"/>
    </w:rPr>
  </w:style>
  <w:style w:type="character" w:customStyle="1" w:styleId="Nvel2-RedChar">
    <w:name w:val="Nível 2 -Red Char"/>
    <w:basedOn w:val="Nivel2Char"/>
    <w:qFormat/>
    <w:rPr>
      <w:rFonts w:ascii="Arial" w:hAnsi="Arial" w:cs="Arial"/>
      <w:i/>
      <w:iCs/>
      <w:color w:val="FF0000"/>
      <w:lang w:eastAsia="pt-BR"/>
    </w:rPr>
  </w:style>
  <w:style w:type="character" w:customStyle="1" w:styleId="Nivel3Char">
    <w:name w:val="Nivel 3 Char"/>
    <w:basedOn w:val="Fontepargpadro"/>
    <w:link w:val="Nivel3"/>
    <w:qFormat/>
    <w:rPr>
      <w:rFonts w:ascii="Arial" w:hAnsi="Arial" w:cs="Arial"/>
      <w:color w:val="000000"/>
      <w:lang w:eastAsia="pt-BR"/>
    </w:rPr>
  </w:style>
  <w:style w:type="character" w:customStyle="1" w:styleId="Nvel3-RChar">
    <w:name w:val="Nível 3-R Char"/>
    <w:basedOn w:val="Nivel3Char"/>
    <w:qFormat/>
    <w:rPr>
      <w:rFonts w:ascii="Arial" w:hAnsi="Arial" w:cs="Arial"/>
      <w:i/>
      <w:iCs/>
      <w:color w:val="FF0000"/>
      <w:lang w:eastAsia="pt-BR"/>
    </w:rPr>
  </w:style>
  <w:style w:type="character" w:customStyle="1" w:styleId="Nvel4-RChar">
    <w:name w:val="Nível 4-R Char"/>
    <w:basedOn w:val="Nivel4Char"/>
    <w:qFormat/>
    <w:rPr>
      <w:rFonts w:ascii="Arial" w:hAnsi="Arial" w:cs="Arial"/>
      <w:i/>
      <w:iCs/>
      <w:color w:val="FF0000"/>
      <w:lang w:eastAsia="pt-BR"/>
    </w:rPr>
  </w:style>
  <w:style w:type="character" w:customStyle="1" w:styleId="Nvel1-SemNumChar">
    <w:name w:val="Nível 1-Sem Num Char"/>
    <w:basedOn w:val="Nivel01Char"/>
    <w:qFormat/>
    <w:rPr>
      <w:rFonts w:ascii="Arial" w:eastAsiaTheme="majorEastAsia" w:hAnsi="Arial" w:cs="Arial"/>
      <w:b/>
      <w:bCs/>
      <w:color w:val="FF0000"/>
      <w:spacing w:val="5"/>
      <w:kern w:val="2"/>
      <w:sz w:val="52"/>
      <w:szCs w:val="52"/>
      <w:lang w:eastAsia="pt-BR"/>
    </w:rPr>
  </w:style>
  <w:style w:type="character" w:customStyle="1" w:styleId="PrembuloChar">
    <w:name w:val="Preâmbulo Char"/>
    <w:basedOn w:val="Fontepargpadro"/>
    <w:link w:val="Prembulo"/>
    <w:qFormat/>
    <w:rPr>
      <w:rFonts w:ascii="Arial" w:eastAsia="Arial" w:hAnsi="Arial" w:cs="Arial"/>
      <w:bCs/>
      <w:lang w:eastAsia="pt-BR"/>
    </w:rPr>
  </w:style>
  <w:style w:type="paragraph" w:customStyle="1" w:styleId="Prembulo">
    <w:name w:val="Preâmbulo"/>
    <w:basedOn w:val="Normal"/>
    <w:link w:val="PrembuloChar"/>
    <w:qFormat/>
    <w:pPr>
      <w:spacing w:before="480" w:after="120" w:line="360" w:lineRule="auto"/>
      <w:ind w:left="4253" w:right="-17"/>
      <w:jc w:val="both"/>
    </w:pPr>
    <w:rPr>
      <w:rFonts w:ascii="Arial" w:eastAsia="Arial" w:hAnsi="Arial" w:cs="Arial"/>
      <w:bCs/>
      <w:sz w:val="20"/>
      <w:szCs w:val="20"/>
    </w:rPr>
  </w:style>
  <w:style w:type="character" w:customStyle="1" w:styleId="MenoPendente5">
    <w:name w:val="Menção Pendente5"/>
    <w:basedOn w:val="Fontepargpadro"/>
    <w:uiPriority w:val="99"/>
    <w:semiHidden/>
    <w:unhideWhenUsed/>
    <w:qFormat/>
    <w:rPr>
      <w:color w:val="605E5C"/>
      <w:shd w:val="clear" w:color="auto" w:fill="E1DFDD"/>
    </w:rPr>
  </w:style>
  <w:style w:type="character" w:customStyle="1" w:styleId="citao2Char">
    <w:name w:val="citação 2 Char"/>
    <w:basedOn w:val="CitaoChar"/>
    <w:qFormat/>
    <w:rPr>
      <w:rFonts w:ascii="Arial" w:eastAsia="Calibri" w:hAnsi="Arial" w:cs="Tahoma"/>
      <w:i/>
      <w:iCs/>
      <w:color w:val="000000"/>
      <w:szCs w:val="24"/>
      <w:shd w:val="clear" w:color="auto" w:fill="FFFFCC"/>
    </w:rPr>
  </w:style>
  <w:style w:type="character" w:customStyle="1" w:styleId="Vnculodendice">
    <w:name w:val="Vínculo de índice"/>
    <w:qFormat/>
  </w:style>
  <w:style w:type="character" w:customStyle="1" w:styleId="Smbolosdenumerao">
    <w:name w:val="Símbolos de numeração"/>
    <w:qFormat/>
  </w:style>
  <w:style w:type="paragraph" w:customStyle="1" w:styleId="ndice">
    <w:name w:val="Índice"/>
    <w:basedOn w:val="Normal"/>
    <w:qFormat/>
    <w:pPr>
      <w:suppressLineNumbers/>
    </w:pPr>
    <w:rPr>
      <w:rFonts w:cs="Arial"/>
    </w:rPr>
  </w:style>
  <w:style w:type="paragraph" w:customStyle="1" w:styleId="Nvel2">
    <w:name w:val="Nível 2"/>
    <w:basedOn w:val="Normal"/>
    <w:next w:val="Normal"/>
    <w:qFormat/>
    <w:pPr>
      <w:spacing w:after="120"/>
      <w:jc w:val="both"/>
    </w:pPr>
    <w:rPr>
      <w:rFonts w:ascii="Arial" w:hAnsi="Arial" w:cs="Times New Roman"/>
      <w:b/>
      <w:szCs w:val="20"/>
    </w:rPr>
  </w:style>
  <w:style w:type="paragraph" w:customStyle="1" w:styleId="CabealhoeRodap">
    <w:name w:val="Cabeçalho e Rodapé"/>
    <w:basedOn w:val="Normal"/>
    <w:qFormat/>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eastAsia="WenQuanYi Micro Hei" w:cs="Lohit Hindi"/>
      <w:sz w:val="24"/>
      <w:szCs w:val="24"/>
      <w:lang w:eastAsia="zh-CN" w:bidi="hi-IN"/>
    </w:rPr>
  </w:style>
  <w:style w:type="paragraph" w:customStyle="1" w:styleId="paragraph">
    <w:name w:val="paragraph"/>
    <w:basedOn w:val="Normal"/>
    <w:qFormat/>
    <w:pPr>
      <w:spacing w:beforeAutospacing="1" w:afterAutospacing="1"/>
    </w:pPr>
    <w:rPr>
      <w:rFonts w:ascii="Times New Roman" w:eastAsia="Times New Roman" w:hAnsi="Times New Roman" w:cs="Times New Roman"/>
    </w:rPr>
  </w:style>
  <w:style w:type="paragraph" w:customStyle="1" w:styleId="PargrafodaLista1">
    <w:name w:val="Parágrafo da Lista1"/>
    <w:basedOn w:val="Normal"/>
    <w:qFormat/>
    <w:pPr>
      <w:ind w:left="720"/>
    </w:pPr>
    <w:rPr>
      <w:rFonts w:eastAsia="Times New Roman" w:cs="Ecofont_Spranq_eco_Sans"/>
    </w:rPr>
  </w:style>
  <w:style w:type="paragraph" w:customStyle="1" w:styleId="Nivel10">
    <w:name w:val="Nivel 1"/>
    <w:basedOn w:val="Nivel2"/>
    <w:next w:val="Nivel2"/>
    <w:qFormat/>
    <w:pPr>
      <w:ind w:left="360" w:hanging="360"/>
    </w:pPr>
    <w:rPr>
      <w:b/>
    </w:rPr>
  </w:style>
  <w:style w:type="paragraph" w:customStyle="1" w:styleId="Nivel5">
    <w:name w:val="Nivel 5"/>
    <w:basedOn w:val="Nivel4"/>
    <w:qFormat/>
    <w:pPr>
      <w:ind w:left="1276"/>
    </w:pPr>
  </w:style>
  <w:style w:type="paragraph" w:customStyle="1" w:styleId="textbody">
    <w:name w:val="textbody"/>
    <w:basedOn w:val="Normal"/>
    <w:qFormat/>
    <w:pPr>
      <w:spacing w:beforeAutospacing="1" w:afterAutospacing="1"/>
    </w:pPr>
    <w:rPr>
      <w:rFonts w:ascii="Times New Roman" w:eastAsia="Times New Roman" w:hAnsi="Times New Roman" w:cs="Times New Roman"/>
    </w:rPr>
  </w:style>
  <w:style w:type="paragraph" w:customStyle="1" w:styleId="em0020ementa">
    <w:name w:val="em_0020ementa"/>
    <w:basedOn w:val="Normal"/>
    <w:qFormat/>
    <w:pPr>
      <w:ind w:left="4160"/>
      <w:jc w:val="both"/>
    </w:pPr>
    <w:rPr>
      <w:rFonts w:ascii="Times New Roman" w:eastAsia="Times New Roman" w:hAnsi="Times New Roman" w:cs="Times New Roman"/>
      <w:sz w:val="28"/>
      <w:szCs w:val="28"/>
    </w:rPr>
  </w:style>
  <w:style w:type="paragraph" w:customStyle="1" w:styleId="Reviso1">
    <w:name w:val="Revisão1"/>
    <w:uiPriority w:val="99"/>
    <w:semiHidden/>
    <w:qFormat/>
    <w:rPr>
      <w:rFonts w:eastAsia="Times New Roman" w:cs="Tahoma"/>
      <w:sz w:val="24"/>
      <w:szCs w:val="24"/>
    </w:rPr>
  </w:style>
  <w:style w:type="paragraph" w:customStyle="1" w:styleId="texto1">
    <w:name w:val="texto1"/>
    <w:basedOn w:val="Normal"/>
    <w:qFormat/>
    <w:pPr>
      <w:spacing w:beforeAutospacing="1" w:afterAutospacing="1"/>
    </w:pPr>
    <w:rPr>
      <w:rFonts w:ascii="Times New Roman" w:eastAsia="Times New Roman" w:hAnsi="Times New Roman" w:cs="Times New Roman"/>
    </w:rPr>
  </w:style>
  <w:style w:type="paragraph" w:customStyle="1" w:styleId="GradeColorida-nfase11">
    <w:name w:val="Grade Colorida - Ênfase 11"/>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paragraph" w:customStyle="1" w:styleId="xwestern">
    <w:name w:val="x_western"/>
    <w:basedOn w:val="Normal"/>
    <w:qFormat/>
    <w:pPr>
      <w:spacing w:beforeAutospacing="1" w:afterAutospacing="1"/>
    </w:pPr>
    <w:rPr>
      <w:rFonts w:ascii="Times New Roman" w:eastAsia="Times New Roman" w:hAnsi="Times New Roman" w:cs="Times New Roman"/>
    </w:rPr>
  </w:style>
  <w:style w:type="paragraph" w:customStyle="1" w:styleId="TCU-Ac-item9-0">
    <w:name w:val="TCU - Ac - item 9 - §§_0"/>
    <w:basedOn w:val="Normal"/>
    <w:qFormat/>
    <w:pPr>
      <w:ind w:firstLine="1134"/>
      <w:jc w:val="both"/>
    </w:pPr>
    <w:rPr>
      <w:rFonts w:ascii="Times New Roman" w:eastAsia="Times New Roman" w:hAnsi="Times New Roman" w:cs="Times New Roman"/>
      <w:szCs w:val="22"/>
      <w:lang w:eastAsia="en-US"/>
    </w:rPr>
  </w:style>
  <w:style w:type="paragraph" w:customStyle="1" w:styleId="Normal1">
    <w:name w:val="Normal_1"/>
    <w:qFormat/>
    <w:rPr>
      <w:rFonts w:eastAsia="Times New Roman"/>
      <w:sz w:val="24"/>
      <w:szCs w:val="22"/>
    </w:rPr>
  </w:style>
  <w:style w:type="paragraph" w:customStyle="1" w:styleId="tcu-ac-item9-1linha">
    <w:name w:val="tcu_-__ac_-_item_9_-_1ª_linha"/>
    <w:basedOn w:val="Normal"/>
    <w:qFormat/>
    <w:pPr>
      <w:spacing w:beforeAutospacing="1"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qFormat/>
    <w:pPr>
      <w:spacing w:beforeAutospacing="1" w:afterAutospacing="1"/>
    </w:pPr>
    <w:rPr>
      <w:rFonts w:ascii="Times New Roman" w:eastAsia="Times New Roman" w:hAnsi="Times New Roman" w:cs="Times New Roman"/>
    </w:rPr>
  </w:style>
  <w:style w:type="paragraph" w:customStyle="1" w:styleId="textojustificado">
    <w:name w:val="texto_justificado"/>
    <w:basedOn w:val="Normal"/>
    <w:qFormat/>
    <w:pPr>
      <w:spacing w:beforeAutospacing="1" w:afterAutospacing="1"/>
    </w:pPr>
    <w:rPr>
      <w:rFonts w:ascii="Times New Roman" w:eastAsia="Times New Roman" w:hAnsi="Times New Roman" w:cs="Times New Roman"/>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qFormat/>
    <w:pPr>
      <w:spacing w:beforeAutospacing="1" w:afterAutospacing="1"/>
    </w:pPr>
    <w:rPr>
      <w:rFonts w:ascii="Times New Roman" w:eastAsia="Times New Roman" w:hAnsi="Times New Roman" w:cs="Times New Roman"/>
    </w:rPr>
  </w:style>
  <w:style w:type="paragraph" w:customStyle="1" w:styleId="itemnivel2">
    <w:name w:val="item_nivel2"/>
    <w:basedOn w:val="Normal"/>
    <w:qFormat/>
    <w:pPr>
      <w:spacing w:beforeAutospacing="1" w:afterAutospacing="1"/>
    </w:pPr>
    <w:rPr>
      <w:rFonts w:ascii="Times New Roman" w:eastAsia="Times New Roman" w:hAnsi="Times New Roman" w:cs="Times New Roman"/>
    </w:rPr>
  </w:style>
  <w:style w:type="paragraph" w:customStyle="1" w:styleId="itemnivel1">
    <w:name w:val="item_nivel1"/>
    <w:basedOn w:val="Normal"/>
    <w:qFormat/>
    <w:pPr>
      <w:spacing w:beforeAutospacing="1" w:afterAutospacing="1"/>
    </w:pPr>
    <w:rPr>
      <w:rFonts w:ascii="Times New Roman" w:eastAsia="Times New Roman" w:hAnsi="Times New Roman" w:cs="Times New Roman"/>
    </w:rPr>
  </w:style>
  <w:style w:type="paragraph" w:customStyle="1" w:styleId="itemalinealetra">
    <w:name w:val="item_alinea_letra"/>
    <w:basedOn w:val="Normal"/>
    <w:qFormat/>
    <w:pPr>
      <w:spacing w:beforeAutospacing="1" w:afterAutospacing="1"/>
    </w:pPr>
    <w:rPr>
      <w:rFonts w:ascii="Times New Roman" w:eastAsia="Times New Roman" w:hAnsi="Times New Roman" w:cs="Times New Roman"/>
    </w:rPr>
  </w:style>
  <w:style w:type="paragraph" w:customStyle="1" w:styleId="Standard">
    <w:name w:val="Standard"/>
    <w:qFormat/>
    <w:pPr>
      <w:suppressAutoHyphens/>
    </w:pPr>
    <w:rPr>
      <w:rFonts w:ascii="Liberation Serif" w:eastAsia="NSimSun" w:hAnsi="Liberation Serif" w:cs="Lucida Sans"/>
      <w:kern w:val="2"/>
      <w:sz w:val="24"/>
      <w:szCs w:val="24"/>
      <w:lang w:eastAsia="zh-CN" w:bidi="hi-IN"/>
    </w:rPr>
  </w:style>
  <w:style w:type="paragraph" w:customStyle="1" w:styleId="Textbody0">
    <w:name w:val="Text body"/>
    <w:basedOn w:val="Standard"/>
    <w:qFormat/>
    <w:pPr>
      <w:spacing w:after="140" w:line="276" w:lineRule="auto"/>
    </w:pPr>
  </w:style>
  <w:style w:type="paragraph" w:customStyle="1" w:styleId="ou">
    <w:name w:val="ou"/>
    <w:basedOn w:val="PargrafodaLista"/>
    <w:qFormat/>
    <w:pPr>
      <w:spacing w:before="60" w:after="60" w:line="259" w:lineRule="auto"/>
      <w:ind w:left="0"/>
      <w:jc w:val="center"/>
    </w:pPr>
    <w:rPr>
      <w:rFonts w:ascii="Arial" w:eastAsiaTheme="minorHAnsi" w:hAnsi="Arial" w:cs="Arial"/>
      <w:b/>
      <w:bCs/>
      <w:i/>
      <w:iCs/>
      <w:color w:val="FF0000"/>
      <w:u w:val="single"/>
    </w:rPr>
  </w:style>
  <w:style w:type="paragraph" w:customStyle="1" w:styleId="dou-paragraph">
    <w:name w:val="dou-paragraph"/>
    <w:basedOn w:val="Normal"/>
    <w:qFormat/>
    <w:pPr>
      <w:spacing w:beforeAutospacing="1" w:afterAutospacing="1"/>
    </w:pPr>
    <w:rPr>
      <w:rFonts w:ascii="Times New Roman" w:eastAsia="Times New Roman" w:hAnsi="Times New Roman" w:cs="Times New Roman"/>
    </w:rPr>
  </w:style>
  <w:style w:type="paragraph" w:customStyle="1" w:styleId="Nvel2-Red">
    <w:name w:val="Nível 2 -Red"/>
    <w:basedOn w:val="Nivel2"/>
    <w:qFormat/>
    <w:rPr>
      <w:i/>
      <w:iCs/>
      <w:color w:val="FF0000"/>
    </w:rPr>
  </w:style>
  <w:style w:type="paragraph" w:customStyle="1" w:styleId="Nvel3-R">
    <w:name w:val="Nível 3-R"/>
    <w:basedOn w:val="Nivel3"/>
    <w:qFormat/>
    <w:rPr>
      <w:i/>
      <w:iCs/>
      <w:color w:val="FF0000"/>
    </w:rPr>
  </w:style>
  <w:style w:type="paragraph" w:customStyle="1" w:styleId="Nvel4-R">
    <w:name w:val="Nível 4-R"/>
    <w:basedOn w:val="Nivel4"/>
    <w:qFormat/>
    <w:pPr>
      <w:ind w:left="2491" w:hanging="648"/>
    </w:pPr>
    <w:rPr>
      <w:i/>
      <w:iCs/>
      <w:color w:val="FF0000"/>
    </w:rPr>
  </w:style>
  <w:style w:type="paragraph" w:customStyle="1" w:styleId="Nvel1-SemNum">
    <w:name w:val="Nível 1-Sem Num"/>
    <w:basedOn w:val="Nivel01"/>
    <w:qFormat/>
    <w:pPr>
      <w:ind w:left="357"/>
      <w:outlineLvl w:val="1"/>
    </w:pPr>
    <w:rPr>
      <w:color w:val="FF0000"/>
    </w:rPr>
  </w:style>
  <w:style w:type="paragraph" w:customStyle="1" w:styleId="citao2">
    <w:name w:val="citação 2"/>
    <w:basedOn w:val="Citao"/>
    <w:qFormat/>
    <w:rPr>
      <w:szCs w:val="20"/>
    </w:rPr>
  </w:style>
  <w:style w:type="paragraph" w:customStyle="1" w:styleId="Ttulodondice1">
    <w:name w:val="Título do Índice1"/>
    <w:basedOn w:val="Ttulo1"/>
    <w:next w:val="Normal"/>
    <w:uiPriority w:val="39"/>
    <w:unhideWhenUsed/>
    <w:qFormat/>
    <w:pPr>
      <w:spacing w:before="240" w:line="259" w:lineRule="auto"/>
    </w:pPr>
    <w:rPr>
      <w:b w:val="0"/>
      <w:bCs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constituicao/constituicaocompilado.htm" TargetMode="External"/><Relationship Id="rId39" Type="http://schemas.openxmlformats.org/officeDocument/2006/relationships/hyperlink" Target="https://www.gov.br/compras/pt-br/acesso-a-informacao/legislacao/instrucoes-normativas/instrucao-normativa-seges-me-no-73-de-30-de-setembro-de-2022" TargetMode="External"/><Relationship Id="rId21" Type="http://schemas.openxmlformats.org/officeDocument/2006/relationships/hyperlink" Target="https://www.planalto.gov.br/ccivil_03/leis/lcp/lcp123.htm" TargetMode="External"/><Relationship Id="rId34" Type="http://schemas.openxmlformats.org/officeDocument/2006/relationships/hyperlink" Target="https://www.portaltransparencia.gov.br/sancoes/cnep"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s://www.gov.br/compras/pt-br/acesso-a-informacao/legislacao/instrucoes-normativas/instrucao-normativa-seges-me-no-73-de-30-de-setembro-de-2022"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uff.br/licitacoes" TargetMode="External"/><Relationship Id="rId63" Type="http://schemas.openxmlformats.org/officeDocument/2006/relationships/hyperlink" Target="http://www.uff.br/licitacoes"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lanalto.gov.br/ccivil_03/leis/lcp/lcp123.htm" TargetMode="External"/><Relationship Id="rId29"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www.planalto.gov.br/ccivil_03/leis/lcp/lcp12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gov.br/compras/pt-br/acesso-a-informacao/legislacao/instrucoes-normativas/instrucao-normativa-no-3-de-26-de-abril-de-2018"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s://www.gov.br/compras/pt-br/acesso-a-informacao/legislacao/instrucoes-normativas/instrucao-normativa-no-3-de-26-de-abril-de-2018"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66"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www.gov.br/compras"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_ato2015-2018/2015/decreto/d8539.htm" TargetMode="External"/><Relationship Id="rId36" Type="http://schemas.openxmlformats.org/officeDocument/2006/relationships/hyperlink" Target="https://www.gov.br/compras/pt-br/acesso-a-informacao/legislacao/instrucoes-normativas/instrucao-normativa-no-3-de-26-de-abril-de-2018" TargetMode="External"/><Relationship Id="rId49" Type="http://schemas.openxmlformats.org/officeDocument/2006/relationships/hyperlink" Target="https://www.gov.br/compras/pt-br/acesso-a-informacao/legislacao/instrucoes-normativas/instrucao-normativa-seges-me-no-73-de-30-de-setembro-de-2022" TargetMode="External"/><Relationship Id="rId57" Type="http://schemas.openxmlformats.org/officeDocument/2006/relationships/hyperlink" Target="http://www.planalto.gov.br/ccivil_03/_ato2019-2022/2021/lei/L14133.htm" TargetMode="External"/><Relationship Id="rId61" Type="http://schemas.openxmlformats.org/officeDocument/2006/relationships/hyperlink" Target="mailto:cpl@id.uff.br" TargetMode="External"/><Relationship Id="rId10" Type="http://schemas.openxmlformats.org/officeDocument/2006/relationships/image" Target="media/image1.emf"/><Relationship Id="rId19" Type="http://schemas.openxmlformats.org/officeDocument/2006/relationships/hyperlink" Target="https://www.planalto.gov.br/ccivil_03/constituicao/constituicaocompilado.htm" TargetMode="External"/><Relationship Id="rId31" Type="http://schemas.openxmlformats.org/officeDocument/2006/relationships/hyperlink" Target="mailto:cpl@id.uff.br" TargetMode="External"/><Relationship Id="rId44" Type="http://schemas.openxmlformats.org/officeDocument/2006/relationships/hyperlink" Target="https://www.gov.br/compras/pt-br/acesso-a-informacao/legislacao/instrucoes-normativas/instrucao-normativa-no-3-de-26-de-abril-de-2018" TargetMode="External"/><Relationship Id="rId52" Type="http://schemas.openxmlformats.org/officeDocument/2006/relationships/hyperlink" Target="https://www.planalto.gov.br/ccivil_03/_ato2015-2018/2015/decreto/d8538.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leis/lcp/lcp123.htm" TargetMode="External"/><Relationship Id="rId27" Type="http://schemas.openxmlformats.org/officeDocument/2006/relationships/hyperlink" Target="https://www.planalto.gov.br/ccivil_03/leis/lcp/lcp123.htm" TargetMode="External"/><Relationship Id="rId30" Type="http://schemas.openxmlformats.org/officeDocument/2006/relationships/hyperlink" Target="https://www.planalto.gov.br/ccivil_03/_ato2007-2010/2009/lei/l12187.htm" TargetMode="External"/><Relationship Id="rId35" Type="http://schemas.openxmlformats.org/officeDocument/2006/relationships/hyperlink" Target="https://www.planalto.gov.br/ccivil_03/leis/l8429.htm"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s://www.gov.br/compras/pt-br/acesso-a-informacao/legislacao/instrucoes-normativas/instrucao-normativa-seges-me-no-73-de-30-de-setembro-de-2022" TargetMode="External"/><Relationship Id="rId56" Type="http://schemas.openxmlformats.org/officeDocument/2006/relationships/hyperlink" Target="https://www.planalto.gov.br/ccivil_03/_ato2011-2014/2013/lei/l12846.htm" TargetMode="External"/><Relationship Id="rId64" Type="http://schemas.openxmlformats.org/officeDocument/2006/relationships/header" Target="header1.xml"/><Relationship Id="rId8" Type="http://schemas.openxmlformats.org/officeDocument/2006/relationships/footnotes" Target="footnotes.xml"/><Relationship Id="rId51" Type="http://schemas.openxmlformats.org/officeDocument/2006/relationships/hyperlink" Target="https://www.gov.br/compras/pt-br/acesso-a-informacao/legislacao/instrucoes-normativas/instrucao-normativa-seges-me-no-73-de-30-de-setembro-de-2022" TargetMode="External"/><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s://www.portaltransparencia.gov.br/sancoes/ceis" TargetMode="External"/><Relationship Id="rId38" Type="http://schemas.openxmlformats.org/officeDocument/2006/relationships/hyperlink" Target="https://www.gov.br/compras/pt-br/acesso-a-informacao/legislacao/instrucoes-normativas/instrucao-normativa-no-3-de-26-de-abril-de-2018" TargetMode="External"/><Relationship Id="rId46" Type="http://schemas.openxmlformats.org/officeDocument/2006/relationships/hyperlink" Target="https://www.gov.br/compras/pt-br/acesso-a-informacao/legislacao/instrucoes-normativas/instrucao-normativa-no-3-de-26-de-abril-de-2018" TargetMode="External"/><Relationship Id="rId59" Type="http://schemas.openxmlformats.org/officeDocument/2006/relationships/hyperlink" Target="https://www.gov.br/compras/pt-br/acesso-a-informacao/legislacao/instrucoes-normativas/instrucao-normativa-seges-me-no-73-de-30-de-setembro-de-2022" TargetMode="External"/><Relationship Id="rId67" Type="http://schemas.openxmlformats.org/officeDocument/2006/relationships/theme" Target="theme/theme1.xml"/><Relationship Id="rId20" Type="http://schemas.openxmlformats.org/officeDocument/2006/relationships/hyperlink" Target="https://www.planalto.gov.br/ccivil_03/constituicao/constituicaocompilado.htm" TargetMode="External"/><Relationship Id="rId41" Type="http://schemas.openxmlformats.org/officeDocument/2006/relationships/hyperlink" Target="https://www.planalto.gov.br/ccivil_03/_ato2015-2018/2016/decreto/d8660.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3V2HHZ5PkrYiSb5eciNfnJXANsQ==">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</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782411-96F5-4890-800E-75FB301FAC05}">
  <ds:schemaRefs>
    <ds:schemaRef ds:uri="http://schemas.openxmlformats.org/officeDocument/2006/bibliography"/>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27</Pages>
  <Words>9982</Words>
  <Characters>53904</Characters>
  <Application>Microsoft Office Word</Application>
  <DocSecurity>0</DocSecurity>
  <Lines>449</Lines>
  <Paragraphs>127</Paragraphs>
  <ScaleCrop>false</ScaleCrop>
  <Company/>
  <LinksUpToDate>false</LinksUpToDate>
  <CharactersWithSpaces>63759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JULY</dc:creator>
  <cp:lastModifiedBy>Hellen Medeiros</cp:lastModifiedBy>
  <cp:revision>22</cp:revision>
  <dcterms:created xsi:type="dcterms:W3CDTF">2022-12-22T02:33:00Z</dcterms:created>
  <dcterms:modified xsi:type="dcterms:W3CDTF">2023-05-18T16:34:00Z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0x01010046D1D902F9AFB0458A156704A0C1878F</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MediaServiceImageTags">
    <vt:lpwstr/>
  </property>
  <property fmtid="{D5CDD505-2E9C-101B-9397-08002B2CF9AE}" pid="8" name="ScaleCrop">
    <vt:bool>false</vt:bool>
  </property>
  <property fmtid="{D5CDD505-2E9C-101B-9397-08002B2CF9AE}" pid="9" name="ShareDoc">
    <vt:bool>false</vt:bool>
  </property>
  <property fmtid="{D5CDD505-2E9C-101B-9397-08002B2CF9AE}" pid="10" name="KSOProductBuildVer">
    <vt:lpwstr>1046-11.2.0.11516</vt:lpwstr>
  </property>
  <property fmtid="{D5CDD505-2E9C-101B-9397-08002B2CF9AE}" pid="11" name="ICV">
    <vt:lpwstr>1BB4992530184DFB98B49473FC69BDB4</vt:lpwstr>
  </property>
</Properties>
</file>