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jc w:val="center"/>
        <w:rPr>
          <w:rFonts w:ascii="Verdana" w:hAnsi="Verdana"/>
          <w:sz w:val="18"/>
          <w:szCs w:val="18"/>
        </w:rPr>
      </w:pPr>
      <w:r>
        <w:rPr>
          <w:rFonts w:ascii="Verdana" w:hAnsi="Verdana"/>
          <w:b/>
          <w:sz w:val="18"/>
          <w:szCs w:val="18"/>
        </w:rPr>
        <w:drawing>
          <wp:anchor distT="0" distB="0" distL="114300" distR="114300" simplePos="0" relativeHeight="251659264" behindDoc="0" locked="0" layoutInCell="1" allowOverlap="1">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6"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pPr>
        <w:spacing w:after="120"/>
        <w:jc w:val="center"/>
        <w:rPr>
          <w:rFonts w:ascii="Verdana" w:hAnsi="Verdana"/>
          <w:sz w:val="18"/>
          <w:szCs w:val="18"/>
        </w:rPr>
      </w:pPr>
    </w:p>
    <w:p>
      <w:pPr>
        <w:tabs>
          <w:tab w:val="clear" w:pos="708"/>
        </w:tabs>
        <w:spacing w:after="120"/>
        <w:jc w:val="center"/>
        <w:rPr>
          <w:rFonts w:ascii="Verdana" w:hAnsi="Verdana"/>
          <w:sz w:val="18"/>
          <w:szCs w:val="18"/>
        </w:rPr>
      </w:pPr>
    </w:p>
    <w:p>
      <w:pPr>
        <w:spacing w:after="120"/>
        <w:jc w:val="center"/>
        <w:rPr>
          <w:rFonts w:ascii="Verdana" w:hAnsi="Verdana"/>
          <w:b/>
          <w:sz w:val="18"/>
          <w:szCs w:val="18"/>
        </w:rPr>
      </w:pPr>
    </w:p>
    <w:p>
      <w:pPr>
        <w:spacing w:after="120"/>
        <w:jc w:val="center"/>
        <w:rPr>
          <w:rFonts w:ascii="Verdana" w:hAnsi="Verdana"/>
          <w:b/>
          <w:sz w:val="18"/>
          <w:szCs w:val="18"/>
        </w:rPr>
      </w:pPr>
      <w:r>
        <w:rPr>
          <w:rFonts w:ascii="Verdana" w:hAnsi="Verdana"/>
          <w:b/>
          <w:sz w:val="18"/>
          <w:szCs w:val="18"/>
        </w:rPr>
        <w:t>SERVIÇO PÚBLICO FEDERAL</w:t>
      </w:r>
    </w:p>
    <w:p>
      <w:pPr>
        <w:spacing w:after="120"/>
        <w:jc w:val="center"/>
        <w:rPr>
          <w:rFonts w:ascii="Verdana" w:hAnsi="Verdana"/>
          <w:b/>
          <w:sz w:val="18"/>
          <w:szCs w:val="18"/>
        </w:rPr>
      </w:pPr>
      <w:r>
        <w:rPr>
          <w:rFonts w:ascii="Verdana" w:hAnsi="Verdana"/>
          <w:b/>
          <w:sz w:val="18"/>
          <w:szCs w:val="18"/>
        </w:rPr>
        <w:t>MINISTÉRIO DA EDUCAÇÃO</w:t>
      </w:r>
    </w:p>
    <w:p>
      <w:pPr>
        <w:spacing w:after="120"/>
        <w:jc w:val="center"/>
        <w:rPr>
          <w:rFonts w:ascii="Verdana" w:hAnsi="Verdana"/>
          <w:b/>
          <w:sz w:val="18"/>
          <w:szCs w:val="18"/>
        </w:rPr>
      </w:pPr>
      <w:r>
        <w:rPr>
          <w:rFonts w:ascii="Verdana" w:hAnsi="Verdana"/>
          <w:b/>
          <w:sz w:val="18"/>
          <w:szCs w:val="18"/>
        </w:rPr>
        <w:t>UNIVERSIDADE FEDERAL FLUMINENSE</w:t>
      </w:r>
    </w:p>
    <w:p>
      <w:pPr>
        <w:spacing w:after="120"/>
        <w:jc w:val="center"/>
        <w:rPr>
          <w:rFonts w:ascii="Verdana" w:hAnsi="Verdana"/>
          <w:sz w:val="18"/>
          <w:szCs w:val="18"/>
        </w:rPr>
      </w:pPr>
      <w:r>
        <w:rPr>
          <w:rFonts w:ascii="Verdana" w:hAnsi="Verdana"/>
          <w:b/>
          <w:sz w:val="18"/>
          <w:szCs w:val="18"/>
        </w:rPr>
        <w:t>PRÓ-REITORIA DE ADMINISTRAÇÃO</w:t>
      </w:r>
    </w:p>
    <w:p>
      <w:pPr>
        <w:pStyle w:val="12"/>
        <w:jc w:val="center"/>
        <w:rPr>
          <w:rFonts w:ascii="Verdana" w:hAnsi="Verdana"/>
          <w:b/>
          <w:sz w:val="18"/>
          <w:szCs w:val="18"/>
        </w:rPr>
      </w:pPr>
      <w:r>
        <w:rPr>
          <w:rFonts w:ascii="Verdana" w:hAnsi="Verdana"/>
          <w:b/>
          <w:sz w:val="18"/>
          <w:szCs w:val="18"/>
        </w:rPr>
        <w:t>COORDENAÇÃO DE LICITAÇÃO</w:t>
      </w:r>
    </w:p>
    <w:p>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pPr>
        <w:keepNext w:val="0"/>
        <w:spacing w:after="120"/>
        <w:ind w:right="-17"/>
        <w:jc w:val="center"/>
        <w:rPr>
          <w:rFonts w:ascii="Verdana" w:hAnsi="Verdana" w:cs="Arial"/>
          <w:b/>
          <w:bCs/>
          <w:color w:val="000000"/>
          <w:sz w:val="20"/>
          <w:szCs w:val="20"/>
        </w:rPr>
      </w:pPr>
    </w:p>
    <w:p>
      <w:pPr>
        <w:keepNext w:val="0"/>
        <w:spacing w:after="120"/>
        <w:ind w:right="-17"/>
        <w:jc w:val="center"/>
        <w:rPr>
          <w:rFonts w:hint="default" w:ascii="Verdana" w:hAnsi="Verdana" w:cs="Arial"/>
          <w:b/>
          <w:bCs/>
          <w:color w:val="auto"/>
          <w:sz w:val="20"/>
          <w:szCs w:val="20"/>
          <w:lang w:val="pt-BR"/>
        </w:rPr>
      </w:pPr>
      <w:r>
        <w:rPr>
          <w:rFonts w:hint="default" w:ascii="Verdana" w:hAnsi="Verdana" w:cs="Arial"/>
          <w:b/>
          <w:bCs/>
          <w:color w:val="auto"/>
          <w:sz w:val="20"/>
          <w:szCs w:val="20"/>
          <w:lang w:val="pt-BR"/>
        </w:rPr>
        <w:t xml:space="preserve"> EDITAL DE LICITAÇÃO</w:t>
      </w:r>
    </w:p>
    <w:p>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97/2022</w:t>
      </w:r>
    </w:p>
    <w:p>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23069.170872/2022-69)</w:t>
      </w:r>
    </w:p>
    <w:p>
      <w:pPr>
        <w:keepNext w:val="0"/>
        <w:spacing w:after="120" w:line="276" w:lineRule="auto"/>
        <w:ind w:right="-30"/>
        <w:jc w:val="both"/>
        <w:rPr>
          <w:rFonts w:ascii="Verdana" w:hAnsi="Verdana" w:cs="Arial"/>
          <w:sz w:val="20"/>
          <w:szCs w:val="20"/>
        </w:rPr>
      </w:pPr>
    </w:p>
    <w:p>
      <w:pPr>
        <w:snapToGrid w:val="0"/>
        <w:spacing w:after="120" w:line="276" w:lineRule="auto"/>
        <w:ind w:right="-30" w:firstLine="540"/>
        <w:jc w:val="both"/>
        <w:rPr>
          <w:rFonts w:ascii="Verdana" w:hAnsi="Verdana" w:eastAsia="Arial" w:cs="Arial"/>
          <w:i/>
          <w:color w:val="000000" w:themeColor="text1"/>
          <w:sz w:val="20"/>
          <w:szCs w:val="20"/>
        </w:rPr>
      </w:pPr>
      <w:r>
        <w:rPr>
          <w:rFonts w:ascii="Verdana" w:hAnsi="Verdana" w:cs="Arial"/>
          <w:color w:val="000000" w:themeColor="text1"/>
          <w:sz w:val="20"/>
          <w:szCs w:val="20"/>
        </w:rPr>
        <w:t>Torna-se público que a</w:t>
      </w:r>
      <w:r>
        <w:rPr>
          <w:rFonts w:ascii="Verdana" w:hAnsi="Verdana" w:eastAsia="Arial" w:cs="Arial"/>
          <w:color w:val="000000" w:themeColor="text1"/>
          <w:sz w:val="20"/>
          <w:szCs w:val="20"/>
        </w:rPr>
        <w:t xml:space="preserve"> </w:t>
      </w:r>
      <w:r>
        <w:rPr>
          <w:rFonts w:ascii="Verdana" w:hAnsi="Verdana" w:eastAsia="Arial"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hAnsi="Verdana" w:eastAsia="Arial" w:cs="Arial"/>
          <w:color w:val="000000" w:themeColor="text1"/>
          <w:sz w:val="20"/>
          <w:szCs w:val="20"/>
        </w:rPr>
        <w:t xml:space="preserve"> </w:t>
      </w:r>
      <w:r>
        <w:rPr>
          <w:rFonts w:ascii="Verdana" w:hAnsi="Verdana"/>
          <w:sz w:val="20"/>
          <w:szCs w:val="20"/>
        </w:rPr>
        <w:t xml:space="preserve">sua Comissão de Licitação da Pró-Reitoria de Administração, instituída pela Portaria n.º </w:t>
      </w:r>
      <w:r>
        <w:rPr>
          <w:rFonts w:hint="default" w:ascii="Verdana" w:hAnsi="Verdana"/>
          <w:sz w:val="20"/>
          <w:szCs w:val="20"/>
          <w:lang w:val="pt-BR"/>
        </w:rPr>
        <w:t>68.369</w:t>
      </w:r>
      <w:r>
        <w:rPr>
          <w:rFonts w:ascii="Verdana" w:hAnsi="Verdana"/>
          <w:sz w:val="20"/>
          <w:szCs w:val="20"/>
        </w:rPr>
        <w:t xml:space="preserve"> de </w:t>
      </w:r>
      <w:r>
        <w:rPr>
          <w:rFonts w:hint="default" w:ascii="Verdana" w:hAnsi="Verdana"/>
          <w:sz w:val="20"/>
          <w:szCs w:val="20"/>
          <w:lang w:val="pt-BR"/>
        </w:rPr>
        <w:t xml:space="preserve">15 </w:t>
      </w:r>
      <w:r>
        <w:rPr>
          <w:rFonts w:ascii="Verdana" w:hAnsi="Verdana"/>
          <w:sz w:val="20"/>
          <w:szCs w:val="20"/>
        </w:rPr>
        <w:t xml:space="preserve">de </w:t>
      </w:r>
      <w:r>
        <w:rPr>
          <w:rFonts w:hint="default" w:ascii="Verdana" w:hAnsi="Verdana"/>
          <w:sz w:val="20"/>
          <w:szCs w:val="20"/>
          <w:lang w:val="pt-BR"/>
        </w:rPr>
        <w:t xml:space="preserve">junho </w:t>
      </w:r>
      <w:r>
        <w:rPr>
          <w:rFonts w:ascii="Verdana" w:hAnsi="Verdana"/>
          <w:sz w:val="20"/>
          <w:szCs w:val="20"/>
        </w:rPr>
        <w:t xml:space="preserve">de </w:t>
      </w:r>
      <w:r>
        <w:rPr>
          <w:rFonts w:hint="default" w:ascii="Verdana" w:hAnsi="Verdana"/>
          <w:sz w:val="20"/>
          <w:szCs w:val="20"/>
          <w:lang w:val="pt-BR"/>
        </w:rPr>
        <w:t>2022</w:t>
      </w:r>
      <w:r>
        <w:rPr>
          <w:rFonts w:ascii="Verdana" w:hAnsi="Verdana" w:cs="Arial"/>
          <w:color w:val="000000" w:themeColor="text1"/>
          <w:sz w:val="20"/>
          <w:szCs w:val="20"/>
        </w:rPr>
        <w:t>, sediada</w:t>
      </w:r>
      <w:r>
        <w:rPr>
          <w:rFonts w:ascii="Verdana" w:hAnsi="Verdana" w:eastAsia="Arial"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menor preço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pPr>
        <w:spacing w:line="276" w:lineRule="auto"/>
        <w:jc w:val="both"/>
        <w:rPr>
          <w:rFonts w:ascii="Verdana" w:hAnsi="Verdana" w:cs="Arial"/>
          <w:color w:val="000000" w:themeColor="text1"/>
          <w:sz w:val="20"/>
          <w:szCs w:val="20"/>
        </w:rPr>
      </w:pPr>
    </w:p>
    <w:p>
      <w:pPr>
        <w:pStyle w:val="73"/>
        <w:keepNext w:val="0"/>
        <w:shd w:val="clear" w:color="auto" w:fill="auto"/>
        <w:ind w:firstLine="0"/>
        <w:jc w:val="center"/>
        <w:rPr>
          <w:rFonts w:hint="default" w:ascii="Verdana" w:hAnsi="Verdana" w:cs="Arial"/>
          <w:b/>
          <w:bCs/>
          <w:color w:val="auto"/>
          <w:szCs w:val="20"/>
          <w:lang w:val="pt-BR"/>
        </w:rPr>
      </w:pPr>
      <w:r>
        <w:rPr>
          <w:rFonts w:ascii="Verdana" w:hAnsi="Verdana" w:cs="Arial"/>
          <w:szCs w:val="20"/>
        </w:rPr>
        <w:t xml:space="preserve">Data da sessão: </w:t>
      </w:r>
      <w:bookmarkStart w:id="10" w:name="_GoBack"/>
      <w:r>
        <w:rPr>
          <w:rFonts w:hint="default" w:ascii="Verdana" w:hAnsi="Verdana" w:cs="Arial"/>
          <w:b/>
          <w:bCs/>
          <w:color w:val="auto"/>
          <w:szCs w:val="20"/>
          <w:lang w:val="pt-BR"/>
        </w:rPr>
        <w:t>19/09/2022</w:t>
      </w:r>
    </w:p>
    <w:bookmarkEnd w:id="10"/>
    <w:p>
      <w:pPr>
        <w:pStyle w:val="73"/>
        <w:keepNext w:val="0"/>
        <w:widowControl/>
        <w:shd w:val="clear" w:color="auto" w:fill="auto"/>
        <w:spacing w:before="120" w:after="120"/>
        <w:ind w:firstLine="0"/>
        <w:jc w:val="center"/>
        <w:rPr>
          <w:rFonts w:hint="default" w:ascii="Verdana" w:hAnsi="Verdana" w:cs="Arial"/>
          <w:color w:val="FF0000"/>
          <w:szCs w:val="20"/>
          <w:lang w:val="pt-BR"/>
        </w:rPr>
      </w:pPr>
      <w:r>
        <w:rPr>
          <w:rFonts w:ascii="Verdana" w:hAnsi="Verdana" w:cs="Arial"/>
          <w:szCs w:val="20"/>
        </w:rPr>
        <w:t xml:space="preserve">Horário: </w:t>
      </w:r>
      <w:r>
        <w:rPr>
          <w:rFonts w:hint="default" w:ascii="Verdana" w:hAnsi="Verdana" w:cs="Arial"/>
          <w:b/>
          <w:bCs/>
          <w:color w:val="auto"/>
          <w:szCs w:val="20"/>
          <w:lang w:val="pt-BR"/>
        </w:rPr>
        <w:t>10h</w:t>
      </w:r>
    </w:p>
    <w:p>
      <w:pPr>
        <w:pStyle w:val="73"/>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p>
    <w:p>
      <w:pPr>
        <w:keepNext w:val="0"/>
        <w:shd w:val="clear" w:color="auto" w:fill="auto"/>
        <w:rPr>
          <w:rFonts w:ascii="Verdana" w:hAnsi="Verdana" w:cs="Arial"/>
          <w:sz w:val="20"/>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0" w:name="_Hlk85032038"/>
      <w:r>
        <w:rPr>
          <w:rFonts w:ascii="Verdana" w:hAnsi="Verdana" w:cs="Calibri"/>
          <w:bCs/>
          <w:color w:val="000000"/>
          <w:szCs w:val="20"/>
          <w:shd w:val="clear" w:color="auto" w:fill="FFFFFF"/>
        </w:rPr>
        <w:t>execução de serviço de elaboração de projeto básico, legal e complementares, para</w:t>
      </w:r>
      <w:bookmarkEnd w:id="0"/>
      <w:r>
        <w:rPr>
          <w:rFonts w:ascii="Verdana" w:hAnsi="Verdana" w:cs="Calibri"/>
          <w:bCs/>
          <w:color w:val="000000"/>
          <w:szCs w:val="20"/>
          <w:shd w:val="clear" w:color="auto" w:fill="FFFFFF"/>
        </w:rPr>
        <w:t xml:space="preserve"> possibilitar a construção de uma edificação para o Instituto de Educação de Angra dos Reis</w:t>
      </w:r>
      <w:r>
        <w:rPr>
          <w:rFonts w:ascii="Verdana" w:hAnsi="Verdana" w:cs="Arial"/>
          <w:szCs w:val="20"/>
        </w:rPr>
        <w:t>, conforme condições, quantidades e exigências estabelecidas neste Edital e seus anexos.</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eastAsia="Calibri" w:cstheme="minorHAnsi"/>
          <w:bCs/>
          <w:sz w:val="18"/>
          <w:szCs w:val="18"/>
        </w:rPr>
        <w:t xml:space="preserve">Localização: Avenida Vereador Benedito Adelino, s/n.º, bairro do Retiro, Angra dos Reis, Estado do Rio de Janeiro. </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a partir de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 a este edital;</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O critério de julgamento será o de menor preço global, de todos os itens de serviço do orçamento estimado (Anexo II-B), observadas as exigências contidas neste Edital e seus Anexos quanto às especificações do objeto.</w:t>
      </w:r>
    </w:p>
    <w:p>
      <w:pPr>
        <w:pStyle w:val="73"/>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soma de todos os preços unitários dos itens de serviços, constantes da planilha de orçamento (Anexo II-B), irá resultar no valor total da proposta do licitante vencedor.</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valor global proposto, de todos os itens que a compõem, na conformidade da planilha contida no Anexo II.</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pPr>
        <w:pStyle w:val="73"/>
        <w:keepNext w:val="0"/>
        <w:widowControl/>
        <w:shd w:val="clear" w:color="auto" w:fill="auto"/>
        <w:spacing w:before="120" w:after="120"/>
        <w:ind w:left="792" w:firstLine="0"/>
        <w:rPr>
          <w:rFonts w:ascii="Verdana" w:hAnsi="Verdana" w:cs="Arial"/>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pPr>
        <w:pStyle w:val="73"/>
        <w:keepNext w:val="0"/>
        <w:widowControl/>
        <w:numPr>
          <w:ilvl w:val="1"/>
          <w:numId w:val="3"/>
        </w:numPr>
        <w:shd w:val="clear" w:color="auto" w:fill="auto"/>
        <w:spacing w:before="120" w:after="120"/>
        <w:rPr>
          <w:rFonts w:ascii="Verdana" w:hAnsi="Verdana" w:cs="Arial"/>
          <w:szCs w:val="20"/>
        </w:rPr>
      </w:pPr>
      <w:bookmarkStart w:id="2" w:name="_Hlk97023241"/>
      <w:r>
        <w:rPr>
          <w:rFonts w:ascii="Verdana" w:hAnsi="Verdana" w:cs="Arial"/>
          <w:szCs w:val="20"/>
          <w:highlight w:val="none"/>
        </w:rPr>
        <w:t xml:space="preserve">As despesas para atender a esta licitação </w:t>
      </w:r>
      <w:r>
        <w:rPr>
          <w:rFonts w:ascii="Verdana" w:hAnsi="Verdana" w:cs="Arial"/>
          <w:color w:val="222222"/>
          <w:highlight w:val="none"/>
          <w:shd w:val="clear" w:color="auto" w:fill="FFFFFF"/>
        </w:rPr>
        <w:t>es</w:t>
      </w:r>
      <w:r>
        <w:rPr>
          <w:rFonts w:ascii="Verdana" w:hAnsi="Verdana" w:cs="Arial"/>
          <w:color w:val="222222"/>
          <w:shd w:val="clear" w:color="auto" w:fill="FFFFFF"/>
        </w:rPr>
        <w:t>tão programadas em dotação orçamentária própria, prevista no orçamento da União para o exercício de 2022, conforme documento PLOR/PLAN (SEI nº</w:t>
      </w:r>
      <w:r>
        <w:rPr>
          <w:rFonts w:hint="default" w:ascii="Verdana" w:hAnsi="Verdana" w:cs="Arial"/>
          <w:color w:val="222222"/>
          <w:shd w:val="clear" w:color="auto" w:fill="FFFFFF"/>
          <w:lang w:val="pt-BR"/>
        </w:rPr>
        <w:t xml:space="preserve"> </w:t>
      </w:r>
      <w:r>
        <w:rPr>
          <w:rFonts w:ascii="Calibri" w:hAnsi="Calibri" w:eastAsia="SimSun" w:cs="Calibri"/>
          <w:b/>
          <w:bCs/>
          <w:i w:val="0"/>
          <w:iCs w:val="0"/>
          <w:caps w:val="0"/>
          <w:color w:val="000000"/>
          <w:spacing w:val="0"/>
          <w:sz w:val="21"/>
          <w:szCs w:val="21"/>
        </w:rPr>
        <w:t>0968722</w:t>
      </w:r>
      <w:r>
        <w:rPr>
          <w:rFonts w:hint="default" w:ascii="Calibri" w:hAnsi="Calibri" w:eastAsia="SimSun" w:cs="Calibri"/>
          <w:b/>
          <w:bCs/>
          <w:i w:val="0"/>
          <w:iCs w:val="0"/>
          <w:caps w:val="0"/>
          <w:color w:val="000000"/>
          <w:spacing w:val="0"/>
          <w:sz w:val="21"/>
          <w:szCs w:val="21"/>
          <w:lang w:val="pt-BR"/>
        </w:rPr>
        <w:t xml:space="preserve"> - </w:t>
      </w:r>
      <w:r>
        <w:rPr>
          <w:rFonts w:hint="default" w:ascii="Calibri" w:hAnsi="Calibri" w:eastAsia="SimSun"/>
          <w:b/>
          <w:bCs/>
          <w:i w:val="0"/>
          <w:iCs w:val="0"/>
          <w:caps w:val="0"/>
          <w:color w:val="000000"/>
          <w:spacing w:val="0"/>
          <w:sz w:val="21"/>
          <w:szCs w:val="21"/>
          <w:lang w:val="pt-BR"/>
        </w:rPr>
        <w:t>https://sei.uff.br/sei/controlador.php?acao=procedimento_trabalhar&amp;id_procedimento=964735&amp;id_documento=1057636)</w:t>
      </w:r>
      <w:r>
        <w:rPr>
          <w:rFonts w:ascii="Verdana" w:hAnsi="Verdana" w:cstheme="minorHAnsi"/>
          <w:szCs w:val="20"/>
        </w:rPr>
        <w:t>.</w:t>
      </w:r>
      <w:bookmarkEnd w:id="2"/>
    </w:p>
    <w:p>
      <w:pPr>
        <w:pStyle w:val="73"/>
        <w:keepNext w:val="0"/>
        <w:widowControl/>
        <w:shd w:val="clear" w:color="auto" w:fill="auto"/>
        <w:spacing w:before="120" w:after="120"/>
        <w:ind w:left="785" w:firstLine="349"/>
        <w:rPr>
          <w:rFonts w:ascii="Verdana" w:hAnsi="Verdana" w:cs="Arial"/>
          <w:szCs w:val="20"/>
        </w:rPr>
      </w:pPr>
    </w:p>
    <w:p>
      <w:pPr>
        <w:pStyle w:val="73"/>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r>
        <w:rPr>
          <w:rFonts w:ascii="Verdana" w:hAnsi="Verdana" w:cs="Arial"/>
          <w:color w:val="000000" w:themeColor="text1"/>
          <w:szCs w:val="20"/>
        </w:rPr>
        <w:t>, por meio de certificado digital conferido pela Infraestrutura de Chaves Públicas Brasileira – ICP - Brasil.</w:t>
      </w:r>
    </w:p>
    <w:p>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t>DA PARTICIPAÇÃO NO PREGÃO.</w:t>
      </w:r>
    </w:p>
    <w:p>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eastAsia="Arial Unicode MS" w:cs="Arial"/>
          <w:color w:val="000000" w:themeColor="text1"/>
          <w:sz w:val="18"/>
          <w:szCs w:val="18"/>
        </w:rPr>
        <w:t>que se enquadrem nas vedações previstas no artigo 9º da Lei nº 8.666, de 1993;</w:t>
      </w:r>
      <w:bookmarkStart w:id="3" w:name="_Hlk519667653"/>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3"/>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4" w:name="_Hlk519667815"/>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4"/>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hAnsi="Verdana" w:eastAsia="Zurich BT" w:cs="Arial"/>
          <w:color w:val="000000"/>
          <w:sz w:val="20"/>
          <w:szCs w:val="20"/>
        </w:rPr>
        <w:t xml:space="preserve"> </w:t>
      </w:r>
    </w:p>
    <w:p>
      <w:pPr>
        <w:pStyle w:val="64"/>
        <w:keepNext w:val="0"/>
        <w:numPr>
          <w:ilvl w:val="0"/>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está ciente e concorda com as condições contidas no Edital e seus anexos;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não possui, em sua cadeia produtiva, empregados executando trabalho degradante ou forçado, observando o disposto nos incisos III e IV do art. 1º e no inciso III do art. 5º da Constituição Federal;</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As condições para a realização da vistoria estão explicitadas no item “6 – VISTORIA PARA A LICITAÇÃO” do Termo de Referência anexo a este edital;</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pPr>
        <w:pStyle w:val="12"/>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pPr>
        <w:pStyle w:val="12"/>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DA APRESENTAÇÃO DA PROPOSTA E DOS DOCUMENTOS DE HABILITAÇÃO</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eastAsia="Arial" w:cs="Arial"/>
          <w:sz w:val="20"/>
          <w:szCs w:val="20"/>
        </w:rPr>
        <w:t>As Microempresas e Empresas de Pequeno Porte deverão encaminhar a documentação de habilitação, ainda que haja alguma restrição de regularidade fiscal e trabalhista, nos termos do art. 43, § 1º da LC nº 123, de 2006.</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pPr>
        <w:pStyle w:val="64"/>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seu preço global para a execução dos serviços, igual ou inferior ao valor estimado pela Administração na planilha de orçamento do Anexo II-B;</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hAnsi="Verdana" w:eastAsia="WenQuanYi Micro Hei" w:cs="Arial"/>
          <w:color w:val="auto"/>
          <w:sz w:val="18"/>
          <w:szCs w:val="18"/>
        </w:rPr>
        <w:t>Descrição do objeto, contendo as informações similares à especificação do Termo de Referência</w:t>
      </w:r>
      <w:r>
        <w:rPr>
          <w:rFonts w:ascii="Verdana" w:hAnsi="Verdana" w:cs="Arial"/>
          <w:color w:val="auto"/>
          <w:sz w:val="18"/>
          <w:szCs w:val="18"/>
        </w:rPr>
        <w:t>.</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II-B deste Edital;</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b/>
          <w:bCs/>
          <w:color w:val="000000"/>
          <w:sz w:val="20"/>
          <w:szCs w:val="20"/>
        </w:rPr>
        <w:t>DA ABERTURA DA SESSÃO, CLASSIFICAÇÃO DAS PROPOSTAS E FORMULAÇÃO DE LANCES</w:t>
      </w: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1"/>
          <w:numId w:val="6"/>
        </w:numPr>
        <w:shd w:val="clear" w:color="auto" w:fill="auto"/>
        <w:tabs>
          <w:tab w:val="clear" w:pos="-12"/>
          <w:tab w:val="clear" w:pos="708"/>
        </w:tabs>
        <w:suppressAutoHyphens w:val="0"/>
        <w:overflowPunct/>
        <w:spacing w:before="120" w:after="120"/>
        <w:ind w:left="854"/>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pPr>
        <w:pStyle w:val="64"/>
        <w:keepNext w:val="0"/>
        <w:numPr>
          <w:ilvl w:val="1"/>
          <w:numId w:val="6"/>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73"/>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pPr>
        <w:pStyle w:val="73"/>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pPr>
        <w:pStyle w:val="73"/>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pPr>
        <w:pStyle w:val="73"/>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pPr>
        <w:keepNext w:val="0"/>
        <w:numPr>
          <w:ilvl w:val="2"/>
          <w:numId w:val="6"/>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hAnsi="Verdana" w:eastAsia="Arial" w:cs="Arial"/>
          <w:iCs/>
          <w:color w:val="auto"/>
          <w:sz w:val="18"/>
          <w:szCs w:val="18"/>
        </w:rPr>
      </w:pPr>
      <w:r>
        <w:rPr>
          <w:rFonts w:ascii="Verdana" w:hAnsi="Verdana" w:cs="Arial"/>
          <w:iCs/>
          <w:color w:val="auto"/>
          <w:sz w:val="18"/>
          <w:szCs w:val="18"/>
        </w:rPr>
        <w:t>O lance deverá ser ofertado pelo valor do preço global dos serviços.</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R$ 100,00 (cem reais).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menor preço global</w:t>
      </w:r>
      <w:r>
        <w:rPr>
          <w:rFonts w:ascii="Verdana" w:hAnsi="Verdana" w:cs="Arial"/>
          <w:color w:val="000000" w:themeColor="text1"/>
          <w:sz w:val="20"/>
          <w:szCs w:val="20"/>
        </w:rPr>
        <w:t>, que deverá refletir sobre os preços unitários orçados pela UFF e constantes da planilha de orçamento (Anexo II-B) conforme definido neste Edital e seus anexos.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 inicial.</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hAnsi="Verdana" w:eastAsia="Zurich BT" w:cs="Arial"/>
          <w:sz w:val="20"/>
          <w:szCs w:val="20"/>
        </w:rPr>
        <w:t>, será efetivada a verificação automática, junto à Receita Federal, do porte da entidade empresarial.</w:t>
      </w:r>
    </w:p>
    <w:p>
      <w:pPr>
        <w:pStyle w:val="64"/>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eastAsia="Zurich BT" w:cs="Arial"/>
          <w:sz w:val="18"/>
          <w:szCs w:val="18"/>
        </w:rPr>
        <w:t xml:space="preserve">O sistema identificará em coluna própria as </w:t>
      </w:r>
      <w:r>
        <w:rPr>
          <w:rFonts w:ascii="Verdana" w:hAnsi="Verdana" w:eastAsia="Zurich BT" w:cs="Arial"/>
          <w:color w:val="000000" w:themeColor="text1"/>
          <w:sz w:val="18"/>
          <w:szCs w:val="18"/>
        </w:rPr>
        <w:t>microempresas e empresas de pequeno</w:t>
      </w:r>
      <w:r>
        <w:rPr>
          <w:rFonts w:ascii="Verdana" w:hAnsi="Verdana" w:eastAsia="Zurich BT"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hAnsi="Verdana" w:eastAsia="Zurich BT"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hAnsi="Verdana" w:eastAsia="Zurich BT"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hAnsi="Verdana" w:eastAsia="Zurich BT"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hAnsi="Verdana" w:eastAsia="Arial"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hAnsi="Verdana" w:eastAsia="Arial" w:cs="Arial"/>
          <w:sz w:val="20"/>
          <w:szCs w:val="20"/>
        </w:rPr>
        <w:t>.</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menor preço, para que seja obtida melhor proposta, vedada a negociação em condições diferentes das previstas neste Edital.</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hAnsi="Verdana" w:eastAsia="Arial" w:cs="Arial"/>
          <w:sz w:val="20"/>
          <w:szCs w:val="20"/>
        </w:rPr>
        <w:t>negociação será realizada por meio do sistema, podendo ser acompanhada pelos demais licitantes.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hAnsi="Verdana" w:eastAsia="Arial" w:cs="Arial"/>
          <w:sz w:val="20"/>
          <w:szCs w:val="20"/>
        </w:rPr>
        <w:t xml:space="preserve">É facultado ao pregoeiro prorrogar o prazo estabelecido, a partir de solicitação fundamentada feita no chat </w:t>
      </w:r>
      <w:r>
        <w:rPr>
          <w:rFonts w:ascii="Arial" w:hAnsi="Arial" w:eastAsia="SimSun" w:cs="Arial"/>
          <w:b/>
          <w:bCs/>
          <w:color w:val="000000"/>
          <w:sz w:val="20"/>
          <w:szCs w:val="20"/>
          <w:shd w:val="clear" w:color="auto" w:fill="FFFFFF"/>
        </w:rPr>
        <w:t xml:space="preserve">ou também por meio do e-mail </w:t>
      </w:r>
      <w:r>
        <w:fldChar w:fldCharType="begin"/>
      </w:r>
      <w:r>
        <w:instrText xml:space="preserve"> HYPERLINK "mailto:cpl@id.uff.br" </w:instrText>
      </w:r>
      <w:r>
        <w:fldChar w:fldCharType="separate"/>
      </w:r>
      <w:r>
        <w:rPr>
          <w:rStyle w:val="10"/>
          <w:rFonts w:ascii="Arial" w:hAnsi="Arial" w:eastAsia="SimSun" w:cs="Arial"/>
          <w:b/>
          <w:bCs/>
          <w:color w:val="1155CC"/>
          <w:sz w:val="20"/>
          <w:szCs w:val="20"/>
          <w:shd w:val="clear" w:color="auto" w:fill="FFFFFF"/>
        </w:rPr>
        <w:t>cpl@id.uff.b</w:t>
      </w:r>
      <w:r>
        <w:rPr>
          <w:rStyle w:val="10"/>
          <w:rFonts w:ascii="Arial" w:hAnsi="Arial" w:eastAsia="SimSun" w:cs="Arial"/>
          <w:color w:val="1155CC"/>
          <w:sz w:val="20"/>
          <w:szCs w:val="20"/>
          <w:shd w:val="clear" w:color="auto" w:fill="FFFFFF"/>
        </w:rPr>
        <w:t>r</w:t>
      </w:r>
      <w:r>
        <w:rPr>
          <w:rStyle w:val="10"/>
          <w:rFonts w:ascii="Arial" w:hAnsi="Arial" w:eastAsia="SimSun" w:cs="Arial"/>
          <w:color w:val="1155CC"/>
          <w:sz w:val="20"/>
          <w:szCs w:val="20"/>
          <w:shd w:val="clear" w:color="auto" w:fill="FFFFFF"/>
        </w:rPr>
        <w:fldChar w:fldCharType="end"/>
      </w:r>
      <w:r>
        <w:rPr>
          <w:rFonts w:ascii="SimSun" w:hAnsi="SimSun" w:eastAsia="SimSun" w:cs="SimSun"/>
        </w:rPr>
        <w:t xml:space="preserve"> </w:t>
      </w:r>
      <w:r>
        <w:rPr>
          <w:rFonts w:ascii="Verdana" w:hAnsi="Verdana" w:eastAsia="Arial" w:cs="Arial"/>
          <w:sz w:val="20"/>
          <w:szCs w:val="20"/>
        </w:rPr>
        <w:t>pelo licitante, antes de findo o prazo.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eastAsia="Arial" w:cs="Arial"/>
          <w:sz w:val="20"/>
          <w:szCs w:val="20"/>
        </w:rPr>
        <w:t>Após a negociação do preço, o Pregoeiro iniciará a fase de aceitação e julgamento da proposta.</w:t>
      </w:r>
    </w:p>
    <w:p>
      <w:pPr>
        <w:pStyle w:val="64"/>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pPr>
        <w:pStyle w:val="64"/>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pPr>
        <w:pStyle w:val="73"/>
        <w:keepNext w:val="0"/>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 xml:space="preserve"> 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pPr>
        <w:pStyle w:val="73"/>
        <w:keepNext w:val="0"/>
        <w:widowControl/>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 xml:space="preserve"> A proposta a ser encaminhada deverá ser composta e conterem:</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conforme modelo do Anexo V;</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Valor do preço global para a execução dos serviços proposto, discriminados também por extenso.</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Prazo de validade da proposta não inferior a 90 (noventa) dias, a contar da data de abertura do certame.</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Prazo de execução dos serviços, de acordo com o contido no Termo de Referência; </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Especificações do objeto de forma clara, observadas as especificações constantes dos anexos elaborados pela Administração;</w:t>
      </w:r>
    </w:p>
    <w:p>
      <w:pPr>
        <w:pStyle w:val="73"/>
        <w:keepNext w:val="0"/>
        <w:widowControl/>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 xml:space="preserve"> Anexo à Carta Proposta deverá apresentar os seguintes documentos, todos conforme modelos anexos a este edital:</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VIII;</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II-B ao Edital;</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Como o critério de julgamento será o de menor preço global, esse deverá refletir sobre os preços </w:t>
      </w:r>
      <w:r>
        <w:rPr>
          <w:rFonts w:ascii="Verdana" w:hAnsi="Verdana" w:cs="Arial"/>
          <w:color w:val="000000"/>
          <w:sz w:val="18"/>
          <w:szCs w:val="18"/>
        </w:rPr>
        <w:t>unitários dos itens do orçamento apresentado pela UFF (Anexo II-B), que tratando-se de menor preço, os novos preços unitários propostos pela licitante, serão obrigatoriamente iguais ou inferiores aos apresentados pela UFF;</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color w:val="000000"/>
          <w:sz w:val="18"/>
          <w:szCs w:val="18"/>
        </w:rPr>
        <w:t xml:space="preserve">– Não serão admitidas alterações de especificações, unidades, quantitativos, custos unitários, valor de BDI e preços unitários utilizados pela UFF; se tal ocorrência for constatada, será motivo de desclassificação da proposta; seus valores estão bloqueados para edição no Anexo II-B. </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w:t>
      </w:r>
      <w:bookmarkStart w:id="5" w:name="_Hlk103941167"/>
      <w:r>
        <w:rPr>
          <w:rFonts w:ascii="Verdana" w:hAnsi="Verdana"/>
          <w:sz w:val="18"/>
          <w:szCs w:val="18"/>
        </w:rPr>
        <w:t>A soma dos preços totais ajustados de cada item de serviço,</w:t>
      </w:r>
      <w:bookmarkEnd w:id="5"/>
      <w:r>
        <w:rPr>
          <w:rFonts w:ascii="Verdana" w:hAnsi="Verdana"/>
          <w:sz w:val="18"/>
          <w:szCs w:val="18"/>
        </w:rPr>
        <w:t xml:space="preserve">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número do seu CREA/CAU e também pelo representante legal da empresa, com carimbo do CNPJ, no formato PDF:</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Não se admitirá, na proposta de preços, custos identificados mediante o uso da expressão “verba” ou de unidades genéricas.</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eastAsia="Times New Roman" w:cs="Arial"/>
          <w:sz w:val="18"/>
          <w:szCs w:val="18"/>
        </w:rPr>
        <w:t xml:space="preserve">– </w:t>
      </w:r>
      <w:r>
        <w:rPr>
          <w:rFonts w:ascii="Verdana" w:hAnsi="Verdana" w:eastAsia="Times New Roman" w:cs="Arial"/>
          <w:b/>
          <w:bCs/>
          <w:sz w:val="18"/>
          <w:szCs w:val="18"/>
          <w:u w:val="single"/>
        </w:rPr>
        <w:t>Planilha Resumo do Orçamento:</w:t>
      </w:r>
      <w:r>
        <w:rPr>
          <w:rFonts w:ascii="Verdana" w:hAnsi="Verdana" w:eastAsia="Times New Roman" w:cs="Arial"/>
          <w:sz w:val="18"/>
          <w:szCs w:val="18"/>
        </w:rPr>
        <w:t xml:space="preserve"> conforme modelo da planilha do Anexo II-A, onde será demonstrado, inclusive os preços orçados pela UFF;</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II-C;</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III;</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As alíquotas de tributos cotadas pelo licitante não podem ser superiores aos limites estabelecidos na legislação tributária;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pPr>
        <w:pStyle w:val="73"/>
        <w:keepNext w:val="0"/>
        <w:widowControl/>
        <w:numPr>
          <w:ilvl w:val="3"/>
          <w:numId w:val="6"/>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Style w:val="61"/>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 conforme modelos dos Anexos V;</w:t>
      </w:r>
    </w:p>
    <w:p>
      <w:pPr>
        <w:pStyle w:val="73"/>
        <w:keepNext w:val="0"/>
        <w:widowControl/>
        <w:numPr>
          <w:ilvl w:val="3"/>
          <w:numId w:val="6"/>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rPr>
        <w:t>A composição de encargos sociais das empresas optantes pelo Simples Nacional não poderá incluir os gastos relativos às contribuições que estão dispensadas de recolhimento, conforme dispõe o art. 13, § 3º, da referida Lei Complementar;</w:t>
      </w:r>
    </w:p>
    <w:p>
      <w:pPr>
        <w:pStyle w:val="73"/>
        <w:keepNext w:val="0"/>
        <w:widowControl/>
        <w:numPr>
          <w:ilvl w:val="1"/>
          <w:numId w:val="6"/>
        </w:numPr>
        <w:spacing w:before="120" w:after="120"/>
        <w:textAlignment w:val="auto"/>
        <w:rPr>
          <w:rStyle w:val="61"/>
          <w:rFonts w:ascii="Verdana" w:hAnsi="Verdana" w:eastAsia="Ecofont_Spranq_eco_Sans,Lohit H"/>
          <w:color w:val="auto"/>
          <w:szCs w:val="20"/>
        </w:rPr>
      </w:pPr>
      <w:r>
        <w:rPr>
          <w:rFonts w:ascii="Verdana" w:hAnsi="Verdana" w:cs="Arial"/>
          <w:szCs w:val="20"/>
        </w:rPr>
        <w:t>Para fins de análise da proposta quanto ao cumprimento das especificações do objeto, poderá ser colhida a manifestação escrita do setor requisitante do serviço ou da área especializada no objeto.</w:t>
      </w:r>
    </w:p>
    <w:p>
      <w:pPr>
        <w:pStyle w:val="73"/>
        <w:keepNext w:val="0"/>
        <w:widowControl/>
        <w:numPr>
          <w:ilvl w:val="1"/>
          <w:numId w:val="6"/>
        </w:numPr>
        <w:spacing w:before="120" w:after="120"/>
        <w:textAlignment w:val="auto"/>
        <w:rPr>
          <w:rFonts w:ascii="Verdana" w:hAnsi="Verdana" w:cs="Arial"/>
          <w:color w:val="FF0000"/>
          <w:szCs w:val="20"/>
        </w:rPr>
      </w:pPr>
      <w:r>
        <w:rPr>
          <w:rFonts w:ascii="Verdana" w:hAnsi="Verdana" w:cs="Arial"/>
          <w:szCs w:val="20"/>
        </w:rPr>
        <w:t xml:space="preserve"> 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hAnsi="Verdana" w:eastAsia="Arial" w:cs="Arial"/>
          <w:szCs w:val="20"/>
          <w:highlight w:val="yellow"/>
        </w:rPr>
        <w:t xml:space="preserve"> </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II-B – Planilha Orçamentária;</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Quando a licitante não conseguir comprovar que possui ou possuirá recursos suficientes para executar a contento o objeto, será considerada inexequível a proposta de preços ou menor lance que:</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O exame da inexequibilidade observará a fórmula prevista no art. 48, §§ 1º e 2º, da Lei nº 8.666, de 1993.</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 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pPr>
        <w:pStyle w:val="73"/>
        <w:keepNext w:val="0"/>
        <w:widowControl/>
        <w:numPr>
          <w:ilvl w:val="2"/>
          <w:numId w:val="6"/>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lang w:eastAsia="en-US"/>
        </w:rPr>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pPr>
        <w:pStyle w:val="73"/>
        <w:keepNext w:val="0"/>
        <w:widowControl/>
        <w:numPr>
          <w:ilvl w:val="1"/>
          <w:numId w:val="6"/>
        </w:numPr>
        <w:spacing w:before="120" w:after="120"/>
        <w:textAlignment w:val="auto"/>
        <w:rPr>
          <w:rFonts w:ascii="Verdana" w:hAnsi="Verdana" w:eastAsia="Times New Roman"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pPr>
        <w:pStyle w:val="73"/>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pPr>
        <w:pStyle w:val="73"/>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Style w:val="73"/>
        <w:keepNext w:val="0"/>
        <w:numPr>
          <w:ilvl w:val="2"/>
          <w:numId w:val="6"/>
        </w:numPr>
        <w:ind w:left="1418" w:hanging="567"/>
        <w:rPr>
          <w:rFonts w:ascii="Verdana" w:hAnsi="Verdana" w:cs="Arial"/>
          <w:bCs/>
          <w:color w:val="000000"/>
          <w:sz w:val="18"/>
          <w:szCs w:val="18"/>
        </w:rPr>
      </w:pPr>
      <w:r>
        <w:rPr>
          <w:rFonts w:ascii="Verdana" w:hAnsi="Verdana" w:cs="Arial"/>
          <w:bCs/>
          <w:color w:val="000000"/>
          <w:sz w:val="18"/>
          <w:szCs w:val="18"/>
        </w:rPr>
        <w:t>SICAF;</w:t>
      </w:r>
    </w:p>
    <w:p>
      <w:pPr>
        <w:pStyle w:val="73"/>
        <w:keepNext w:val="0"/>
        <w:widowControl/>
        <w:numPr>
          <w:ilvl w:val="2"/>
          <w:numId w:val="6"/>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r>
        <w:fldChar w:fldCharType="begin"/>
      </w:r>
      <w:r>
        <w:instrText xml:space="preserve"> HYPERLINK "http://www.portaldatransparencia.gov.br/ceis" </w:instrText>
      </w:r>
      <w:r>
        <w:fldChar w:fldCharType="separate"/>
      </w:r>
      <w:r>
        <w:rPr>
          <w:rStyle w:val="10"/>
          <w:rFonts w:ascii="Verdana" w:hAnsi="Verdana" w:cs="Arial"/>
          <w:sz w:val="18"/>
          <w:szCs w:val="18"/>
          <w:lang w:eastAsia="ar-SA"/>
        </w:rPr>
        <w:t>www.portaldatransparencia.gov.br/ceis</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6"/>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r>
        <w:fldChar w:fldCharType="begin"/>
      </w:r>
      <w:r>
        <w:instrText xml:space="preserve"> HYPERLINK "http://www.cnj.jus.br/improbidade_adm/consultar_requerido.php" </w:instrText>
      </w:r>
      <w:r>
        <w:fldChar w:fldCharType="separate"/>
      </w:r>
      <w:r>
        <w:rPr>
          <w:rStyle w:val="10"/>
          <w:rFonts w:ascii="Verdana" w:hAnsi="Verdana" w:cs="Arial"/>
          <w:sz w:val="18"/>
          <w:szCs w:val="18"/>
          <w:lang w:eastAsia="ar-SA"/>
        </w:rPr>
        <w:t>www.cnj.jus.br/improbidade_adm/consultar_requerido.php</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6"/>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“b”, “c” e “d” acima pela Consulta Consolidada de Pessoa Jurídica do TCU (</w:t>
      </w:r>
      <w:r>
        <w:fldChar w:fldCharType="begin"/>
      </w:r>
      <w:r>
        <w:instrText xml:space="preserve"> HYPERLINK "https://certidoesapf.apps.tcu.gov.br/" </w:instrText>
      </w:r>
      <w:r>
        <w:fldChar w:fldCharType="separate"/>
      </w:r>
      <w:r>
        <w:rPr>
          <w:rStyle w:val="10"/>
          <w:rFonts w:ascii="Verdana" w:hAnsi="Verdana" w:cs="Arial"/>
          <w:szCs w:val="20"/>
          <w:lang w:eastAsia="ar-SA"/>
        </w:rPr>
        <w:t>https://certidoesapf.apps.tcu.gov.br/</w:t>
      </w:r>
      <w:r>
        <w:rPr>
          <w:rStyle w:val="10"/>
          <w:rFonts w:ascii="Verdana" w:hAnsi="Verdana" w:cs="Arial"/>
          <w:szCs w:val="20"/>
          <w:lang w:eastAsia="ar-SA"/>
        </w:rPr>
        <w:fldChar w:fldCharType="end"/>
      </w:r>
      <w:r>
        <w:rPr>
          <w:rFonts w:ascii="Verdana" w:hAnsi="Verdana" w:cs="Arial"/>
          <w:szCs w:val="20"/>
          <w:lang w:eastAsia="ar-SA"/>
        </w:rPr>
        <w:t>).</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bookmarkStart w:id="6" w:name="_Hlk88838545"/>
      <w:r>
        <w:rPr>
          <w:rFonts w:ascii="Verdana" w:hAnsi="Verdana" w:cs="Arial"/>
          <w:b/>
          <w:szCs w:val="20"/>
        </w:rPr>
        <w:t xml:space="preserve"> HABILITAÇÃO JURÍDICA, REGULARIDADE FISCAL E QUALIFICAÇÃO ECÔNOMICA</w:t>
      </w:r>
      <w:bookmarkEnd w:id="6"/>
      <w:r>
        <w:rPr>
          <w:rFonts w:ascii="Verdana" w:hAnsi="Verdana" w:cs="Arial"/>
          <w:b/>
          <w:szCs w:val="20"/>
        </w:rPr>
        <w:t xml:space="preserve"> E FINANCEIRA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Os licitantes deverão encaminhar, nos termos deste Edital, a documentação relacionada nos itens a seguir.</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hAnsi="Verdana" w:eastAsia="Times New Roman" w:cs="Arial"/>
          <w:b/>
          <w:color w:val="000000"/>
          <w:szCs w:val="20"/>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73"/>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pPr>
        <w:pStyle w:val="73"/>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23"/>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pPr>
        <w:pStyle w:val="73"/>
        <w:numPr>
          <w:ilvl w:val="3"/>
          <w:numId w:val="6"/>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pPr>
        <w:pStyle w:val="73"/>
        <w:spacing w:before="120" w:after="120"/>
        <w:ind w:left="785" w:firstLine="0"/>
        <w:rPr>
          <w:rFonts w:ascii="Verdana" w:hAnsi="Verdana" w:cs="Arial"/>
          <w:color w:val="000000" w:themeColor="text1"/>
          <w:szCs w:val="20"/>
        </w:rPr>
      </w:pPr>
    </w:p>
    <w:p>
      <w:pPr>
        <w:pStyle w:val="73"/>
        <w:numPr>
          <w:ilvl w:val="0"/>
          <w:numId w:val="6"/>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hAnsi="Verdana" w:cs="Calibri" w:eastAsiaTheme="minorHAnsi"/>
          <w:szCs w:val="20"/>
          <w:lang w:eastAsia="en-US"/>
        </w:rPr>
        <w:t>Os critérios de qualificação técnica a serem atendidos pela Licitante, estão previstos no subitem 19.3 do Termo de Referência (Anexo I).</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pPr>
        <w:pStyle w:val="73"/>
        <w:keepNext w:val="0"/>
        <w:widowControl/>
        <w:spacing w:before="120" w:after="120"/>
        <w:ind w:left="360" w:firstLine="0"/>
        <w:textAlignment w:val="auto"/>
        <w:rPr>
          <w:rFonts w:ascii="Verdana" w:hAnsi="Verdana" w:cs="Arial"/>
          <w:b/>
          <w:bCs/>
          <w:szCs w:val="20"/>
          <w:lang w:eastAsia="ar-SA"/>
        </w:rPr>
      </w:pPr>
    </w:p>
    <w:p>
      <w:pPr>
        <w:pStyle w:val="73"/>
        <w:keepNext w:val="0"/>
        <w:widowControl/>
        <w:numPr>
          <w:ilvl w:val="0"/>
          <w:numId w:val="6"/>
        </w:numPr>
        <w:spacing w:before="120" w:after="120"/>
        <w:textAlignment w:val="auto"/>
        <w:rPr>
          <w:rFonts w:ascii="Verdana" w:hAnsi="Verdana" w:cs="Arial"/>
          <w:b/>
          <w:bCs/>
          <w:szCs w:val="20"/>
          <w:lang w:eastAsia="ar-SA"/>
        </w:rPr>
      </w:pPr>
      <w:r>
        <w:rPr>
          <w:rFonts w:ascii="Verdana" w:hAnsi="Verdana"/>
          <w:b/>
          <w:bCs/>
          <w:color w:val="000000"/>
        </w:rPr>
        <w:t>DA DOCUMENTAÇÃO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A desclassificação da licitante sem que lhe seja conferida a oportunidade para sanear os seus documentos de habilitação e/ou proposta, resulta em objetivo dissociado do interesse público (Acordão n.º 1211/2021 – Plenário do TCU).</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VI deste edital;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 ou a declaração de não vistoria (Anexo VII);</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VIII do edital;</w:t>
      </w:r>
    </w:p>
    <w:p>
      <w:pPr>
        <w:pStyle w:val="73"/>
        <w:keepNext w:val="0"/>
        <w:widowControl/>
        <w:numPr>
          <w:ilvl w:val="2"/>
          <w:numId w:val="6"/>
        </w:numPr>
        <w:spacing w:before="120" w:after="120"/>
        <w:textAlignment w:val="auto"/>
        <w:rPr>
          <w:rFonts w:ascii="Verdana" w:hAnsi="Verdana" w:cs="Arial"/>
          <w:sz w:val="18"/>
          <w:szCs w:val="18"/>
          <w:lang w:eastAsia="ar-SA"/>
        </w:rPr>
      </w:pPr>
      <w:bookmarkStart w:id="7" w:name="_Hlk103942059"/>
      <w:r>
        <w:rPr>
          <w:rFonts w:ascii="Verdana" w:hAnsi="Verdana" w:cs="Arial"/>
          <w:sz w:val="18"/>
          <w:szCs w:val="18"/>
        </w:rPr>
        <w:t>apresentar a planilha de orçamento de preços, devidamente ajustada ao lance vencedor, em conformidade com o modelo anexo II-B a este instrumento convocatório, juntamente com a planilha Resumo (Anexo II-A) e o cronograma físico financeiro (Anexo II-C) correspondente;</w:t>
      </w:r>
      <w:bookmarkEnd w:id="7"/>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lance vencedor, para se obter o valor monetário global proposto;</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III; e </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 encargos sociais, em conformidade também com o Anexo IV deste edital; </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pPr>
        <w:pStyle w:val="73"/>
        <w:keepNext w:val="0"/>
        <w:widowControl/>
        <w:numPr>
          <w:ilvl w:val="1"/>
          <w:numId w:val="6"/>
        </w:numPr>
        <w:spacing w:before="120" w:after="120"/>
        <w:textAlignment w:val="auto"/>
        <w:rPr>
          <w:rFonts w:ascii="Verdana" w:hAnsi="Verdana" w:cs="Arial"/>
          <w:szCs w:val="20"/>
          <w:lang w:eastAsia="ar-SA"/>
        </w:rPr>
      </w:pPr>
      <w:bookmarkStart w:id="8" w:name="_Hlk103942371"/>
      <w:r>
        <w:rPr>
          <w:rFonts w:ascii="Verdana" w:hAnsi="Verdana" w:cs="Arial"/>
          <w:szCs w:val="20"/>
        </w:rPr>
        <w:t>Ocorrendo divergência entre os preços unitários dos serviços e os seus preços totais, prevalecerão os primeiros; no caso de divergência entre os valores numéricos e os valores expressos por extenso, prevalecerão estes últimos.</w:t>
      </w:r>
      <w:bookmarkEnd w:id="8"/>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pPr>
        <w:pStyle w:val="64"/>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pPr>
        <w:pStyle w:val="64"/>
        <w:keepNext w:val="0"/>
        <w:numPr>
          <w:ilvl w:val="0"/>
          <w:numId w:val="6"/>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pPr>
        <w:pStyle w:val="73"/>
        <w:keepNext w:val="0"/>
        <w:widowControl/>
        <w:numPr>
          <w:ilvl w:val="1"/>
          <w:numId w:val="6"/>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pPr>
        <w:pStyle w:val="73"/>
        <w:keepNext w:val="0"/>
        <w:widowControl/>
        <w:numPr>
          <w:ilvl w:val="1"/>
          <w:numId w:val="6"/>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pPr>
        <w:pStyle w:val="73"/>
        <w:keepNext w:val="0"/>
        <w:widowControl/>
        <w:numPr>
          <w:ilvl w:val="2"/>
          <w:numId w:val="6"/>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pPr>
        <w:pStyle w:val="73"/>
        <w:keepNext w:val="0"/>
        <w:widowControl/>
        <w:numPr>
          <w:ilvl w:val="2"/>
          <w:numId w:val="6"/>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pPr>
        <w:pStyle w:val="73"/>
        <w:keepNext w:val="0"/>
        <w:widowControl/>
        <w:numPr>
          <w:ilvl w:val="1"/>
          <w:numId w:val="6"/>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73"/>
        <w:keepNext w:val="0"/>
        <w:widowControl/>
        <w:numPr>
          <w:ilvl w:val="1"/>
          <w:numId w:val="6"/>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pPr>
        <w:pStyle w:val="73"/>
        <w:keepNext w:val="0"/>
        <w:widowControl/>
        <w:numPr>
          <w:ilvl w:val="1"/>
          <w:numId w:val="6"/>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pPr>
        <w:pStyle w:val="73"/>
        <w:keepNext w:val="0"/>
        <w:widowControl/>
        <w:spacing w:before="120" w:after="120"/>
        <w:ind w:left="425" w:firstLine="0"/>
        <w:rPr>
          <w:rFonts w:ascii="Verdana" w:hAnsi="Verdana" w:cs="Arial"/>
          <w:szCs w:val="20"/>
        </w:rPr>
      </w:pPr>
    </w:p>
    <w:p>
      <w:pPr>
        <w:pStyle w:val="73"/>
        <w:keepNext w:val="0"/>
        <w:widowControl/>
        <w:numPr>
          <w:ilvl w:val="0"/>
          <w:numId w:val="6"/>
        </w:numPr>
        <w:spacing w:before="120" w:after="120"/>
        <w:rPr>
          <w:rFonts w:ascii="Verdana" w:hAnsi="Verdana" w:cs="Arial"/>
          <w:b/>
          <w:szCs w:val="20"/>
        </w:rPr>
      </w:pPr>
      <w:r>
        <w:rPr>
          <w:rFonts w:ascii="Verdana" w:hAnsi="Verdana" w:cs="Arial"/>
          <w:b/>
          <w:szCs w:val="20"/>
        </w:rPr>
        <w:t>DA REABERTURA DA SESSÃO PÚBLICA</w:t>
      </w:r>
    </w:p>
    <w:p>
      <w:pPr>
        <w:pStyle w:val="73"/>
        <w:keepNext w:val="0"/>
        <w:widowControl/>
        <w:numPr>
          <w:ilvl w:val="1"/>
          <w:numId w:val="6"/>
        </w:numPr>
        <w:spacing w:before="120" w:after="120"/>
        <w:ind w:left="851" w:hanging="425"/>
        <w:rPr>
          <w:rFonts w:ascii="Verdana" w:hAnsi="Verdana" w:cs="Arial"/>
          <w:szCs w:val="20"/>
        </w:rPr>
      </w:pPr>
      <w:r>
        <w:rPr>
          <w:rFonts w:ascii="Verdana" w:hAnsi="Verdana" w:cs="Arial"/>
          <w:szCs w:val="20"/>
        </w:rPr>
        <w:t>A sessão pública poderá ser reaberta:</w:t>
      </w:r>
    </w:p>
    <w:p>
      <w:pPr>
        <w:pStyle w:val="73"/>
        <w:keepNext w:val="0"/>
        <w:widowControl/>
        <w:numPr>
          <w:ilvl w:val="2"/>
          <w:numId w:val="6"/>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73"/>
        <w:keepNext w:val="0"/>
        <w:widowControl/>
        <w:numPr>
          <w:ilvl w:val="2"/>
          <w:numId w:val="6"/>
        </w:numPr>
        <w:spacing w:before="120" w:after="120"/>
        <w:rPr>
          <w:rFonts w:ascii="Verdana" w:hAnsi="Verdana" w:cs="Arial"/>
          <w:szCs w:val="20"/>
        </w:rPr>
      </w:pPr>
      <w:r>
        <w:rPr>
          <w:rFonts w:ascii="Verdana" w:hAnsi="Verdana" w:cs="Arial"/>
          <w:sz w:val="18"/>
          <w:szCs w:val="18"/>
        </w:rPr>
        <w:t>Quando houver erro na aceitação do preço mais bem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pPr>
        <w:pStyle w:val="73"/>
        <w:keepNext w:val="0"/>
        <w:widowControl/>
        <w:numPr>
          <w:ilvl w:val="1"/>
          <w:numId w:val="6"/>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pPr>
        <w:pStyle w:val="73"/>
        <w:keepNext w:val="0"/>
        <w:widowControl/>
        <w:numPr>
          <w:ilvl w:val="2"/>
          <w:numId w:val="6"/>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pPr>
        <w:pStyle w:val="73"/>
        <w:keepNext w:val="0"/>
        <w:widowControl/>
        <w:numPr>
          <w:ilvl w:val="2"/>
          <w:numId w:val="6"/>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pPr>
        <w:pStyle w:val="73"/>
        <w:keepNext w:val="0"/>
        <w:ind w:left="567" w:firstLine="0"/>
        <w:rPr>
          <w:rFonts w:ascii="Verdana" w:hAnsi="Verdana" w:cs="Arial"/>
          <w:szCs w:val="20"/>
        </w:rPr>
      </w:pPr>
    </w:p>
    <w:p>
      <w:pPr>
        <w:pStyle w:val="73"/>
        <w:keepNext w:val="0"/>
        <w:widowControl/>
        <w:numPr>
          <w:ilvl w:val="0"/>
          <w:numId w:val="6"/>
        </w:numPr>
        <w:spacing w:before="120" w:after="120"/>
        <w:rPr>
          <w:rFonts w:ascii="Verdana" w:hAnsi="Verdana" w:cs="Arial"/>
          <w:szCs w:val="20"/>
        </w:rPr>
      </w:pPr>
      <w:r>
        <w:rPr>
          <w:rFonts w:ascii="Verdana" w:hAnsi="Verdana" w:cs="Arial"/>
          <w:b/>
          <w:color w:val="000000"/>
          <w:szCs w:val="20"/>
        </w:rPr>
        <w:t>DA ADJUDICAÇÃO E HOMOLOGAÇÃO</w:t>
      </w:r>
    </w:p>
    <w:p>
      <w:pPr>
        <w:pStyle w:val="73"/>
        <w:keepNext w:val="0"/>
        <w:widowControl/>
        <w:numPr>
          <w:ilvl w:val="1"/>
          <w:numId w:val="6"/>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pPr>
        <w:pStyle w:val="73"/>
        <w:keepNext w:val="0"/>
        <w:widowControl/>
        <w:numPr>
          <w:ilvl w:val="1"/>
          <w:numId w:val="6"/>
        </w:numPr>
        <w:spacing w:before="120" w:after="120"/>
        <w:ind w:left="851" w:hanging="426"/>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pPr>
        <w:pStyle w:val="73"/>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pPr>
        <w:pStyle w:val="73"/>
        <w:keepNext w:val="0"/>
        <w:widowControl/>
        <w:numPr>
          <w:ilvl w:val="0"/>
          <w:numId w:val="6"/>
        </w:numPr>
        <w:spacing w:before="120" w:after="120"/>
        <w:rPr>
          <w:rFonts w:ascii="Verdana" w:hAnsi="Verdana" w:cs="Arial"/>
          <w:szCs w:val="20"/>
        </w:rPr>
      </w:pPr>
      <w:r>
        <w:rPr>
          <w:rFonts w:ascii="Verdana" w:hAnsi="Verdana" w:cs="Arial"/>
          <w:b/>
          <w:szCs w:val="20"/>
        </w:rPr>
        <w:t>DA GARANTIA DE EXECUÇÃO</w:t>
      </w: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pPr>
        <w:pStyle w:val="64"/>
        <w:keepNext w:val="0"/>
        <w:numPr>
          <w:ilvl w:val="1"/>
          <w:numId w:val="6"/>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pPr>
        <w:pStyle w:val="73"/>
        <w:keepNext w:val="0"/>
        <w:ind w:firstLine="0"/>
        <w:rPr>
          <w:rFonts w:ascii="Verdana" w:hAnsi="Verdana" w:cs="Arial"/>
          <w:bCs/>
          <w:iCs/>
          <w:color w:val="000000"/>
          <w:szCs w:val="20"/>
        </w:rPr>
      </w:pPr>
    </w:p>
    <w:p>
      <w:pPr>
        <w:pStyle w:val="73"/>
        <w:keepNext w:val="0"/>
        <w:widowControl/>
        <w:numPr>
          <w:ilvl w:val="0"/>
          <w:numId w:val="9"/>
        </w:numPr>
        <w:spacing w:before="120" w:after="120"/>
        <w:rPr>
          <w:rFonts w:ascii="Verdana" w:hAnsi="Verdana" w:cs="Arial"/>
          <w:szCs w:val="20"/>
        </w:rPr>
      </w:pPr>
      <w:r>
        <w:rPr>
          <w:rFonts w:ascii="Verdana" w:hAnsi="Verdana" w:cs="Arial"/>
          <w:b/>
          <w:color w:val="000000"/>
          <w:szCs w:val="20"/>
        </w:rPr>
        <w:t>DO TERMO DE CONTRATO OU INSTRUMENTO EQUIVALENTE</w:t>
      </w:r>
    </w:p>
    <w:p>
      <w:pPr>
        <w:pStyle w:val="73"/>
        <w:keepNext w:val="0"/>
        <w:widowControl/>
        <w:numPr>
          <w:ilvl w:val="1"/>
          <w:numId w:val="9"/>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hAnsi="Verdana" w:eastAsia="Arial" w:cs="Arial"/>
          <w:szCs w:val="20"/>
        </w:rPr>
        <w:t xml:space="preserve"> </w:t>
      </w:r>
      <w:r>
        <w:rPr>
          <w:rFonts w:ascii="Verdana" w:hAnsi="Verdana" w:cs="Arial"/>
          <w:szCs w:val="20"/>
        </w:rPr>
        <w:t>será firmado o Termo de Contrato com a empresa licitante vencedora.</w:t>
      </w:r>
    </w:p>
    <w:p>
      <w:pPr>
        <w:keepNext w:val="0"/>
        <w:numPr>
          <w:ilvl w:val="1"/>
          <w:numId w:val="9"/>
        </w:numPr>
        <w:shd w:val="clear" w:color="auto" w:fill="auto"/>
        <w:tabs>
          <w:tab w:val="left" w:pos="1440"/>
          <w:tab w:val="clear" w:pos="708"/>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pPr>
        <w:keepNext w:val="0"/>
        <w:numPr>
          <w:ilvl w:val="2"/>
          <w:numId w:val="9"/>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pPr>
        <w:keepNext w:val="0"/>
        <w:numPr>
          <w:ilvl w:val="2"/>
          <w:numId w:val="9"/>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pPr>
        <w:keepNext w:val="0"/>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pPr>
        <w:keepNext w:val="0"/>
        <w:numPr>
          <w:ilvl w:val="1"/>
          <w:numId w:val="9"/>
        </w:numPr>
        <w:shd w:val="clear" w:color="auto" w:fill="auto"/>
        <w:tabs>
          <w:tab w:val="left" w:pos="1440"/>
          <w:tab w:val="clear" w:pos="708"/>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pPr>
        <w:keepNext w:val="0"/>
        <w:numPr>
          <w:ilvl w:val="2"/>
          <w:numId w:val="9"/>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pPr>
        <w:keepNext w:val="0"/>
        <w:numPr>
          <w:ilvl w:val="2"/>
          <w:numId w:val="9"/>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pPr>
        <w:keepNext w:val="0"/>
        <w:numPr>
          <w:ilvl w:val="2"/>
          <w:numId w:val="9"/>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pPr>
        <w:pStyle w:val="94"/>
        <w:numPr>
          <w:ilvl w:val="1"/>
          <w:numId w:val="9"/>
        </w:numPr>
        <w:spacing w:before="120" w:after="120"/>
        <w:ind w:left="851" w:hanging="425"/>
        <w:jc w:val="both"/>
        <w:rPr>
          <w:rFonts w:ascii="Verdana" w:hAnsi="Verdana" w:cs="Arial"/>
          <w:iCs/>
          <w:sz w:val="18"/>
          <w:szCs w:val="18"/>
        </w:rPr>
      </w:pPr>
      <w:r>
        <w:rPr>
          <w:rFonts w:ascii="Verdana" w:hAnsi="Verdana" w:eastAsia="Arial" w:cs="Arial"/>
          <w:color w:val="000000"/>
          <w:sz w:val="20"/>
          <w:szCs w:val="20"/>
        </w:rPr>
        <w:t>O prazo de vigência da contratação será superior ao de execução dos serviços, que no caso é de 06 (seis) meses.</w:t>
      </w:r>
    </w:p>
    <w:p>
      <w:pPr>
        <w:pStyle w:val="94"/>
        <w:numPr>
          <w:ilvl w:val="1"/>
          <w:numId w:val="9"/>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pPr>
        <w:pStyle w:val="94"/>
        <w:numPr>
          <w:ilvl w:val="2"/>
          <w:numId w:val="9"/>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pPr>
        <w:pStyle w:val="94"/>
        <w:numPr>
          <w:ilvl w:val="2"/>
          <w:numId w:val="9"/>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pPr>
        <w:pStyle w:val="94"/>
        <w:ind w:left="1134"/>
        <w:jc w:val="both"/>
        <w:rPr>
          <w:rFonts w:ascii="Verdana" w:hAnsi="Verdana" w:cs="Arial"/>
          <w:iCs/>
          <w:sz w:val="20"/>
          <w:szCs w:val="20"/>
        </w:rPr>
      </w:pPr>
    </w:p>
    <w:p>
      <w:pPr>
        <w:pStyle w:val="94"/>
        <w:numPr>
          <w:ilvl w:val="1"/>
          <w:numId w:val="9"/>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pPr>
        <w:pStyle w:val="94"/>
        <w:ind w:left="1134"/>
        <w:jc w:val="both"/>
        <w:rPr>
          <w:rFonts w:ascii="Verdana" w:hAnsi="Verdana" w:cs="Arial"/>
          <w:iCs/>
          <w:sz w:val="20"/>
          <w:szCs w:val="20"/>
        </w:rPr>
      </w:pPr>
    </w:p>
    <w:p>
      <w:pPr>
        <w:pStyle w:val="64"/>
        <w:keepNext w:val="0"/>
        <w:numPr>
          <w:ilvl w:val="1"/>
          <w:numId w:val="9"/>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hAnsi="Verdana" w:eastAsia="Arial" w:cs="Arial"/>
          <w:color w:val="000000"/>
          <w:sz w:val="20"/>
          <w:szCs w:val="20"/>
        </w:rPr>
        <w:t>.</w:t>
      </w:r>
    </w:p>
    <w:p>
      <w:pPr>
        <w:pStyle w:val="73"/>
        <w:keepNext w:val="0"/>
        <w:ind w:left="567" w:firstLine="0"/>
        <w:rPr>
          <w:rFonts w:ascii="Verdana" w:hAnsi="Verdana" w:cs="Arial"/>
          <w:szCs w:val="20"/>
        </w:rPr>
      </w:pPr>
    </w:p>
    <w:p>
      <w:pPr>
        <w:pStyle w:val="64"/>
        <w:keepNext w:val="0"/>
        <w:widowControl w:val="0"/>
        <w:numPr>
          <w:ilvl w:val="0"/>
          <w:numId w:val="10"/>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0"/>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0"/>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0"/>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0"/>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0"/>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0"/>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0"/>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0"/>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0"/>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0"/>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0"/>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0"/>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0"/>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73"/>
        <w:keepNext w:val="0"/>
        <w:numPr>
          <w:ilvl w:val="0"/>
          <w:numId w:val="10"/>
        </w:numPr>
        <w:rPr>
          <w:rFonts w:ascii="Verdana" w:hAnsi="Verdana" w:cs="Arial"/>
          <w:szCs w:val="20"/>
        </w:rPr>
      </w:pPr>
      <w:r>
        <w:rPr>
          <w:rFonts w:ascii="Verdana" w:hAnsi="Verdana" w:cs="Arial"/>
          <w:b/>
          <w:color w:val="000000"/>
          <w:szCs w:val="20"/>
        </w:rPr>
        <w:t>DO REAJUSTAMENTO EM SENTIDO GERAL</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pPr>
        <w:pStyle w:val="102"/>
        <w:numPr>
          <w:ilvl w:val="0"/>
          <w:numId w:val="10"/>
        </w:numPr>
        <w:rPr>
          <w:rFonts w:ascii="Verdana" w:hAnsi="Verdana" w:cs="Arial"/>
          <w:sz w:val="20"/>
          <w:szCs w:val="20"/>
        </w:rPr>
      </w:pPr>
      <w:r>
        <w:rPr>
          <w:rFonts w:ascii="Verdana" w:hAnsi="Verdana" w:cs="Arial"/>
          <w:sz w:val="20"/>
          <w:szCs w:val="20"/>
        </w:rPr>
        <w:t>DA ACEITAÇÃO DO OBJETO E DA FISCALIZAÇÃO</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pPr>
        <w:pStyle w:val="73"/>
        <w:keepNext w:val="0"/>
        <w:ind w:left="567" w:firstLine="0"/>
        <w:rPr>
          <w:rFonts w:ascii="Verdana" w:hAnsi="Verdana" w:cs="Arial"/>
          <w:szCs w:val="20"/>
        </w:rPr>
      </w:pPr>
    </w:p>
    <w:p>
      <w:pPr>
        <w:pStyle w:val="73"/>
        <w:keepNext w:val="0"/>
        <w:numPr>
          <w:ilvl w:val="0"/>
          <w:numId w:val="10"/>
        </w:numPr>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pPr>
        <w:pStyle w:val="73"/>
        <w:keepNext w:val="0"/>
        <w:ind w:left="567" w:firstLine="0"/>
        <w:rPr>
          <w:rFonts w:ascii="Verdana" w:hAnsi="Verdana" w:cs="Arial"/>
          <w:szCs w:val="20"/>
        </w:rPr>
      </w:pPr>
    </w:p>
    <w:p>
      <w:pPr>
        <w:pStyle w:val="73"/>
        <w:keepNext w:val="0"/>
        <w:numPr>
          <w:ilvl w:val="0"/>
          <w:numId w:val="10"/>
        </w:numPr>
        <w:rPr>
          <w:rFonts w:ascii="Verdana" w:hAnsi="Verdana" w:cs="Arial"/>
          <w:szCs w:val="20"/>
        </w:rPr>
      </w:pPr>
      <w:r>
        <w:rPr>
          <w:rFonts w:ascii="Verdana" w:hAnsi="Verdana" w:cs="Arial"/>
          <w:b/>
          <w:color w:val="000000"/>
          <w:szCs w:val="20"/>
        </w:rPr>
        <w:t>DO PAGAMENTO</w:t>
      </w:r>
    </w:p>
    <w:p>
      <w:pPr>
        <w:pStyle w:val="73"/>
        <w:keepNext w:val="0"/>
        <w:widowControl/>
        <w:numPr>
          <w:ilvl w:val="1"/>
          <w:numId w:val="10"/>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hAnsi="Verdana" w:eastAsia="Arial" w:cs="Arial"/>
          <w:color w:val="000000"/>
          <w:szCs w:val="20"/>
        </w:rPr>
        <w:t xml:space="preserve"> acerca</w:t>
      </w:r>
      <w:r>
        <w:rPr>
          <w:rFonts w:ascii="Verdana" w:hAnsi="Verdana" w:cs="Arial"/>
          <w:color w:val="000000"/>
          <w:szCs w:val="20"/>
        </w:rPr>
        <w:t xml:space="preserve"> do pagamento são as estabelecidas no Termo de Referência, anexo a este Edital.</w:t>
      </w:r>
    </w:p>
    <w:p>
      <w:pPr>
        <w:pStyle w:val="73"/>
        <w:keepNext w:val="0"/>
        <w:widowControl/>
        <w:numPr>
          <w:ilvl w:val="1"/>
          <w:numId w:val="10"/>
        </w:numPr>
        <w:shd w:val="clear" w:color="auto" w:fill="auto"/>
        <w:spacing w:before="120" w:after="120"/>
        <w:ind w:left="851" w:hanging="426"/>
        <w:textAlignment w:val="auto"/>
        <w:rPr>
          <w:rFonts w:ascii="Verdana" w:hAnsi="Verdana" w:cs="Arial"/>
          <w:szCs w:val="20"/>
        </w:rPr>
      </w:pPr>
      <w:r>
        <w:rPr>
          <w:rStyle w:val="61"/>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pPr>
        <w:pStyle w:val="73"/>
        <w:keepNext w:val="0"/>
        <w:ind w:left="660" w:firstLine="0"/>
        <w:rPr>
          <w:rFonts w:ascii="Verdana" w:hAnsi="Verdana" w:cs="Arial"/>
          <w:szCs w:val="20"/>
        </w:rPr>
      </w:pPr>
    </w:p>
    <w:p>
      <w:pPr>
        <w:pStyle w:val="73"/>
        <w:keepNext w:val="0"/>
        <w:numPr>
          <w:ilvl w:val="0"/>
          <w:numId w:val="10"/>
        </w:numPr>
        <w:rPr>
          <w:rFonts w:ascii="Verdana" w:hAnsi="Verdana" w:cs="Arial"/>
          <w:szCs w:val="20"/>
        </w:rPr>
      </w:pPr>
      <w:r>
        <w:rPr>
          <w:rFonts w:ascii="Verdana" w:hAnsi="Verdana" w:cs="Arial"/>
          <w:b/>
          <w:color w:val="000000"/>
          <w:szCs w:val="20"/>
        </w:rPr>
        <w:t>DAS SANÇÕES ADMINISTRATIVAS DURANTE A LICITAÇÃO.</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pPr>
        <w:pStyle w:val="73"/>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pPr>
        <w:pStyle w:val="64"/>
        <w:numPr>
          <w:ilvl w:val="2"/>
          <w:numId w:val="10"/>
        </w:numPr>
        <w:ind w:left="1134" w:hanging="567"/>
        <w:rPr>
          <w:rFonts w:ascii="Verdana" w:hAnsi="Verdana" w:eastAsia="WenQuanYi Micro Hei" w:cs="Arial"/>
          <w:color w:val="auto"/>
          <w:sz w:val="18"/>
          <w:szCs w:val="18"/>
          <w:lang w:eastAsia="zh-CN" w:bidi="hi-IN"/>
        </w:rPr>
      </w:pPr>
      <w:r>
        <w:rPr>
          <w:rFonts w:ascii="Verdana" w:hAnsi="Verdana" w:eastAsia="WenQuanYi Micro Hei" w:cs="Arial"/>
          <w:color w:val="auto"/>
          <w:sz w:val="18"/>
          <w:szCs w:val="18"/>
          <w:lang w:eastAsia="zh-CN" w:bidi="hi-IN"/>
        </w:rPr>
        <w:t>não assinar a ata de registro de preços, quando cabível;</w:t>
      </w:r>
    </w:p>
    <w:p>
      <w:pPr>
        <w:pStyle w:val="73"/>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hAnsi="Verdana" w:eastAsia="Times New Roman" w:cs="Arial"/>
          <w:sz w:val="18"/>
          <w:szCs w:val="18"/>
          <w:shd w:val="clear" w:color="auto" w:fill="FFFFFF"/>
        </w:rPr>
        <w:t>;</w:t>
      </w:r>
    </w:p>
    <w:p>
      <w:pPr>
        <w:pStyle w:val="73"/>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hAnsi="Verdana" w:eastAsia="Times New Roman" w:cs="Arial"/>
          <w:sz w:val="18"/>
          <w:szCs w:val="18"/>
          <w:shd w:val="clear" w:color="auto" w:fill="FFFFFF"/>
        </w:rPr>
        <w:t>;</w:t>
      </w:r>
    </w:p>
    <w:p>
      <w:pPr>
        <w:pStyle w:val="73"/>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pPr>
        <w:pStyle w:val="73"/>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hAnsi="Verdana" w:eastAsia="Times New Roman" w:cs="Arial"/>
          <w:sz w:val="18"/>
          <w:szCs w:val="18"/>
          <w:shd w:val="clear" w:color="auto" w:fill="FFFFFF"/>
        </w:rPr>
        <w:t>;</w:t>
      </w:r>
    </w:p>
    <w:p>
      <w:pPr>
        <w:pStyle w:val="73"/>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pPr>
        <w:pStyle w:val="73"/>
        <w:keepNext w:val="0"/>
        <w:widowControl/>
        <w:numPr>
          <w:ilvl w:val="2"/>
          <w:numId w:val="10"/>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pPr>
        <w:pStyle w:val="73"/>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pPr>
        <w:pStyle w:val="73"/>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pPr>
        <w:pStyle w:val="73"/>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pPr>
        <w:pStyle w:val="73"/>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pPr>
        <w:pStyle w:val="73"/>
        <w:keepNext w:val="0"/>
        <w:widowControl/>
        <w:numPr>
          <w:ilvl w:val="2"/>
          <w:numId w:val="10"/>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pPr>
        <w:keepNext w:val="0"/>
        <w:numPr>
          <w:ilvl w:val="1"/>
          <w:numId w:val="10"/>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keepNext w:val="0"/>
        <w:numPr>
          <w:ilvl w:val="1"/>
          <w:numId w:val="10"/>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keepNext w:val="0"/>
        <w:numPr>
          <w:ilvl w:val="1"/>
          <w:numId w:val="10"/>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keepNext w:val="0"/>
        <w:numPr>
          <w:ilvl w:val="1"/>
          <w:numId w:val="10"/>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pPr>
        <w:pStyle w:val="73"/>
        <w:keepNext w:val="0"/>
        <w:widowControl/>
        <w:spacing w:before="120" w:after="120"/>
        <w:ind w:left="660" w:firstLine="0"/>
        <w:rPr>
          <w:rFonts w:ascii="Verdana" w:hAnsi="Verdana" w:cs="Arial"/>
          <w:szCs w:val="20"/>
        </w:rPr>
      </w:pPr>
    </w:p>
    <w:p>
      <w:pPr>
        <w:pStyle w:val="73"/>
        <w:keepNext w:val="0"/>
        <w:widowControl/>
        <w:numPr>
          <w:ilvl w:val="0"/>
          <w:numId w:val="10"/>
        </w:numPr>
        <w:spacing w:before="120" w:after="120"/>
        <w:ind w:left="567" w:hanging="567"/>
        <w:rPr>
          <w:rFonts w:ascii="Verdana" w:hAnsi="Verdana" w:cs="Arial"/>
          <w:szCs w:val="20"/>
        </w:rPr>
      </w:pPr>
      <w:r>
        <w:rPr>
          <w:rFonts w:ascii="Verdana" w:hAnsi="Verdana" w:cs="Arial"/>
          <w:b/>
          <w:color w:val="000000"/>
          <w:szCs w:val="20"/>
        </w:rPr>
        <w:t xml:space="preserve"> DA IMPUGNAÇÃO AO EDITAL E DO PEDIDO DE ESCLARECIMENTO</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r>
        <w:fldChar w:fldCharType="begin"/>
      </w:r>
      <w:r>
        <w:instrText xml:space="preserve"> HYPERLINK "mailto:cpl@id.uff.br" </w:instrText>
      </w:r>
      <w:r>
        <w:fldChar w:fldCharType="separate"/>
      </w:r>
      <w:r>
        <w:rPr>
          <w:rStyle w:val="10"/>
          <w:rFonts w:ascii="Verdana" w:hAnsi="Verdana" w:eastAsia="Times New Roman" w:cs="Arial"/>
          <w:szCs w:val="20"/>
        </w:rPr>
        <w:t>cpl@id.uff.br</w:t>
      </w:r>
      <w:r>
        <w:rPr>
          <w:rStyle w:val="10"/>
          <w:rFonts w:ascii="Verdana" w:hAnsi="Verdana" w:eastAsia="Times New Roman" w:cs="Arial"/>
          <w:szCs w:val="20"/>
        </w:rPr>
        <w:fldChar w:fldCharType="end"/>
      </w:r>
      <w:r>
        <w:rPr>
          <w:rFonts w:ascii="Verdana" w:hAnsi="Verdana" w:eastAsia="Times New Roman" w:cs="Arial"/>
          <w:szCs w:val="20"/>
        </w:rPr>
        <w:t>.</w:t>
      </w:r>
    </w:p>
    <w:p>
      <w:pPr>
        <w:pStyle w:val="64"/>
        <w:keepNext w:val="0"/>
        <w:numPr>
          <w:ilvl w:val="1"/>
          <w:numId w:val="10"/>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pPr>
        <w:pStyle w:val="64"/>
        <w:keepNext w:val="0"/>
        <w:numPr>
          <w:ilvl w:val="2"/>
          <w:numId w:val="10"/>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pPr>
        <w:pStyle w:val="73"/>
        <w:keepNext w:val="0"/>
        <w:widowControl/>
        <w:spacing w:before="120" w:after="120"/>
        <w:ind w:left="425" w:firstLine="0"/>
        <w:rPr>
          <w:rFonts w:ascii="Verdana" w:hAnsi="Verdana" w:cs="Arial"/>
          <w:b/>
          <w:szCs w:val="20"/>
        </w:rPr>
      </w:pPr>
    </w:p>
    <w:p>
      <w:pPr>
        <w:pStyle w:val="73"/>
        <w:keepNext w:val="0"/>
        <w:widowControl/>
        <w:numPr>
          <w:ilvl w:val="0"/>
          <w:numId w:val="10"/>
        </w:numPr>
        <w:spacing w:before="120" w:after="120"/>
        <w:ind w:left="426" w:hanging="426"/>
        <w:rPr>
          <w:rFonts w:ascii="Verdana" w:hAnsi="Verdana" w:cs="Arial"/>
          <w:b/>
          <w:szCs w:val="20"/>
        </w:rPr>
      </w:pPr>
      <w:r>
        <w:rPr>
          <w:rFonts w:ascii="Verdana" w:hAnsi="Verdana" w:cs="Arial"/>
          <w:b/>
          <w:color w:val="000000"/>
          <w:szCs w:val="20"/>
        </w:rPr>
        <w:t>DAS DISPOSIÇÕES GERAIS</w:t>
      </w:r>
    </w:p>
    <w:p>
      <w:pPr>
        <w:pStyle w:val="94"/>
        <w:numPr>
          <w:ilvl w:val="1"/>
          <w:numId w:val="10"/>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pPr>
        <w:keepNext w:val="0"/>
        <w:numPr>
          <w:ilvl w:val="1"/>
          <w:numId w:val="10"/>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pPr>
        <w:pStyle w:val="73"/>
        <w:keepNext w:val="0"/>
        <w:widowControl/>
        <w:numPr>
          <w:ilvl w:val="1"/>
          <w:numId w:val="10"/>
        </w:numPr>
        <w:spacing w:before="120" w:after="120"/>
        <w:ind w:left="851" w:hanging="425"/>
        <w:rPr>
          <w:rFonts w:ascii="Verdana" w:hAnsi="Verdana" w:cs="Arial"/>
          <w:szCs w:val="20"/>
        </w:rPr>
      </w:pPr>
      <w:bookmarkStart w:id="9" w:name="_Hlk109901663"/>
      <w:r>
        <w:rPr>
          <w:rFonts w:ascii="Verdana" w:hAnsi="Verdana"/>
          <w:color w:val="000000"/>
          <w:shd w:val="clear" w:color="auto" w:fill="FFFFFF"/>
        </w:rPr>
        <w:t xml:space="preserve">O Edital está disponibilizado, na íntegra, no endereço eletrônico </w:t>
      </w:r>
      <w:r>
        <w:rPr>
          <w:rStyle w:val="10"/>
          <w:rFonts w:ascii="Verdana" w:hAnsi="Verdana"/>
        </w:rPr>
        <w:t>www.gov.br/compras</w:t>
      </w:r>
      <w:r>
        <w:rPr>
          <w:rFonts w:ascii="Verdana" w:hAnsi="Verdana"/>
          <w:color w:val="00000A"/>
          <w:shd w:val="clear" w:color="auto" w:fill="FFFFFF"/>
        </w:rPr>
        <w:t> ou </w:t>
      </w:r>
      <w:r>
        <w:fldChar w:fldCharType="begin"/>
      </w:r>
      <w:r>
        <w:instrText xml:space="preserve"> HYPERLINK "http://www.uff.br/licitacoes" \t "_blank" </w:instrText>
      </w:r>
      <w:r>
        <w:fldChar w:fldCharType="separate"/>
      </w:r>
      <w:r>
        <w:rPr>
          <w:rStyle w:val="10"/>
          <w:rFonts w:ascii="Verdana" w:hAnsi="Verdana"/>
          <w:shd w:val="clear" w:color="auto" w:fill="FFFFFF"/>
        </w:rPr>
        <w:t>www.uff.br/licitacoes</w:t>
      </w:r>
      <w:r>
        <w:rPr>
          <w:rStyle w:val="10"/>
          <w:rFonts w:ascii="Verdana" w:hAnsi="Verdana"/>
          <w:shd w:val="clear" w:color="auto" w:fill="FFFFFF"/>
        </w:rPr>
        <w:fldChar w:fldCharType="end"/>
      </w:r>
      <w:r>
        <w:rPr>
          <w:rFonts w:ascii="Verdana" w:hAnsi="Verdana"/>
          <w:color w:val="00000A"/>
          <w:shd w:val="clear" w:color="auto" w:fill="FFFFFF"/>
        </w:rPr>
        <w:t>.</w:t>
      </w:r>
      <w:r>
        <w:rPr>
          <w:rFonts w:ascii="Verdana" w:hAnsi="Verdana"/>
          <w:color w:val="000000"/>
          <w:shd w:val="clear" w:color="auto" w:fill="FFFFFF"/>
        </w:rPr>
        <w:t> Os autos do processo administrativo são digitais e podem ser consultados, por qualquer interessado, por meio do clique no nº do processo, constantes também do endereço eletrônico &lt;</w:t>
      </w:r>
      <w:r>
        <w:fldChar w:fldCharType="begin"/>
      </w:r>
      <w:r>
        <w:instrText xml:space="preserve"> HYPERLINK "http://www.uff.br/licitacoes" \t "_blank" </w:instrText>
      </w:r>
      <w:r>
        <w:fldChar w:fldCharType="separate"/>
      </w:r>
      <w:r>
        <w:rPr>
          <w:rStyle w:val="10"/>
          <w:rFonts w:ascii="Verdana" w:hAnsi="Verdana"/>
          <w:shd w:val="clear" w:color="auto" w:fill="FFFFFF"/>
        </w:rPr>
        <w:t>www.uff.br/licitacoes</w:t>
      </w:r>
      <w:r>
        <w:rPr>
          <w:rStyle w:val="10"/>
          <w:rFonts w:ascii="Verdana" w:hAnsi="Verdana"/>
          <w:shd w:val="clear" w:color="auto" w:fill="FFFFFF"/>
        </w:rPr>
        <w:fldChar w:fldCharType="end"/>
      </w:r>
      <w:r>
        <w:rPr>
          <w:rFonts w:ascii="Verdana" w:hAnsi="Verdana"/>
          <w:color w:val="00000A"/>
          <w:shd w:val="clear" w:color="auto" w:fill="FFFFFF"/>
        </w:rPr>
        <w:t>&gt;.</w:t>
      </w:r>
      <w:bookmarkEnd w:id="9"/>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pPr>
        <w:pStyle w:val="73"/>
        <w:keepNext w:val="0"/>
        <w:numPr>
          <w:ilvl w:val="2"/>
          <w:numId w:val="10"/>
        </w:numPr>
        <w:ind w:left="1134" w:hanging="567"/>
        <w:rPr>
          <w:rFonts w:ascii="Verdana" w:hAnsi="Verdana" w:cs="Arial"/>
          <w:sz w:val="18"/>
          <w:szCs w:val="18"/>
        </w:rPr>
      </w:pPr>
      <w:r>
        <w:rPr>
          <w:rFonts w:ascii="Verdana" w:hAnsi="Verdana" w:cs="Arial"/>
          <w:color w:val="000000"/>
          <w:sz w:val="18"/>
          <w:szCs w:val="18"/>
        </w:rPr>
        <w:t>Anexo I – Termo de Referência;</w:t>
      </w:r>
    </w:p>
    <w:p>
      <w:pPr>
        <w:pStyle w:val="73"/>
        <w:keepNext w:val="0"/>
        <w:numPr>
          <w:ilvl w:val="2"/>
          <w:numId w:val="10"/>
        </w:numPr>
        <w:ind w:left="1134" w:hanging="567"/>
        <w:rPr>
          <w:rFonts w:ascii="Verdana" w:hAnsi="Verdana" w:cs="Arial"/>
          <w:sz w:val="18"/>
          <w:szCs w:val="18"/>
        </w:rPr>
      </w:pPr>
      <w:r>
        <w:rPr>
          <w:rFonts w:ascii="Verdana" w:hAnsi="Verdana" w:cs="Arial"/>
          <w:color w:val="000000"/>
          <w:sz w:val="18"/>
          <w:szCs w:val="18"/>
        </w:rPr>
        <w:t xml:space="preserve">Anexo II-A – Planilha Resumo do Orçamento; </w:t>
      </w:r>
    </w:p>
    <w:p>
      <w:pPr>
        <w:pStyle w:val="73"/>
        <w:keepNext w:val="0"/>
        <w:numPr>
          <w:ilvl w:val="2"/>
          <w:numId w:val="10"/>
        </w:numPr>
        <w:ind w:left="1134" w:hanging="567"/>
        <w:rPr>
          <w:rFonts w:ascii="Verdana" w:hAnsi="Verdana" w:cs="Arial"/>
          <w:sz w:val="18"/>
          <w:szCs w:val="18"/>
        </w:rPr>
      </w:pPr>
      <w:r>
        <w:rPr>
          <w:rFonts w:ascii="Verdana" w:hAnsi="Verdana" w:cs="Arial"/>
          <w:color w:val="000000"/>
          <w:sz w:val="18"/>
          <w:szCs w:val="18"/>
        </w:rPr>
        <w:t>Anexo II-B - Planilha de Orçamento;</w:t>
      </w:r>
    </w:p>
    <w:p>
      <w:pPr>
        <w:pStyle w:val="73"/>
        <w:keepNext w:val="0"/>
        <w:numPr>
          <w:ilvl w:val="2"/>
          <w:numId w:val="10"/>
        </w:numPr>
        <w:ind w:left="1134" w:hanging="567"/>
        <w:rPr>
          <w:rFonts w:ascii="Verdana" w:hAnsi="Verdana" w:cs="Arial"/>
          <w:sz w:val="18"/>
          <w:szCs w:val="18"/>
        </w:rPr>
      </w:pPr>
      <w:r>
        <w:rPr>
          <w:rFonts w:ascii="Verdana" w:hAnsi="Verdana" w:cs="Arial"/>
          <w:color w:val="000000"/>
          <w:sz w:val="18"/>
          <w:szCs w:val="18"/>
        </w:rPr>
        <w:t>Anexo II-C – Cronograma Físico e Financeiro;</w:t>
      </w:r>
    </w:p>
    <w:p>
      <w:pPr>
        <w:pStyle w:val="73"/>
        <w:keepNext w:val="0"/>
        <w:numPr>
          <w:ilvl w:val="2"/>
          <w:numId w:val="10"/>
        </w:numPr>
        <w:ind w:left="1134" w:hanging="567"/>
        <w:rPr>
          <w:rFonts w:ascii="Verdana" w:hAnsi="Verdana" w:cs="Arial"/>
          <w:sz w:val="18"/>
          <w:szCs w:val="18"/>
        </w:rPr>
      </w:pPr>
      <w:r>
        <w:rPr>
          <w:rFonts w:ascii="Verdana" w:hAnsi="Verdana" w:cs="Arial"/>
          <w:color w:val="000000"/>
          <w:sz w:val="18"/>
          <w:szCs w:val="18"/>
        </w:rPr>
        <w:t>Anexo III - Modelo de planilha de Composição de BDI;</w:t>
      </w:r>
    </w:p>
    <w:p>
      <w:pPr>
        <w:pStyle w:val="73"/>
        <w:keepNext w:val="0"/>
        <w:numPr>
          <w:ilvl w:val="2"/>
          <w:numId w:val="10"/>
        </w:numPr>
        <w:ind w:left="1134" w:hanging="567"/>
        <w:rPr>
          <w:rFonts w:ascii="Verdana" w:hAnsi="Verdana" w:cs="Arial"/>
          <w:sz w:val="18"/>
          <w:szCs w:val="18"/>
        </w:rPr>
      </w:pPr>
      <w:r>
        <w:rPr>
          <w:rFonts w:ascii="Verdana" w:hAnsi="Verdana" w:cs="Arial"/>
          <w:color w:val="000000"/>
          <w:sz w:val="18"/>
          <w:szCs w:val="18"/>
        </w:rPr>
        <w:t>Anexo IV – Modelo de planilha de Composição de Encargos Sociais;</w:t>
      </w:r>
    </w:p>
    <w:p>
      <w:pPr>
        <w:pStyle w:val="73"/>
        <w:keepNext w:val="0"/>
        <w:numPr>
          <w:ilvl w:val="2"/>
          <w:numId w:val="10"/>
        </w:numPr>
        <w:ind w:left="1134" w:hanging="567"/>
        <w:rPr>
          <w:rFonts w:ascii="Verdana" w:hAnsi="Verdana" w:cs="Arial"/>
          <w:sz w:val="18"/>
          <w:szCs w:val="18"/>
        </w:rPr>
      </w:pPr>
      <w:r>
        <w:rPr>
          <w:rFonts w:ascii="Verdana" w:hAnsi="Verdana" w:cs="Arial"/>
          <w:color w:val="000000"/>
          <w:sz w:val="18"/>
          <w:szCs w:val="18"/>
        </w:rPr>
        <w:t>Anexo V – Modelo da Carta de Apresentação da Proposta;</w:t>
      </w:r>
    </w:p>
    <w:p>
      <w:pPr>
        <w:pStyle w:val="73"/>
        <w:keepNext w:val="0"/>
        <w:numPr>
          <w:ilvl w:val="2"/>
          <w:numId w:val="10"/>
        </w:numPr>
        <w:ind w:left="1134" w:hanging="567"/>
        <w:rPr>
          <w:rFonts w:ascii="Verdana" w:hAnsi="Verdana" w:cs="Arial"/>
          <w:sz w:val="18"/>
          <w:szCs w:val="18"/>
        </w:rPr>
      </w:pPr>
      <w:r>
        <w:rPr>
          <w:rFonts w:ascii="Verdana" w:hAnsi="Verdana" w:cs="Arial"/>
          <w:color w:val="000000"/>
          <w:sz w:val="18"/>
          <w:szCs w:val="18"/>
        </w:rPr>
        <w:t>Anexo VI – Modelo de Declaração de Vistoria;</w:t>
      </w:r>
    </w:p>
    <w:p>
      <w:pPr>
        <w:pStyle w:val="73"/>
        <w:keepNext w:val="0"/>
        <w:numPr>
          <w:ilvl w:val="2"/>
          <w:numId w:val="10"/>
        </w:numPr>
        <w:ind w:left="1134" w:hanging="567"/>
        <w:rPr>
          <w:rFonts w:ascii="Verdana" w:hAnsi="Verdana" w:cs="Arial"/>
          <w:sz w:val="18"/>
          <w:szCs w:val="18"/>
        </w:rPr>
      </w:pPr>
      <w:r>
        <w:rPr>
          <w:rFonts w:ascii="Verdana" w:hAnsi="Verdana" w:cs="Arial"/>
          <w:color w:val="000000"/>
          <w:sz w:val="18"/>
          <w:szCs w:val="18"/>
        </w:rPr>
        <w:t>Anexo VII – Modelo de Declaração de não realização de Vistoria;</w:t>
      </w:r>
    </w:p>
    <w:p>
      <w:pPr>
        <w:pStyle w:val="73"/>
        <w:keepNext w:val="0"/>
        <w:numPr>
          <w:ilvl w:val="2"/>
          <w:numId w:val="10"/>
        </w:numPr>
        <w:ind w:left="1134" w:hanging="567"/>
        <w:rPr>
          <w:rFonts w:ascii="Verdana" w:hAnsi="Verdana" w:cs="Arial"/>
          <w:sz w:val="18"/>
          <w:szCs w:val="18"/>
        </w:rPr>
      </w:pPr>
      <w:r>
        <w:rPr>
          <w:rFonts w:ascii="Verdana" w:hAnsi="Verdana" w:cs="Arial"/>
          <w:color w:val="000000"/>
          <w:sz w:val="18"/>
          <w:szCs w:val="18"/>
        </w:rPr>
        <w:t>Anexo VIII - Modelo de Declaração de Responsabilidade;</w:t>
      </w:r>
    </w:p>
    <w:p>
      <w:pPr>
        <w:pStyle w:val="73"/>
        <w:keepNext w:val="0"/>
        <w:numPr>
          <w:ilvl w:val="2"/>
          <w:numId w:val="10"/>
        </w:numPr>
        <w:ind w:left="1134" w:hanging="567"/>
        <w:rPr>
          <w:rFonts w:ascii="Verdana" w:hAnsi="Verdana" w:cs="Arial"/>
          <w:sz w:val="18"/>
          <w:szCs w:val="18"/>
        </w:rPr>
      </w:pPr>
      <w:r>
        <w:rPr>
          <w:rFonts w:ascii="Verdana" w:hAnsi="Verdana" w:cs="Arial"/>
          <w:color w:val="000000"/>
          <w:sz w:val="18"/>
          <w:szCs w:val="18"/>
        </w:rPr>
        <w:t>Anexo IX - Minuta de Termo de Contrato; e</w:t>
      </w:r>
    </w:p>
    <w:p>
      <w:pPr>
        <w:pStyle w:val="73"/>
        <w:keepNext w:val="0"/>
        <w:numPr>
          <w:ilvl w:val="2"/>
          <w:numId w:val="10"/>
        </w:numPr>
        <w:ind w:left="1134" w:hanging="567"/>
        <w:rPr>
          <w:rFonts w:ascii="Verdana" w:hAnsi="Verdana" w:cs="Arial"/>
          <w:sz w:val="18"/>
          <w:szCs w:val="18"/>
        </w:rPr>
      </w:pPr>
      <w:r>
        <w:rPr>
          <w:rFonts w:ascii="Verdana" w:hAnsi="Verdana" w:cs="Arial"/>
          <w:color w:val="000000"/>
          <w:sz w:val="18"/>
          <w:szCs w:val="18"/>
        </w:rPr>
        <w:t>Anexo X – Anteprojeto.</w:t>
      </w:r>
    </w:p>
    <w:p>
      <w:pPr>
        <w:pStyle w:val="73"/>
        <w:keepNext w:val="0"/>
        <w:jc w:val="center"/>
        <w:rPr>
          <w:rFonts w:ascii="Verdana" w:hAnsi="Verdana" w:cs="Arial"/>
          <w:color w:val="000000"/>
          <w:sz w:val="18"/>
          <w:szCs w:val="18"/>
        </w:rPr>
      </w:pPr>
    </w:p>
    <w:p>
      <w:pPr>
        <w:pStyle w:val="73"/>
        <w:keepNext w:val="0"/>
        <w:jc w:val="center"/>
        <w:rPr>
          <w:rFonts w:ascii="Verdana" w:hAnsi="Verdana" w:cs="Arial"/>
          <w:sz w:val="18"/>
          <w:szCs w:val="18"/>
        </w:rPr>
      </w:pPr>
      <w:r>
        <w:rPr>
          <w:rFonts w:ascii="Verdana" w:hAnsi="Verdana" w:cs="Arial"/>
          <w:color w:val="000000"/>
          <w:sz w:val="18"/>
          <w:szCs w:val="18"/>
        </w:rPr>
        <w:t>Niterói, 24 de agosto de 2022.</w:t>
      </w:r>
    </w:p>
    <w:p>
      <w:pPr>
        <w:pStyle w:val="73"/>
        <w:keepNext w:val="0"/>
        <w:rPr>
          <w:rFonts w:ascii="Verdana" w:hAnsi="Verdana" w:cs="Arial"/>
          <w:sz w:val="18"/>
          <w:szCs w:val="18"/>
        </w:rPr>
      </w:pPr>
    </w:p>
    <w:p>
      <w:pPr>
        <w:jc w:val="center"/>
      </w:pPr>
      <w:r>
        <w:rPr>
          <w:rFonts w:ascii="Verdana" w:hAnsi="Verdana" w:cs="Arial"/>
          <w:szCs w:val="20"/>
        </w:rPr>
        <w:t>______________________</w:t>
      </w:r>
    </w:p>
    <w:p>
      <w:pPr>
        <w:jc w:val="center"/>
        <w:rPr>
          <w:rFonts w:ascii="Verdana" w:hAnsi="Verdana" w:cs="Arial"/>
          <w:sz w:val="16"/>
          <w:szCs w:val="16"/>
        </w:rPr>
      </w:pPr>
      <w:r>
        <w:rPr>
          <w:rFonts w:ascii="Verdana" w:hAnsi="Verdana" w:cs="Arial"/>
          <w:sz w:val="16"/>
          <w:szCs w:val="16"/>
        </w:rPr>
        <w:t>Coordena</w:t>
      </w:r>
      <w:r>
        <w:rPr>
          <w:rFonts w:hint="default" w:ascii="Verdana" w:hAnsi="Verdana" w:cs="Arial"/>
          <w:sz w:val="16"/>
          <w:szCs w:val="16"/>
          <w:lang w:val="pt-BR"/>
        </w:rPr>
        <w:t>ção</w:t>
      </w:r>
      <w:r>
        <w:rPr>
          <w:rFonts w:ascii="Verdana" w:hAnsi="Verdana" w:cs="Arial"/>
          <w:sz w:val="16"/>
          <w:szCs w:val="16"/>
        </w:rPr>
        <w:t xml:space="preserve"> de Licitação/CLi</w:t>
      </w:r>
    </w:p>
    <w:p>
      <w:pPr>
        <w:jc w:val="center"/>
        <w:rPr>
          <w:rFonts w:ascii="Verdana" w:hAnsi="Verdana" w:cs="Arial"/>
          <w:sz w:val="16"/>
          <w:szCs w:val="16"/>
        </w:rPr>
      </w:pPr>
      <w:r>
        <w:rPr>
          <w:rFonts w:ascii="Verdana" w:hAnsi="Verdana" w:cs="Arial"/>
          <w:sz w:val="16"/>
          <w:szCs w:val="16"/>
        </w:rPr>
        <w:t>Pró-Reitoria de Administração/PROAD</w:t>
      </w:r>
    </w:p>
    <w:p>
      <w:pPr>
        <w:jc w:val="center"/>
        <w:rPr>
          <w:rFonts w:ascii="Verdana" w:hAnsi="Verdana" w:cs="Arial"/>
          <w:sz w:val="16"/>
          <w:szCs w:val="16"/>
        </w:rPr>
      </w:pPr>
      <w:r>
        <w:rPr>
          <w:rFonts w:ascii="Verdana" w:hAnsi="Verdana" w:cs="Arial"/>
          <w:sz w:val="16"/>
          <w:szCs w:val="16"/>
        </w:rPr>
        <w:t>Universidade Federal Fluminense</w:t>
      </w:r>
    </w:p>
    <w:p>
      <w:pPr>
        <w:jc w:val="center"/>
        <w:rPr>
          <w:rFonts w:eastAsia="WenQuanYi Micro Hei" w:cs="Lohit Hindi"/>
          <w:color w:val="auto"/>
          <w:sz w:val="16"/>
          <w:szCs w:val="16"/>
          <w:lang w:eastAsia="zh-CN" w:bidi="hi-IN"/>
        </w:rPr>
      </w:pPr>
    </w:p>
    <w:sectPr>
      <w:headerReference r:id="rId3" w:type="default"/>
      <w:footerReference r:id="rId4" w:type="default"/>
      <w:pgSz w:w="11906" w:h="16838"/>
      <w:pgMar w:top="958" w:right="1134" w:bottom="1276" w:left="1531" w:header="425" w:footer="312" w:gutter="0"/>
      <w:cols w:space="720" w:num="1"/>
      <w:formProt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Ecofont_Spranq_eco_Sans">
    <w:altName w:val="Times New Roman"/>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Liberation Sans">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enQuanYi Micro Hei">
    <w:altName w:val="SimSun"/>
    <w:panose1 w:val="00000000000000000000"/>
    <w:charset w:val="86"/>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Mangal">
    <w:altName w:val="Segoe Print"/>
    <w:panose1 w:val="00000400000000000000"/>
    <w:charset w:val="00"/>
    <w:family w:val="roman"/>
    <w:pitch w:val="default"/>
    <w:sig w:usb0="00000000" w:usb1="00000000" w:usb2="00000000" w:usb3="00000000" w:csb0="00000001" w:csb1="00000000"/>
  </w:font>
  <w:font w:name="Liberation Serif">
    <w:altName w:val="Times New Roman"/>
    <w:panose1 w:val="00000000000000000000"/>
    <w:charset w:val="00"/>
    <w:family w:val="roman"/>
    <w:pitch w:val="default"/>
    <w:sig w:usb0="00000000" w:usb1="00000000" w:usb2="00000000" w:usb3="00000000" w:csb0="00000000"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Segoe UI">
    <w:panose1 w:val="020B0502040204020203"/>
    <w:charset w:val="00"/>
    <w:family w:val="swiss"/>
    <w:pitch w:val="default"/>
    <w:sig w:usb0="E4002EFF" w:usb1="C000E47F" w:usb2="00000009" w:usb3="00000000" w:csb0="200001FF" w:csb1="00000000"/>
  </w:font>
  <w:font w:name="Verdana">
    <w:panose1 w:val="020B0604030504040204"/>
    <w:charset w:val="00"/>
    <w:family w:val="swiss"/>
    <w:pitch w:val="default"/>
    <w:sig w:usb0="A00006FF" w:usb1="4000205B" w:usb2="00000010" w:usb3="00000000" w:csb0="2000019F" w:csb1="00000000"/>
  </w:font>
  <w:font w:name="Zurich BT">
    <w:altName w:val="Segoe Print"/>
    <w:panose1 w:val="00000000000000000000"/>
    <w:charset w:val="00"/>
    <w:family w:val="roman"/>
    <w:pitch w:val="default"/>
    <w:sig w:usb0="00000000" w:usb1="00000000" w:usb2="00000000" w:usb3="00000000" w:csb0="00000000" w:csb1="00000000"/>
  </w:font>
  <w:font w:name="TTE4E87780t00">
    <w:altName w:val="Calibri"/>
    <w:panose1 w:val="00000000000000000000"/>
    <w:charset w:val="00"/>
    <w:family w:val="auto"/>
    <w:pitch w:val="default"/>
    <w:sig w:usb0="00000000" w:usb1="00000000" w:usb2="00000000" w:usb3="00000000" w:csb0="00000001" w:csb1="00000000"/>
  </w:font>
  <w:font w:name="TTE431A0A0t00">
    <w:altName w:val="Calibri"/>
    <w:panose1 w:val="00000000000000000000"/>
    <w:charset w:val="00"/>
    <w:family w:val="auto"/>
    <w:pitch w:val="default"/>
    <w:sig w:usb0="00000000" w:usb1="00000000" w:usb2="00000000" w:usb3="00000000" w:csb0="00000001" w:csb1="00000000"/>
  </w:font>
  <w:font w:name="Times-Bold">
    <w:altName w:val="Times New Roman"/>
    <w:panose1 w:val="00000000000000000000"/>
    <w:charset w:val="00"/>
    <w:family w:val="auto"/>
    <w:pitch w:val="default"/>
    <w:sig w:usb0="00000000" w:usb1="00000000" w:usb2="00000000" w:usb3="00000000" w:csb0="00000001" w:csb1="00000000"/>
  </w:font>
  <w:font w:name="Times-Roman">
    <w:altName w:val="Times New Roman"/>
    <w:panose1 w:val="00000000000000000000"/>
    <w:charset w:val="00"/>
    <w:family w:val="auto"/>
    <w:pitch w:val="default"/>
    <w:sig w:usb0="00000000" w:usb1="00000000" w:usb2="00000000" w:usb3="00000000" w:csb0="00000001" w:csb1="00000000"/>
  </w:font>
  <w:font w:name="Ecofont_Spranq_eco_Sans,Lohit H">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EndPr>
          <w:rPr>
            <w:rFonts w:ascii="Verdana" w:hAnsi="Verdana"/>
            <w:sz w:val="16"/>
            <w:szCs w:val="16"/>
          </w:rPr>
        </w:sdtEndPr>
        <w:sdtContent>
          <w:p>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pPr>
      <w:pStyle w:val="19"/>
      <w:keepNext w:val="0"/>
    </w:pPr>
    <w:r>
      <w:t>___________________________________________________________________________</w:t>
    </w:r>
  </w:p>
  <w:p>
    <w:pPr>
      <w:pStyle w:val="19"/>
      <w:keepNext w:val="0"/>
      <w:rPr>
        <w:sz w:val="12"/>
        <w:szCs w:val="12"/>
      </w:rPr>
    </w:pPr>
    <w:r>
      <w:rPr>
        <w:sz w:val="12"/>
        <w:szCs w:val="12"/>
      </w:rPr>
      <w:t>Câmara Nacional de Modelos de Licitações e Contratos da Consultoria-Geral da União</w:t>
    </w:r>
  </w:p>
  <w:p>
    <w:pPr>
      <w:pStyle w:val="19"/>
      <w:keepNext w:val="0"/>
      <w:rPr>
        <w:sz w:val="12"/>
        <w:szCs w:val="12"/>
      </w:rPr>
    </w:pPr>
    <w:r>
      <w:rPr>
        <w:sz w:val="12"/>
        <w:szCs w:val="12"/>
      </w:rPr>
      <w:t>Edital modelo para Pregão Eletrônico: Serviços Comuns de engenharia</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Verdana" w:hAnsi="Verdana"/>
        <w:sz w:val="14"/>
        <w:szCs w:val="14"/>
      </w:rPr>
    </w:pPr>
    <w:r>
      <w:rPr>
        <w:rFonts w:ascii="Verdana" w:hAnsi="Verdana"/>
        <w:sz w:val="14"/>
        <w:szCs w:val="14"/>
      </w:rPr>
      <w:t>Fls:_______</w:t>
    </w:r>
  </w:p>
  <w:p>
    <w:pPr>
      <w:pStyle w:val="17"/>
      <w:jc w:val="right"/>
      <w:rPr>
        <w:rFonts w:ascii="Verdana" w:hAnsi="Verdana"/>
        <w:sz w:val="14"/>
        <w:szCs w:val="14"/>
      </w:rPr>
    </w:pPr>
    <w:r>
      <w:rPr>
        <w:rFonts w:ascii="Verdana" w:hAnsi="Verdana"/>
        <w:sz w:val="14"/>
        <w:szCs w:val="14"/>
      </w:rPr>
      <w:t>Processo n.º 23069.170872/2022-69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1">
    <w:nsid w:val="184414D1"/>
    <w:multiLevelType w:val="multilevel"/>
    <w:tmpl w:val="184414D1"/>
    <w:lvl w:ilvl="0" w:tentative="0">
      <w:start w:val="19"/>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sz w:val="20"/>
        <w:szCs w:val="20"/>
      </w:rPr>
    </w:lvl>
    <w:lvl w:ilvl="2" w:tentative="0">
      <w:start w:val="1"/>
      <w:numFmt w:val="lowerLetter"/>
      <w:lvlText w:val="%3)"/>
      <w:lvlJc w:val="left"/>
      <w:pPr>
        <w:ind w:left="1353" w:hanging="360"/>
      </w:pPr>
      <w:rPr>
        <w:rFonts w:hint="default"/>
        <w:b w:val="0"/>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2">
    <w:nsid w:val="346250F7"/>
    <w:multiLevelType w:val="multilevel"/>
    <w:tmpl w:val="346250F7"/>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b w:val="0"/>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3">
    <w:nsid w:val="34665CEB"/>
    <w:multiLevelType w:val="multilevel"/>
    <w:tmpl w:val="34665CEB"/>
    <w:lvl w:ilvl="0" w:tentative="0">
      <w:start w:val="13"/>
      <w:numFmt w:val="decimal"/>
      <w:lvlText w:val="%1."/>
      <w:lvlJc w:val="left"/>
      <w:pPr>
        <w:ind w:left="0" w:firstLine="0"/>
      </w:pPr>
      <w:rPr>
        <w:rFonts w:hint="default"/>
      </w:rPr>
    </w:lvl>
    <w:lvl w:ilvl="1" w:tentative="0">
      <w:start w:val="1"/>
      <w:numFmt w:val="decimal"/>
      <w:lvlText w:val="%1.%2."/>
      <w:lvlJc w:val="left"/>
      <w:pPr>
        <w:ind w:left="426"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4">
    <w:nsid w:val="37516B2C"/>
    <w:multiLevelType w:val="multilevel"/>
    <w:tmpl w:val="37516B2C"/>
    <w:lvl w:ilvl="0" w:tentative="0">
      <w:start w:val="1"/>
      <w:numFmt w:val="decimal"/>
      <w:lvlText w:val="%1"/>
      <w:lvlJc w:val="left"/>
      <w:pPr>
        <w:ind w:left="360" w:hanging="360"/>
      </w:pPr>
      <w:rPr>
        <w:rFonts w:hint="default"/>
        <w:b/>
        <w:sz w:val="20"/>
        <w:szCs w:val="20"/>
      </w:rPr>
    </w:lvl>
    <w:lvl w:ilvl="1" w:tentative="0">
      <w:start w:val="1"/>
      <w:numFmt w:val="decimal"/>
      <w:lvlText w:val="%1.%2"/>
      <w:lvlJc w:val="left"/>
      <w:pPr>
        <w:ind w:left="785" w:hanging="360"/>
      </w:pPr>
      <w:rPr>
        <w:rFonts w:hint="default"/>
        <w:b w:val="0"/>
        <w:i w:val="0"/>
        <w:color w:val="auto"/>
      </w:rPr>
    </w:lvl>
    <w:lvl w:ilvl="2" w:tentative="0">
      <w:start w:val="1"/>
      <w:numFmt w:val="lowerLetter"/>
      <w:lvlText w:val="%3)"/>
      <w:lvlJc w:val="left"/>
      <w:pPr>
        <w:ind w:left="1353" w:hanging="360"/>
      </w:pPr>
      <w:rPr>
        <w:rFonts w:hint="default"/>
        <w:b w:val="0"/>
        <w:color w:val="auto"/>
      </w:rPr>
    </w:lvl>
    <w:lvl w:ilvl="3" w:tentative="0">
      <w:start w:val="1"/>
      <w:numFmt w:val="decimal"/>
      <w:lvlText w:val="%1.%2.%3.%4"/>
      <w:lvlJc w:val="left"/>
      <w:pPr>
        <w:ind w:left="2847" w:hanging="720"/>
      </w:pPr>
      <w:rPr>
        <w:rFonts w:hint="default"/>
        <w:color w:val="auto"/>
        <w:sz w:val="18"/>
        <w:szCs w:val="18"/>
      </w:rPr>
    </w:lvl>
    <w:lvl w:ilvl="4" w:tentative="0">
      <w:start w:val="1"/>
      <w:numFmt w:val="decimal"/>
      <w:lvlText w:val="%1.%2.%3.%4.%5"/>
      <w:lvlJc w:val="left"/>
      <w:pPr>
        <w:ind w:left="3064" w:hanging="1080"/>
      </w:pPr>
      <w:rPr>
        <w:rFonts w:hint="default"/>
        <w:color w:val="auto"/>
        <w:sz w:val="18"/>
        <w:szCs w:val="18"/>
      </w:rPr>
    </w:lvl>
    <w:lvl w:ilvl="5" w:tentative="0">
      <w:start w:val="1"/>
      <w:numFmt w:val="decimal"/>
      <w:lvlText w:val="%1.%2.%3.%4.%5.%6"/>
      <w:lvlJc w:val="left"/>
      <w:pPr>
        <w:ind w:left="3560" w:hanging="1080"/>
      </w:pPr>
      <w:rPr>
        <w:rFonts w:hint="default"/>
        <w:color w:val="auto"/>
        <w:sz w:val="16"/>
        <w:szCs w:val="16"/>
      </w:rPr>
    </w:lvl>
    <w:lvl w:ilvl="6" w:tentative="0">
      <w:start w:val="1"/>
      <w:numFmt w:val="decimal"/>
      <w:lvlText w:val="%1.%2.%3.%4.%5.%6.%7"/>
      <w:lvlJc w:val="left"/>
      <w:pPr>
        <w:ind w:left="4416" w:hanging="1440"/>
      </w:pPr>
      <w:rPr>
        <w:rFonts w:hint="default"/>
        <w:color w:val="auto"/>
      </w:rPr>
    </w:lvl>
    <w:lvl w:ilvl="7" w:tentative="0">
      <w:start w:val="1"/>
      <w:numFmt w:val="decimal"/>
      <w:lvlText w:val="%1.%2.%3.%4.%5.%6.%7.%8"/>
      <w:lvlJc w:val="left"/>
      <w:pPr>
        <w:ind w:left="4912" w:hanging="1440"/>
      </w:pPr>
      <w:rPr>
        <w:rFonts w:hint="default"/>
        <w:color w:val="auto"/>
      </w:rPr>
    </w:lvl>
    <w:lvl w:ilvl="8" w:tentative="0">
      <w:start w:val="1"/>
      <w:numFmt w:val="decimal"/>
      <w:lvlText w:val="%1.%2.%3.%4.%5.%6.%7.%8.%9"/>
      <w:lvlJc w:val="left"/>
      <w:pPr>
        <w:ind w:left="5768" w:hanging="1800"/>
      </w:pPr>
      <w:rPr>
        <w:rFonts w:hint="default"/>
        <w:color w:val="auto"/>
      </w:rPr>
    </w:lvl>
  </w:abstractNum>
  <w:abstractNum w:abstractNumId="5">
    <w:nsid w:val="43CF13EB"/>
    <w:multiLevelType w:val="multilevel"/>
    <w:tmpl w:val="43CF13EB"/>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sz w:val="20"/>
        <w:szCs w:val="20"/>
      </w:rPr>
    </w:lvl>
    <w:lvl w:ilvl="2" w:tentative="0">
      <w:start w:val="1"/>
      <w:numFmt w:val="lowerLetter"/>
      <w:lvlText w:val="%3)"/>
      <w:lvlJc w:val="left"/>
      <w:pPr>
        <w:ind w:left="1353" w:hanging="360"/>
      </w:pPr>
      <w:rPr>
        <w:rFonts w:hint="default"/>
        <w:b w:val="0"/>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6">
    <w:nsid w:val="58C70088"/>
    <w:multiLevelType w:val="multilevel"/>
    <w:tmpl w:val="58C70088"/>
    <w:lvl w:ilvl="0" w:tentative="0">
      <w:start w:val="1"/>
      <w:numFmt w:val="decimal"/>
      <w:pStyle w:val="79"/>
      <w:lvlText w:val="%1."/>
      <w:lvlJc w:val="left"/>
      <w:pPr>
        <w:ind w:left="502" w:hanging="360"/>
      </w:pPr>
      <w:rPr>
        <w:b/>
        <w:i w:val="0"/>
        <w:strike w:val="0"/>
        <w:dstrike w:val="0"/>
      </w:rPr>
    </w:lvl>
    <w:lvl w:ilvl="1" w:tentative="0">
      <w:start w:val="1"/>
      <w:numFmt w:val="decimal"/>
      <w:pStyle w:val="78"/>
      <w:lvlText w:val="%1.%2."/>
      <w:lvlJc w:val="left"/>
      <w:pPr>
        <w:ind w:left="858" w:hanging="432"/>
      </w:pPr>
      <w:rPr>
        <w:b w:val="0"/>
        <w:strike w:val="0"/>
      </w:rPr>
    </w:lvl>
    <w:lvl w:ilvl="2" w:tentative="0">
      <w:start w:val="1"/>
      <w:numFmt w:val="decimal"/>
      <w:pStyle w:val="80"/>
      <w:lvlText w:val="%1.%2.%3."/>
      <w:lvlJc w:val="left"/>
      <w:pPr>
        <w:ind w:left="1224" w:hanging="504"/>
      </w:pPr>
      <w:rPr>
        <w:i w:val="0"/>
        <w:strike w:val="0"/>
      </w:rPr>
    </w:lvl>
    <w:lvl w:ilvl="3" w:tentative="0">
      <w:start w:val="1"/>
      <w:numFmt w:val="decimal"/>
      <w:pStyle w:val="81"/>
      <w:lvlText w:val="%1.%2.%3.%4."/>
      <w:lvlJc w:val="left"/>
      <w:pPr>
        <w:ind w:left="1728" w:hanging="648"/>
      </w:pPr>
    </w:lvl>
    <w:lvl w:ilvl="4" w:tentative="0">
      <w:start w:val="1"/>
      <w:numFmt w:val="decimal"/>
      <w:pStyle w:val="8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6B416A47"/>
    <w:multiLevelType w:val="multilevel"/>
    <w:tmpl w:val="6B416A47"/>
    <w:lvl w:ilvl="0" w:tentative="0">
      <w:start w:val="4"/>
      <w:numFmt w:val="decimal"/>
      <w:lvlText w:val="%1"/>
      <w:lvlJc w:val="left"/>
      <w:pPr>
        <w:ind w:left="435" w:hanging="435"/>
      </w:pPr>
      <w:rPr>
        <w:rFonts w:hint="default"/>
      </w:rPr>
    </w:lvl>
    <w:lvl w:ilvl="1" w:tentative="0">
      <w:start w:val="4"/>
      <w:numFmt w:val="decimal"/>
      <w:lvlText w:val="%1.%2"/>
      <w:lvlJc w:val="left"/>
      <w:pPr>
        <w:ind w:left="1002" w:hanging="435"/>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421" w:hanging="72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3915" w:hanging="1080"/>
      </w:pPr>
      <w:rPr>
        <w:rFonts w:hint="default"/>
      </w:rPr>
    </w:lvl>
    <w:lvl w:ilvl="6" w:tentative="0">
      <w:start w:val="1"/>
      <w:numFmt w:val="decimal"/>
      <w:lvlText w:val="%1.%2.%3.%4.%5.%6.%7"/>
      <w:lvlJc w:val="left"/>
      <w:pPr>
        <w:ind w:left="4842" w:hanging="1440"/>
      </w:pPr>
      <w:rPr>
        <w:rFonts w:hint="default"/>
      </w:rPr>
    </w:lvl>
    <w:lvl w:ilvl="7" w:tentative="0">
      <w:start w:val="1"/>
      <w:numFmt w:val="decimal"/>
      <w:lvlText w:val="%1.%2.%3.%4.%5.%6.%7.%8"/>
      <w:lvlJc w:val="left"/>
      <w:pPr>
        <w:ind w:left="5409" w:hanging="1440"/>
      </w:pPr>
      <w:rPr>
        <w:rFonts w:hint="default"/>
      </w:rPr>
    </w:lvl>
    <w:lvl w:ilvl="8" w:tentative="0">
      <w:start w:val="1"/>
      <w:numFmt w:val="decimal"/>
      <w:lvlText w:val="%1.%2.%3.%4.%5.%6.%7.%8.%9"/>
      <w:lvlJc w:val="left"/>
      <w:pPr>
        <w:ind w:left="6336" w:hanging="1800"/>
      </w:pPr>
      <w:rPr>
        <w:rFonts w:hint="default"/>
      </w:rPr>
    </w:lvl>
  </w:abstractNum>
  <w:abstractNum w:abstractNumId="8">
    <w:nsid w:val="6C2D4641"/>
    <w:multiLevelType w:val="multilevel"/>
    <w:tmpl w:val="6C2D4641"/>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9">
    <w:nsid w:val="7D9624EC"/>
    <w:multiLevelType w:val="multilevel"/>
    <w:tmpl w:val="7D9624EC"/>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color w:val="000000"/>
      </w:rPr>
    </w:lvl>
    <w:lvl w:ilvl="2" w:tentative="0">
      <w:start w:val="1"/>
      <w:numFmt w:val="decimal"/>
      <w:lvlText w:val="%1.%2.%3."/>
      <w:lvlJc w:val="left"/>
      <w:pPr>
        <w:ind w:left="1854" w:hanging="720"/>
      </w:pPr>
      <w:rPr>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num w:numId="1">
    <w:abstractNumId w:val="0"/>
  </w:num>
  <w:num w:numId="2">
    <w:abstractNumId w:val="6"/>
  </w:num>
  <w:num w:numId="3">
    <w:abstractNumId w:val="4"/>
  </w:num>
  <w:num w:numId="4">
    <w:abstractNumId w:val="8"/>
  </w:num>
  <w:num w:numId="5">
    <w:abstractNumId w:val="7"/>
  </w:num>
  <w:num w:numId="6">
    <w:abstractNumId w:val="2"/>
  </w:num>
  <w:num w:numId="7">
    <w:abstractNumId w:val="9"/>
  </w:num>
  <w:num w:numId="8">
    <w:abstractNumId w:val="3"/>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09"/>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2"/>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82DD1"/>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5ABE"/>
    <w:rsid w:val="00127D00"/>
    <w:rsid w:val="00131CE1"/>
    <w:rsid w:val="0013270F"/>
    <w:rsid w:val="001375A4"/>
    <w:rsid w:val="001421D5"/>
    <w:rsid w:val="001439FF"/>
    <w:rsid w:val="00147D80"/>
    <w:rsid w:val="0015089E"/>
    <w:rsid w:val="001537E3"/>
    <w:rsid w:val="00156910"/>
    <w:rsid w:val="00161EFF"/>
    <w:rsid w:val="001701E5"/>
    <w:rsid w:val="001718F3"/>
    <w:rsid w:val="001823F0"/>
    <w:rsid w:val="0018292F"/>
    <w:rsid w:val="00186725"/>
    <w:rsid w:val="00195DD6"/>
    <w:rsid w:val="001A17D2"/>
    <w:rsid w:val="001B64FC"/>
    <w:rsid w:val="001D054A"/>
    <w:rsid w:val="001D2FF2"/>
    <w:rsid w:val="001E00F8"/>
    <w:rsid w:val="001E4BD9"/>
    <w:rsid w:val="001F3184"/>
    <w:rsid w:val="00200969"/>
    <w:rsid w:val="00206B27"/>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40CD7"/>
    <w:rsid w:val="003417BD"/>
    <w:rsid w:val="003510AC"/>
    <w:rsid w:val="00352543"/>
    <w:rsid w:val="0035526D"/>
    <w:rsid w:val="00355A5F"/>
    <w:rsid w:val="00356AC2"/>
    <w:rsid w:val="003605BC"/>
    <w:rsid w:val="00360EBF"/>
    <w:rsid w:val="00363E73"/>
    <w:rsid w:val="003672D0"/>
    <w:rsid w:val="003712CE"/>
    <w:rsid w:val="00372684"/>
    <w:rsid w:val="00372BD7"/>
    <w:rsid w:val="00373279"/>
    <w:rsid w:val="00376146"/>
    <w:rsid w:val="00380D3D"/>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49C0"/>
    <w:rsid w:val="0040653D"/>
    <w:rsid w:val="00416873"/>
    <w:rsid w:val="00420ED9"/>
    <w:rsid w:val="004238E9"/>
    <w:rsid w:val="00423CFC"/>
    <w:rsid w:val="0043084F"/>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B8F"/>
    <w:rsid w:val="004823EC"/>
    <w:rsid w:val="00483E66"/>
    <w:rsid w:val="0048473A"/>
    <w:rsid w:val="00484D9F"/>
    <w:rsid w:val="00494063"/>
    <w:rsid w:val="00495A10"/>
    <w:rsid w:val="004A4C88"/>
    <w:rsid w:val="004A5793"/>
    <w:rsid w:val="004B05BE"/>
    <w:rsid w:val="004B6C55"/>
    <w:rsid w:val="004B6CA4"/>
    <w:rsid w:val="004C447A"/>
    <w:rsid w:val="004C65AD"/>
    <w:rsid w:val="004C668A"/>
    <w:rsid w:val="004C7DD8"/>
    <w:rsid w:val="004D40E6"/>
    <w:rsid w:val="004D52B0"/>
    <w:rsid w:val="004E063D"/>
    <w:rsid w:val="004E3A5C"/>
    <w:rsid w:val="004E595C"/>
    <w:rsid w:val="004F2265"/>
    <w:rsid w:val="004F57CA"/>
    <w:rsid w:val="005000A6"/>
    <w:rsid w:val="00503783"/>
    <w:rsid w:val="005063C6"/>
    <w:rsid w:val="005100EE"/>
    <w:rsid w:val="00510916"/>
    <w:rsid w:val="00511126"/>
    <w:rsid w:val="00512D1A"/>
    <w:rsid w:val="00520B75"/>
    <w:rsid w:val="00522713"/>
    <w:rsid w:val="00523EA3"/>
    <w:rsid w:val="00524B89"/>
    <w:rsid w:val="0052574A"/>
    <w:rsid w:val="0052759B"/>
    <w:rsid w:val="00530EC4"/>
    <w:rsid w:val="005472B5"/>
    <w:rsid w:val="005653E2"/>
    <w:rsid w:val="0057004B"/>
    <w:rsid w:val="00581604"/>
    <w:rsid w:val="00582238"/>
    <w:rsid w:val="00596404"/>
    <w:rsid w:val="005B14C9"/>
    <w:rsid w:val="005B3CD9"/>
    <w:rsid w:val="005B55B2"/>
    <w:rsid w:val="005C3AD0"/>
    <w:rsid w:val="005C555B"/>
    <w:rsid w:val="005D3BC2"/>
    <w:rsid w:val="005E0778"/>
    <w:rsid w:val="005E2AE4"/>
    <w:rsid w:val="005E32AA"/>
    <w:rsid w:val="005F1D31"/>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797A"/>
    <w:rsid w:val="00667AEF"/>
    <w:rsid w:val="00683576"/>
    <w:rsid w:val="00684822"/>
    <w:rsid w:val="0069666A"/>
    <w:rsid w:val="006A56ED"/>
    <w:rsid w:val="006A6D49"/>
    <w:rsid w:val="006B0F17"/>
    <w:rsid w:val="006B1A5C"/>
    <w:rsid w:val="006B1BFD"/>
    <w:rsid w:val="006B5CC3"/>
    <w:rsid w:val="006B6044"/>
    <w:rsid w:val="006B6967"/>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0D6E"/>
    <w:rsid w:val="007C4338"/>
    <w:rsid w:val="007C72AA"/>
    <w:rsid w:val="007D0242"/>
    <w:rsid w:val="007D1EA1"/>
    <w:rsid w:val="007D2BF7"/>
    <w:rsid w:val="007D6248"/>
    <w:rsid w:val="007D6BFA"/>
    <w:rsid w:val="007D7EE1"/>
    <w:rsid w:val="007E12AC"/>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0B19"/>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FE6"/>
    <w:rsid w:val="009333FC"/>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1DF8"/>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352D"/>
    <w:rsid w:val="00AA621C"/>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4C6"/>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D0781"/>
    <w:rsid w:val="00BE13FA"/>
    <w:rsid w:val="00BE2449"/>
    <w:rsid w:val="00BE5F79"/>
    <w:rsid w:val="00BE7F4C"/>
    <w:rsid w:val="00C01226"/>
    <w:rsid w:val="00C033F4"/>
    <w:rsid w:val="00C0561B"/>
    <w:rsid w:val="00C06917"/>
    <w:rsid w:val="00C1309B"/>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57716"/>
    <w:rsid w:val="00E609CA"/>
    <w:rsid w:val="00E675C7"/>
    <w:rsid w:val="00E723A0"/>
    <w:rsid w:val="00E72627"/>
    <w:rsid w:val="00E802FA"/>
    <w:rsid w:val="00E80A0F"/>
    <w:rsid w:val="00E82130"/>
    <w:rsid w:val="00E83644"/>
    <w:rsid w:val="00E85572"/>
    <w:rsid w:val="00E93103"/>
    <w:rsid w:val="00E94C2B"/>
    <w:rsid w:val="00EA5C4F"/>
    <w:rsid w:val="00EA5D4B"/>
    <w:rsid w:val="00EA79D5"/>
    <w:rsid w:val="00EA7D37"/>
    <w:rsid w:val="00EB2D4E"/>
    <w:rsid w:val="00EB7E76"/>
    <w:rsid w:val="00EC036E"/>
    <w:rsid w:val="00EC4479"/>
    <w:rsid w:val="00EC5B38"/>
    <w:rsid w:val="00EC695E"/>
    <w:rsid w:val="00EE6854"/>
    <w:rsid w:val="00EF1CD4"/>
    <w:rsid w:val="00EF3FAE"/>
    <w:rsid w:val="00EF4724"/>
    <w:rsid w:val="00EF4C77"/>
    <w:rsid w:val="00F06811"/>
    <w:rsid w:val="00F13534"/>
    <w:rsid w:val="00F167BF"/>
    <w:rsid w:val="00F2643D"/>
    <w:rsid w:val="00F265E3"/>
    <w:rsid w:val="00F371C9"/>
    <w:rsid w:val="00F42EE6"/>
    <w:rsid w:val="00F45D1D"/>
    <w:rsid w:val="00F47CC6"/>
    <w:rsid w:val="00F510B3"/>
    <w:rsid w:val="00F51622"/>
    <w:rsid w:val="00F5519E"/>
    <w:rsid w:val="00F61072"/>
    <w:rsid w:val="00F61A35"/>
    <w:rsid w:val="00F61AFA"/>
    <w:rsid w:val="00F66D01"/>
    <w:rsid w:val="00F716B7"/>
    <w:rsid w:val="00F71FFD"/>
    <w:rsid w:val="00F7413E"/>
    <w:rsid w:val="00F808A0"/>
    <w:rsid w:val="00F82A83"/>
    <w:rsid w:val="00F9390C"/>
    <w:rsid w:val="00F96052"/>
    <w:rsid w:val="00F974C2"/>
    <w:rsid w:val="00FA1115"/>
    <w:rsid w:val="00FA5124"/>
    <w:rsid w:val="00FB13C7"/>
    <w:rsid w:val="00FB4721"/>
    <w:rsid w:val="00FB7E65"/>
    <w:rsid w:val="00FC182D"/>
    <w:rsid w:val="00FC2087"/>
    <w:rsid w:val="00FC3CB0"/>
    <w:rsid w:val="00FD0CFA"/>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4F35863"/>
    <w:rsid w:val="55D9505D"/>
    <w:rsid w:val="56D0C33C"/>
    <w:rsid w:val="589774CA"/>
    <w:rsid w:val="597F26EA"/>
    <w:rsid w:val="5C84E0E3"/>
    <w:rsid w:val="5E498B79"/>
    <w:rsid w:val="5E509FCF"/>
    <w:rsid w:val="5EE7022C"/>
    <w:rsid w:val="6177C470"/>
    <w:rsid w:val="6282B687"/>
    <w:rsid w:val="63155B39"/>
    <w:rsid w:val="63514F31"/>
    <w:rsid w:val="66CB3DAD"/>
    <w:rsid w:val="69E068C1"/>
    <w:rsid w:val="6AA756AA"/>
    <w:rsid w:val="6AB9C9CF"/>
    <w:rsid w:val="6BE25E78"/>
    <w:rsid w:val="70E91B79"/>
    <w:rsid w:val="74CA8BC2"/>
    <w:rsid w:val="75460150"/>
    <w:rsid w:val="76D302A6"/>
    <w:rsid w:val="76DF9B0F"/>
    <w:rsid w:val="78875505"/>
    <w:rsid w:val="78A37C57"/>
    <w:rsid w:val="7C7D398E"/>
    <w:rsid w:val="7D1C7C3A"/>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34" w:semiHidden="0" w:name="List Paragraph"/>
    <w:lsdException w:qFormat="1" w:unhideWhenUsed="0" w:uiPriority="0" w:semiHidden="0" w:name="Quote"/>
    <w:lsdException w:qFormat="1" w:uiPriority="0" w:name="Medium Grid 2 Accent 2"/>
  </w:latentStyles>
  <w:style w:type="paragraph" w:default="1" w:styleId="1">
    <w:name w:val="Normal"/>
    <w:uiPriority w:val="0"/>
    <w:pPr>
      <w:keepNext/>
      <w:shd w:val="clear" w:color="auto" w:fill="FFFFFF"/>
      <w:tabs>
        <w:tab w:val="left" w:pos="708"/>
      </w:tabs>
      <w:suppressAutoHyphens/>
      <w:overflowPunct w:val="0"/>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uiPriority w:val="0"/>
    <w:pPr>
      <w:numPr>
        <w:ilvl w:val="0"/>
        <w:numId w:val="1"/>
      </w:numPr>
      <w:tabs>
        <w:tab w:val="left" w:pos="708"/>
      </w:tabs>
      <w:outlineLvl w:val="0"/>
    </w:pPr>
    <w:rPr>
      <w:b/>
      <w:bCs/>
      <w:sz w:val="36"/>
      <w:szCs w:val="36"/>
    </w:rPr>
  </w:style>
  <w:style w:type="paragraph" w:styleId="5">
    <w:name w:val="heading 2"/>
    <w:basedOn w:val="1"/>
    <w:next w:val="4"/>
    <w:qFormat/>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qFormat/>
    <w:uiPriority w:val="0"/>
    <w:pPr>
      <w:numPr>
        <w:ilvl w:val="2"/>
        <w:numId w:val="1"/>
      </w:numPr>
      <w:tabs>
        <w:tab w:val="left" w:pos="708"/>
      </w:tabs>
      <w:spacing w:before="140"/>
      <w:outlineLvl w:val="2"/>
    </w:pPr>
    <w:rPr>
      <w:b/>
      <w:bCs/>
      <w:color w:val="808080"/>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4"/>
    <w:qFormat/>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qFormat/>
    <w:uiPriority w:val="0"/>
    <w:pPr>
      <w:spacing w:after="120"/>
    </w:pPr>
  </w:style>
  <w:style w:type="character" w:styleId="9">
    <w:name w:val="annotation reference"/>
    <w:basedOn w:val="7"/>
    <w:unhideWhenUsed/>
    <w:qFormat/>
    <w:uiPriority w:val="99"/>
    <w:rPr>
      <w:sz w:val="16"/>
      <w:szCs w:val="16"/>
    </w:rPr>
  </w:style>
  <w:style w:type="character" w:styleId="10">
    <w:name w:val="Hyperlink"/>
    <w:basedOn w:val="7"/>
    <w:qFormat/>
    <w:uiPriority w:val="0"/>
    <w:rPr>
      <w:color w:val="0563C1"/>
      <w:u w:val="single"/>
    </w:rPr>
  </w:style>
  <w:style w:type="paragraph" w:styleId="11">
    <w:name w:val="List"/>
    <w:basedOn w:val="4"/>
    <w:qFormat/>
    <w:uiPriority w:val="0"/>
    <w:rPr>
      <w:rFonts w:cs="Lohit Hindi"/>
    </w:rPr>
  </w:style>
  <w:style w:type="paragraph" w:styleId="12">
    <w:name w:val="Body Text"/>
    <w:basedOn w:val="1"/>
    <w:link w:val="77"/>
    <w:qFormat/>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3">
    <w:name w:val="annotation text"/>
    <w:basedOn w:val="1"/>
    <w:link w:val="76"/>
    <w:unhideWhenUsed/>
    <w:qFormat/>
    <w:uiPriority w:val="99"/>
    <w:rPr>
      <w:sz w:val="20"/>
      <w:szCs w:val="20"/>
    </w:rPr>
  </w:style>
  <w:style w:type="paragraph" w:styleId="14">
    <w:name w:val="List Bullet 5"/>
    <w:basedOn w:val="1"/>
    <w:qFormat/>
    <w:uiPriority w:val="0"/>
  </w:style>
  <w:style w:type="paragraph" w:styleId="15">
    <w:name w:val="Normal (Web)"/>
    <w:basedOn w:val="1"/>
    <w:qFormat/>
    <w:uiPriority w:val="99"/>
    <w:pPr>
      <w:spacing w:before="28" w:after="28"/>
    </w:pPr>
    <w:rPr>
      <w:rFonts w:ascii="Times New Roman" w:hAnsi="Times New Roman" w:cs="Times New Roman"/>
    </w:rPr>
  </w:style>
  <w:style w:type="paragraph" w:styleId="16">
    <w:name w:val="Plain Text"/>
    <w:basedOn w:val="1"/>
    <w:link w:val="104"/>
    <w:semiHidden/>
    <w:unhideWhenUsed/>
    <w:qFormat/>
    <w:uiPriority w:val="99"/>
    <w:pPr>
      <w:keepNext w:val="0"/>
      <w:shd w:val="clear" w:color="auto" w:fill="auto"/>
      <w:tabs>
        <w:tab w:val="clear" w:pos="708"/>
      </w:tabs>
      <w:suppressAutoHyphens w:val="0"/>
      <w:overflowPunct/>
      <w:textAlignment w:val="auto"/>
    </w:pPr>
    <w:rPr>
      <w:rFonts w:ascii="Calibri" w:hAnsi="Calibri" w:eastAsiaTheme="minorHAnsi" w:cstheme="minorBidi"/>
      <w:color w:val="auto"/>
      <w:sz w:val="22"/>
      <w:szCs w:val="21"/>
      <w:lang w:eastAsia="en-US"/>
    </w:rPr>
  </w:style>
  <w:style w:type="paragraph" w:styleId="17">
    <w:name w:val="header"/>
    <w:basedOn w:val="1"/>
    <w:qFormat/>
    <w:uiPriority w:val="0"/>
    <w:pPr>
      <w:suppressLineNumbers/>
      <w:tabs>
        <w:tab w:val="center" w:pos="4252"/>
        <w:tab w:val="right" w:pos="8504"/>
      </w:tabs>
    </w:pPr>
  </w:style>
  <w:style w:type="paragraph" w:styleId="18">
    <w:name w:val="annotation subject"/>
    <w:basedOn w:val="13"/>
    <w:next w:val="13"/>
    <w:link w:val="86"/>
    <w:semiHidden/>
    <w:unhideWhenUsed/>
    <w:qFormat/>
    <w:uiPriority w:val="99"/>
    <w:rPr>
      <w:b/>
      <w:bCs/>
    </w:rPr>
  </w:style>
  <w:style w:type="paragraph" w:styleId="19">
    <w:name w:val="footer"/>
    <w:basedOn w:val="1"/>
    <w:qFormat/>
    <w:uiPriority w:val="99"/>
    <w:pPr>
      <w:suppressLineNumbers/>
      <w:tabs>
        <w:tab w:val="center" w:pos="4252"/>
        <w:tab w:val="right" w:pos="8504"/>
      </w:tabs>
    </w:pPr>
  </w:style>
  <w:style w:type="paragraph" w:styleId="20">
    <w:name w:val="caption"/>
    <w:basedOn w:val="1"/>
    <w:next w:val="1"/>
    <w:qFormat/>
    <w:uiPriority w:val="0"/>
    <w:pPr>
      <w:suppressLineNumbers/>
      <w:spacing w:before="120" w:after="120"/>
    </w:pPr>
    <w:rPr>
      <w:rFonts w:cs="Lohit Hindi"/>
      <w:i/>
      <w:iCs/>
    </w:rPr>
  </w:style>
  <w:style w:type="paragraph" w:styleId="21">
    <w:name w:val="Balloon Text"/>
    <w:basedOn w:val="1"/>
    <w:qFormat/>
    <w:uiPriority w:val="0"/>
    <w:rPr>
      <w:rFonts w:ascii="Tahoma" w:hAnsi="Tahoma"/>
      <w:sz w:val="16"/>
      <w:szCs w:val="16"/>
    </w:rPr>
  </w:style>
  <w:style w:type="paragraph" w:styleId="22">
    <w:name w:val="Subtitle"/>
    <w:basedOn w:val="3"/>
    <w:next w:val="4"/>
    <w:qFormat/>
    <w:uiPriority w:val="0"/>
    <w:pPr>
      <w:spacing w:before="60"/>
      <w:jc w:val="center"/>
    </w:pPr>
    <w:rPr>
      <w:sz w:val="36"/>
      <w:szCs w:val="36"/>
    </w:rPr>
  </w:style>
  <w:style w:type="table" w:styleId="23">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Texto de balão Char"/>
    <w:qFormat/>
    <w:uiPriority w:val="0"/>
    <w:rPr>
      <w:rFonts w:ascii="Tahoma" w:hAnsi="Tahoma" w:cs="Tahoma"/>
      <w:sz w:val="16"/>
      <w:szCs w:val="16"/>
    </w:rPr>
  </w:style>
  <w:style w:type="character" w:customStyle="1" w:styleId="25">
    <w:name w:val="Título 2 Char"/>
    <w:qFormat/>
    <w:uiPriority w:val="0"/>
    <w:rPr>
      <w:b/>
      <w:color w:val="000000"/>
      <w:sz w:val="24"/>
    </w:rPr>
  </w:style>
  <w:style w:type="character" w:customStyle="1" w:styleId="26">
    <w:name w:val="normal__char1"/>
    <w:qFormat/>
    <w:uiPriority w:val="0"/>
    <w:rPr>
      <w:rFonts w:ascii="Arial" w:hAnsi="Arial" w:cs="Arial"/>
      <w:sz w:val="24"/>
      <w:szCs w:val="24"/>
      <w:u w:val="none"/>
    </w:rPr>
  </w:style>
  <w:style w:type="character" w:customStyle="1" w:styleId="27">
    <w:name w:val="apple-style-span"/>
    <w:basedOn w:val="7"/>
    <w:qFormat/>
    <w:uiPriority w:val="0"/>
  </w:style>
  <w:style w:type="character" w:customStyle="1" w:styleId="28">
    <w:name w:val="Link da Internet"/>
    <w:qFormat/>
    <w:uiPriority w:val="0"/>
    <w:rPr>
      <w:color w:val="000080"/>
      <w:u w:val="single"/>
      <w:lang w:val="en-US" w:eastAsia="en-US" w:bidi="en-US"/>
    </w:rPr>
  </w:style>
  <w:style w:type="character" w:customStyle="1" w:styleId="29">
    <w:name w:val="Citação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0">
    <w:name w:val="citação 2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1">
    <w:name w:val="Cabeçalho Char"/>
    <w:qFormat/>
    <w:uiPriority w:val="0"/>
    <w:rPr>
      <w:rFonts w:ascii="Ecofont_Spranq_eco_Sans" w:hAnsi="Ecofont_Spranq_eco_Sans" w:cs="Tahoma"/>
      <w:sz w:val="24"/>
      <w:szCs w:val="24"/>
    </w:rPr>
  </w:style>
  <w:style w:type="character" w:customStyle="1" w:styleId="32">
    <w:name w:val="Rodapé Char"/>
    <w:qFormat/>
    <w:uiPriority w:val="99"/>
    <w:rPr>
      <w:rFonts w:ascii="Ecofont_Spranq_eco_Sans" w:hAnsi="Ecofont_Spranq_eco_Sans" w:cs="Tahoma"/>
      <w:sz w:val="24"/>
      <w:szCs w:val="24"/>
    </w:rPr>
  </w:style>
  <w:style w:type="character" w:customStyle="1" w:styleId="33">
    <w:name w:val="cp_0020corpodespacho__char1"/>
    <w:qFormat/>
    <w:uiPriority w:val="0"/>
    <w:rPr>
      <w:rFonts w:ascii="Times New Roman" w:hAnsi="Times New Roman" w:cs="Times New Roman"/>
      <w:sz w:val="26"/>
      <w:szCs w:val="26"/>
      <w:u w:val="none"/>
    </w:rPr>
  </w:style>
  <w:style w:type="character" w:customStyle="1" w:styleId="34">
    <w:name w:val="em_0020ementa__char1"/>
    <w:qFormat/>
    <w:uiPriority w:val="0"/>
    <w:rPr>
      <w:rFonts w:ascii="Times New Roman" w:hAnsi="Times New Roman" w:cs="Times New Roman"/>
      <w:sz w:val="28"/>
      <w:szCs w:val="28"/>
      <w:u w:val="none"/>
    </w:rPr>
  </w:style>
  <w:style w:type="character" w:customStyle="1" w:styleId="35">
    <w:name w:val="ListLabel 1"/>
    <w:qFormat/>
    <w:uiPriority w:val="0"/>
    <w:rPr>
      <w:b/>
    </w:rPr>
  </w:style>
  <w:style w:type="character" w:customStyle="1" w:styleId="36">
    <w:name w:val="ListLabel 2"/>
    <w:qFormat/>
    <w:uiPriority w:val="0"/>
  </w:style>
  <w:style w:type="character" w:customStyle="1" w:styleId="37">
    <w:name w:val="ListLabel 3"/>
    <w:qFormat/>
    <w:uiPriority w:val="0"/>
    <w:rPr>
      <w:rFonts w:eastAsia="Arial Unicode MS"/>
    </w:rPr>
  </w:style>
  <w:style w:type="character" w:customStyle="1" w:styleId="38">
    <w:name w:val="ListLabel 4"/>
    <w:qFormat/>
    <w:uiPriority w:val="0"/>
    <w:rPr>
      <w:rFonts w:cs="Arial"/>
      <w:i/>
      <w:color w:val="FF0000"/>
    </w:rPr>
  </w:style>
  <w:style w:type="character" w:customStyle="1" w:styleId="39">
    <w:name w:val="ListLabel 5"/>
    <w:qFormat/>
    <w:uiPriority w:val="0"/>
    <w:rPr>
      <w:color w:val="0000FF"/>
    </w:rPr>
  </w:style>
  <w:style w:type="character" w:customStyle="1" w:styleId="40">
    <w:name w:val="ListLabel 6"/>
    <w:qFormat/>
    <w:uiPriority w:val="0"/>
    <w:rPr>
      <w:b/>
    </w:rPr>
  </w:style>
  <w:style w:type="character" w:customStyle="1" w:styleId="41">
    <w:name w:val="ListLabel 7"/>
    <w:qFormat/>
    <w:uiPriority w:val="0"/>
    <w:rPr>
      <w:b/>
      <w:color w:val="00000A"/>
    </w:rPr>
  </w:style>
  <w:style w:type="character" w:customStyle="1" w:styleId="42">
    <w:name w:val="ListLabel 8"/>
    <w:qFormat/>
    <w:uiPriority w:val="0"/>
  </w:style>
  <w:style w:type="character" w:customStyle="1" w:styleId="43">
    <w:name w:val="ListLabel 9"/>
    <w:qFormat/>
    <w:uiPriority w:val="0"/>
    <w:rPr>
      <w:color w:val="00000A"/>
    </w:rPr>
  </w:style>
  <w:style w:type="character" w:customStyle="1" w:styleId="44">
    <w:name w:val="ListLabel 10"/>
    <w:qFormat/>
    <w:uiPriority w:val="0"/>
    <w:rPr>
      <w:b/>
    </w:rPr>
  </w:style>
  <w:style w:type="character" w:customStyle="1" w:styleId="45">
    <w:name w:val="ListLabel 11"/>
    <w:qFormat/>
    <w:uiPriority w:val="0"/>
  </w:style>
  <w:style w:type="character" w:customStyle="1" w:styleId="46">
    <w:name w:val="ListLabel 12"/>
    <w:qFormat/>
    <w:uiPriority w:val="0"/>
    <w:rPr>
      <w:b/>
    </w:rPr>
  </w:style>
  <w:style w:type="character" w:customStyle="1" w:styleId="47">
    <w:name w:val="ListLabel 13"/>
    <w:qFormat/>
    <w:uiPriority w:val="0"/>
  </w:style>
  <w:style w:type="character" w:customStyle="1" w:styleId="48">
    <w:name w:val="WW_CharLFO2LVL1"/>
    <w:qFormat/>
    <w:uiPriority w:val="0"/>
    <w:rPr>
      <w:b/>
    </w:rPr>
  </w:style>
  <w:style w:type="character" w:customStyle="1" w:styleId="49">
    <w:name w:val="WW_CharLFO2LVL2"/>
    <w:qFormat/>
    <w:uiPriority w:val="0"/>
  </w:style>
  <w:style w:type="character" w:customStyle="1" w:styleId="50">
    <w:name w:val="WW_CharLFO2LVL3"/>
    <w:qFormat/>
    <w:uiPriority w:val="0"/>
  </w:style>
  <w:style w:type="character" w:customStyle="1" w:styleId="51">
    <w:name w:val="WW_CharLFO3LVL1"/>
    <w:qFormat/>
    <w:uiPriority w:val="0"/>
    <w:rPr>
      <w:b/>
    </w:rPr>
  </w:style>
  <w:style w:type="character" w:customStyle="1" w:styleId="52">
    <w:name w:val="WW_CharLFO3LVL2"/>
    <w:qFormat/>
    <w:uiPriority w:val="0"/>
  </w:style>
  <w:style w:type="character" w:customStyle="1" w:styleId="53">
    <w:name w:val="WW_CharLFO3LVL3"/>
    <w:qFormat/>
    <w:uiPriority w:val="0"/>
  </w:style>
  <w:style w:type="character" w:customStyle="1" w:styleId="54">
    <w:name w:val="WW_CharLFO4LVL1"/>
    <w:qFormat/>
    <w:uiPriority w:val="0"/>
    <w:rPr>
      <w:b/>
    </w:rPr>
  </w:style>
  <w:style w:type="character" w:customStyle="1" w:styleId="55">
    <w:name w:val="WW_CharLFO4LVL2"/>
    <w:qFormat/>
    <w:uiPriority w:val="0"/>
  </w:style>
  <w:style w:type="character" w:customStyle="1" w:styleId="56">
    <w:name w:val="WW_CharLFO4LVL3"/>
    <w:qFormat/>
    <w:uiPriority w:val="0"/>
  </w:style>
  <w:style w:type="character" w:customStyle="1" w:styleId="57">
    <w:name w:val="Comment Text Char"/>
    <w:basedOn w:val="7"/>
    <w:qFormat/>
    <w:uiPriority w:val="0"/>
    <w:rPr>
      <w:rFonts w:cs="Mangal"/>
      <w:sz w:val="20"/>
      <w:szCs w:val="18"/>
    </w:rPr>
  </w:style>
  <w:style w:type="character" w:customStyle="1" w:styleId="58">
    <w:name w:val="Comment Reference"/>
    <w:basedOn w:val="7"/>
    <w:qFormat/>
    <w:uiPriority w:val="0"/>
    <w:rPr>
      <w:sz w:val="16"/>
      <w:szCs w:val="16"/>
    </w:rPr>
  </w:style>
  <w:style w:type="character" w:customStyle="1" w:styleId="59">
    <w:name w:val="Quote Char"/>
    <w:basedOn w:val="7"/>
    <w:link w:val="60"/>
    <w:qFormat/>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0">
    <w:name w:val="Citação1"/>
    <w:basedOn w:val="1"/>
    <w:next w:val="1"/>
    <w:link w:val="59"/>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61">
    <w:name w:val="Manoel"/>
    <w:qFormat/>
    <w:uiPriority w:val="0"/>
    <w:rPr>
      <w:rFonts w:ascii="Arial" w:hAnsi="Arial" w:cs="Arial"/>
      <w:color w:val="7030A0"/>
      <w:sz w:val="20"/>
    </w:rPr>
  </w:style>
  <w:style w:type="paragraph" w:customStyle="1" w:styleId="62">
    <w:name w:val="LO-Normal"/>
    <w:qFormat/>
    <w:uiPriority w:val="0"/>
    <w:pPr>
      <w:keepNext/>
      <w:widowControl w:val="0"/>
      <w:shd w:val="clear" w:color="auto" w:fill="FFFFFF"/>
      <w:suppressAutoHyphens/>
      <w:textAlignment w:val="baseline"/>
    </w:pPr>
    <w:rPr>
      <w:rFonts w:ascii="Liberation Serif" w:hAnsi="Liberation Serif" w:eastAsia="WenQuanYi Micro Hei" w:cs="Lohit Hindi"/>
      <w:sz w:val="24"/>
      <w:szCs w:val="24"/>
      <w:lang w:val="pt-BR" w:eastAsia="zh-CN" w:bidi="hi-IN"/>
    </w:rPr>
  </w:style>
  <w:style w:type="paragraph" w:customStyle="1" w:styleId="63">
    <w:name w:val="Índice"/>
    <w:basedOn w:val="1"/>
    <w:uiPriority w:val="0"/>
    <w:pPr>
      <w:suppressLineNumbers/>
    </w:pPr>
    <w:rPr>
      <w:rFonts w:cs="Lohit Hindi"/>
    </w:rPr>
  </w:style>
  <w:style w:type="paragraph" w:styleId="64">
    <w:name w:val="List Paragraph"/>
    <w:basedOn w:val="1"/>
    <w:qFormat/>
    <w:uiPriority w:val="34"/>
    <w:pPr>
      <w:tabs>
        <w:tab w:val="left" w:pos="-12"/>
      </w:tabs>
      <w:ind w:left="720"/>
    </w:pPr>
  </w:style>
  <w:style w:type="paragraph" w:customStyle="1" w:styleId="65">
    <w:name w:val="Nível 2"/>
    <w:qFormat/>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sz w:val="20"/>
      <w:szCs w:val="20"/>
      <w:lang w:val="pt-BR" w:eastAsia="zh-CN" w:bidi="hi-IN"/>
    </w:rPr>
  </w:style>
  <w:style w:type="paragraph" w:styleId="66">
    <w:name w:val="Quote"/>
    <w:basedOn w:val="1"/>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paragraph" w:customStyle="1" w:styleId="67">
    <w:name w:val="citação 2"/>
    <w:basedOn w:val="66"/>
    <w:qFormat/>
    <w:uiPriority w:val="0"/>
    <w:rPr>
      <w:szCs w:val="20"/>
    </w:rPr>
  </w:style>
  <w:style w:type="paragraph" w:customStyle="1" w:styleId="68">
    <w:name w:val="em_0020ementa"/>
    <w:basedOn w:val="1"/>
    <w:qFormat/>
    <w:uiPriority w:val="0"/>
    <w:pPr>
      <w:tabs>
        <w:tab w:val="left" w:pos="-3452"/>
      </w:tabs>
      <w:ind w:left="4160"/>
      <w:jc w:val="both"/>
    </w:pPr>
    <w:rPr>
      <w:rFonts w:ascii="Times New Roman" w:hAnsi="Times New Roman" w:cs="Times New Roman"/>
      <w:sz w:val="28"/>
      <w:szCs w:val="28"/>
    </w:rPr>
  </w:style>
  <w:style w:type="paragraph" w:customStyle="1" w:styleId="69">
    <w:name w:val="Conteúdo da tabela"/>
    <w:basedOn w:val="1"/>
    <w:uiPriority w:val="0"/>
    <w:pPr>
      <w:suppressLineNumbers/>
    </w:pPr>
  </w:style>
  <w:style w:type="paragraph" w:customStyle="1" w:styleId="70">
    <w:name w:val="Comment Text"/>
    <w:basedOn w:val="62"/>
    <w:qFormat/>
    <w:uiPriority w:val="0"/>
    <w:rPr>
      <w:rFonts w:cs="Mangal"/>
      <w:sz w:val="20"/>
      <w:szCs w:val="18"/>
    </w:rPr>
  </w:style>
  <w:style w:type="paragraph" w:customStyle="1" w:styleId="71">
    <w:name w:val="Citações"/>
    <w:basedOn w:val="1"/>
    <w:qFormat/>
    <w:uiPriority w:val="0"/>
    <w:pPr>
      <w:spacing w:after="283"/>
      <w:ind w:left="567" w:right="567"/>
    </w:pPr>
  </w:style>
  <w:style w:type="paragraph" w:customStyle="1" w:styleId="72">
    <w:name w:val="Título do documento"/>
    <w:basedOn w:val="3"/>
    <w:next w:val="4"/>
    <w:uiPriority w:val="0"/>
    <w:pPr>
      <w:jc w:val="center"/>
    </w:pPr>
    <w:rPr>
      <w:b/>
      <w:bCs/>
      <w:sz w:val="56"/>
      <w:szCs w:val="56"/>
    </w:rPr>
  </w:style>
  <w:style w:type="paragraph" w:customStyle="1" w:styleId="73">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0"/>
      <w:szCs w:val="24"/>
      <w:lang w:val="pt-BR" w:eastAsia="zh-CN" w:bidi="hi-IN"/>
    </w:rPr>
  </w:style>
  <w:style w:type="paragraph" w:customStyle="1" w:styleId="74">
    <w:name w:val="Linha horizontal"/>
    <w:basedOn w:val="1"/>
    <w:next w:val="4"/>
    <w:uiPriority w:val="0"/>
    <w:pPr>
      <w:suppressLineNumbers/>
      <w:pBdr>
        <w:bottom w:val="double" w:color="808080" w:sz="2" w:space="0"/>
      </w:pBdr>
      <w:spacing w:after="283"/>
    </w:pPr>
    <w:rPr>
      <w:sz w:val="12"/>
      <w:szCs w:val="12"/>
    </w:rPr>
  </w:style>
  <w:style w:type="paragraph" w:customStyle="1" w:styleId="75">
    <w:name w:val="Título de tabela"/>
    <w:basedOn w:val="69"/>
    <w:qFormat/>
    <w:uiPriority w:val="0"/>
    <w:pPr>
      <w:jc w:val="center"/>
    </w:pPr>
    <w:rPr>
      <w:b/>
      <w:bCs/>
    </w:rPr>
  </w:style>
  <w:style w:type="character" w:customStyle="1" w:styleId="76">
    <w:name w:val="Texto de comentário Char"/>
    <w:basedOn w:val="7"/>
    <w:link w:val="13"/>
    <w:qFormat/>
    <w:uiPriority w:val="99"/>
    <w:rPr>
      <w:rFonts w:ascii="Ecofont_Spranq_eco_Sans" w:hAnsi="Ecofont_Spranq_eco_Sans" w:eastAsia="Times New Roman" w:cs="Tahoma"/>
      <w:color w:val="00000A"/>
      <w:sz w:val="20"/>
      <w:szCs w:val="20"/>
      <w:shd w:val="clear" w:color="auto" w:fill="FFFFFF"/>
      <w:lang w:eastAsia="pt-BR" w:bidi="ar-SA"/>
    </w:rPr>
  </w:style>
  <w:style w:type="character" w:customStyle="1" w:styleId="77">
    <w:name w:val="Corpo de texto Char"/>
    <w:basedOn w:val="7"/>
    <w:link w:val="12"/>
    <w:qFormat/>
    <w:uiPriority w:val="0"/>
    <w:rPr>
      <w:rFonts w:ascii="Times New Roman" w:hAnsi="Times New Roman" w:eastAsia="Arial Unicode MS" w:cs="Times New Roman"/>
      <w:szCs w:val="20"/>
      <w:lang w:eastAsia="pt-BR" w:bidi="ar-SA"/>
    </w:rPr>
  </w:style>
  <w:style w:type="paragraph" w:customStyle="1" w:styleId="78">
    <w:name w:val="Nivel 2"/>
    <w:link w:val="87"/>
    <w:qFormat/>
    <w:uiPriority w:val="0"/>
    <w:pPr>
      <w:numPr>
        <w:ilvl w:val="1"/>
        <w:numId w:val="2"/>
      </w:numPr>
      <w:spacing w:before="120" w:after="120" w:line="276" w:lineRule="auto"/>
      <w:jc w:val="both"/>
      <w:textAlignment w:val="auto"/>
    </w:pPr>
    <w:rPr>
      <w:rFonts w:ascii="Ecofont_Spranq_eco_Sans" w:hAnsi="Ecofont_Spranq_eco_Sans" w:eastAsia="Arial Unicode MS" w:cs="Times New Roman"/>
      <w:sz w:val="20"/>
      <w:szCs w:val="20"/>
      <w:lang w:val="pt-BR" w:eastAsia="pt-BR" w:bidi="ar-SA"/>
    </w:rPr>
  </w:style>
  <w:style w:type="paragraph" w:customStyle="1" w:styleId="79">
    <w:name w:val="Nivel 1"/>
    <w:basedOn w:val="78"/>
    <w:next w:val="78"/>
    <w:qFormat/>
    <w:uiPriority w:val="0"/>
    <w:pPr>
      <w:numPr>
        <w:ilvl w:val="0"/>
      </w:numPr>
    </w:pPr>
    <w:rPr>
      <w:rFonts w:cs="Arial"/>
      <w:b/>
    </w:rPr>
  </w:style>
  <w:style w:type="paragraph" w:customStyle="1" w:styleId="80">
    <w:name w:val="Nivel 3"/>
    <w:basedOn w:val="78"/>
    <w:link w:val="88"/>
    <w:qFormat/>
    <w:uiPriority w:val="0"/>
    <w:pPr>
      <w:numPr>
        <w:ilvl w:val="2"/>
      </w:numPr>
    </w:pPr>
    <w:rPr>
      <w:rFonts w:cs="Arial"/>
      <w:color w:val="000000"/>
    </w:rPr>
  </w:style>
  <w:style w:type="paragraph" w:customStyle="1" w:styleId="81">
    <w:name w:val="Nivel 4"/>
    <w:basedOn w:val="80"/>
    <w:link w:val="83"/>
    <w:qFormat/>
    <w:uiPriority w:val="0"/>
    <w:pPr>
      <w:numPr>
        <w:ilvl w:val="3"/>
      </w:numPr>
    </w:pPr>
    <w:rPr>
      <w:color w:val="auto"/>
    </w:rPr>
  </w:style>
  <w:style w:type="paragraph" w:customStyle="1" w:styleId="82">
    <w:name w:val="Nivel 5"/>
    <w:basedOn w:val="81"/>
    <w:qFormat/>
    <w:uiPriority w:val="0"/>
    <w:pPr>
      <w:numPr>
        <w:ilvl w:val="4"/>
      </w:numPr>
      <w:tabs>
        <w:tab w:val="left" w:pos="360"/>
      </w:tabs>
      <w:ind w:left="2496" w:hanging="1080"/>
    </w:pPr>
  </w:style>
  <w:style w:type="character" w:customStyle="1" w:styleId="83">
    <w:name w:val="Nivel 4 Char"/>
    <w:basedOn w:val="7"/>
    <w:link w:val="81"/>
    <w:qFormat/>
    <w:uiPriority w:val="0"/>
    <w:rPr>
      <w:rFonts w:ascii="Ecofont_Spranq_eco_Sans" w:hAnsi="Ecofont_Spranq_eco_Sans" w:eastAsia="Arial Unicode MS" w:cs="Arial"/>
      <w:sz w:val="20"/>
      <w:szCs w:val="20"/>
      <w:lang w:eastAsia="pt-BR" w:bidi="ar-SA"/>
    </w:rPr>
  </w:style>
  <w:style w:type="paragraph" w:customStyle="1" w:styleId="84">
    <w:name w:val="Grade Colorida - Ênfase 11"/>
    <w:basedOn w:val="1"/>
    <w:next w:val="1"/>
    <w:link w:val="85"/>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85">
    <w:name w:val="Grade Colorida - Ênfase 1 Char"/>
    <w:link w:val="84"/>
    <w:qFormat/>
    <w:uiPriority w:val="29"/>
    <w:rPr>
      <w:rFonts w:ascii="Ecofont_Spranq_eco_Sans" w:hAnsi="Ecofont_Spranq_eco_Sans" w:eastAsia="Calibri" w:cs="Tahoma"/>
      <w:i/>
      <w:iCs/>
      <w:color w:val="000000"/>
      <w:sz w:val="20"/>
      <w:shd w:val="clear" w:color="auto" w:fill="FFFFCC"/>
      <w:lang w:eastAsia="en-US" w:bidi="ar-SA"/>
    </w:rPr>
  </w:style>
  <w:style w:type="character" w:customStyle="1" w:styleId="86">
    <w:name w:val="Assunto do comentário Char"/>
    <w:basedOn w:val="76"/>
    <w:link w:val="18"/>
    <w:semiHidden/>
    <w:qFormat/>
    <w:uiPriority w:val="99"/>
    <w:rPr>
      <w:rFonts w:ascii="Ecofont_Spranq_eco_Sans" w:hAnsi="Ecofont_Spranq_eco_Sans" w:eastAsia="Times New Roman" w:cs="Tahoma"/>
      <w:b/>
      <w:bCs/>
      <w:color w:val="00000A"/>
      <w:sz w:val="20"/>
      <w:szCs w:val="20"/>
      <w:shd w:val="clear" w:color="auto" w:fill="FFFFFF"/>
      <w:lang w:eastAsia="pt-BR" w:bidi="ar-SA"/>
    </w:rPr>
  </w:style>
  <w:style w:type="character" w:customStyle="1" w:styleId="87">
    <w:name w:val="Nivel 2 Char"/>
    <w:basedOn w:val="7"/>
    <w:link w:val="78"/>
    <w:qFormat/>
    <w:uiPriority w:val="0"/>
    <w:rPr>
      <w:rFonts w:ascii="Ecofont_Spranq_eco_Sans" w:hAnsi="Ecofont_Spranq_eco_Sans" w:eastAsia="Arial Unicode MS" w:cs="Times New Roman"/>
      <w:sz w:val="20"/>
      <w:szCs w:val="20"/>
      <w:lang w:eastAsia="pt-BR" w:bidi="ar-SA"/>
    </w:rPr>
  </w:style>
  <w:style w:type="character" w:customStyle="1" w:styleId="88">
    <w:name w:val="Nivel 3 Char"/>
    <w:basedOn w:val="7"/>
    <w:link w:val="80"/>
    <w:qFormat/>
    <w:uiPriority w:val="0"/>
    <w:rPr>
      <w:rFonts w:ascii="Ecofont_Spranq_eco_Sans" w:hAnsi="Ecofont_Spranq_eco_Sans" w:eastAsia="Arial Unicode MS" w:cs="Arial"/>
      <w:color w:val="000000"/>
      <w:sz w:val="20"/>
      <w:szCs w:val="20"/>
      <w:lang w:eastAsia="pt-BR" w:bidi="ar-SA"/>
    </w:rPr>
  </w:style>
  <w:style w:type="character" w:customStyle="1" w:styleId="89">
    <w:name w:val="Grade Média 2 - Ênfase 2 Char"/>
    <w:qFormat/>
    <w:uiPriority w:val="0"/>
    <w:rPr>
      <w:rFonts w:ascii="Ecofont_Spranq_eco_Sans" w:hAnsi="Ecofont_Spranq_eco_Sans" w:eastAsia="Calibri" w:cs="Ecofont_Spranq_eco_Sans"/>
      <w:i/>
      <w:iCs/>
      <w:color w:val="000000"/>
      <w:szCs w:val="24"/>
      <w:shd w:val="clear" w:color="auto" w:fill="FFFFCC"/>
    </w:rPr>
  </w:style>
  <w:style w:type="table" w:styleId="90">
    <w:name w:val="Medium Grid 2 Accent 2"/>
    <w:basedOn w:val="8"/>
    <w:semiHidden/>
    <w:unhideWhenUsed/>
    <w:qFormat/>
    <w:uiPriority w:val="0"/>
    <w:rPr>
      <w:rFonts w:ascii="Ecofont_Spranq_eco_Sans" w:hAnsi="Ecofont_Spranq_eco_Sans" w:eastAsia="Calibri" w:cs="Ecofont_Spranq_eco_Sans"/>
      <w:i/>
      <w:iCs/>
      <w:color w:val="000000"/>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tcPr>
        <w:shd w:val="clear" w:color="auto" w:fill="F8EDED" w:themeFill="accent2" w:themeFillTint="19"/>
      </w:tcPr>
    </w:tblStylePr>
    <w:tblStylePr w:type="lastRow">
      <w:tcPr>
        <w:tcBorders>
          <w:top w:val="single" w:color="000000" w:themeColor="text1" w:sz="12" w:space="0"/>
          <w:left w:val="nil"/>
          <w:bottom w:val="nil"/>
          <w:right w:val="nil"/>
          <w:insideH w:val="nil"/>
          <w:insideV w:val="nil"/>
        </w:tcBorders>
        <w:shd w:val="clear" w:color="auto" w:fill="FFFFFF" w:themeFill="background1"/>
      </w:tcPr>
    </w:tblStylePr>
    <w:tblStylePr w:type="firstCol">
      <w:tcPr>
        <w:tcBorders>
          <w:top w:val="nil"/>
          <w:left w:val="nil"/>
          <w:bottom w:val="nil"/>
          <w:right w:val="nil"/>
          <w:insideH w:val="nil"/>
          <w:insideV w:val="nil"/>
        </w:tcBorders>
        <w:shd w:val="clear" w:color="auto" w:fill="FFFFFF" w:themeFill="background1"/>
      </w:tcPr>
    </w:tblStylePr>
    <w:tblStylePr w:type="lastCol">
      <w:tcPr>
        <w:tcBorders>
          <w:top w:val="nil"/>
          <w:left w:val="nil"/>
          <w:bottom w:val="nil"/>
          <w:right w:val="nil"/>
          <w:insideH w:val="nil"/>
          <w:insideV w:val="nil"/>
        </w:tcBorders>
        <w:shd w:val="clear" w:color="auto" w:fill="F2DBDB" w:themeFill="accent2" w:themeFillTint="33"/>
      </w:tcPr>
    </w:tblStylePr>
    <w:tblStylePr w:type="band1Vert">
      <w:tcPr>
        <w:shd w:val="clear" w:color="auto" w:fill="DFA7A6" w:themeFill="accent2" w:themeFillTint="7F"/>
      </w:tcPr>
    </w:tblStylePr>
    <w:tblStylePr w:type="band1Horz">
      <w:tcPr>
        <w:tcBorders>
          <w:insideH w:val="single" w:sz="6" w:space="0"/>
          <w:insideV w:val="single" w:sz="6" w:space="0"/>
        </w:tcBorders>
        <w:shd w:val="clear" w:color="auto" w:fill="DFA7A6" w:themeFill="accent2" w:themeFillTint="7F"/>
      </w:tcPr>
    </w:tblStylePr>
    <w:tblStylePr w:type="nwCell">
      <w:tcPr>
        <w:shd w:val="clear" w:color="auto" w:fill="FFFFFF" w:themeFill="background1"/>
      </w:tcPr>
    </w:tblStylePr>
  </w:style>
  <w:style w:type="paragraph" w:customStyle="1" w:styleId="91">
    <w:name w:val="Revision"/>
    <w:hidden/>
    <w:semiHidden/>
    <w:qFormat/>
    <w:uiPriority w:val="99"/>
    <w:pPr>
      <w:textAlignment w:val="auto"/>
    </w:pPr>
    <w:rPr>
      <w:rFonts w:ascii="Ecofont_Spranq_eco_Sans" w:hAnsi="Ecofont_Spranq_eco_Sans" w:eastAsia="Times New Roman" w:cs="Tahoma"/>
      <w:color w:val="00000A"/>
      <w:sz w:val="24"/>
      <w:szCs w:val="24"/>
      <w:lang w:val="pt-BR" w:eastAsia="pt-BR" w:bidi="ar-SA"/>
    </w:rPr>
  </w:style>
  <w:style w:type="paragraph" w:customStyle="1" w:styleId="92">
    <w:name w:val="Citação10"/>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93">
    <w:name w:val="Normal + Times New Roman"/>
    <w:basedOn w:val="1"/>
    <w:qFormat/>
    <w:uiPriority w:val="0"/>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94">
    <w:name w:val="Parágrafo da Lista1"/>
    <w:basedOn w:val="1"/>
    <w:qFormat/>
    <w:uiPriority w:val="0"/>
    <w:pPr>
      <w:keepNext w:val="0"/>
      <w:shd w:val="clear" w:color="auto" w:fill="auto"/>
      <w:tabs>
        <w:tab w:val="clear" w:pos="708"/>
      </w:tabs>
      <w:suppressAutoHyphens w:val="0"/>
      <w:overflowPunct/>
      <w:ind w:left="720"/>
      <w:textAlignment w:val="auto"/>
    </w:pPr>
    <w:rPr>
      <w:color w:val="auto"/>
    </w:rPr>
  </w:style>
  <w:style w:type="paragraph" w:customStyle="1" w:styleId="95">
    <w:name w:val="Nivel1"/>
    <w:basedOn w:val="2"/>
    <w:next w:val="1"/>
    <w:link w:val="101"/>
    <w:qFormat/>
    <w:uiPriority w:val="0"/>
    <w:pPr>
      <w:keepLines/>
      <w:numPr>
        <w:ilvl w:val="0"/>
        <w:numId w:val="0"/>
      </w:numPr>
      <w:shd w:val="clear" w:color="auto" w:fill="auto"/>
      <w:tabs>
        <w:tab w:val="left" w:pos="360"/>
        <w:tab w:val="clear" w:pos="708"/>
      </w:tabs>
      <w:suppressAutoHyphens w:val="0"/>
      <w:overflowPunct/>
      <w:spacing w:before="480" w:line="276" w:lineRule="auto"/>
      <w:ind w:left="357" w:hanging="357"/>
      <w:jc w:val="both"/>
      <w:textAlignment w:val="auto"/>
    </w:pPr>
    <w:rPr>
      <w:rFonts w:ascii="Arial" w:hAnsi="Arial" w:cs="Arial" w:eastAsiaTheme="majorEastAsia"/>
      <w:bCs w:val="0"/>
      <w:color w:val="000000"/>
      <w:sz w:val="20"/>
      <w:szCs w:val="20"/>
    </w:rPr>
  </w:style>
  <w:style w:type="paragraph" w:customStyle="1" w:styleId="96">
    <w:name w:val="paragraph"/>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97">
    <w:name w:val="normaltextrun"/>
    <w:basedOn w:val="7"/>
    <w:qFormat/>
    <w:uiPriority w:val="0"/>
  </w:style>
  <w:style w:type="character" w:customStyle="1" w:styleId="98">
    <w:name w:val="eop"/>
    <w:basedOn w:val="7"/>
    <w:qFormat/>
    <w:uiPriority w:val="0"/>
  </w:style>
  <w:style w:type="character" w:customStyle="1" w:styleId="99">
    <w:name w:val="spellingerror"/>
    <w:basedOn w:val="7"/>
    <w:qFormat/>
    <w:uiPriority w:val="0"/>
  </w:style>
  <w:style w:type="paragraph" w:customStyle="1" w:styleId="100">
    <w:name w:val="Citação2"/>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101">
    <w:name w:val="Nivel1 Char"/>
    <w:basedOn w:val="7"/>
    <w:link w:val="95"/>
    <w:qFormat/>
    <w:locked/>
    <w:uiPriority w:val="0"/>
    <w:rPr>
      <w:rFonts w:ascii="Arial" w:hAnsi="Arial" w:cs="Arial" w:eastAsiaTheme="majorEastAsia"/>
      <w:b/>
      <w:color w:val="000000"/>
      <w:sz w:val="20"/>
      <w:szCs w:val="20"/>
      <w:lang w:eastAsia="pt-BR" w:bidi="ar-SA"/>
    </w:rPr>
  </w:style>
  <w:style w:type="paragraph" w:customStyle="1" w:styleId="102">
    <w:name w:val="Nivel 01"/>
    <w:basedOn w:val="2"/>
    <w:next w:val="1"/>
    <w:link w:val="103"/>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eastAsiaTheme="majorEastAsia" w:cstheme="majorBidi"/>
      <w:color w:val="000000"/>
      <w:sz w:val="32"/>
      <w:szCs w:val="32"/>
    </w:rPr>
  </w:style>
  <w:style w:type="character" w:customStyle="1" w:styleId="103">
    <w:name w:val="Nivel 01 Char"/>
    <w:basedOn w:val="7"/>
    <w:link w:val="102"/>
    <w:qFormat/>
    <w:uiPriority w:val="0"/>
    <w:rPr>
      <w:rFonts w:ascii="Arial" w:hAnsi="Arial" w:eastAsiaTheme="majorEastAsia" w:cstheme="majorBidi"/>
      <w:b/>
      <w:bCs/>
      <w:color w:val="000000"/>
      <w:sz w:val="32"/>
      <w:szCs w:val="32"/>
      <w:lang w:eastAsia="pt-BR" w:bidi="ar-SA"/>
    </w:rPr>
  </w:style>
  <w:style w:type="character" w:customStyle="1" w:styleId="104">
    <w:name w:val="Texto sem Formatação Char"/>
    <w:basedOn w:val="7"/>
    <w:link w:val="16"/>
    <w:semiHidden/>
    <w:qFormat/>
    <w:uiPriority w:val="99"/>
    <w:rPr>
      <w:rFonts w:ascii="Calibri" w:hAnsi="Calibri" w:eastAsiaTheme="minorHAnsi" w:cstheme="minorBidi"/>
      <w:sz w:val="22"/>
      <w:szCs w:val="21"/>
      <w:lang w:eastAsia="en-US" w:bidi="ar-SA"/>
    </w:rPr>
  </w:style>
  <w:style w:type="paragraph" w:customStyle="1" w:styleId="105">
    <w:name w:val="x_western"/>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6">
    <w:name w:val="Normal_1"/>
    <w:qFormat/>
    <w:uiPriority w:val="0"/>
    <w:pPr>
      <w:textAlignment w:val="auto"/>
    </w:pPr>
    <w:rPr>
      <w:rFonts w:ascii="Times New Roman" w:hAnsi="Times New Roman" w:eastAsia="Times New Roman" w:cs="Times New Roman"/>
      <w:sz w:val="24"/>
      <w:szCs w:val="22"/>
      <w:lang w:val="pt-BR" w:eastAsia="en-US" w:bidi="ar-SA"/>
    </w:rPr>
  </w:style>
  <w:style w:type="paragraph" w:customStyle="1" w:styleId="107">
    <w:name w:val="textbody"/>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8">
    <w:name w:val="xl72"/>
    <w:basedOn w:val="1"/>
    <w:qFormat/>
    <w:uiPriority w:val="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109">
    <w:name w:val="Standard"/>
    <w:qFormat/>
    <w:uiPriority w:val="0"/>
    <w:pPr>
      <w:suppressAutoHyphens/>
      <w:autoSpaceDN w:val="0"/>
      <w:spacing w:after="200" w:line="276" w:lineRule="auto"/>
      <w:textAlignment w:val="baseline"/>
    </w:pPr>
    <w:rPr>
      <w:rFonts w:ascii="Calibri" w:hAnsi="Calibri" w:eastAsia="Segoe UI" w:cs="Tahoma"/>
      <w:sz w:val="22"/>
      <w:szCs w:val="22"/>
      <w:lang w:val="pt-BR" w:eastAsia="pt-BR" w:bidi="ar-SA"/>
    </w:rPr>
  </w:style>
  <w:style w:type="character" w:customStyle="1" w:styleId="110">
    <w:name w:val="w8qarf"/>
    <w:basedOn w:val="7"/>
    <w:qFormat/>
    <w:uiPriority w:val="0"/>
  </w:style>
  <w:style w:type="character" w:customStyle="1" w:styleId="111">
    <w:name w:val="lrzxr"/>
    <w:basedOn w:val="7"/>
    <w:qFormat/>
    <w:uiPriority w:val="0"/>
  </w:style>
  <w:style w:type="paragraph" w:customStyle="1" w:styleId="112">
    <w:name w:val="Título do Conteúdo"/>
    <w:basedOn w:val="109"/>
    <w:qFormat/>
    <w:uiPriority w:val="0"/>
    <w:pPr>
      <w:keepNext/>
      <w:suppressLineNumbers/>
      <w:spacing w:before="240" w:after="120" w:line="360" w:lineRule="auto"/>
      <w:jc w:val="both"/>
    </w:pPr>
    <w:rPr>
      <w:rFonts w:ascii="Arial" w:hAnsi="Arial" w:eastAsia="Times New Roman"/>
      <w:b/>
      <w:bCs/>
      <w:sz w:val="32"/>
      <w:szCs w:val="32"/>
      <w:lang w:eastAsia="ar-SA"/>
    </w:rPr>
  </w:style>
  <w:style w:type="character" w:customStyle="1" w:styleId="113">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619D80-AE0E-4FC5-8646-B7029223346D}">
  <ds:schemaRefs/>
</ds:datastoreItem>
</file>

<file path=customXml/itemProps2.xml><?xml version="1.0" encoding="utf-8"?>
<ds:datastoreItem xmlns:ds="http://schemas.openxmlformats.org/officeDocument/2006/customXml" ds:itemID="{BBFD8ED6-DC5C-4AC2-A75D-A7D1347451F0}">
  <ds:schemaRefs/>
</ds:datastoreItem>
</file>

<file path=customXml/itemProps3.xml><?xml version="1.0" encoding="utf-8"?>
<ds:datastoreItem xmlns:ds="http://schemas.openxmlformats.org/officeDocument/2006/customXml" ds:itemID="{552F9D9B-A10A-4DD0-9B11-62F741C79D1E}">
  <ds:schemaRefs/>
</ds:datastoreItem>
</file>

<file path=customXml/itemProps4.xml><?xml version="1.0" encoding="utf-8"?>
<ds:datastoreItem xmlns:ds="http://schemas.openxmlformats.org/officeDocument/2006/customXml" ds:itemID="{D0FA922B-301D-4229-A9FF-8B2F047859B0}">
  <ds:schemaRefs/>
</ds:datastoreItem>
</file>

<file path=docProps/app.xml><?xml version="1.0" encoding="utf-8"?>
<Properties xmlns="http://schemas.openxmlformats.org/officeDocument/2006/extended-properties" xmlns:vt="http://schemas.openxmlformats.org/officeDocument/2006/docPropsVTypes">
  <Template>Normal</Template>
  <Pages>23</Pages>
  <Words>10231</Words>
  <Characters>55251</Characters>
  <Lines>460</Lines>
  <Paragraphs>130</Paragraphs>
  <TotalTime>12</TotalTime>
  <ScaleCrop>false</ScaleCrop>
  <LinksUpToDate>false</LinksUpToDate>
  <CharactersWithSpaces>65352</CharactersWithSpaces>
  <Application>WPS Office_11.2.0.11254_F1E327BC-269C-435d-A152-05C5408002CA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2022-03-01T13:19:00Z</dcterms:created>
  <dc:creator>Carlota Vargas Buranello</dc:creator>
  <cp:lastModifiedBy>JULY</cp:lastModifiedBy>
  <cp:lastPrinted>2020-05-06T13:48:00Z</cp:lastPrinted>
  <dcterms:modified xsi:type="dcterms:W3CDTF">2022-09-05T18:21:52Z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1046-11.2.0.11254</vt:lpwstr>
  </property>
  <property fmtid="{D5CDD505-2E9C-101B-9397-08002B2CF9AE}" pid="4" name="ICV">
    <vt:lpwstr>65BECB3FD9ED451981CCD91D4DBC9630</vt:lpwstr>
  </property>
</Properties>
</file>