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hint="default" w:ascii="Verdana" w:hAnsi="Verdana" w:cs="Arial"/>
          <w:b/>
          <w:bCs/>
          <w:color w:val="000000"/>
          <w:sz w:val="20"/>
          <w:szCs w:val="20"/>
          <w:lang w:val="pt-BR"/>
        </w:rPr>
      </w:pPr>
    </w:p>
    <w:p>
      <w:pPr>
        <w:keepNext w:val="0"/>
        <w:spacing w:after="120"/>
        <w:ind w:right="-17"/>
        <w:jc w:val="center"/>
        <w:rPr>
          <w:rFonts w:ascii="Verdana" w:hAnsi="Verdana" w:cs="Arial"/>
          <w:color w:val="000000" w:themeColor="text1"/>
          <w:sz w:val="20"/>
          <w:szCs w:val="20"/>
          <w14:textFill>
            <w14:solidFill>
              <w14:schemeClr w14:val="tx1"/>
            </w14:solidFill>
          </w14:textFill>
        </w:rPr>
      </w:pPr>
      <w:r>
        <w:rPr>
          <w:rFonts w:ascii="Verdana" w:hAnsi="Verdana" w:cs="Arial"/>
          <w:b/>
          <w:bCs/>
          <w:color w:val="000000" w:themeColor="text1"/>
          <w:sz w:val="20"/>
          <w:szCs w:val="20"/>
          <w:lang w:val="pt-BR"/>
          <w14:textFill>
            <w14:solidFill>
              <w14:schemeClr w14:val="tx1"/>
            </w14:solidFill>
          </w14:textFill>
        </w:rPr>
        <w:t xml:space="preserve"> EDITAL </w:t>
      </w:r>
      <w:r>
        <w:rPr>
          <w:rFonts w:ascii="Verdana" w:hAnsi="Verdana" w:cs="Arial"/>
          <w:b/>
          <w:bCs/>
          <w:color w:val="000000" w:themeColor="text1"/>
          <w:sz w:val="20"/>
          <w:szCs w:val="20"/>
          <w14:textFill>
            <w14:solidFill>
              <w14:schemeClr w14:val="tx1"/>
            </w14:solidFill>
          </w14:textFill>
        </w:rPr>
        <w:t>PREGÃO ELETRÔNICO Nº 84/2021</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23069.162514/2021-00)</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rPr>
      </w:pPr>
      <w:r>
        <w:rPr>
          <w:rFonts w:ascii="Verdana" w:hAnsi="Verdana" w:cs="Arial"/>
          <w:color w:val="000000" w:themeColor="text1"/>
          <w:sz w:val="20"/>
          <w:szCs w:val="20"/>
        </w:rPr>
        <w:t>Torna-se público que a</w:t>
      </w:r>
      <w:r>
        <w:rPr>
          <w:rFonts w:ascii="Verdana" w:hAnsi="Verdana" w:eastAsia="Arial" w:cs="Arial"/>
          <w:color w:val="000000" w:themeColor="text1"/>
          <w:sz w:val="20"/>
          <w:szCs w:val="20"/>
        </w:rPr>
        <w:t xml:space="preserve"> </w:t>
      </w:r>
      <w:r>
        <w:rPr>
          <w:rFonts w:ascii="Verdana" w:hAnsi="Verdana" w:eastAsia="Arial"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18"/>
          <w:szCs w:val="18"/>
        </w:rPr>
        <w:t xml:space="preserve">inscrita no CNPJ sob o nº 28.523.215/0001-06, </w:t>
      </w:r>
      <w:r>
        <w:rPr>
          <w:rFonts w:ascii="Verdana" w:hAnsi="Verdana" w:cs="Arial"/>
          <w:color w:val="000000" w:themeColor="text1"/>
          <w:sz w:val="20"/>
          <w:szCs w:val="20"/>
        </w:rPr>
        <w:t>por meio da</w:t>
      </w:r>
      <w:r>
        <w:rPr>
          <w:rFonts w:ascii="Verdana" w:hAnsi="Verdana" w:eastAsia="Arial" w:cs="Arial"/>
          <w:color w:val="000000" w:themeColor="text1"/>
          <w:sz w:val="20"/>
          <w:szCs w:val="20"/>
        </w:rPr>
        <w:t xml:space="preserve"> </w:t>
      </w:r>
      <w:r>
        <w:rPr>
          <w:rFonts w:ascii="Verdana" w:hAnsi="Verdana"/>
          <w:sz w:val="18"/>
          <w:szCs w:val="18"/>
        </w:rPr>
        <w:t>sua Comissão de Licitação da Pró-Reitoria de Administração, instituída pela Portaria n.º 57.050 de 01 de setembro de 2016</w:t>
      </w:r>
      <w:r>
        <w:rPr>
          <w:rFonts w:ascii="Verdana" w:hAnsi="Verdana" w:cs="Arial"/>
          <w:color w:val="000000" w:themeColor="text1"/>
          <w:sz w:val="20"/>
          <w:szCs w:val="20"/>
        </w:rPr>
        <w:t>, sediada</w:t>
      </w:r>
      <w:r>
        <w:rPr>
          <w:rFonts w:ascii="Verdana" w:hAnsi="Verdana" w:eastAsia="Arial" w:cs="Arial"/>
          <w:color w:val="000000" w:themeColor="text1"/>
          <w:sz w:val="20"/>
          <w:szCs w:val="20"/>
        </w:rPr>
        <w:t xml:space="preserve"> </w:t>
      </w:r>
      <w:r>
        <w:rPr>
          <w:rFonts w:ascii="Verdana" w:hAnsi="Verdana"/>
          <w:sz w:val="18"/>
          <w:szCs w:val="18"/>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maior desconto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rPr>
      </w:pPr>
    </w:p>
    <w:p>
      <w:pPr>
        <w:pStyle w:val="74"/>
        <w:keepNext w:val="0"/>
        <w:shd w:val="clear" w:color="auto" w:fill="auto"/>
        <w:ind w:firstLine="0"/>
        <w:jc w:val="center"/>
        <w:rPr>
          <w:rFonts w:hint="default" w:ascii="Verdana" w:hAnsi="Verdana" w:cs="Arial"/>
          <w:color w:val="000000" w:themeColor="text1"/>
          <w:szCs w:val="20"/>
          <w:lang w:val="pt-BR"/>
          <w14:textFill>
            <w14:solidFill>
              <w14:schemeClr w14:val="tx1"/>
            </w14:solidFill>
          </w14:textFill>
        </w:rPr>
      </w:pPr>
      <w:r>
        <w:rPr>
          <w:rFonts w:ascii="Verdana" w:hAnsi="Verdana" w:cs="Arial"/>
          <w:szCs w:val="20"/>
        </w:rPr>
        <w:t>Data da sessão:</w:t>
      </w:r>
      <w:r>
        <w:rPr>
          <w:rFonts w:ascii="Verdana" w:hAnsi="Verdana" w:cs="Arial"/>
          <w:color w:val="000000" w:themeColor="text1"/>
          <w:szCs w:val="20"/>
          <w14:textFill>
            <w14:solidFill>
              <w14:schemeClr w14:val="tx1"/>
            </w14:solidFill>
          </w14:textFill>
        </w:rPr>
        <w:t xml:space="preserve"> </w:t>
      </w:r>
      <w:r>
        <w:rPr>
          <w:rFonts w:hint="default" w:ascii="Verdana" w:hAnsi="Verdana" w:cs="Arial"/>
          <w:b/>
          <w:bCs/>
          <w:color w:val="000000" w:themeColor="text1"/>
          <w:szCs w:val="20"/>
          <w:lang w:val="pt-BR"/>
          <w14:textFill>
            <w14:solidFill>
              <w14:schemeClr w14:val="tx1"/>
            </w14:solidFill>
          </w14:textFill>
        </w:rPr>
        <w:t>15/12/2021</w:t>
      </w:r>
    </w:p>
    <w:p>
      <w:pPr>
        <w:pStyle w:val="74"/>
        <w:keepNext w:val="0"/>
        <w:widowControl/>
        <w:shd w:val="clear" w:color="auto" w:fill="auto"/>
        <w:spacing w:before="120" w:after="120"/>
        <w:ind w:firstLine="0"/>
        <w:jc w:val="center"/>
        <w:rPr>
          <w:rFonts w:hint="default" w:ascii="Verdana" w:hAnsi="Verdana" w:cs="Arial"/>
          <w:color w:val="FF0000"/>
          <w:szCs w:val="20"/>
          <w:lang w:val="pt-BR"/>
        </w:rPr>
      </w:pPr>
      <w:r>
        <w:rPr>
          <w:rFonts w:ascii="Verdana" w:hAnsi="Verdana" w:cs="Arial"/>
          <w:szCs w:val="20"/>
        </w:rPr>
        <w:t xml:space="preserve">Horário: </w:t>
      </w:r>
      <w:r>
        <w:rPr>
          <w:rFonts w:hint="default" w:ascii="Verdana" w:hAnsi="Verdana" w:cs="Arial"/>
          <w:b/>
          <w:bCs/>
          <w:color w:val="000000" w:themeColor="text1"/>
          <w:szCs w:val="20"/>
          <w:lang w:val="pt-BR"/>
          <w14:textFill>
            <w14:solidFill>
              <w14:schemeClr w14:val="tx1"/>
            </w14:solidFill>
          </w14:textFill>
        </w:rPr>
        <w:t>10:00h</w:t>
      </w:r>
      <w:bookmarkStart w:id="16" w:name="_GoBack"/>
      <w:bookmarkEnd w:id="16"/>
    </w:p>
    <w:p>
      <w:pPr>
        <w:pStyle w:val="74"/>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4"/>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4"/>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engenharia, para</w:t>
      </w:r>
      <w:bookmarkEnd w:id="0"/>
      <w:r>
        <w:rPr>
          <w:rFonts w:ascii="Verdana" w:hAnsi="Verdana" w:cs="Calibri"/>
          <w:bCs/>
          <w:color w:val="000000"/>
          <w:szCs w:val="20"/>
          <w:shd w:val="clear" w:color="auto" w:fill="FFFFFF"/>
        </w:rPr>
        <w:t xml:space="preserve"> reforma da Secretaria de Acessibilidade e Inclusão – SAI/PROAES – Sensibiliza - UFF</w:t>
      </w:r>
      <w:r>
        <w:rPr>
          <w:rFonts w:ascii="Verdana" w:hAnsi="Verdana" w:cs="Arial"/>
          <w:szCs w:val="20"/>
        </w:rPr>
        <w:t>, conforme condições, quantidades e exigências estabelecidas neste Edital e seus anexos.</w:t>
      </w:r>
    </w:p>
    <w:p>
      <w:pPr>
        <w:pStyle w:val="74"/>
        <w:keepNext w:val="0"/>
        <w:widowControl/>
        <w:numPr>
          <w:ilvl w:val="2"/>
          <w:numId w:val="3"/>
        </w:numPr>
        <w:shd w:val="clear" w:color="auto" w:fill="auto"/>
        <w:spacing w:before="120" w:after="120"/>
        <w:rPr>
          <w:rFonts w:ascii="Verdana" w:hAnsi="Verdana" w:cs="Arial"/>
          <w:szCs w:val="20"/>
        </w:rPr>
      </w:pPr>
      <w:r>
        <w:rPr>
          <w:rFonts w:ascii="Verdana" w:hAnsi="Verdana" w:eastAsia="Calibri" w:cstheme="minorHAnsi"/>
          <w:bCs/>
          <w:sz w:val="18"/>
          <w:szCs w:val="18"/>
        </w:rPr>
        <w:t xml:space="preserve">Local: Andar térreo do bloco A, Campus do Gragoatá, à Rua Professor Marcos Waldemar Freitas Reis, s/n.º, bairro de São Domingos, Niterói-RJ. </w:t>
      </w:r>
    </w:p>
    <w:p>
      <w:pPr>
        <w:pStyle w:val="74"/>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A licitação será realizada em 01 (um) grupo, formado por vários itens, conforme planilha de Orçamento constante no Anexo III-A.</w:t>
      </w:r>
    </w:p>
    <w:p>
      <w:pPr>
        <w:pStyle w:val="74"/>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critério de julgamento adotado será o de </w:t>
      </w:r>
      <w:r>
        <w:rPr>
          <w:rFonts w:ascii="Verdana" w:hAnsi="Verdana" w:cs="Arial"/>
          <w:iCs/>
          <w:szCs w:val="20"/>
          <w:u w:val="single"/>
        </w:rPr>
        <w:t>maior desconto</w:t>
      </w:r>
      <w:r>
        <w:rPr>
          <w:rFonts w:ascii="Verdana" w:hAnsi="Verdana" w:cs="Arial"/>
          <w:szCs w:val="20"/>
        </w:rPr>
        <w:t>, para a execução de todos os serviços relacionados nos itens da planilha de Orçamento (Anexo III-A), observadas as exigências contidas neste Edital e seus Anexos quanto às especificações do objeto.</w:t>
      </w:r>
    </w:p>
    <w:p>
      <w:pPr>
        <w:pStyle w:val="74"/>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O percentual de desconto proposto, resultado da fase de lances, deverá incidir igualmente sobre todos os preços unitários constantes da planilha de orçamento (Anexo III-A), que irá resultar no valor total da proposta da licitante vencedora.</w:t>
      </w:r>
    </w:p>
    <w:p>
      <w:pPr>
        <w:pStyle w:val="74"/>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O licitante será contratado para efetuar os serviços de todos os itens do grupo.</w:t>
      </w:r>
      <w:r>
        <w:rPr>
          <w:rFonts w:ascii="Verdana" w:hAnsi="Verdana" w:cs="Arial"/>
          <w:iCs/>
          <w:szCs w:val="20"/>
        </w:rPr>
        <w:t xml:space="preserve"> Quando for considerado vencedor da licitação, será convocado a apresentar planilha de orçamento contendo os preços unitários para todos os itens que compõem o grupo, na conformidade da planilha contida no Anexo III-A.</w:t>
      </w:r>
    </w:p>
    <w:p>
      <w:pPr>
        <w:pStyle w:val="74"/>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A licitação será realizada </w:t>
      </w:r>
      <w:r>
        <w:rPr>
          <w:rFonts w:ascii="Verdana" w:hAnsi="Verdana" w:cs="Arial"/>
          <w:iCs/>
          <w:szCs w:val="20"/>
        </w:rPr>
        <w:t>de acordo com as regras específicas para o regime de execução de empreitada por preço unitário.</w:t>
      </w:r>
    </w:p>
    <w:p>
      <w:pPr>
        <w:pStyle w:val="74"/>
        <w:keepNext w:val="0"/>
        <w:widowControl/>
        <w:shd w:val="clear" w:color="auto" w:fill="auto"/>
        <w:spacing w:before="120" w:after="120"/>
        <w:ind w:left="792" w:firstLine="0"/>
        <w:rPr>
          <w:rFonts w:ascii="Verdana" w:hAnsi="Verdana" w:cs="Arial"/>
          <w:szCs w:val="20"/>
        </w:rPr>
      </w:pPr>
    </w:p>
    <w:p>
      <w:pPr>
        <w:pStyle w:val="74"/>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4"/>
        <w:keepNext w:val="0"/>
        <w:widowControl/>
        <w:numPr>
          <w:ilvl w:val="1"/>
          <w:numId w:val="3"/>
        </w:numPr>
        <w:shd w:val="clear" w:color="auto" w:fill="auto"/>
        <w:spacing w:before="120" w:after="120"/>
        <w:rPr>
          <w:rFonts w:ascii="Verdana" w:hAnsi="Verdana" w:cs="Arial"/>
          <w:szCs w:val="20"/>
        </w:rPr>
      </w:pPr>
      <w:r>
        <w:rPr>
          <w:rFonts w:ascii="Verdana" w:hAnsi="Verdana" w:cs="Arial"/>
          <w:szCs w:val="20"/>
          <w:highlight w:val="none"/>
        </w:rPr>
        <w:t xml:space="preserve">As despesas para atender a esta licitação </w:t>
      </w:r>
      <w:r>
        <w:rPr>
          <w:rFonts w:hint="default" w:ascii="Verdana" w:hAnsi="Verdana" w:cs="Arial"/>
          <w:szCs w:val="20"/>
          <w:highlight w:val="none"/>
          <w:lang w:val="pt-BR"/>
        </w:rPr>
        <w:t>serão oneradas</w:t>
      </w:r>
      <w:r>
        <w:rPr>
          <w:rFonts w:ascii="Calibri" w:hAnsi="Calibri" w:eastAsia="SimSun" w:cs="Calibri"/>
          <w:i w:val="0"/>
          <w:iCs w:val="0"/>
          <w:caps w:val="0"/>
          <w:color w:val="000000"/>
          <w:spacing w:val="0"/>
          <w:sz w:val="24"/>
          <w:szCs w:val="24"/>
        </w:rPr>
        <w:t xml:space="preserve"> </w:t>
      </w:r>
      <w:r>
        <w:rPr>
          <w:rFonts w:hint="default" w:ascii="Calibri" w:hAnsi="Calibri" w:eastAsia="SimSun" w:cs="Calibri"/>
          <w:i w:val="0"/>
          <w:iCs w:val="0"/>
          <w:caps w:val="0"/>
          <w:color w:val="000000"/>
          <w:spacing w:val="0"/>
          <w:sz w:val="24"/>
          <w:szCs w:val="24"/>
          <w:lang w:val="pt-BR"/>
        </w:rPr>
        <w:t>n</w:t>
      </w:r>
      <w:r>
        <w:rPr>
          <w:rFonts w:ascii="Calibri" w:hAnsi="Calibri" w:eastAsia="SimSun" w:cs="Calibri"/>
          <w:i w:val="0"/>
          <w:iCs w:val="0"/>
          <w:caps w:val="0"/>
          <w:color w:val="000000"/>
          <w:spacing w:val="0"/>
          <w:sz w:val="24"/>
          <w:szCs w:val="24"/>
        </w:rPr>
        <w:t>as Fontes Orçamentárias 8100, 150, 100 e 8188 no elemento de despesa 339039, condicionada à disponibilidade no momento do efetivo fornecimento do objeto</w:t>
      </w:r>
      <w:r>
        <w:rPr>
          <w:rFonts w:ascii="Verdana" w:hAnsi="Verdana" w:cstheme="minorHAnsi"/>
          <w:szCs w:val="20"/>
        </w:rPr>
        <w:t>.</w:t>
      </w:r>
    </w:p>
    <w:p>
      <w:pPr>
        <w:pStyle w:val="74"/>
        <w:keepNext w:val="0"/>
        <w:widowControl/>
        <w:shd w:val="clear" w:color="auto" w:fill="auto"/>
        <w:spacing w:before="120" w:after="120"/>
        <w:ind w:left="360" w:firstLine="0"/>
        <w:rPr>
          <w:rFonts w:ascii="Verdana" w:hAnsi="Verdana" w:cs="Arial"/>
          <w:szCs w:val="20"/>
        </w:rPr>
      </w:pPr>
    </w:p>
    <w:p>
      <w:pPr>
        <w:pStyle w:val="74"/>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4"/>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pPr>
        <w:pStyle w:val="74"/>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20"/>
          <w:szCs w:val="20"/>
        </w:rPr>
      </w:pPr>
      <w:r>
        <w:rPr>
          <w:rFonts w:ascii="Verdana" w:hAnsi="Verdana" w:cs="Arial"/>
          <w:color w:val="000000"/>
          <w:sz w:val="20"/>
          <w:szCs w:val="20"/>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pPr>
        <w:pStyle w:val="74"/>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pPr>
        <w:pStyle w:val="74"/>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pPr>
        <w:pStyle w:val="74"/>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pPr>
        <w:pStyle w:val="74"/>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eastAsia="Arial Unicode MS" w:cs="Arial"/>
          <w:color w:val="000000" w:themeColor="text1"/>
          <w:sz w:val="18"/>
          <w:szCs w:val="18"/>
        </w:rPr>
        <w:t>que se enquadrem nas vedações previstas no artigo 9º da Lei nº 8.666, de 1993;</w:t>
      </w:r>
      <w:bookmarkStart w:id="1" w:name="_Hlk519667653"/>
    </w:p>
    <w:p>
      <w:pPr>
        <w:pStyle w:val="74"/>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1"/>
    </w:p>
    <w:p>
      <w:pPr>
        <w:pStyle w:val="74"/>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pPr>
        <w:pStyle w:val="74"/>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2" w:name="_Hlk519667815"/>
    </w:p>
    <w:p>
      <w:pPr>
        <w:pStyle w:val="74"/>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2"/>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5"/>
        <w:keepNext w:val="0"/>
        <w:numPr>
          <w:ilvl w:val="0"/>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5"/>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5"/>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5"/>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5"/>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pPr>
        <w:pStyle w:val="65"/>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5"/>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5"/>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pPr>
        <w:pStyle w:val="65"/>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5"/>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pPr>
        <w:pStyle w:val="65"/>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pPr>
        <w:pStyle w:val="65"/>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pPr>
        <w:pStyle w:val="65"/>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5"/>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pPr>
        <w:pStyle w:val="65"/>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desconto percentual a incidir sobre o valor estimado pela Administração, utilizando até 04 (quatro) casas decimais para evitar correções futuras na PROPOSTA DE PREÇOS;</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III-A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pPr>
        <w:pStyle w:val="65"/>
        <w:keepNext w:val="0"/>
        <w:numPr>
          <w:ilvl w:val="0"/>
          <w:numId w:val="6"/>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pPr>
        <w:pStyle w:val="65"/>
        <w:keepNext w:val="0"/>
        <w:numPr>
          <w:ilvl w:val="0"/>
          <w:numId w:val="6"/>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pPr>
        <w:pStyle w:val="65"/>
        <w:keepNext w:val="0"/>
        <w:numPr>
          <w:ilvl w:val="1"/>
          <w:numId w:val="6"/>
        </w:numPr>
        <w:shd w:val="clear" w:color="auto" w:fill="auto"/>
        <w:tabs>
          <w:tab w:val="clear" w:pos="-12"/>
          <w:tab w:val="clear" w:pos="708"/>
        </w:tabs>
        <w:suppressAutoHyphens w:val="0"/>
        <w:overflowPunct/>
        <w:spacing w:before="120" w:after="120"/>
        <w:ind w:left="851" w:hanging="357"/>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pPr>
        <w:pStyle w:val="65"/>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4"/>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pPr>
        <w:pStyle w:val="74"/>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pPr>
        <w:pStyle w:val="74"/>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pPr>
        <w:pStyle w:val="74"/>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desconto percentual que irá incidir sobre o total do orçamento, quando da escolha definitiva da proposta vencedora.</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0,10 % (um décimo percentual).</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maior desconto percentual</w:t>
      </w:r>
      <w:r>
        <w:rPr>
          <w:rFonts w:ascii="Verdana" w:hAnsi="Verdana" w:cs="Arial"/>
          <w:color w:val="000000" w:themeColor="text1"/>
          <w:sz w:val="20"/>
          <w:szCs w:val="20"/>
        </w:rPr>
        <w:t>, que deverá incidir igualmente sobre todos os preços unitários orçados pela UFF e constantes da planilha de orçamento (Anexo III-A) conforme definido neste Edital e seus anexos.</w:t>
      </w:r>
    </w:p>
    <w:p>
      <w:pPr>
        <w:pStyle w:val="65"/>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bookmarkStart w:id="3" w:name="_Hlk88900818"/>
      <w:r>
        <w:rPr>
          <w:rFonts w:ascii="Verdana" w:hAnsi="Verdana" w:cs="Arial"/>
          <w:color w:val="000000" w:themeColor="text1"/>
          <w:sz w:val="18"/>
          <w:szCs w:val="18"/>
        </w:rPr>
        <w:t>Não será admitido a incidência sobre os preços unitários referidos anteriormente, de valor(es) de percentual(is) diferente(s) do valor proposto e considerado vencedor na fase final de lances.</w:t>
      </w:r>
      <w:bookmarkEnd w:id="3"/>
      <w:r>
        <w:rPr>
          <w:rFonts w:ascii="Verdana" w:hAnsi="Verdana" w:cs="Arial"/>
          <w:color w:val="000000" w:themeColor="text1"/>
          <w:sz w:val="18"/>
          <w:szCs w:val="18"/>
        </w:rPr>
        <w:t xml:space="preserve"> </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5"/>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hAnsi="Verdana" w:eastAsia="Zurich BT"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pPr>
        <w:pStyle w:val="65"/>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pPr>
        <w:pStyle w:val="65"/>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pPr>
        <w:pStyle w:val="65"/>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melhor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5"/>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eastAsia="Arial" w:cs="Arial"/>
          <w:sz w:val="18"/>
          <w:szCs w:val="18"/>
        </w:rPr>
        <w:t>É facultado ao pregoeiro prorrogar o prazo estabelecido, a partir de solicitação fundamentada feita no chat pelo licitante, antes de findo o prazo.</w:t>
      </w:r>
    </w:p>
    <w:p>
      <w:pPr>
        <w:pStyle w:val="65"/>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5"/>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5"/>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4"/>
        <w:keepNext w:val="0"/>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4"/>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A proposta a ser encaminhada deverá ser composta e conterem:</w:t>
      </w:r>
    </w:p>
    <w:p>
      <w:pPr>
        <w:pStyle w:val="74"/>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identificando os grupos em que a empresa foi considerada vencedora, conforme modelo do Anexo VI;</w:t>
      </w:r>
    </w:p>
    <w:p>
      <w:pPr>
        <w:pStyle w:val="74"/>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percentual de desconto proposto e o seu correspondente valor monetário, discriminados também por extenso.</w:t>
      </w:r>
    </w:p>
    <w:p>
      <w:pPr>
        <w:pStyle w:val="74"/>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4"/>
        <w:keepNext w:val="0"/>
        <w:widowControl/>
        <w:numPr>
          <w:ilvl w:val="2"/>
          <w:numId w:val="6"/>
        </w:numPr>
        <w:spacing w:before="120" w:after="120"/>
        <w:ind w:left="1134" w:hanging="425"/>
        <w:textAlignment w:val="auto"/>
        <w:rPr>
          <w:rFonts w:ascii="Verdana" w:hAnsi="Verdana" w:eastAsia="Times New Roman" w:cs="Arial"/>
          <w:szCs w:val="20"/>
        </w:rPr>
      </w:pPr>
      <w:r>
        <w:rPr>
          <w:rFonts w:ascii="Verdana" w:hAnsi="Verdana" w:cs="Arial"/>
          <w:szCs w:val="20"/>
        </w:rPr>
        <w:t>- Especificações do objeto de forma clara, observadas as especificações constantes dos anexos elaborados pela Administração;</w:t>
      </w:r>
    </w:p>
    <w:p>
      <w:pPr>
        <w:pStyle w:val="74"/>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Anexo à Carta Proposta deverá apresentar os seguintes documentos, todos conforme modelos anexos a este edital:</w:t>
      </w:r>
    </w:p>
    <w:p>
      <w:pPr>
        <w:pStyle w:val="74"/>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de cada grupo,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pPr>
        <w:pStyle w:val="74"/>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pPr>
        <w:pStyle w:val="74"/>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para o grupo,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III-A ao Edital;</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bookmarkStart w:id="4" w:name="_Hlk88901008"/>
      <w:r>
        <w:rPr>
          <w:rFonts w:ascii="Verdana" w:hAnsi="Verdana"/>
          <w:sz w:val="18"/>
          <w:szCs w:val="18"/>
        </w:rPr>
        <w:t xml:space="preserve">– Como o critério de julgamento será o de maior desconto, esse incidirá sobre todos os preços </w:t>
      </w:r>
      <w:r>
        <w:rPr>
          <w:rFonts w:ascii="Verdana" w:hAnsi="Verdana" w:cs="Arial"/>
          <w:color w:val="000000"/>
          <w:sz w:val="18"/>
          <w:szCs w:val="18"/>
        </w:rPr>
        <w:t>unitários dos itens do orçamento apresentado pela UFF (Anexo III-A), que tratando-se de desconto, os novos preços unitários propostos pela licitante, serão obrigatoriamente inferiores aos apresentados;</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Não serão admitidas alterações de especificações, unidades, quantitativos, custos unitários, valor de BDI e dos preços unitários calculados pela UFF; se tal ocorrência for constatada a licitante será convocada para a correção da planilha sob pena de desclassificação;</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A licitante vencedora deverá incluir no campo próprio da planilha de orçamento (Anexo III-A), o valor do percentual de desconto proposto e resultante do último lance ofertado, o cálculo dos preços unitários e totais será efetuado de forma automática. A planilha encontra-se protegida.</w:t>
      </w:r>
      <w:bookmarkEnd w:id="4"/>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A soma dos preços totais ajustados dos itens dos serviços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CREA/CAU/CRT e pelo representante legal da empresa e com carimbo do CNPJ, no formato PDF:</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Não se admitirá, na proposta de preços, custos identificados mediante o uso da expressão “verba” ou de unidades genéricas.</w:t>
      </w:r>
    </w:p>
    <w:p>
      <w:pPr>
        <w:pStyle w:val="74"/>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xml:space="preserve">, conforme modelo da planilha do Anexo III-B </w:t>
      </w:r>
      <w:bookmarkStart w:id="5" w:name="_Hlk88901457"/>
      <w:r>
        <w:rPr>
          <w:rFonts w:ascii="Verdana" w:hAnsi="Verdana" w:cs="Arial"/>
          <w:sz w:val="18"/>
          <w:szCs w:val="18"/>
        </w:rPr>
        <w:t>e com valores dos serviços a serem executados, resultantes da aplicação do percentual de desconto na planilha orçamentária Anexo III-A;</w:t>
      </w:r>
      <w:bookmarkEnd w:id="5"/>
    </w:p>
    <w:p>
      <w:pPr>
        <w:pStyle w:val="74"/>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4"/>
        <w:keepNext w:val="0"/>
        <w:widowControl/>
        <w:numPr>
          <w:ilvl w:val="3"/>
          <w:numId w:val="6"/>
        </w:numPr>
        <w:spacing w:before="120" w:after="120"/>
        <w:ind w:left="1701" w:hanging="567"/>
        <w:textAlignment w:val="auto"/>
        <w:rPr>
          <w:rStyle w:val="62"/>
          <w:rFonts w:ascii="Verdana" w:hAnsi="Verdana" w:eastAsia="Times New Roman"/>
          <w:color w:val="auto"/>
          <w:sz w:val="18"/>
          <w:szCs w:val="18"/>
        </w:rPr>
      </w:pPr>
      <w:r>
        <w:rPr>
          <w:rStyle w:val="62"/>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Style w:val="62"/>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4"/>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pPr>
        <w:pStyle w:val="74"/>
        <w:keepNext w:val="0"/>
        <w:widowControl/>
        <w:numPr>
          <w:ilvl w:val="3"/>
          <w:numId w:val="6"/>
        </w:numPr>
        <w:spacing w:before="120" w:after="120"/>
        <w:ind w:left="1701" w:hanging="567"/>
        <w:textAlignment w:val="auto"/>
        <w:rPr>
          <w:rFonts w:ascii="Verdana" w:hAnsi="Verdana" w:eastAsia="Times New Roman" w:cs="Arial"/>
          <w:sz w:val="18"/>
          <w:szCs w:val="18"/>
        </w:rPr>
      </w:pPr>
      <w:r>
        <w:rPr>
          <w:rStyle w:val="62"/>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pPr>
        <w:pStyle w:val="12"/>
        <w:widowControl/>
        <w:numPr>
          <w:ilvl w:val="1"/>
          <w:numId w:val="6"/>
        </w:numPr>
        <w:suppressAutoHyphens w:val="0"/>
        <w:spacing w:before="120" w:line="276" w:lineRule="auto"/>
        <w:jc w:val="both"/>
        <w:rPr>
          <w:rStyle w:val="62"/>
          <w:rFonts w:ascii="Verdana" w:hAnsi="Verdana"/>
          <w:color w:val="auto"/>
        </w:rPr>
      </w:pPr>
      <w:r>
        <w:rPr>
          <w:rStyle w:val="62"/>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4"/>
        <w:keepNext w:val="0"/>
        <w:widowControl/>
        <w:numPr>
          <w:ilvl w:val="1"/>
          <w:numId w:val="6"/>
        </w:numPr>
        <w:spacing w:before="120" w:after="120"/>
        <w:textAlignment w:val="auto"/>
        <w:rPr>
          <w:rStyle w:val="62"/>
          <w:rFonts w:ascii="Verdana" w:hAnsi="Verdana" w:eastAsia="Ecofont_Spranq_eco_Sans,Lohit H"/>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pPr>
        <w:pStyle w:val="74"/>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III-A – Planilha Orçamentária;</w:t>
      </w:r>
    </w:p>
    <w:p>
      <w:pPr>
        <w:pStyle w:val="74"/>
        <w:keepNext w:val="0"/>
        <w:widowControl/>
        <w:numPr>
          <w:ilvl w:val="2"/>
          <w:numId w:val="6"/>
        </w:numPr>
        <w:spacing w:before="120" w:after="120"/>
        <w:ind w:left="1134" w:hanging="425"/>
        <w:textAlignment w:val="auto"/>
        <w:rPr>
          <w:rFonts w:ascii="Verdana" w:hAnsi="Verdana" w:cs="Arial"/>
          <w:sz w:val="18"/>
          <w:szCs w:val="18"/>
        </w:rPr>
      </w:pPr>
      <w:bookmarkStart w:id="6" w:name="_Hlk88901619"/>
      <w:r>
        <w:rPr>
          <w:rFonts w:ascii="Verdana" w:hAnsi="Verdana" w:cs="Arial"/>
          <w:sz w:val="18"/>
          <w:szCs w:val="18"/>
        </w:rPr>
        <w:t>apresentar aplicado na planilha orçamentária (Anexo III-A) percentual(is) de desconto(s) diferente(s) do valor do lance final proposto;</w:t>
      </w:r>
      <w:bookmarkEnd w:id="6"/>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4"/>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4"/>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4"/>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anexos a este edital. </w:t>
      </w:r>
    </w:p>
    <w:p>
      <w:pPr>
        <w:pStyle w:val="74"/>
        <w:keepNext w:val="0"/>
        <w:widowControl/>
        <w:numPr>
          <w:ilvl w:val="1"/>
          <w:numId w:val="6"/>
        </w:numPr>
        <w:spacing w:before="120" w:after="120"/>
        <w:textAlignment w:val="auto"/>
        <w:rPr>
          <w:rFonts w:ascii="Verdana" w:hAnsi="Verdana" w:cs="Arial"/>
          <w:szCs w:val="20"/>
        </w:rPr>
      </w:pPr>
      <w:r>
        <w:rPr>
          <w:rFonts w:ascii="Verdana" w:hAnsi="Verdana" w:cs="Arial"/>
          <w:szCs w:val="20"/>
        </w:rPr>
        <w:t>Quando o licitante não conseguir comprovar que possui ou possuirá recursos suficientes para executar a contento o objeto, será considerada inexequível a proposta de preços ou menor lance que:</w:t>
      </w:r>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4"/>
        <w:keepNext w:val="0"/>
        <w:widowControl/>
        <w:numPr>
          <w:ilvl w:val="1"/>
          <w:numId w:val="6"/>
        </w:numPr>
        <w:spacing w:before="120" w:after="120"/>
        <w:textAlignment w:val="auto"/>
        <w:rPr>
          <w:rFonts w:ascii="Verdana" w:hAnsi="Verdana" w:cs="Arial"/>
          <w:szCs w:val="20"/>
        </w:rPr>
      </w:pPr>
      <w:r>
        <w:rPr>
          <w:rFonts w:ascii="Verdana" w:hAnsi="Verdana" w:cs="Arial"/>
          <w:szCs w:val="20"/>
        </w:rPr>
        <w:t>O exame da inexequibilidade observará a fórmula prevista no art. 48, §§ 1º e 2º, da Lei nº 8.666, de 1993.</w:t>
      </w:r>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Quando o licitante apresentar preço final inferior a 30% (trinta por cento) da média dos preços ofertados, não sendo possível a sua imediata desclassificação por inexequibilidade, será obrigatória a realização de diligências para o exame da proposta.</w:t>
      </w:r>
    </w:p>
    <w:p>
      <w:pPr>
        <w:pStyle w:val="74"/>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4"/>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4"/>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5"/>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5"/>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4"/>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4"/>
        <w:keepNext w:val="0"/>
        <w:widowControl/>
        <w:numPr>
          <w:ilvl w:val="1"/>
          <w:numId w:val="6"/>
        </w:numPr>
        <w:spacing w:before="120" w:after="120"/>
        <w:textAlignment w:val="auto"/>
        <w:rPr>
          <w:rFonts w:ascii="Verdana" w:hAnsi="Verdana" w:eastAsia="Times New Roman"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não constituem motivo para a desclassificac</w:t>
      </w:r>
      <w:r>
        <w:rPr>
          <w:rFonts w:ascii="Arial" w:hAnsi="Arial" w:cs="Arial"/>
          <w:szCs w:val="20"/>
        </w:rPr>
        <w:t>̧</w:t>
      </w:r>
      <w:r>
        <w:rPr>
          <w:rFonts w:ascii="Verdana" w:hAnsi="Verdana" w:cs="Arial"/>
          <w:szCs w:val="20"/>
        </w:rPr>
        <w:t>ão da proposta. A planilha poderá ser ajustada pelo licitante, no prazo indicado pelo Pregoeiro, desde que não haja majoração do preço.</w:t>
      </w:r>
    </w:p>
    <w:p>
      <w:pPr>
        <w:pStyle w:val="74"/>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4"/>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indicac</w:t>
      </w:r>
      <w:r>
        <w:rPr>
          <w:rFonts w:ascii="Arial" w:hAnsi="Arial" w:cs="Arial"/>
          <w:color w:val="000000"/>
          <w:sz w:val="18"/>
          <w:szCs w:val="18"/>
          <w:lang w:eastAsia="en-US"/>
        </w:rPr>
        <w:t>̧</w:t>
      </w:r>
      <w:r>
        <w:rPr>
          <w:rFonts w:ascii="Verdana" w:hAnsi="Verdana" w:cs="Arial"/>
          <w:color w:val="000000"/>
          <w:sz w:val="18"/>
          <w:szCs w:val="18"/>
          <w:lang w:eastAsia="en-US"/>
        </w:rPr>
        <w:t>ão de recolhimento de impostos e contribuic</w:t>
      </w:r>
      <w:r>
        <w:rPr>
          <w:rFonts w:ascii="Arial" w:hAnsi="Arial" w:cs="Arial"/>
          <w:color w:val="000000"/>
          <w:sz w:val="18"/>
          <w:szCs w:val="18"/>
          <w:lang w:eastAsia="en-US"/>
        </w:rPr>
        <w:t>̧</w:t>
      </w:r>
      <w:r>
        <w:rPr>
          <w:rFonts w:ascii="Verdana" w:hAnsi="Verdana" w:cs="Arial"/>
          <w:color w:val="000000"/>
          <w:sz w:val="18"/>
          <w:szCs w:val="18"/>
          <w:lang w:eastAsia="en-US"/>
        </w:rPr>
        <w:t>ões na forma do Simples Nacional, quando não cabível esse regime.</w:t>
      </w:r>
    </w:p>
    <w:p>
      <w:pPr>
        <w:pStyle w:val="74"/>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4"/>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4"/>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4"/>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pPr>
        <w:pStyle w:val="74"/>
        <w:keepNext w:val="0"/>
        <w:widowControl/>
        <w:spacing w:before="120" w:after="120"/>
        <w:ind w:left="360" w:firstLine="0"/>
        <w:textAlignment w:val="auto"/>
        <w:rPr>
          <w:rFonts w:ascii="Verdana" w:hAnsi="Verdana" w:cs="Arial"/>
          <w:szCs w:val="20"/>
          <w:lang w:eastAsia="ar-SA"/>
        </w:rPr>
      </w:pPr>
    </w:p>
    <w:p>
      <w:pPr>
        <w:pStyle w:val="74"/>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4"/>
        <w:keepNext w:val="0"/>
        <w:widowControl/>
        <w:spacing w:before="120" w:after="120"/>
        <w:ind w:left="360" w:firstLine="0"/>
        <w:textAlignment w:val="auto"/>
        <w:rPr>
          <w:rFonts w:ascii="Verdana" w:hAnsi="Verdana" w:cs="Arial"/>
          <w:szCs w:val="20"/>
          <w:lang w:eastAsia="ar-SA"/>
        </w:rPr>
      </w:pPr>
    </w:p>
    <w:p>
      <w:pPr>
        <w:pStyle w:val="74"/>
        <w:keepNext w:val="0"/>
        <w:widowControl/>
        <w:numPr>
          <w:ilvl w:val="0"/>
          <w:numId w:val="6"/>
        </w:numPr>
        <w:spacing w:before="120" w:after="120"/>
        <w:textAlignment w:val="auto"/>
        <w:rPr>
          <w:rFonts w:ascii="Verdana" w:hAnsi="Verdana" w:cs="Arial"/>
          <w:szCs w:val="20"/>
          <w:lang w:eastAsia="ar-SA"/>
        </w:rPr>
      </w:pPr>
      <w:bookmarkStart w:id="7" w:name="_Hlk88838545"/>
      <w:bookmarkStart w:id="8" w:name="_Hlk88898657"/>
      <w:r>
        <w:rPr>
          <w:rFonts w:ascii="Verdana" w:hAnsi="Verdana" w:cs="Arial"/>
          <w:b/>
          <w:szCs w:val="20"/>
        </w:rPr>
        <w:t>HABILITAÇÃO JURÍDICA, REGULARIDADE FISCAL E QUALIFICAÇÃO ECÔNOMICA</w:t>
      </w:r>
      <w:bookmarkEnd w:id="7"/>
      <w:r>
        <w:rPr>
          <w:rFonts w:ascii="Verdana" w:hAnsi="Verdana" w:cs="Arial"/>
          <w:b/>
          <w:szCs w:val="20"/>
        </w:rPr>
        <w:t xml:space="preserve"> E FINANCEIRA</w:t>
      </w:r>
      <w:bookmarkEnd w:id="8"/>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Ressalvado o disposto no item 5.3, os licitantes deverão encaminhar, nos termos deste Edital, a documentação relacionada nos itens a seguir.</w:t>
      </w:r>
    </w:p>
    <w:p>
      <w:pPr>
        <w:pStyle w:val="74"/>
        <w:keepNext w:val="0"/>
        <w:widowControl/>
        <w:spacing w:before="120" w:after="120"/>
        <w:ind w:left="785" w:firstLine="0"/>
        <w:textAlignment w:val="auto"/>
        <w:rPr>
          <w:rFonts w:ascii="Verdana" w:hAnsi="Verdana" w:cs="Arial"/>
          <w:szCs w:val="20"/>
          <w:lang w:eastAsia="ar-SA"/>
        </w:rPr>
      </w:pP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4"/>
        <w:keepNext w:val="0"/>
        <w:widowControl/>
        <w:spacing w:before="120" w:after="120"/>
        <w:ind w:left="785" w:firstLine="0"/>
        <w:textAlignment w:val="auto"/>
        <w:rPr>
          <w:rFonts w:ascii="Verdana" w:hAnsi="Verdana" w:cs="Arial"/>
          <w:szCs w:val="20"/>
          <w:lang w:eastAsia="ar-SA"/>
        </w:rPr>
      </w:pP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4"/>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4"/>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4"/>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4"/>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4"/>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4"/>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4"/>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4"/>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4"/>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4"/>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4"/>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4"/>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4"/>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74"/>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4"/>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4"/>
        <w:numPr>
          <w:ilvl w:val="3"/>
          <w:numId w:val="6"/>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4"/>
        <w:spacing w:before="120" w:after="120"/>
        <w:ind w:left="785" w:firstLine="0"/>
        <w:rPr>
          <w:rFonts w:ascii="Verdana" w:hAnsi="Verdana" w:cs="Arial"/>
          <w:color w:val="000000" w:themeColor="text1"/>
          <w:szCs w:val="20"/>
        </w:rPr>
      </w:pPr>
    </w:p>
    <w:p>
      <w:pPr>
        <w:pStyle w:val="74"/>
        <w:numPr>
          <w:ilvl w:val="0"/>
          <w:numId w:val="6"/>
        </w:numPr>
        <w:spacing w:before="120" w:after="120"/>
        <w:rPr>
          <w:rFonts w:ascii="Verdana" w:hAnsi="Verdana" w:cs="Arial"/>
          <w:color w:val="000000" w:themeColor="text1"/>
          <w:szCs w:val="20"/>
        </w:rPr>
      </w:pPr>
      <w:bookmarkStart w:id="9" w:name="_Hlk88838674"/>
      <w:r>
        <w:rPr>
          <w:rFonts w:ascii="Verdana" w:hAnsi="Verdana" w:cs="Arial"/>
          <w:b/>
          <w:bCs/>
          <w:iCs/>
          <w:color w:val="000000"/>
          <w:szCs w:val="20"/>
        </w:rPr>
        <w:t>HABILITAÇÃO TÉCNICA:</w:t>
      </w:r>
    </w:p>
    <w:p>
      <w:pPr>
        <w:pStyle w:val="74"/>
        <w:keepNext w:val="0"/>
        <w:widowControl/>
        <w:numPr>
          <w:ilvl w:val="1"/>
          <w:numId w:val="6"/>
        </w:numPr>
        <w:spacing w:before="120" w:after="120"/>
        <w:textAlignment w:val="auto"/>
        <w:rPr>
          <w:rFonts w:ascii="Verdana" w:hAnsi="Verdana" w:cs="Arial"/>
          <w:szCs w:val="20"/>
          <w:lang w:eastAsia="ar-SA"/>
        </w:rPr>
      </w:pPr>
      <w:bookmarkStart w:id="10" w:name="_Hlk88839762"/>
      <w:r>
        <w:rPr>
          <w:rFonts w:ascii="Verdana" w:hAnsi="Verdana" w:cs="Times-Bold"/>
          <w:bCs/>
          <w:szCs w:val="20"/>
        </w:rPr>
        <w:t>– Para Qualificação Técnico-Operacional:</w:t>
      </w:r>
    </w:p>
    <w:p>
      <w:pPr>
        <w:pStyle w:val="74"/>
        <w:keepNext w:val="0"/>
        <w:widowControl/>
        <w:numPr>
          <w:ilvl w:val="2"/>
          <w:numId w:val="6"/>
        </w:numPr>
        <w:spacing w:before="120" w:after="120"/>
        <w:ind w:left="1418" w:hanging="709"/>
        <w:textAlignment w:val="auto"/>
        <w:rPr>
          <w:rFonts w:ascii="Verdana" w:hAnsi="Verdana" w:cs="Arial"/>
          <w:szCs w:val="20"/>
          <w:lang w:eastAsia="ar-SA"/>
        </w:rPr>
      </w:pPr>
      <w:r>
        <w:rPr>
          <w:rFonts w:ascii="Verdana" w:hAnsi="Verdana" w:cs="Times-Roman"/>
          <w:szCs w:val="20"/>
        </w:rPr>
        <w:t xml:space="preserve">- </w:t>
      </w:r>
      <w:r>
        <w:rPr>
          <w:rFonts w:ascii="Verdana" w:hAnsi="Verdana" w:cs="Times-Roman"/>
          <w:sz w:val="18"/>
          <w:szCs w:val="18"/>
        </w:rPr>
        <w:t xml:space="preserve">Certidão expedida pelo </w:t>
      </w:r>
      <w:r>
        <w:rPr>
          <w:rFonts w:ascii="Verdana" w:hAnsi="Verdana"/>
          <w:sz w:val="18"/>
          <w:szCs w:val="18"/>
        </w:rPr>
        <w:t>Conselho Regional de Engenharia e Agronomia (CREA), pelo Conselho de Arquitetura e Urbanismo (CAU)</w:t>
      </w:r>
      <w:r>
        <w:rPr>
          <w:rFonts w:ascii="Verdana" w:hAnsi="Verdana" w:cs="Times-Roman"/>
          <w:sz w:val="18"/>
          <w:szCs w:val="18"/>
        </w:rPr>
        <w:t xml:space="preserve"> </w:t>
      </w:r>
      <w:r>
        <w:rPr>
          <w:rFonts w:ascii="Verdana" w:hAnsi="Verdana"/>
          <w:sz w:val="18"/>
          <w:szCs w:val="18"/>
        </w:rPr>
        <w:t>ou no Conselho Regional de Técnicos Industriais (CRT)</w:t>
      </w:r>
      <w:r>
        <w:rPr>
          <w:rFonts w:ascii="Verdana" w:hAnsi="Verdana" w:cs="Times-Roman"/>
          <w:sz w:val="18"/>
          <w:szCs w:val="18"/>
        </w:rPr>
        <w:t xml:space="preserve">, </w:t>
      </w:r>
      <w:r>
        <w:rPr>
          <w:rFonts w:ascii="Verdana" w:hAnsi="Verdana" w:cs="Arial"/>
          <w:sz w:val="18"/>
          <w:szCs w:val="18"/>
        </w:rPr>
        <w:t>em plena validade</w:t>
      </w:r>
      <w:r>
        <w:rPr>
          <w:rFonts w:ascii="Verdana" w:hAnsi="Verdana" w:cs="Times-Roman"/>
          <w:sz w:val="18"/>
          <w:szCs w:val="18"/>
        </w:rPr>
        <w:t>, c</w:t>
      </w:r>
      <w:r>
        <w:rPr>
          <w:rFonts w:ascii="Verdana" w:hAnsi="Verdana"/>
          <w:bCs/>
          <w:sz w:val="18"/>
          <w:szCs w:val="18"/>
        </w:rPr>
        <w:t>onstando o registro ou inscrição</w:t>
      </w:r>
      <w:r>
        <w:rPr>
          <w:rFonts w:ascii="Verdana" w:hAnsi="Verdana"/>
          <w:sz w:val="18"/>
          <w:szCs w:val="18"/>
        </w:rPr>
        <w:t xml:space="preserve"> da empresa individual ou pessoa jurídica no respectivo conselho do domicílio ou sede da licitante, no ramo de atividade objeto da presente licitação, </w:t>
      </w:r>
      <w:r>
        <w:rPr>
          <w:rFonts w:ascii="Verdana" w:hAnsi="Verdana" w:cs="Arial"/>
          <w:sz w:val="18"/>
          <w:szCs w:val="18"/>
        </w:rPr>
        <w:t>conforme as áreas de atuação previstas no Termo de Referência;</w:t>
      </w:r>
    </w:p>
    <w:p>
      <w:pPr>
        <w:pStyle w:val="74"/>
        <w:keepNext w:val="0"/>
        <w:widowControl/>
        <w:numPr>
          <w:ilvl w:val="3"/>
          <w:numId w:val="6"/>
        </w:numPr>
        <w:spacing w:before="120" w:after="120"/>
        <w:ind w:left="1843" w:hanging="567"/>
        <w:textAlignment w:val="auto"/>
        <w:rPr>
          <w:rFonts w:ascii="Verdana" w:hAnsi="Verdana" w:cs="Arial"/>
          <w:sz w:val="18"/>
          <w:szCs w:val="18"/>
          <w:lang w:eastAsia="ar-SA"/>
        </w:rPr>
      </w:pPr>
      <w:r>
        <w:rPr>
          <w:rFonts w:ascii="Verdana" w:hAnsi="Verdana" w:cs="Times-Roman"/>
          <w:sz w:val="18"/>
          <w:szCs w:val="18"/>
        </w:rPr>
        <w:t xml:space="preserve">- 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Pr>
          <w:rFonts w:ascii="Verdana" w:hAnsi="Verdana" w:cs="Times-Bold"/>
          <w:bCs/>
          <w:sz w:val="18"/>
          <w:szCs w:val="18"/>
        </w:rPr>
        <w:t>Para fins de habilitação, tal documento não</w:t>
      </w:r>
      <w:r>
        <w:rPr>
          <w:rFonts w:ascii="Verdana" w:hAnsi="Verdana" w:cs="Times-Roman"/>
          <w:sz w:val="18"/>
          <w:szCs w:val="18"/>
        </w:rPr>
        <w:t xml:space="preserve"> </w:t>
      </w:r>
      <w:r>
        <w:rPr>
          <w:rFonts w:ascii="Verdana" w:hAnsi="Verdana" w:cs="Times-Bold"/>
          <w:bCs/>
          <w:sz w:val="18"/>
          <w:szCs w:val="18"/>
        </w:rPr>
        <w:t>necessita ser apresentado com o referido visto</w:t>
      </w:r>
      <w:r>
        <w:rPr>
          <w:rFonts w:ascii="Verdana" w:hAnsi="Verdana" w:cs="Times-Roman"/>
          <w:sz w:val="18"/>
          <w:szCs w:val="18"/>
        </w:rPr>
        <w:t>.</w:t>
      </w:r>
    </w:p>
    <w:p>
      <w:pPr>
        <w:pStyle w:val="74"/>
        <w:keepNext w:val="0"/>
        <w:widowControl/>
        <w:spacing w:before="120" w:after="120"/>
        <w:ind w:left="785" w:firstLine="0"/>
        <w:textAlignment w:val="auto"/>
        <w:rPr>
          <w:rFonts w:ascii="Verdana" w:hAnsi="Verdana" w:cs="Arial"/>
          <w:szCs w:val="20"/>
          <w:lang w:eastAsia="ar-SA"/>
        </w:rPr>
      </w:pP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Para Qualificação Técnico-Profissional:</w:t>
      </w:r>
    </w:p>
    <w:p>
      <w:pPr>
        <w:pStyle w:val="74"/>
        <w:keepNext w:val="0"/>
        <w:widowControl/>
        <w:numPr>
          <w:ilvl w:val="2"/>
          <w:numId w:val="6"/>
        </w:numPr>
        <w:spacing w:before="120" w:after="120"/>
        <w:ind w:left="1418" w:hanging="709"/>
        <w:textAlignment w:val="auto"/>
        <w:rPr>
          <w:rFonts w:ascii="Verdana" w:hAnsi="Verdana" w:cs="Arial"/>
          <w:szCs w:val="20"/>
          <w:lang w:eastAsia="ar-SA"/>
        </w:rPr>
      </w:pPr>
      <w:r>
        <w:rPr>
          <w:rFonts w:ascii="Verdana" w:hAnsi="Verdana"/>
          <w:b/>
          <w:bCs/>
          <w:szCs w:val="20"/>
        </w:rPr>
        <w:t>-</w:t>
      </w:r>
      <w:r>
        <w:rPr>
          <w:rFonts w:ascii="Verdana" w:hAnsi="Verdana" w:cs="Times-Roman"/>
          <w:szCs w:val="20"/>
        </w:rPr>
        <w:t xml:space="preserve"> </w:t>
      </w:r>
      <w:bookmarkStart w:id="11" w:name="_Hlk88899204"/>
      <w:r>
        <w:rPr>
          <w:rFonts w:ascii="Verdana" w:hAnsi="Verdana" w:cs="Times-Roman"/>
          <w:sz w:val="18"/>
          <w:szCs w:val="18"/>
        </w:rPr>
        <w:t xml:space="preserve">Comprovação de que possui em seu corpo técnico, na data da abertura das propostas, profissional de nível superior (Engenheiro/Arquiteto) ou Técnico em Edificações, reconhecido pelo conselho profissional correspondente (CREA/CAU/CRT) para acompanhar e se responsabilizar pela execução dos serviços </w:t>
      </w:r>
      <w:r>
        <w:rPr>
          <w:rFonts w:ascii="Verdana" w:hAnsi="Verdana"/>
          <w:color w:val="000000"/>
          <w:sz w:val="18"/>
          <w:szCs w:val="18"/>
        </w:rPr>
        <w:t>em nome da licitante, relativo à execução do serviço de engenharia.</w:t>
      </w:r>
      <w:bookmarkEnd w:id="11"/>
    </w:p>
    <w:p>
      <w:pPr>
        <w:pStyle w:val="74"/>
        <w:keepNext w:val="0"/>
        <w:widowControl/>
        <w:numPr>
          <w:ilvl w:val="3"/>
          <w:numId w:val="6"/>
        </w:numPr>
        <w:spacing w:before="120" w:after="120"/>
        <w:ind w:left="1843" w:hanging="567"/>
        <w:textAlignment w:val="auto"/>
        <w:rPr>
          <w:rFonts w:ascii="Verdana" w:hAnsi="Verdana" w:cs="Arial"/>
          <w:szCs w:val="20"/>
          <w:lang w:eastAsia="ar-SA"/>
        </w:rPr>
      </w:pPr>
      <w:r>
        <w:rPr>
          <w:rFonts w:ascii="Verdana" w:hAnsi="Verdana"/>
          <w:bCs/>
          <w:sz w:val="18"/>
          <w:szCs w:val="18"/>
        </w:rPr>
        <w:t>–</w:t>
      </w:r>
      <w:r>
        <w:rPr>
          <w:rFonts w:ascii="Verdana" w:hAnsi="Verdana"/>
          <w:sz w:val="18"/>
          <w:szCs w:val="18"/>
        </w:rPr>
        <w:t xml:space="preserve"> Esta comprovação poderá ser feita pela Certidão expedida pelo CREA/CAU ou CRT, apresentada conforme item 11.1.1.</w:t>
      </w:r>
    </w:p>
    <w:p>
      <w:pPr>
        <w:pStyle w:val="74"/>
        <w:keepNext w:val="0"/>
        <w:widowControl/>
        <w:numPr>
          <w:ilvl w:val="2"/>
          <w:numId w:val="6"/>
        </w:numPr>
        <w:spacing w:before="120" w:after="120"/>
        <w:ind w:left="1418" w:hanging="709"/>
        <w:textAlignment w:val="auto"/>
        <w:rPr>
          <w:rFonts w:ascii="Verdana" w:hAnsi="Verdana" w:cs="Arial"/>
          <w:szCs w:val="20"/>
          <w:lang w:eastAsia="ar-SA"/>
        </w:rPr>
      </w:pPr>
      <w:r>
        <w:rPr>
          <w:rFonts w:ascii="Verdana" w:hAnsi="Verdana"/>
          <w:sz w:val="18"/>
          <w:szCs w:val="18"/>
        </w:rPr>
        <w:t xml:space="preserve">- </w:t>
      </w:r>
      <w:bookmarkStart w:id="12" w:name="_Hlk88899477"/>
      <w:r>
        <w:rPr>
          <w:rFonts w:ascii="Verdana" w:hAnsi="Verdana"/>
          <w:color w:val="000000"/>
          <w:sz w:val="18"/>
          <w:szCs w:val="18"/>
        </w:rPr>
        <w:t xml:space="preserve">Comprovação da capacitação técnico-profissional, mediante apresentação de Certidão de Acervo Técnico – CAT (com registro de atestado), </w:t>
      </w:r>
      <w:bookmarkStart w:id="13" w:name="_Hlk88899294"/>
      <w:r>
        <w:rPr>
          <w:rFonts w:ascii="Verdana" w:hAnsi="Verdana"/>
          <w:color w:val="000000"/>
          <w:sz w:val="18"/>
          <w:szCs w:val="18"/>
        </w:rPr>
        <w:t xml:space="preserve">expedida pelo CREA/CAU </w:t>
      </w:r>
      <w:bookmarkEnd w:id="13"/>
      <w:r>
        <w:rPr>
          <w:rFonts w:ascii="Verdana" w:hAnsi="Verdana"/>
          <w:color w:val="000000"/>
          <w:sz w:val="18"/>
          <w:szCs w:val="18"/>
        </w:rPr>
        <w:t xml:space="preserve">ou a TRT (Termo de Responsabilidade Técnica) expedida pelo CRT, da região pertinente, nos termos da legislação aplicável, em nome do(s) responsável(is) técnico(s) e/ou membros da equipe técnica que participarão da obra, que demonstre a respectiva ART (Anotação de Responsabilidade Técnica), respectiva, e que </w:t>
      </w:r>
      <w:r>
        <w:rPr>
          <w:rFonts w:ascii="Verdana" w:hAnsi="Verdana"/>
          <w:color w:val="000000"/>
          <w:sz w:val="18"/>
          <w:szCs w:val="18"/>
          <w:u w:val="single"/>
        </w:rPr>
        <w:t xml:space="preserve">conste o registro do atestado de capacidade técnica, relativa execução </w:t>
      </w:r>
      <w:r>
        <w:rPr>
          <w:rFonts w:ascii="Verdana" w:hAnsi="Verdana" w:cs="Arial"/>
          <w:sz w:val="18"/>
          <w:szCs w:val="18"/>
          <w:u w:val="single"/>
        </w:rPr>
        <w:t>de obra ou dos</w:t>
      </w:r>
      <w:r>
        <w:rPr>
          <w:rFonts w:ascii="Verdana" w:hAnsi="Verdana"/>
          <w:color w:val="000000"/>
          <w:sz w:val="18"/>
          <w:szCs w:val="18"/>
          <w:u w:val="single"/>
        </w:rPr>
        <w:t xml:space="preserve"> serviços, compatível em características com o objeto da presente licitação</w:t>
      </w:r>
      <w:r>
        <w:rPr>
          <w:rFonts w:ascii="Verdana" w:hAnsi="Verdana"/>
          <w:color w:val="000000"/>
          <w:sz w:val="18"/>
          <w:szCs w:val="18"/>
        </w:rPr>
        <w:t>, com atividade concluída ou em andamento, a saber:</w:t>
      </w:r>
      <w:bookmarkEnd w:id="12"/>
    </w:p>
    <w:p>
      <w:pPr>
        <w:pStyle w:val="74"/>
        <w:keepNext w:val="0"/>
        <w:widowControl/>
        <w:numPr>
          <w:ilvl w:val="3"/>
          <w:numId w:val="6"/>
        </w:numPr>
        <w:spacing w:before="120" w:after="120"/>
        <w:ind w:left="1843" w:hanging="567"/>
        <w:textAlignment w:val="auto"/>
        <w:rPr>
          <w:rFonts w:ascii="Verdana" w:hAnsi="Verdana" w:cs="Arial"/>
          <w:i/>
          <w:sz w:val="18"/>
          <w:szCs w:val="18"/>
          <w:lang w:eastAsia="ar-SA"/>
        </w:rPr>
      </w:pPr>
      <w:r>
        <w:rPr>
          <w:rFonts w:ascii="Verdana" w:hAnsi="Verdana"/>
          <w:i/>
          <w:sz w:val="18"/>
          <w:szCs w:val="18"/>
        </w:rPr>
        <w:t>- Para o Engenheiro Civil, para o Arquiteto e Urbanista ou para o Técnico em Edificações serviços de:</w:t>
      </w:r>
      <w:r>
        <w:rPr>
          <w:rFonts w:ascii="Verdana" w:hAnsi="Verdana" w:cs="Calibri"/>
          <w:i/>
          <w:sz w:val="18"/>
          <w:szCs w:val="18"/>
        </w:rPr>
        <w:t>- Execução de reforma ou construção de prédio comercial, público ou residencial, excluindo-se o residencial unifamiliar.</w:t>
      </w:r>
      <w:bookmarkEnd w:id="9"/>
      <w:bookmarkEnd w:id="10"/>
    </w:p>
    <w:p>
      <w:pPr>
        <w:pStyle w:val="74"/>
        <w:keepNext w:val="0"/>
        <w:widowControl/>
        <w:numPr>
          <w:ilvl w:val="2"/>
          <w:numId w:val="6"/>
        </w:numPr>
        <w:spacing w:before="120" w:after="120"/>
        <w:textAlignment w:val="auto"/>
        <w:rPr>
          <w:rFonts w:ascii="Verdana" w:hAnsi="Verdana" w:cs="Arial"/>
          <w:szCs w:val="20"/>
          <w:lang w:eastAsia="ar-SA"/>
        </w:rPr>
      </w:pPr>
      <w:bookmarkStart w:id="14" w:name="_Hlk88839304"/>
      <w:bookmarkStart w:id="15" w:name="_Hlk88840187"/>
      <w:r>
        <w:rPr>
          <w:rFonts w:ascii="Verdana" w:hAnsi="Verdana" w:cs="Arial"/>
          <w:color w:val="162937"/>
          <w:szCs w:val="20"/>
          <w:shd w:val="clear" w:color="auto" w:fill="FFFFFF"/>
        </w:rPr>
        <w:t>– A comprovação deverá vir acompanhada de</w:t>
      </w:r>
      <w:r>
        <w:rPr>
          <w:rFonts w:ascii="Verdana" w:hAnsi="Verdana"/>
          <w:szCs w:val="20"/>
        </w:rPr>
        <w:t xml:space="preserve"> atestado(s) ou declaração(ões) </w:t>
      </w:r>
      <w:r>
        <w:rPr>
          <w:rFonts w:ascii="Verdana" w:hAnsi="Verdana" w:cs="Arial"/>
          <w:color w:val="162937"/>
          <w:szCs w:val="20"/>
          <w:shd w:val="clear" w:color="auto" w:fill="FFFFFF"/>
        </w:rPr>
        <w:t xml:space="preserve">emitidos e </w:t>
      </w:r>
      <w:r>
        <w:rPr>
          <w:rFonts w:ascii="Verdana" w:hAnsi="Verdana"/>
          <w:szCs w:val="20"/>
        </w:rPr>
        <w:t xml:space="preserve">fornecidos por pessoa jurídica de direito público ou privado, comprovando que a mesma através de </w:t>
      </w:r>
      <w:r>
        <w:rPr>
          <w:rFonts w:ascii="Verdana" w:hAnsi="Verdana"/>
          <w:bCs/>
          <w:szCs w:val="20"/>
        </w:rPr>
        <w:t>profissional(is) de seu quadro técnico</w:t>
      </w:r>
      <w:r>
        <w:rPr>
          <w:rFonts w:ascii="Verdana" w:hAnsi="Verdana"/>
          <w:szCs w:val="20"/>
        </w:rPr>
        <w:t xml:space="preserve">, devidamente identificado(s), </w:t>
      </w:r>
      <w:r>
        <w:rPr>
          <w:rFonts w:ascii="Verdana" w:hAnsi="Verdana"/>
          <w:bCs/>
          <w:szCs w:val="20"/>
        </w:rPr>
        <w:t>já executou serviços semelhantes ao exigido no subitem anterior.</w:t>
      </w:r>
    </w:p>
    <w:p>
      <w:pPr>
        <w:pStyle w:val="74"/>
        <w:keepNext w:val="0"/>
        <w:widowControl/>
        <w:numPr>
          <w:ilvl w:val="3"/>
          <w:numId w:val="6"/>
        </w:numPr>
        <w:spacing w:before="120" w:after="120"/>
        <w:ind w:left="2268" w:hanging="567"/>
        <w:textAlignment w:val="auto"/>
        <w:rPr>
          <w:rFonts w:ascii="Verdana" w:hAnsi="Verdana" w:cs="Arial"/>
          <w:sz w:val="18"/>
          <w:szCs w:val="18"/>
          <w:lang w:eastAsia="ar-SA"/>
        </w:rPr>
      </w:pPr>
      <w:r>
        <w:rPr>
          <w:rFonts w:ascii="Verdana" w:hAnsi="Verdana"/>
          <w:sz w:val="18"/>
          <w:szCs w:val="18"/>
        </w:rPr>
        <w:t>- A apresentação da Certidão de Acervo Técnico não exime</w:t>
      </w:r>
      <w:r>
        <w:rPr>
          <w:rFonts w:ascii="Verdana" w:hAnsi="Verdana"/>
          <w:b/>
          <w:sz w:val="18"/>
          <w:szCs w:val="18"/>
        </w:rPr>
        <w:t xml:space="preserve"> </w:t>
      </w:r>
      <w:r>
        <w:rPr>
          <w:rFonts w:ascii="Verdana" w:hAnsi="Verdana"/>
          <w:sz w:val="18"/>
          <w:szCs w:val="18"/>
        </w:rPr>
        <w:t>a apresentação da declaração registrada.</w:t>
      </w:r>
    </w:p>
    <w:p>
      <w:pPr>
        <w:pStyle w:val="74"/>
        <w:keepNext w:val="0"/>
        <w:widowControl/>
        <w:numPr>
          <w:ilvl w:val="3"/>
          <w:numId w:val="6"/>
        </w:numPr>
        <w:spacing w:before="120" w:after="120"/>
        <w:ind w:left="2268" w:hanging="567"/>
        <w:textAlignment w:val="auto"/>
        <w:rPr>
          <w:rFonts w:ascii="Verdana" w:hAnsi="Verdana" w:cs="Arial"/>
          <w:sz w:val="18"/>
          <w:szCs w:val="18"/>
          <w:lang w:eastAsia="ar-SA"/>
        </w:rPr>
      </w:pPr>
      <w:r>
        <w:rPr>
          <w:rFonts w:ascii="Verdana" w:hAnsi="Verdana"/>
          <w:sz w:val="18"/>
          <w:szCs w:val="18"/>
        </w:rPr>
        <w:t>– Este(s) documento(s) deverá(ão) mencionar o endereço, telefone ou fax do declarante e ser assinado por seu representante legal, devidamente identificado e autorizado para tal fim, reservando-se o direito da CPL de promover diligências para os esclarecimentos que julgar pertinente.</w:t>
      </w:r>
    </w:p>
    <w:p>
      <w:pPr>
        <w:pStyle w:val="74"/>
        <w:keepNext w:val="0"/>
        <w:widowControl/>
        <w:numPr>
          <w:ilvl w:val="3"/>
          <w:numId w:val="6"/>
        </w:numPr>
        <w:spacing w:before="120" w:after="120"/>
        <w:ind w:left="2268" w:hanging="567"/>
        <w:textAlignment w:val="auto"/>
        <w:rPr>
          <w:rFonts w:ascii="Verdana" w:hAnsi="Verdana" w:cs="Arial"/>
          <w:szCs w:val="20"/>
          <w:lang w:eastAsia="ar-SA"/>
        </w:rPr>
      </w:pPr>
      <w:r>
        <w:rPr>
          <w:rFonts w:ascii="Verdana" w:hAnsi="Verdana"/>
          <w:color w:val="000000"/>
          <w:sz w:val="18"/>
          <w:szCs w:val="18"/>
        </w:rPr>
        <w:t>- As licitantes, quando solicitadas, deverão disponibilizar todas as informações necessárias à comprovação da legitimidade dos atestados, apresentando, dentre outros documentos, cópia do contrato que deu suporte à contratação e das correspondentes Certidões de Acervo Técnico (CAT), endereço atual da contratante e local em que foram executadas as obras e serviços de engenharia.</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szCs w:val="20"/>
        </w:rPr>
        <w:t>– O acervo técnico de uma pessoa jurídica é representado pelos acervos técnicos dos profissionais do seu quadro técnico e de seus consultores técnicos devidamente contratados, de acordo com o art. 4º da Resolução 317/86 do CONFEA;</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sz w:val="18"/>
          <w:szCs w:val="18"/>
        </w:rPr>
        <w:t xml:space="preserve">– O acervo técnico de uma pessoa jurídica variará em função da alteração do acervo do seu quadro de profissionais e consultores (§ único do art. 4º da Resolução 317/86 do CONFEA); </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w:t>
      </w:r>
      <w:r>
        <w:rPr>
          <w:rFonts w:ascii="Verdana" w:hAnsi="Verdana" w:cs="Times-Bold"/>
          <w:b/>
          <w:bCs/>
          <w:szCs w:val="20"/>
        </w:rPr>
        <w:t xml:space="preserve"> </w:t>
      </w:r>
      <w:r>
        <w:rPr>
          <w:rFonts w:ascii="Verdana" w:hAnsi="Verdana" w:cs="Times-Roman"/>
          <w:szCs w:val="20"/>
        </w:rPr>
        <w:t>Os documentos necessários para a comprovação de que o profissional responsável pela obra está vinculado a licitante, são:</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cs="Times-Bold"/>
          <w:b/>
          <w:bCs/>
          <w:sz w:val="18"/>
          <w:szCs w:val="18"/>
        </w:rPr>
        <w:t>-</w:t>
      </w:r>
      <w:r>
        <w:rPr>
          <w:rFonts w:ascii="Verdana" w:hAnsi="Verdana" w:cs="Times-Roman"/>
          <w:sz w:val="18"/>
          <w:szCs w:val="18"/>
        </w:rPr>
        <w:t xml:space="preserve"> No caso de empregado com vínculo empregatício, o respectivo registro na Carteira de Trabalho e Previdência Social, bem como a ficha ou livro de registro de empregados, este último em conformidade com as normas da Delegacia Regional do Trabalho (DRT).</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cs="Times-Bold"/>
          <w:b/>
          <w:bCs/>
          <w:sz w:val="18"/>
          <w:szCs w:val="18"/>
        </w:rPr>
        <w:t>-</w:t>
      </w:r>
      <w:r>
        <w:rPr>
          <w:rFonts w:ascii="Verdana" w:hAnsi="Verdana" w:cs="Times-Roman"/>
          <w:sz w:val="18"/>
          <w:szCs w:val="18"/>
        </w:rPr>
        <w:t xml:space="preserve"> 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cs="Times-Bold"/>
          <w:b/>
          <w:bCs/>
          <w:sz w:val="18"/>
          <w:szCs w:val="18"/>
        </w:rPr>
        <w:t>-</w:t>
      </w:r>
      <w:r>
        <w:rPr>
          <w:rFonts w:ascii="Verdana" w:hAnsi="Verdana" w:cs="Times-Roman"/>
          <w:sz w:val="18"/>
          <w:szCs w:val="18"/>
        </w:rPr>
        <w:t xml:space="preserve"> No caso de contrato de prestação de serviços técnicos, o contrato devidamente firmado entre as partes, com firma reconhecida e registrado em cartório, para vincular a responsabilidade técnica com os profissionais informados na Certidão de Pessoa Jurídica expedida pelo CREA ou CAU.</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bookmarkEnd w:id="14"/>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bookmarkEnd w:id="15"/>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4"/>
        <w:keepNext w:val="0"/>
        <w:widowControl/>
        <w:spacing w:before="120" w:after="120"/>
        <w:ind w:left="360" w:firstLine="0"/>
        <w:textAlignment w:val="auto"/>
        <w:rPr>
          <w:rFonts w:ascii="Verdana" w:hAnsi="Verdana" w:cs="Arial"/>
          <w:szCs w:val="20"/>
          <w:lang w:eastAsia="ar-SA"/>
        </w:rPr>
      </w:pPr>
    </w:p>
    <w:p>
      <w:pPr>
        <w:pStyle w:val="74"/>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 planilha de orçamento de preços do grupo, devidamente ajustada ao lance vencedor, em conformidade com o modelo anexo III-A a este instrumento convocatório, juntamente com o cronograma físico financeiro (Anexo III-B) correspondente;</w:t>
      </w:r>
    </w:p>
    <w:p>
      <w:pPr>
        <w:pStyle w:val="74"/>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valor do percentual do lance vencedor, para se obter o valor monetário proposto;</w:t>
      </w:r>
    </w:p>
    <w:p>
      <w:pPr>
        <w:pStyle w:val="74"/>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o valor do percentual do lance final proposto deverá incidir igualmente sobre todos os preços unitários com BDI apurados pela Administração, não sendo admitida a incidência de valor diferente deste percentual.</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apresentar ainda como anexos, as planilhas demonstrativas de BDI e de encargos sociais, em conformidade também com os Anexos IV e V deste edital; </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4"/>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Ocorrendo divergência entre os preços unitários e o preço global, prevalecerão os primeiros; no caso de divergência entre os valores numéricos e os valores expressos por extenso, prevalecerão estes últimos.</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4"/>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5"/>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65"/>
        <w:keepNext w:val="0"/>
        <w:numPr>
          <w:ilvl w:val="0"/>
          <w:numId w:val="8"/>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pPr>
        <w:pStyle w:val="74"/>
        <w:keepNext w:val="0"/>
        <w:widowControl/>
        <w:numPr>
          <w:ilvl w:val="1"/>
          <w:numId w:val="8"/>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4"/>
        <w:keepNext w:val="0"/>
        <w:widowControl/>
        <w:numPr>
          <w:ilvl w:val="1"/>
          <w:numId w:val="8"/>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4"/>
        <w:keepNext w:val="0"/>
        <w:widowControl/>
        <w:numPr>
          <w:ilvl w:val="2"/>
          <w:numId w:val="8"/>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4"/>
        <w:keepNext w:val="0"/>
        <w:widowControl/>
        <w:numPr>
          <w:ilvl w:val="2"/>
          <w:numId w:val="8"/>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4"/>
        <w:keepNext w:val="0"/>
        <w:widowControl/>
        <w:numPr>
          <w:ilvl w:val="1"/>
          <w:numId w:val="8"/>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4"/>
        <w:keepNext w:val="0"/>
        <w:widowControl/>
        <w:numPr>
          <w:ilvl w:val="1"/>
          <w:numId w:val="8"/>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4"/>
        <w:keepNext w:val="0"/>
        <w:widowControl/>
        <w:numPr>
          <w:ilvl w:val="1"/>
          <w:numId w:val="8"/>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4"/>
        <w:keepNext w:val="0"/>
        <w:widowControl/>
        <w:spacing w:before="120" w:after="120"/>
        <w:ind w:left="425" w:firstLine="0"/>
        <w:rPr>
          <w:rFonts w:ascii="Verdana" w:hAnsi="Verdana" w:cs="Arial"/>
          <w:szCs w:val="20"/>
        </w:rPr>
      </w:pPr>
    </w:p>
    <w:p>
      <w:pPr>
        <w:pStyle w:val="74"/>
        <w:keepNext w:val="0"/>
        <w:widowControl/>
        <w:numPr>
          <w:ilvl w:val="0"/>
          <w:numId w:val="8"/>
        </w:numPr>
        <w:spacing w:before="120" w:after="120"/>
        <w:rPr>
          <w:rFonts w:ascii="Verdana" w:hAnsi="Verdana" w:cs="Arial"/>
          <w:b/>
          <w:szCs w:val="20"/>
        </w:rPr>
      </w:pPr>
      <w:r>
        <w:rPr>
          <w:rFonts w:ascii="Verdana" w:hAnsi="Verdana" w:cs="Arial"/>
          <w:b/>
          <w:szCs w:val="20"/>
        </w:rPr>
        <w:t>DA REABERTURA DA SESSÃO PÚBLICA</w:t>
      </w:r>
    </w:p>
    <w:p>
      <w:pPr>
        <w:pStyle w:val="74"/>
        <w:keepNext w:val="0"/>
        <w:widowControl/>
        <w:numPr>
          <w:ilvl w:val="1"/>
          <w:numId w:val="8"/>
        </w:numPr>
        <w:spacing w:before="120" w:after="120"/>
        <w:ind w:left="851" w:hanging="425"/>
        <w:rPr>
          <w:rFonts w:ascii="Verdana" w:hAnsi="Verdana" w:cs="Arial"/>
          <w:szCs w:val="20"/>
        </w:rPr>
      </w:pPr>
      <w:r>
        <w:rPr>
          <w:rFonts w:ascii="Verdana" w:hAnsi="Verdana" w:cs="Arial"/>
          <w:szCs w:val="20"/>
        </w:rPr>
        <w:t>A sessão pública poderá ser reaberta:</w:t>
      </w:r>
    </w:p>
    <w:p>
      <w:pPr>
        <w:pStyle w:val="74"/>
        <w:keepNext w:val="0"/>
        <w:widowControl/>
        <w:numPr>
          <w:ilvl w:val="2"/>
          <w:numId w:val="8"/>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4"/>
        <w:keepNext w:val="0"/>
        <w:widowControl/>
        <w:numPr>
          <w:ilvl w:val="2"/>
          <w:numId w:val="8"/>
        </w:numPr>
        <w:spacing w:before="120" w:after="120"/>
        <w:rPr>
          <w:rFonts w:ascii="Verdana" w:hAnsi="Verdana" w:cs="Arial"/>
          <w:sz w:val="18"/>
          <w:szCs w:val="18"/>
        </w:rPr>
      </w:pPr>
      <w:r>
        <w:rPr>
          <w:rFonts w:ascii="Verdana" w:hAnsi="Verdana" w:cs="Arial"/>
          <w:sz w:val="18"/>
          <w:szCs w:val="18"/>
        </w:rPr>
        <w:t xml:space="preserve">Quando houver erro na aceitação do preço melhor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 </w:t>
      </w:r>
    </w:p>
    <w:p>
      <w:pPr>
        <w:pStyle w:val="74"/>
        <w:keepNext w:val="0"/>
        <w:widowControl/>
        <w:numPr>
          <w:ilvl w:val="1"/>
          <w:numId w:val="8"/>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pPr>
        <w:pStyle w:val="74"/>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4"/>
        <w:keepNext w:val="0"/>
        <w:widowControl/>
        <w:numPr>
          <w:ilvl w:val="2"/>
          <w:numId w:val="8"/>
        </w:numPr>
        <w:spacing w:before="120" w:after="120"/>
        <w:rPr>
          <w:rFonts w:ascii="Verdana" w:hAnsi="Verdana" w:cs="Arial"/>
          <w:szCs w:val="20"/>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4"/>
        <w:keepNext w:val="0"/>
        <w:ind w:left="567" w:firstLine="0"/>
        <w:rPr>
          <w:rFonts w:ascii="Verdana" w:hAnsi="Verdana" w:cs="Arial"/>
          <w:szCs w:val="20"/>
        </w:rPr>
      </w:pPr>
    </w:p>
    <w:p>
      <w:pPr>
        <w:pStyle w:val="74"/>
        <w:keepNext w:val="0"/>
        <w:widowControl/>
        <w:numPr>
          <w:ilvl w:val="0"/>
          <w:numId w:val="8"/>
        </w:numPr>
        <w:spacing w:before="120" w:after="120"/>
        <w:rPr>
          <w:rFonts w:ascii="Verdana" w:hAnsi="Verdana" w:cs="Arial"/>
          <w:szCs w:val="20"/>
        </w:rPr>
      </w:pPr>
      <w:r>
        <w:rPr>
          <w:rFonts w:ascii="Verdana" w:hAnsi="Verdana" w:cs="Arial"/>
          <w:b/>
          <w:color w:val="000000"/>
          <w:szCs w:val="20"/>
        </w:rPr>
        <w:t>DA ADJUDICAÇÃO E HOMOLOGAÇÃO</w:t>
      </w:r>
    </w:p>
    <w:p>
      <w:pPr>
        <w:pStyle w:val="74"/>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4"/>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4"/>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4"/>
        <w:keepNext w:val="0"/>
        <w:widowControl/>
        <w:numPr>
          <w:ilvl w:val="0"/>
          <w:numId w:val="8"/>
        </w:numPr>
        <w:spacing w:before="120" w:after="120"/>
        <w:rPr>
          <w:rFonts w:ascii="Verdana" w:hAnsi="Verdana" w:cs="Arial"/>
          <w:szCs w:val="20"/>
        </w:rPr>
      </w:pPr>
      <w:r>
        <w:rPr>
          <w:rFonts w:ascii="Verdana" w:hAnsi="Verdana" w:cs="Arial"/>
          <w:b/>
          <w:szCs w:val="20"/>
        </w:rPr>
        <w:t>DA GARANTIA DE EXECUÇÃO</w:t>
      </w:r>
    </w:p>
    <w:p>
      <w:pPr>
        <w:pStyle w:val="65"/>
        <w:keepNext w:val="0"/>
        <w:numPr>
          <w:ilvl w:val="0"/>
          <w:numId w:val="9"/>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pPr>
        <w:pStyle w:val="65"/>
        <w:keepNext w:val="0"/>
        <w:numPr>
          <w:ilvl w:val="1"/>
          <w:numId w:val="8"/>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pPr>
        <w:pStyle w:val="74"/>
        <w:keepNext w:val="0"/>
        <w:ind w:firstLine="0"/>
        <w:rPr>
          <w:rFonts w:ascii="Verdana" w:hAnsi="Verdana" w:cs="Arial"/>
          <w:bCs/>
          <w:iCs/>
          <w:color w:val="000000"/>
          <w:szCs w:val="20"/>
        </w:rPr>
      </w:pPr>
    </w:p>
    <w:p>
      <w:pPr>
        <w:pStyle w:val="74"/>
        <w:keepNext w:val="0"/>
        <w:widowControl/>
        <w:numPr>
          <w:ilvl w:val="0"/>
          <w:numId w:val="10"/>
        </w:numPr>
        <w:spacing w:before="120" w:after="120"/>
        <w:rPr>
          <w:rFonts w:ascii="Verdana" w:hAnsi="Verdana" w:cs="Arial"/>
          <w:szCs w:val="20"/>
        </w:rPr>
      </w:pPr>
      <w:r>
        <w:rPr>
          <w:rFonts w:ascii="Verdana" w:hAnsi="Verdana" w:cs="Arial"/>
          <w:b/>
          <w:color w:val="000000"/>
          <w:szCs w:val="20"/>
        </w:rPr>
        <w:t>DO TERMO DE CONTRATO OU INSTRUMENTO EQUIVALENTE</w:t>
      </w:r>
    </w:p>
    <w:p>
      <w:pPr>
        <w:pStyle w:val="74"/>
        <w:keepNext w:val="0"/>
        <w:widowControl/>
        <w:numPr>
          <w:ilvl w:val="1"/>
          <w:numId w:val="10"/>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keepNext w:val="0"/>
        <w:numPr>
          <w:ilvl w:val="1"/>
          <w:numId w:val="10"/>
        </w:numPr>
        <w:shd w:val="clear" w:color="auto" w:fill="auto"/>
        <w:tabs>
          <w:tab w:val="left" w:pos="1440"/>
          <w:tab w:val="clear" w:pos="708"/>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keepNext w:val="0"/>
        <w:numPr>
          <w:ilvl w:val="2"/>
          <w:numId w:val="10"/>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keepNext w:val="0"/>
        <w:numPr>
          <w:ilvl w:val="1"/>
          <w:numId w:val="10"/>
        </w:numPr>
        <w:shd w:val="clear" w:color="auto" w:fill="auto"/>
        <w:tabs>
          <w:tab w:val="left" w:pos="1440"/>
          <w:tab w:val="clear" w:pos="708"/>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keepNext w:val="0"/>
        <w:numPr>
          <w:ilvl w:val="2"/>
          <w:numId w:val="10"/>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94"/>
        <w:numPr>
          <w:ilvl w:val="1"/>
          <w:numId w:val="10"/>
        </w:numPr>
        <w:spacing w:before="120" w:after="120"/>
        <w:ind w:left="851" w:hanging="425"/>
        <w:jc w:val="both"/>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06 (seis) meses.</w:t>
      </w:r>
    </w:p>
    <w:p>
      <w:pPr>
        <w:pStyle w:val="94"/>
        <w:numPr>
          <w:ilvl w:val="1"/>
          <w:numId w:val="10"/>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94"/>
        <w:numPr>
          <w:ilvl w:val="2"/>
          <w:numId w:val="10"/>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94"/>
        <w:numPr>
          <w:ilvl w:val="2"/>
          <w:numId w:val="10"/>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94"/>
        <w:numPr>
          <w:ilvl w:val="1"/>
          <w:numId w:val="10"/>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65"/>
        <w:keepNext w:val="0"/>
        <w:numPr>
          <w:ilvl w:val="1"/>
          <w:numId w:val="10"/>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74"/>
        <w:keepNext w:val="0"/>
        <w:ind w:left="567" w:firstLine="0"/>
        <w:rPr>
          <w:rFonts w:ascii="Verdana" w:hAnsi="Verdana" w:cs="Arial"/>
          <w:szCs w:val="20"/>
        </w:rPr>
      </w:pPr>
    </w:p>
    <w:p>
      <w:pPr>
        <w:pStyle w:val="65"/>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5"/>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5"/>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5"/>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5"/>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74"/>
        <w:keepNext w:val="0"/>
        <w:numPr>
          <w:ilvl w:val="0"/>
          <w:numId w:val="11"/>
        </w:numPr>
        <w:rPr>
          <w:rFonts w:ascii="Verdana" w:hAnsi="Verdana" w:cs="Arial"/>
          <w:szCs w:val="20"/>
        </w:rPr>
      </w:pPr>
      <w:r>
        <w:rPr>
          <w:rFonts w:ascii="Verdana" w:hAnsi="Verdana" w:cs="Arial"/>
          <w:b/>
          <w:color w:val="000000"/>
          <w:szCs w:val="20"/>
        </w:rPr>
        <w:t>DO REAJUSTAMENTO EM SENTIDO GERAL</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102"/>
        <w:numPr>
          <w:ilvl w:val="0"/>
          <w:numId w:val="11"/>
        </w:numPr>
        <w:rPr>
          <w:rFonts w:ascii="Verdana" w:hAnsi="Verdana" w:cs="Arial"/>
          <w:sz w:val="20"/>
          <w:szCs w:val="20"/>
        </w:rPr>
      </w:pPr>
      <w:r>
        <w:rPr>
          <w:rFonts w:ascii="Verdana" w:hAnsi="Verdana" w:cs="Arial"/>
          <w:sz w:val="20"/>
          <w:szCs w:val="20"/>
        </w:rPr>
        <w:t>DA ACEITAÇÃO DO OBJETO E DA FISCALIZAÇÃO</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4"/>
        <w:keepNext w:val="0"/>
        <w:ind w:left="567" w:firstLine="0"/>
        <w:rPr>
          <w:rFonts w:ascii="Verdana" w:hAnsi="Verdana" w:cs="Arial"/>
          <w:szCs w:val="20"/>
        </w:rPr>
      </w:pPr>
    </w:p>
    <w:p>
      <w:pPr>
        <w:pStyle w:val="74"/>
        <w:keepNext w:val="0"/>
        <w:numPr>
          <w:ilvl w:val="0"/>
          <w:numId w:val="11"/>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4"/>
        <w:keepNext w:val="0"/>
        <w:ind w:left="567" w:firstLine="0"/>
        <w:rPr>
          <w:rFonts w:ascii="Verdana" w:hAnsi="Verdana" w:cs="Arial"/>
          <w:szCs w:val="20"/>
        </w:rPr>
      </w:pPr>
    </w:p>
    <w:p>
      <w:pPr>
        <w:pStyle w:val="74"/>
        <w:keepNext w:val="0"/>
        <w:numPr>
          <w:ilvl w:val="0"/>
          <w:numId w:val="11"/>
        </w:numPr>
        <w:rPr>
          <w:rFonts w:ascii="Verdana" w:hAnsi="Verdana" w:cs="Arial"/>
          <w:szCs w:val="20"/>
        </w:rPr>
      </w:pPr>
      <w:r>
        <w:rPr>
          <w:rFonts w:ascii="Verdana" w:hAnsi="Verdana" w:cs="Arial"/>
          <w:b/>
          <w:color w:val="000000"/>
          <w:szCs w:val="20"/>
        </w:rPr>
        <w:t>DO PAGAMENTO</w:t>
      </w:r>
    </w:p>
    <w:p>
      <w:pPr>
        <w:pStyle w:val="74"/>
        <w:keepNext w:val="0"/>
        <w:widowControl/>
        <w:numPr>
          <w:ilvl w:val="1"/>
          <w:numId w:val="11"/>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r>
        <w:rPr>
          <w:rFonts w:ascii="Verdana" w:hAnsi="Verdana" w:cs="Arial"/>
          <w:color w:val="000000"/>
          <w:szCs w:val="20"/>
          <w:lang w:eastAsia="en-US"/>
        </w:rPr>
        <w:t xml:space="preserve"> </w:t>
      </w:r>
    </w:p>
    <w:p>
      <w:pPr>
        <w:pStyle w:val="74"/>
        <w:keepNext w:val="0"/>
        <w:ind w:left="660" w:firstLine="0"/>
        <w:rPr>
          <w:rFonts w:ascii="Verdana" w:hAnsi="Verdana" w:cs="Arial"/>
          <w:szCs w:val="20"/>
        </w:rPr>
      </w:pPr>
    </w:p>
    <w:p>
      <w:pPr>
        <w:pStyle w:val="74"/>
        <w:keepNext w:val="0"/>
        <w:numPr>
          <w:ilvl w:val="0"/>
          <w:numId w:val="11"/>
        </w:numPr>
        <w:rPr>
          <w:rFonts w:ascii="Verdana" w:hAnsi="Verdana" w:cs="Arial"/>
          <w:szCs w:val="20"/>
        </w:rPr>
      </w:pPr>
      <w:r>
        <w:rPr>
          <w:rFonts w:ascii="Verdana" w:hAnsi="Verdana" w:cs="Arial"/>
          <w:b/>
          <w:color w:val="000000"/>
          <w:szCs w:val="20"/>
        </w:rPr>
        <w:t>DAS SANÇÕES ADMINISTRATIVAS DURANTE A LICITAÇÃO.</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4"/>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65"/>
        <w:numPr>
          <w:ilvl w:val="2"/>
          <w:numId w:val="11"/>
        </w:numPr>
        <w:ind w:left="1134" w:hanging="567"/>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4"/>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4"/>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4"/>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pPr>
        <w:pStyle w:val="74"/>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4"/>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pPr>
        <w:pStyle w:val="74"/>
        <w:keepNext w:val="0"/>
        <w:widowControl/>
        <w:numPr>
          <w:ilvl w:val="2"/>
          <w:numId w:val="11"/>
        </w:numPr>
        <w:shd w:val="clear" w:color="auto" w:fill="auto"/>
        <w:spacing w:before="120" w:after="120"/>
        <w:ind w:left="1134" w:hanging="567"/>
        <w:textAlignment w:val="auto"/>
        <w:rPr>
          <w:rFonts w:ascii="Verdana" w:hAnsi="Verdana" w:cs="Arial"/>
          <w:color w:val="000000"/>
          <w:sz w:val="18"/>
          <w:szCs w:val="18"/>
        </w:rPr>
      </w:pPr>
      <w:r>
        <w:rPr>
          <w:rFonts w:ascii="Verdana" w:hAnsi="Verdana" w:cs="Arial"/>
          <w:sz w:val="18"/>
          <w:szCs w:val="18"/>
          <w:shd w:val="clear" w:color="auto" w:fill="FFFFFF"/>
        </w:rPr>
        <w:t>comportar-se de modo inidôneo;</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4"/>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4"/>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4"/>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4"/>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4"/>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pPr>
        <w:pStyle w:val="74"/>
        <w:keepNext w:val="0"/>
        <w:widowControl/>
        <w:spacing w:before="120" w:after="120"/>
        <w:ind w:left="660" w:firstLine="0"/>
        <w:rPr>
          <w:rFonts w:ascii="Verdana" w:hAnsi="Verdana" w:cs="Arial"/>
          <w:szCs w:val="20"/>
        </w:rPr>
      </w:pPr>
    </w:p>
    <w:p>
      <w:pPr>
        <w:pStyle w:val="74"/>
        <w:keepNext w:val="0"/>
        <w:widowControl/>
        <w:numPr>
          <w:ilvl w:val="0"/>
          <w:numId w:val="11"/>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hAnsi="Verdana" w:eastAsia="Times New Roman" w:cs="Arial"/>
          <w:szCs w:val="20"/>
        </w:rPr>
        <w:t>cpl@id.uff.br,</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pPr>
        <w:pStyle w:val="65"/>
        <w:keepNext w:val="0"/>
        <w:numPr>
          <w:ilvl w:val="1"/>
          <w:numId w:val="11"/>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r>
        <w:rPr>
          <w:rFonts w:ascii="Verdana" w:hAnsi="Verdana" w:cs="Arial"/>
          <w:sz w:val="20"/>
          <w:szCs w:val="20"/>
        </w:rPr>
        <w:t xml:space="preserve"> </w:t>
      </w:r>
      <w:r>
        <w:rPr>
          <w:rFonts w:ascii="Verdana" w:hAnsi="Verdana" w:cs="Arial"/>
          <w:color w:val="000000"/>
          <w:sz w:val="20"/>
          <w:szCs w:val="20"/>
        </w:rPr>
        <w:t>.</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65"/>
        <w:keepNext w:val="0"/>
        <w:numPr>
          <w:ilvl w:val="2"/>
          <w:numId w:val="11"/>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4"/>
        <w:keepNext w:val="0"/>
        <w:widowControl/>
        <w:spacing w:before="120" w:after="120"/>
        <w:ind w:left="425" w:firstLine="0"/>
        <w:rPr>
          <w:rFonts w:ascii="Verdana" w:hAnsi="Verdana" w:cs="Arial"/>
          <w:b/>
          <w:szCs w:val="20"/>
        </w:rPr>
      </w:pPr>
    </w:p>
    <w:p>
      <w:pPr>
        <w:pStyle w:val="74"/>
        <w:keepNext w:val="0"/>
        <w:widowControl/>
        <w:numPr>
          <w:ilvl w:val="0"/>
          <w:numId w:val="11"/>
        </w:numPr>
        <w:spacing w:before="120" w:after="120"/>
        <w:ind w:left="426" w:hanging="426"/>
        <w:rPr>
          <w:rFonts w:ascii="Verdana" w:hAnsi="Verdana" w:cs="Arial"/>
          <w:b/>
          <w:szCs w:val="20"/>
        </w:rPr>
      </w:pPr>
      <w:r>
        <w:rPr>
          <w:rFonts w:ascii="Verdana" w:hAnsi="Verdana" w:cs="Arial"/>
          <w:b/>
          <w:color w:val="000000"/>
          <w:szCs w:val="20"/>
        </w:rPr>
        <w:t>DAS DISPOSIÇÕES GERAIS</w:t>
      </w:r>
    </w:p>
    <w:p>
      <w:pPr>
        <w:pStyle w:val="94"/>
        <w:numPr>
          <w:ilvl w:val="1"/>
          <w:numId w:val="11"/>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 Edital está disponibilizado, na íntegra, no endereço eletrônico </w:t>
      </w:r>
      <w:r>
        <w:rPr>
          <w:rFonts w:ascii="Verdana" w:hAnsi="Verdana" w:cs="Arial"/>
          <w:szCs w:val="20"/>
        </w:rPr>
        <w:t>comprasgovernamentais.gov.br</w:t>
      </w:r>
      <w:r>
        <w:rPr>
          <w:rFonts w:ascii="Verdana" w:hAnsi="Verdana" w:cs="Arial"/>
          <w:color w:val="000000"/>
          <w:szCs w:val="20"/>
        </w:rPr>
        <w:t xml:space="preserve">, e </w:t>
      </w:r>
      <w:r>
        <w:rPr>
          <w:rFonts w:ascii="Verdana" w:hAnsi="Verdana" w:cs="Arial"/>
          <w:szCs w:val="20"/>
        </w:rPr>
        <w:t xml:space="preserve">também poderão ser lidos e/ou obtidos no endereço </w:t>
      </w:r>
      <w:r>
        <w:rPr>
          <w:rFonts w:ascii="Verdana" w:hAnsi="Verdana" w:eastAsia="Times New Roman" w:cs="Arial"/>
          <w:szCs w:val="20"/>
        </w:rPr>
        <w:t>Rua Miguel de Frias n.º 09, 1º andar, sala da Coordenação de Licitação, Niterói-RJ</w:t>
      </w:r>
      <w:r>
        <w:rPr>
          <w:rFonts w:ascii="Verdana" w:hAnsi="Verdana" w:cs="Arial"/>
          <w:szCs w:val="20"/>
        </w:rPr>
        <w:t>, nos dias úteis, no horário</w:t>
      </w:r>
      <w:r>
        <w:rPr>
          <w:rFonts w:ascii="Verdana" w:hAnsi="Verdana" w:cs="Arial"/>
          <w:color w:val="000000"/>
          <w:szCs w:val="20"/>
        </w:rPr>
        <w:t xml:space="preserve"> das 09:00 horas às 17:00 horas, mesmo endereço e período no qual os autos do processo administrativo permanecerão com vista franqueada aos interessados.</w:t>
      </w:r>
    </w:p>
    <w:p>
      <w:pPr>
        <w:pStyle w:val="74"/>
        <w:keepNext w:val="0"/>
        <w:widowControl/>
        <w:spacing w:before="120" w:after="120"/>
        <w:ind w:left="851" w:firstLine="0"/>
        <w:rPr>
          <w:rFonts w:ascii="Verdana" w:hAnsi="Verdana" w:cs="Arial"/>
          <w:szCs w:val="20"/>
        </w:rPr>
      </w:pPr>
    </w:p>
    <w:p>
      <w:pPr>
        <w:pStyle w:val="74"/>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I – Termo de Referência;</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II – Descrição dos serviços;</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III-A – Planilha de Orçamento;</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III-B – Cronograma Físico e Financeiro;</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IV - Modelo de planilha de Composição de BDI;</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V – Modelo de planilha de Composição de Encargos Sociais;</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VI – Modelo da Carta de Apresentação da Proposta;</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VII – Modelo de Declaração de Vistoria;</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VIII – Modelo de Declaração de não realização de Vistoria;</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IX - Modelo de Declaração de Responsabilidade; e</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X - Minuta de Termo de Contrato;</w:t>
      </w:r>
    </w:p>
    <w:p>
      <w:pPr>
        <w:pStyle w:val="74"/>
        <w:keepNext w:val="0"/>
        <w:numPr>
          <w:ilvl w:val="2"/>
          <w:numId w:val="11"/>
        </w:numPr>
        <w:ind w:left="1134" w:hanging="567"/>
        <w:rPr>
          <w:rFonts w:ascii="Verdana" w:hAnsi="Verdana" w:cs="Arial"/>
          <w:szCs w:val="20"/>
        </w:rPr>
      </w:pPr>
      <w:r>
        <w:rPr>
          <w:rFonts w:ascii="Verdana" w:hAnsi="Verdana" w:cs="Arial"/>
          <w:color w:val="000000"/>
          <w:szCs w:val="20"/>
        </w:rPr>
        <w:t>Anexo XI – Projetos.</w:t>
      </w:r>
    </w:p>
    <w:p>
      <w:pPr>
        <w:pStyle w:val="74"/>
        <w:keepNext w:val="0"/>
        <w:jc w:val="center"/>
        <w:rPr>
          <w:rFonts w:ascii="Verdana" w:hAnsi="Verdana" w:cs="Arial"/>
          <w:color w:val="000000"/>
          <w:szCs w:val="20"/>
        </w:rPr>
      </w:pPr>
    </w:p>
    <w:p>
      <w:pPr>
        <w:pStyle w:val="74"/>
        <w:keepNext w:val="0"/>
        <w:jc w:val="center"/>
        <w:rPr>
          <w:rFonts w:ascii="Verdana" w:hAnsi="Verdana" w:cs="Arial"/>
          <w:color w:val="000000"/>
          <w:szCs w:val="20"/>
        </w:rPr>
      </w:pPr>
      <w:r>
        <w:rPr>
          <w:rFonts w:ascii="Verdana" w:hAnsi="Verdana" w:cs="Arial"/>
          <w:color w:val="000000"/>
          <w:szCs w:val="20"/>
        </w:rPr>
        <w:t>Niterói, 26 de novembro de 2021.</w:t>
      </w:r>
    </w:p>
    <w:p>
      <w:pPr>
        <w:pStyle w:val="74"/>
        <w:keepNext w:val="0"/>
        <w:jc w:val="center"/>
        <w:rPr>
          <w:rFonts w:ascii="Verdana" w:hAnsi="Verdana" w:cs="Arial"/>
          <w:szCs w:val="20"/>
        </w:rPr>
      </w:pPr>
    </w:p>
    <w:p>
      <w:pPr>
        <w:pStyle w:val="74"/>
        <w:keepNext w:val="0"/>
        <w:jc w:val="center"/>
        <w:rPr>
          <w:rFonts w:ascii="Verdana" w:hAnsi="Verdana" w:cs="Arial"/>
          <w:szCs w:val="20"/>
        </w:rPr>
      </w:pPr>
    </w:p>
    <w:p>
      <w:pPr>
        <w:pStyle w:val="74"/>
        <w:keepNext w:val="0"/>
        <w:spacing w:line="240" w:lineRule="auto"/>
        <w:jc w:val="center"/>
        <w:rPr>
          <w:sz w:val="18"/>
          <w:szCs w:val="18"/>
        </w:rPr>
      </w:pPr>
      <w:r>
        <w:rPr>
          <w:rFonts w:ascii="Verdana" w:hAnsi="Verdana" w:cs="Arial"/>
          <w:szCs w:val="20"/>
        </w:rPr>
        <w:t>__________</w:t>
      </w:r>
      <w:r>
        <w:rPr>
          <w:rFonts w:ascii="Verdana" w:hAnsi="Verdana" w:cs="Arial"/>
          <w:sz w:val="18"/>
          <w:szCs w:val="18"/>
        </w:rPr>
        <w:t>______________________</w:t>
      </w:r>
    </w:p>
    <w:p>
      <w:pPr>
        <w:jc w:val="center"/>
        <w:rPr>
          <w:rFonts w:ascii="Verdana" w:hAnsi="Verdana" w:cs="Arial"/>
          <w:sz w:val="18"/>
          <w:szCs w:val="18"/>
        </w:rPr>
      </w:pPr>
      <w:r>
        <w:rPr>
          <w:rFonts w:ascii="Verdana" w:hAnsi="Verdana" w:cs="Arial"/>
          <w:sz w:val="18"/>
          <w:szCs w:val="18"/>
        </w:rPr>
        <w:t>Coordenadora de Licitação/CLi</w:t>
      </w:r>
    </w:p>
    <w:p>
      <w:pPr>
        <w:jc w:val="center"/>
        <w:rPr>
          <w:rFonts w:ascii="Verdana" w:hAnsi="Verdana" w:cs="Arial"/>
          <w:sz w:val="18"/>
          <w:szCs w:val="18"/>
        </w:rPr>
      </w:pPr>
      <w:r>
        <w:rPr>
          <w:rFonts w:ascii="Verdana" w:hAnsi="Verdana" w:cs="Arial"/>
          <w:sz w:val="18"/>
          <w:szCs w:val="18"/>
        </w:rPr>
        <w:t>Pró-Reitoria de Administração/Proad</w:t>
      </w:r>
    </w:p>
    <w:p>
      <w:pPr>
        <w:jc w:val="center"/>
        <w:rPr>
          <w:rFonts w:ascii="Verdana" w:hAnsi="Verdana" w:cs="Arial"/>
          <w:sz w:val="18"/>
          <w:szCs w:val="18"/>
        </w:rPr>
      </w:pPr>
      <w:r>
        <w:rPr>
          <w:rFonts w:ascii="Verdana" w:hAnsi="Verdana" w:cs="Arial"/>
          <w:sz w:val="18"/>
          <w:szCs w:val="18"/>
        </w:rPr>
        <w:t>Universidade Federal Fluminense</w:t>
      </w:r>
    </w:p>
    <w:p>
      <w:pPr>
        <w:jc w:val="center"/>
        <w:rPr>
          <w:rFonts w:eastAsia="WenQuanYi Micro Hei" w:cs="Lohit Hindi"/>
          <w:color w:val="auto"/>
          <w:sz w:val="18"/>
          <w:szCs w:val="18"/>
          <w:lang w:eastAsia="zh-CN" w:bidi="hi-IN"/>
        </w:rPr>
      </w:pPr>
    </w:p>
    <w:sectPr>
      <w:headerReference r:id="rId3" w:type="default"/>
      <w:footerReference r:id="rId4" w:type="default"/>
      <w:pgSz w:w="11906" w:h="16838"/>
      <w:pgMar w:top="907" w:right="1247" w:bottom="1021"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Ecofont_Spranq_eco_Sans">
    <w:altName w:val="Calibri"/>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roman"/>
    <w:pitch w:val="default"/>
    <w:sig w:usb0="E0000AFF" w:usb1="500078FF" w:usb2="00000021" w:usb3="00000000" w:csb0="600001BF" w:csb1="DFF70000"/>
  </w:font>
  <w:font w:name="WenQuanYi Micro Hei">
    <w:altName w:val="SimSun"/>
    <w:panose1 w:val="00000000000000000000"/>
    <w:charset w:val="86"/>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Mangal">
    <w:panose1 w:val="02040503050203030202"/>
    <w:charset w:val="00"/>
    <w:family w:val="roman"/>
    <w:pitch w:val="default"/>
    <w:sig w:usb0="00008003" w:usb1="00000000" w:usb2="00000000" w:usb3="00000000" w:csb0="00000001" w:csb1="00000000"/>
  </w:font>
  <w:font w:name="Liberation Serif">
    <w:panose1 w:val="02020603050405020304"/>
    <w:charset w:val="00"/>
    <w:family w:val="roman"/>
    <w:pitch w:val="default"/>
    <w:sig w:usb0="E0000AFF" w:usb1="500078FF" w:usb2="00000021" w:usb3="00000000" w:csb0="600001BF" w:csb1="DFF70000"/>
  </w:font>
  <w:font w:name="MS Mincho">
    <w:panose1 w:val="02020609040205080304"/>
    <w:charset w:val="80"/>
    <w:family w:val="modern"/>
    <w:pitch w:val="default"/>
    <w:sig w:usb0="E00002FF" w:usb1="6AC7FDFB" w:usb2="00000012" w:usb3="00000000" w:csb0="4002009F" w:csb1="DFD70000"/>
  </w:font>
  <w:font w:name="Segoe UI">
    <w:panose1 w:val="020B0502040204020203"/>
    <w:charset w:val="00"/>
    <w:family w:val="swiss"/>
    <w:pitch w:val="default"/>
    <w:sig w:usb0="E10022FF" w:usb1="C000E47F" w:usb2="00000029" w:usb3="00000000" w:csb0="200001DF" w:csb1="20000000"/>
  </w:font>
  <w:font w:name="Verdana">
    <w:panose1 w:val="020B0604030504040204"/>
    <w:charset w:val="00"/>
    <w:family w:val="swiss"/>
    <w:pitch w:val="default"/>
    <w:sig w:usb0="A10006FF" w:usb1="4000205B" w:usb2="00000010" w:usb3="00000000" w:csb0="2000019F" w:csb1="00000000"/>
  </w:font>
  <w:font w:name="Zurich BT">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Ecofont_Spranq_eco_Sans,Lohit H">
    <w:altName w:val="Times New Roman"/>
    <w:panose1 w:val="00000000000000000000"/>
    <w:charset w:val="00"/>
    <w:family w:val="roman"/>
    <w:pitch w:val="default"/>
    <w:sig w:usb0="00000000" w:usb1="00000000" w:usb2="00000000" w:usb3="00000000" w:csb0="00000000"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p>
    <w:pPr>
      <w:pStyle w:val="19"/>
      <w:keepNext w:val="0"/>
    </w:pPr>
    <w:r>
      <w:rPr>
        <w:sz w:val="12"/>
        <w:szCs w:val="12"/>
      </w:rPr>
      <w:t>Atualização: Dezembro/2019</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23069.162514/2021-00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1">
    <w:nsid w:val="2367722C"/>
    <w:multiLevelType w:val="multilevel"/>
    <w:tmpl w:val="2367722C"/>
    <w:lvl w:ilvl="0" w:tentative="0">
      <w:start w:val="12"/>
      <w:numFmt w:val="decimal"/>
      <w:lvlText w:val="%1."/>
      <w:lvlJc w:val="left"/>
      <w:pPr>
        <w:ind w:left="0" w:firstLine="0"/>
      </w:pPr>
      <w:rPr>
        <w:rFonts w:hint="default"/>
        <w:b/>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346250F7"/>
    <w:multiLevelType w:val="multilevel"/>
    <w:tmpl w:val="346250F7"/>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decimal"/>
      <w:lvlText w:val="%1.%2.%3"/>
      <w:lvlJc w:val="left"/>
      <w:pPr>
        <w:ind w:left="1712" w:hanging="720"/>
      </w:pPr>
      <w:rPr>
        <w:rFonts w:hint="default"/>
        <w:sz w:val="18"/>
        <w:szCs w:val="18"/>
      </w:rPr>
    </w:lvl>
    <w:lvl w:ilvl="3" w:tentative="0">
      <w:start w:val="1"/>
      <w:numFmt w:val="decimal"/>
      <w:lvlText w:val="%1.%2.%3.%4"/>
      <w:lvlJc w:val="left"/>
      <w:pPr>
        <w:ind w:left="3272"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3">
    <w:nsid w:val="34665CEB"/>
    <w:multiLevelType w:val="multilevel"/>
    <w:tmpl w:val="34665CEB"/>
    <w:lvl w:ilvl="0" w:tentative="0">
      <w:start w:val="13"/>
      <w:numFmt w:val="decimal"/>
      <w:lvlText w:val="%1."/>
      <w:lvlJc w:val="left"/>
      <w:pPr>
        <w:ind w:left="0" w:firstLine="0"/>
      </w:pPr>
      <w:rPr>
        <w:rFonts w:hint="default"/>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37516B2C"/>
    <w:multiLevelType w:val="multilevel"/>
    <w:tmpl w:val="37516B2C"/>
    <w:lvl w:ilvl="0" w:tentative="0">
      <w:start w:val="1"/>
      <w:numFmt w:val="decimal"/>
      <w:lvlText w:val="%1."/>
      <w:lvlJc w:val="left"/>
      <w:pPr>
        <w:ind w:left="360" w:hanging="360"/>
      </w:pPr>
      <w:rPr>
        <w:b/>
        <w:sz w:val="20"/>
        <w:szCs w:val="20"/>
      </w:rPr>
    </w:lvl>
    <w:lvl w:ilvl="1" w:tentative="0">
      <w:start w:val="1"/>
      <w:numFmt w:val="decimal"/>
      <w:lvlText w:val="%1.%2."/>
      <w:lvlJc w:val="left"/>
      <w:pPr>
        <w:ind w:left="792" w:hanging="432"/>
      </w:pPr>
      <w:rPr>
        <w:b w:val="0"/>
        <w:i w:val="0"/>
        <w:color w:val="auto"/>
      </w:rPr>
    </w:lvl>
    <w:lvl w:ilvl="2" w:tentative="0">
      <w:start w:val="1"/>
      <w:numFmt w:val="decimal"/>
      <w:lvlText w:val="%1.%2.%3."/>
      <w:lvlJc w:val="left"/>
      <w:pPr>
        <w:ind w:left="1224" w:hanging="504"/>
      </w:pPr>
      <w:rPr>
        <w:b w:val="0"/>
        <w:color w:val="auto"/>
      </w:rPr>
    </w:lvl>
    <w:lvl w:ilvl="3" w:tentative="0">
      <w:start w:val="1"/>
      <w:numFmt w:val="decimal"/>
      <w:lvlText w:val="%1.%2.%3.%4."/>
      <w:lvlJc w:val="left"/>
      <w:pPr>
        <w:ind w:left="1728" w:hanging="648"/>
      </w:pPr>
      <w:rPr>
        <w:color w:val="auto"/>
      </w:rPr>
    </w:lvl>
    <w:lvl w:ilvl="4" w:tentative="0">
      <w:start w:val="1"/>
      <w:numFmt w:val="decimal"/>
      <w:lvlText w:val="%1.%2.%3.%4.%5."/>
      <w:lvlJc w:val="left"/>
      <w:pPr>
        <w:ind w:left="2232" w:hanging="792"/>
      </w:pPr>
      <w:rPr>
        <w:color w:val="auto"/>
      </w:rPr>
    </w:lvl>
    <w:lvl w:ilvl="5" w:tentative="0">
      <w:start w:val="1"/>
      <w:numFmt w:val="decimal"/>
      <w:lvlText w:val="%1.%2.%3.%4.%5.%6."/>
      <w:lvlJc w:val="left"/>
      <w:pPr>
        <w:ind w:left="2736" w:hanging="936"/>
      </w:pPr>
      <w:rPr>
        <w:color w:val="auto"/>
      </w:rPr>
    </w:lvl>
    <w:lvl w:ilvl="6" w:tentative="0">
      <w:start w:val="1"/>
      <w:numFmt w:val="decimal"/>
      <w:lvlText w:val="%1.%2.%3.%4.%5.%6.%7."/>
      <w:lvlJc w:val="left"/>
      <w:pPr>
        <w:ind w:left="3240" w:hanging="1080"/>
      </w:pPr>
      <w:rPr>
        <w:color w:val="auto"/>
      </w:rPr>
    </w:lvl>
    <w:lvl w:ilvl="7" w:tentative="0">
      <w:start w:val="1"/>
      <w:numFmt w:val="decimal"/>
      <w:lvlText w:val="%1.%2.%3.%4.%5.%6.%7.%8."/>
      <w:lvlJc w:val="left"/>
      <w:pPr>
        <w:ind w:left="3744" w:hanging="1224"/>
      </w:pPr>
      <w:rPr>
        <w:color w:val="auto"/>
      </w:rPr>
    </w:lvl>
    <w:lvl w:ilvl="8" w:tentative="0">
      <w:start w:val="1"/>
      <w:numFmt w:val="decimal"/>
      <w:lvlText w:val="%1.%2.%3.%4.%5.%6.%7.%8.%9."/>
      <w:lvlJc w:val="left"/>
      <w:pPr>
        <w:ind w:left="4320" w:hanging="1440"/>
      </w:pPr>
      <w:rPr>
        <w:color w:val="auto"/>
      </w:rPr>
    </w:lvl>
  </w:abstractNum>
  <w:abstractNum w:abstractNumId="5">
    <w:nsid w:val="43CF13EB"/>
    <w:multiLevelType w:val="multilevel"/>
    <w:tmpl w:val="43CF13EB"/>
    <w:lvl w:ilvl="0" w:tentative="0">
      <w:start w:val="12"/>
      <w:numFmt w:val="decimal"/>
      <w:lvlText w:val="%1."/>
      <w:lvlJc w:val="left"/>
      <w:pPr>
        <w:ind w:left="660" w:hanging="660"/>
      </w:pPr>
      <w:rPr>
        <w:rFonts w:hint="default"/>
        <w:b/>
      </w:rPr>
    </w:lvl>
    <w:lvl w:ilvl="1" w:tentative="0">
      <w:start w:val="1"/>
      <w:numFmt w:val="decimal"/>
      <w:lvlText w:val="%1.%2."/>
      <w:lvlJc w:val="left"/>
      <w:pPr>
        <w:ind w:left="1085" w:hanging="660"/>
      </w:pPr>
      <w:rPr>
        <w:rFonts w:hint="default"/>
      </w:rPr>
    </w:lvl>
    <w:lvl w:ilvl="2" w:tentative="0">
      <w:start w:val="1"/>
      <w:numFmt w:val="decimal"/>
      <w:lvlText w:val="%1.%2.%3."/>
      <w:lvlJc w:val="left"/>
      <w:pPr>
        <w:ind w:left="1570" w:hanging="720"/>
      </w:pPr>
      <w:rPr>
        <w:rFonts w:hint="default"/>
      </w:rPr>
    </w:lvl>
    <w:lvl w:ilvl="3" w:tentative="0">
      <w:start w:val="1"/>
      <w:numFmt w:val="decimal"/>
      <w:lvlText w:val="%1.%2.%3.%4."/>
      <w:lvlJc w:val="left"/>
      <w:pPr>
        <w:ind w:left="1995" w:hanging="720"/>
      </w:pPr>
      <w:rPr>
        <w:rFonts w:hint="default"/>
      </w:rPr>
    </w:lvl>
    <w:lvl w:ilvl="4" w:tentative="0">
      <w:start w:val="1"/>
      <w:numFmt w:val="decimal"/>
      <w:lvlText w:val="%1.%2.%3.%4.%5."/>
      <w:lvlJc w:val="left"/>
      <w:pPr>
        <w:ind w:left="2780" w:hanging="1080"/>
      </w:pPr>
      <w:rPr>
        <w:rFonts w:hint="default"/>
      </w:rPr>
    </w:lvl>
    <w:lvl w:ilvl="5" w:tentative="0">
      <w:start w:val="1"/>
      <w:numFmt w:val="decimal"/>
      <w:lvlText w:val="%1.%2.%3.%4.%5.%6."/>
      <w:lvlJc w:val="left"/>
      <w:pPr>
        <w:ind w:left="3205" w:hanging="1080"/>
      </w:pPr>
      <w:rPr>
        <w:rFonts w:hint="default"/>
      </w:rPr>
    </w:lvl>
    <w:lvl w:ilvl="6" w:tentative="0">
      <w:start w:val="1"/>
      <w:numFmt w:val="decimal"/>
      <w:lvlText w:val="%1.%2.%3.%4.%5.%6.%7."/>
      <w:lvlJc w:val="left"/>
      <w:pPr>
        <w:ind w:left="3990" w:hanging="1440"/>
      </w:pPr>
      <w:rPr>
        <w:rFonts w:hint="default"/>
      </w:rPr>
    </w:lvl>
    <w:lvl w:ilvl="7" w:tentative="0">
      <w:start w:val="1"/>
      <w:numFmt w:val="decimal"/>
      <w:lvlText w:val="%1.%2.%3.%4.%5.%6.%7.%8."/>
      <w:lvlJc w:val="left"/>
      <w:pPr>
        <w:ind w:left="4415" w:hanging="1440"/>
      </w:pPr>
      <w:rPr>
        <w:rFonts w:hint="default"/>
      </w:rPr>
    </w:lvl>
    <w:lvl w:ilvl="8" w:tentative="0">
      <w:start w:val="1"/>
      <w:numFmt w:val="decimal"/>
      <w:lvlText w:val="%1.%2.%3.%4.%5.%6.%7.%8.%9."/>
      <w:lvlJc w:val="left"/>
      <w:pPr>
        <w:ind w:left="5200" w:hanging="1800"/>
      </w:pPr>
      <w:rPr>
        <w:rFonts w:hint="default"/>
      </w:rPr>
    </w:lvl>
  </w:abstractNum>
  <w:abstractNum w:abstractNumId="6">
    <w:nsid w:val="58C70088"/>
    <w:multiLevelType w:val="multilevel"/>
    <w:tmpl w:val="58C70088"/>
    <w:lvl w:ilvl="0" w:tentative="0">
      <w:start w:val="1"/>
      <w:numFmt w:val="decimal"/>
      <w:pStyle w:val="80"/>
      <w:lvlText w:val="%1."/>
      <w:lvlJc w:val="left"/>
      <w:pPr>
        <w:ind w:left="502" w:hanging="360"/>
      </w:pPr>
      <w:rPr>
        <w:b/>
        <w:i w:val="0"/>
        <w:strike w:val="0"/>
        <w:dstrike w:val="0"/>
      </w:rPr>
    </w:lvl>
    <w:lvl w:ilvl="1" w:tentative="0">
      <w:start w:val="1"/>
      <w:numFmt w:val="decimal"/>
      <w:pStyle w:val="79"/>
      <w:lvlText w:val="%1.%2."/>
      <w:lvlJc w:val="left"/>
      <w:pPr>
        <w:ind w:left="858" w:hanging="432"/>
      </w:pPr>
      <w:rPr>
        <w:b w:val="0"/>
        <w:strike w:val="0"/>
      </w:rPr>
    </w:lvl>
    <w:lvl w:ilvl="2" w:tentative="0">
      <w:start w:val="1"/>
      <w:numFmt w:val="decimal"/>
      <w:pStyle w:val="81"/>
      <w:lvlText w:val="%1.%2.%3."/>
      <w:lvlJc w:val="left"/>
      <w:pPr>
        <w:ind w:left="1224" w:hanging="504"/>
      </w:pPr>
      <w:rPr>
        <w:i w:val="0"/>
        <w:strike w:val="0"/>
      </w:rPr>
    </w:lvl>
    <w:lvl w:ilvl="3" w:tentative="0">
      <w:start w:val="1"/>
      <w:numFmt w:val="decimal"/>
      <w:pStyle w:val="82"/>
      <w:lvlText w:val="%1.%2.%3.%4."/>
      <w:lvlJc w:val="left"/>
      <w:pPr>
        <w:ind w:left="1728" w:hanging="648"/>
      </w:pPr>
    </w:lvl>
    <w:lvl w:ilvl="4" w:tentative="0">
      <w:start w:val="1"/>
      <w:numFmt w:val="decimal"/>
      <w:pStyle w:val="8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8">
    <w:nsid w:val="6C2D4641"/>
    <w:multiLevelType w:val="multilevel"/>
    <w:tmpl w:val="6C2D4641"/>
    <w:lvl w:ilvl="0" w:tentative="0">
      <w:start w:val="4"/>
      <w:numFmt w:val="decimal"/>
      <w:lvlText w:val="%1"/>
      <w:lvlJc w:val="left"/>
      <w:pPr>
        <w:ind w:left="405" w:hanging="405"/>
      </w:pPr>
      <w:rPr>
        <w:rFonts w:hint="default"/>
      </w:rPr>
    </w:lvl>
    <w:lvl w:ilvl="1" w:tentative="0">
      <w:start w:val="2"/>
      <w:numFmt w:val="decimal"/>
      <w:lvlText w:val="%1.%2"/>
      <w:lvlJc w:val="left"/>
      <w:pPr>
        <w:ind w:left="1114" w:hanging="405"/>
      </w:pPr>
      <w:rPr>
        <w:rFonts w:hint="default"/>
      </w:rPr>
    </w:lvl>
    <w:lvl w:ilvl="2" w:tentative="0">
      <w:start w:val="1"/>
      <w:numFmt w:val="decimal"/>
      <w:lvlText w:val="%1.%2.%3"/>
      <w:lvlJc w:val="left"/>
      <w:pPr>
        <w:ind w:left="2216" w:hanging="720"/>
      </w:pPr>
      <w:rPr>
        <w:rFonts w:hint="default" w:ascii="Arial" w:hAnsi="Arial" w:cs="Arial"/>
      </w:rPr>
    </w:lvl>
    <w:lvl w:ilvl="3" w:tentative="0">
      <w:start w:val="1"/>
      <w:numFmt w:val="decimal"/>
      <w:lvlText w:val="%1.%2.%3.%4"/>
      <w:lvlJc w:val="left"/>
      <w:pPr>
        <w:ind w:left="2964" w:hanging="720"/>
      </w:pPr>
      <w:rPr>
        <w:rFonts w:hint="default"/>
      </w:rPr>
    </w:lvl>
    <w:lvl w:ilvl="4" w:tentative="0">
      <w:start w:val="1"/>
      <w:numFmt w:val="decimal"/>
      <w:lvlText w:val="%1.%2.%3.%4.%5"/>
      <w:lvlJc w:val="left"/>
      <w:pPr>
        <w:ind w:left="3712" w:hanging="720"/>
      </w:pPr>
      <w:rPr>
        <w:rFonts w:hint="default"/>
      </w:rPr>
    </w:lvl>
    <w:lvl w:ilvl="5" w:tentative="0">
      <w:start w:val="1"/>
      <w:numFmt w:val="decimal"/>
      <w:lvlText w:val="%1.%2.%3.%4.%5.%6"/>
      <w:lvlJc w:val="left"/>
      <w:pPr>
        <w:ind w:left="4820" w:hanging="1080"/>
      </w:pPr>
      <w:rPr>
        <w:rFonts w:hint="default"/>
      </w:rPr>
    </w:lvl>
    <w:lvl w:ilvl="6" w:tentative="0">
      <w:start w:val="1"/>
      <w:numFmt w:val="decimal"/>
      <w:lvlText w:val="%1.%2.%3.%4.%5.%6.%7"/>
      <w:lvlJc w:val="left"/>
      <w:pPr>
        <w:ind w:left="5568" w:hanging="1080"/>
      </w:pPr>
      <w:rPr>
        <w:rFonts w:hint="default"/>
      </w:rPr>
    </w:lvl>
    <w:lvl w:ilvl="7" w:tentative="0">
      <w:start w:val="1"/>
      <w:numFmt w:val="decimal"/>
      <w:lvlText w:val="%1.%2.%3.%4.%5.%6.%7.%8"/>
      <w:lvlJc w:val="left"/>
      <w:pPr>
        <w:ind w:left="6676" w:hanging="1440"/>
      </w:pPr>
      <w:rPr>
        <w:rFonts w:hint="default"/>
      </w:rPr>
    </w:lvl>
    <w:lvl w:ilvl="8" w:tentative="0">
      <w:start w:val="1"/>
      <w:numFmt w:val="decimal"/>
      <w:lvlText w:val="%1.%2.%3.%4.%5.%6.%7.%8.%9"/>
      <w:lvlJc w:val="left"/>
      <w:pPr>
        <w:ind w:left="7424" w:hanging="1440"/>
      </w:pPr>
      <w:rPr>
        <w:rFonts w:hint="default"/>
      </w:rPr>
    </w:lvl>
  </w:abstractNum>
  <w:abstractNum w:abstractNumId="9">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0">
    <w:nsid w:val="7E0E2202"/>
    <w:multiLevelType w:val="multilevel"/>
    <w:tmpl w:val="7E0E2202"/>
    <w:lvl w:ilvl="0" w:tentative="0">
      <w:start w:val="16"/>
      <w:numFmt w:val="decimal"/>
      <w:lvlText w:val="%1."/>
      <w:lvlJc w:val="left"/>
      <w:pPr>
        <w:ind w:left="0" w:firstLine="0"/>
      </w:pPr>
      <w:rPr>
        <w:rFonts w:hint="default"/>
        <w:b/>
      </w:rPr>
    </w:lvl>
    <w:lvl w:ilvl="1" w:tentative="0">
      <w:start w:val="1"/>
      <w:numFmt w:val="decimal"/>
      <w:lvlText w:val="%1.%2."/>
      <w:lvlJc w:val="left"/>
      <w:pPr>
        <w:ind w:left="426" w:firstLine="0"/>
      </w:pPr>
      <w:rPr>
        <w:rFonts w:hint="default"/>
        <w:sz w:val="20"/>
        <w:szCs w:val="20"/>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num w:numId="1">
    <w:abstractNumId w:val="0"/>
  </w:num>
  <w:num w:numId="2">
    <w:abstractNumId w:val="6"/>
  </w:num>
  <w:num w:numId="3">
    <w:abstractNumId w:val="4"/>
  </w:num>
  <w:num w:numId="4">
    <w:abstractNumId w:val="8"/>
  </w:num>
  <w:num w:numId="5">
    <w:abstractNumId w:val="7"/>
  </w:num>
  <w:num w:numId="6">
    <w:abstractNumId w:val="2"/>
  </w:num>
  <w:num w:numId="7">
    <w:abstractNumId w:val="9"/>
  </w:num>
  <w:num w:numId="8">
    <w:abstractNumId w:val="1"/>
  </w:num>
  <w:num w:numId="9">
    <w:abstractNumId w:val="3"/>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09"/>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2"/>
  </w:compat>
  <w:rsids>
    <w:rsidRoot w:val="00D00846"/>
    <w:rsid w:val="00000CC9"/>
    <w:rsid w:val="000022E3"/>
    <w:rsid w:val="00003DC8"/>
    <w:rsid w:val="00003F6F"/>
    <w:rsid w:val="00020A23"/>
    <w:rsid w:val="0002173F"/>
    <w:rsid w:val="00027FEA"/>
    <w:rsid w:val="00030AEC"/>
    <w:rsid w:val="00030C83"/>
    <w:rsid w:val="00030CA8"/>
    <w:rsid w:val="00033507"/>
    <w:rsid w:val="000352D3"/>
    <w:rsid w:val="0004400A"/>
    <w:rsid w:val="00045B84"/>
    <w:rsid w:val="0005054D"/>
    <w:rsid w:val="00053C2A"/>
    <w:rsid w:val="000551E5"/>
    <w:rsid w:val="000563A9"/>
    <w:rsid w:val="00056F00"/>
    <w:rsid w:val="00060502"/>
    <w:rsid w:val="00061367"/>
    <w:rsid w:val="00062EDA"/>
    <w:rsid w:val="00081D0E"/>
    <w:rsid w:val="00091358"/>
    <w:rsid w:val="00092281"/>
    <w:rsid w:val="00094592"/>
    <w:rsid w:val="000B02B7"/>
    <w:rsid w:val="000B2ECB"/>
    <w:rsid w:val="000B79B0"/>
    <w:rsid w:val="000C2DFC"/>
    <w:rsid w:val="000C633E"/>
    <w:rsid w:val="000C78AD"/>
    <w:rsid w:val="000D1118"/>
    <w:rsid w:val="000E0D10"/>
    <w:rsid w:val="000E47C5"/>
    <w:rsid w:val="000F49A5"/>
    <w:rsid w:val="001003C6"/>
    <w:rsid w:val="00101E8C"/>
    <w:rsid w:val="00112A24"/>
    <w:rsid w:val="00115488"/>
    <w:rsid w:val="001224CC"/>
    <w:rsid w:val="00127D00"/>
    <w:rsid w:val="0013270F"/>
    <w:rsid w:val="001375A4"/>
    <w:rsid w:val="001421D5"/>
    <w:rsid w:val="00147D80"/>
    <w:rsid w:val="001537E3"/>
    <w:rsid w:val="00156910"/>
    <w:rsid w:val="00161EFF"/>
    <w:rsid w:val="001701E5"/>
    <w:rsid w:val="001703A0"/>
    <w:rsid w:val="001718F3"/>
    <w:rsid w:val="00195DD6"/>
    <w:rsid w:val="001B64FC"/>
    <w:rsid w:val="001D2FF2"/>
    <w:rsid w:val="001E00F8"/>
    <w:rsid w:val="001E4BD9"/>
    <w:rsid w:val="001F3184"/>
    <w:rsid w:val="00200969"/>
    <w:rsid w:val="00214DFA"/>
    <w:rsid w:val="00214ED8"/>
    <w:rsid w:val="00216069"/>
    <w:rsid w:val="00221185"/>
    <w:rsid w:val="00225D1E"/>
    <w:rsid w:val="00226332"/>
    <w:rsid w:val="0023164E"/>
    <w:rsid w:val="00233234"/>
    <w:rsid w:val="00236DFE"/>
    <w:rsid w:val="00237FDF"/>
    <w:rsid w:val="0024070C"/>
    <w:rsid w:val="002424C9"/>
    <w:rsid w:val="002437A3"/>
    <w:rsid w:val="002478CA"/>
    <w:rsid w:val="002532D5"/>
    <w:rsid w:val="002614CC"/>
    <w:rsid w:val="00261CE5"/>
    <w:rsid w:val="00267F7A"/>
    <w:rsid w:val="0027531B"/>
    <w:rsid w:val="00291491"/>
    <w:rsid w:val="00294347"/>
    <w:rsid w:val="002960BC"/>
    <w:rsid w:val="002A0063"/>
    <w:rsid w:val="002A05D0"/>
    <w:rsid w:val="002A162E"/>
    <w:rsid w:val="002C5291"/>
    <w:rsid w:val="002C5B60"/>
    <w:rsid w:val="002C758F"/>
    <w:rsid w:val="002D0E4D"/>
    <w:rsid w:val="002D2D2A"/>
    <w:rsid w:val="002D4952"/>
    <w:rsid w:val="002D6E51"/>
    <w:rsid w:val="002E2954"/>
    <w:rsid w:val="002F462F"/>
    <w:rsid w:val="00303F02"/>
    <w:rsid w:val="003041C3"/>
    <w:rsid w:val="00304366"/>
    <w:rsid w:val="00307ABB"/>
    <w:rsid w:val="003127DB"/>
    <w:rsid w:val="00312DC1"/>
    <w:rsid w:val="003135DC"/>
    <w:rsid w:val="003218D1"/>
    <w:rsid w:val="00325986"/>
    <w:rsid w:val="00340CD7"/>
    <w:rsid w:val="003510AC"/>
    <w:rsid w:val="00352543"/>
    <w:rsid w:val="00356AC2"/>
    <w:rsid w:val="003605BC"/>
    <w:rsid w:val="00360EBF"/>
    <w:rsid w:val="003672D0"/>
    <w:rsid w:val="003712CE"/>
    <w:rsid w:val="00372BD7"/>
    <w:rsid w:val="00373279"/>
    <w:rsid w:val="00386203"/>
    <w:rsid w:val="00386F8A"/>
    <w:rsid w:val="00390D62"/>
    <w:rsid w:val="00391113"/>
    <w:rsid w:val="0039142E"/>
    <w:rsid w:val="003A2ED5"/>
    <w:rsid w:val="003A43A2"/>
    <w:rsid w:val="003A564E"/>
    <w:rsid w:val="003A596E"/>
    <w:rsid w:val="003A7D62"/>
    <w:rsid w:val="003B0417"/>
    <w:rsid w:val="003B0B82"/>
    <w:rsid w:val="003B6BCD"/>
    <w:rsid w:val="003C1261"/>
    <w:rsid w:val="003C1C18"/>
    <w:rsid w:val="003D0530"/>
    <w:rsid w:val="003D2368"/>
    <w:rsid w:val="003D6311"/>
    <w:rsid w:val="003D7DE4"/>
    <w:rsid w:val="003E3732"/>
    <w:rsid w:val="003E5D32"/>
    <w:rsid w:val="003F1687"/>
    <w:rsid w:val="003F39E8"/>
    <w:rsid w:val="004001C8"/>
    <w:rsid w:val="0040653D"/>
    <w:rsid w:val="00417610"/>
    <w:rsid w:val="00420ED9"/>
    <w:rsid w:val="00421788"/>
    <w:rsid w:val="004238E9"/>
    <w:rsid w:val="00423CFC"/>
    <w:rsid w:val="004408DA"/>
    <w:rsid w:val="00440DB9"/>
    <w:rsid w:val="004432FD"/>
    <w:rsid w:val="0044340A"/>
    <w:rsid w:val="00445448"/>
    <w:rsid w:val="00446E0B"/>
    <w:rsid w:val="00447FA8"/>
    <w:rsid w:val="0045174B"/>
    <w:rsid w:val="004534F6"/>
    <w:rsid w:val="00453712"/>
    <w:rsid w:val="00460E8B"/>
    <w:rsid w:val="00464C98"/>
    <w:rsid w:val="00465F78"/>
    <w:rsid w:val="00471933"/>
    <w:rsid w:val="00472A20"/>
    <w:rsid w:val="00473109"/>
    <w:rsid w:val="0047346C"/>
    <w:rsid w:val="00481B8F"/>
    <w:rsid w:val="004823EC"/>
    <w:rsid w:val="00483E66"/>
    <w:rsid w:val="0048473A"/>
    <w:rsid w:val="00484D9F"/>
    <w:rsid w:val="00495A10"/>
    <w:rsid w:val="004A5793"/>
    <w:rsid w:val="004B05BE"/>
    <w:rsid w:val="004B6C55"/>
    <w:rsid w:val="004B6CA4"/>
    <w:rsid w:val="004C447A"/>
    <w:rsid w:val="004C65AD"/>
    <w:rsid w:val="004C7DD8"/>
    <w:rsid w:val="004D40E6"/>
    <w:rsid w:val="004D52B0"/>
    <w:rsid w:val="004D55E1"/>
    <w:rsid w:val="004E063D"/>
    <w:rsid w:val="004F2265"/>
    <w:rsid w:val="005000A6"/>
    <w:rsid w:val="00503783"/>
    <w:rsid w:val="00510916"/>
    <w:rsid w:val="00511126"/>
    <w:rsid w:val="00512D1A"/>
    <w:rsid w:val="00520B75"/>
    <w:rsid w:val="00522713"/>
    <w:rsid w:val="00524B89"/>
    <w:rsid w:val="0052574A"/>
    <w:rsid w:val="0052759B"/>
    <w:rsid w:val="00530EC4"/>
    <w:rsid w:val="005472B5"/>
    <w:rsid w:val="005653E2"/>
    <w:rsid w:val="00581604"/>
    <w:rsid w:val="00596404"/>
    <w:rsid w:val="005B2BBD"/>
    <w:rsid w:val="005B3CD9"/>
    <w:rsid w:val="005B55B2"/>
    <w:rsid w:val="005C3AD0"/>
    <w:rsid w:val="005C555B"/>
    <w:rsid w:val="005D3BC2"/>
    <w:rsid w:val="005E2AE4"/>
    <w:rsid w:val="005F2397"/>
    <w:rsid w:val="005F5338"/>
    <w:rsid w:val="005F56B2"/>
    <w:rsid w:val="005F6F2E"/>
    <w:rsid w:val="005F78D2"/>
    <w:rsid w:val="0060190D"/>
    <w:rsid w:val="00604296"/>
    <w:rsid w:val="00611FA3"/>
    <w:rsid w:val="00615DB5"/>
    <w:rsid w:val="00616CBB"/>
    <w:rsid w:val="0062031E"/>
    <w:rsid w:val="006204FB"/>
    <w:rsid w:val="006213C2"/>
    <w:rsid w:val="006232C8"/>
    <w:rsid w:val="00635C6A"/>
    <w:rsid w:val="00650692"/>
    <w:rsid w:val="00656EB6"/>
    <w:rsid w:val="00657A30"/>
    <w:rsid w:val="00657CE1"/>
    <w:rsid w:val="00657EF1"/>
    <w:rsid w:val="0066165D"/>
    <w:rsid w:val="0066797A"/>
    <w:rsid w:val="00667AEF"/>
    <w:rsid w:val="00676BE2"/>
    <w:rsid w:val="00683576"/>
    <w:rsid w:val="00684822"/>
    <w:rsid w:val="0069666A"/>
    <w:rsid w:val="006A56ED"/>
    <w:rsid w:val="006B0F17"/>
    <w:rsid w:val="006B1A5C"/>
    <w:rsid w:val="006B1BFD"/>
    <w:rsid w:val="006B5CC3"/>
    <w:rsid w:val="006B6044"/>
    <w:rsid w:val="006B6EF7"/>
    <w:rsid w:val="006C1767"/>
    <w:rsid w:val="006C60F6"/>
    <w:rsid w:val="006C7609"/>
    <w:rsid w:val="006D5749"/>
    <w:rsid w:val="006E1754"/>
    <w:rsid w:val="006E4CB0"/>
    <w:rsid w:val="006F110A"/>
    <w:rsid w:val="006F28FF"/>
    <w:rsid w:val="006F37CD"/>
    <w:rsid w:val="006F617F"/>
    <w:rsid w:val="006F7516"/>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46FD"/>
    <w:rsid w:val="007A67E3"/>
    <w:rsid w:val="007B2E7A"/>
    <w:rsid w:val="007B3E08"/>
    <w:rsid w:val="007C4338"/>
    <w:rsid w:val="007C72AA"/>
    <w:rsid w:val="007D0242"/>
    <w:rsid w:val="007D1EA1"/>
    <w:rsid w:val="007D2BF7"/>
    <w:rsid w:val="007D6248"/>
    <w:rsid w:val="007D6BFA"/>
    <w:rsid w:val="007E2177"/>
    <w:rsid w:val="007E239F"/>
    <w:rsid w:val="007F7D42"/>
    <w:rsid w:val="00801E2B"/>
    <w:rsid w:val="008025B2"/>
    <w:rsid w:val="00805983"/>
    <w:rsid w:val="0081275A"/>
    <w:rsid w:val="008137C2"/>
    <w:rsid w:val="0081399E"/>
    <w:rsid w:val="00813B66"/>
    <w:rsid w:val="008156DF"/>
    <w:rsid w:val="00823EC4"/>
    <w:rsid w:val="00825E6C"/>
    <w:rsid w:val="0082616D"/>
    <w:rsid w:val="008266B6"/>
    <w:rsid w:val="00827FA7"/>
    <w:rsid w:val="0083656A"/>
    <w:rsid w:val="00840951"/>
    <w:rsid w:val="00842C9B"/>
    <w:rsid w:val="00847300"/>
    <w:rsid w:val="00847EC9"/>
    <w:rsid w:val="00850788"/>
    <w:rsid w:val="0085770D"/>
    <w:rsid w:val="00870639"/>
    <w:rsid w:val="00873300"/>
    <w:rsid w:val="00874812"/>
    <w:rsid w:val="008763B6"/>
    <w:rsid w:val="00881364"/>
    <w:rsid w:val="00885E92"/>
    <w:rsid w:val="00890056"/>
    <w:rsid w:val="00892F25"/>
    <w:rsid w:val="008A0AA4"/>
    <w:rsid w:val="008B675C"/>
    <w:rsid w:val="008B75B6"/>
    <w:rsid w:val="008C626B"/>
    <w:rsid w:val="008D3702"/>
    <w:rsid w:val="008D5781"/>
    <w:rsid w:val="008D63D4"/>
    <w:rsid w:val="008E4A1A"/>
    <w:rsid w:val="008E4A25"/>
    <w:rsid w:val="008E57D1"/>
    <w:rsid w:val="008F0A8E"/>
    <w:rsid w:val="008F7FC0"/>
    <w:rsid w:val="00900FF0"/>
    <w:rsid w:val="009028D3"/>
    <w:rsid w:val="00910A54"/>
    <w:rsid w:val="0091311C"/>
    <w:rsid w:val="009229A5"/>
    <w:rsid w:val="00945320"/>
    <w:rsid w:val="0095178B"/>
    <w:rsid w:val="0095353A"/>
    <w:rsid w:val="00956DD0"/>
    <w:rsid w:val="009627CA"/>
    <w:rsid w:val="00964980"/>
    <w:rsid w:val="00965748"/>
    <w:rsid w:val="009700A4"/>
    <w:rsid w:val="00973804"/>
    <w:rsid w:val="00977174"/>
    <w:rsid w:val="0098026A"/>
    <w:rsid w:val="009809A2"/>
    <w:rsid w:val="009840DF"/>
    <w:rsid w:val="009871CC"/>
    <w:rsid w:val="00993C17"/>
    <w:rsid w:val="009A2C12"/>
    <w:rsid w:val="009A5162"/>
    <w:rsid w:val="009B1F55"/>
    <w:rsid w:val="009B4E79"/>
    <w:rsid w:val="009B59AA"/>
    <w:rsid w:val="009B77AB"/>
    <w:rsid w:val="009B781A"/>
    <w:rsid w:val="009C0766"/>
    <w:rsid w:val="009C2B8A"/>
    <w:rsid w:val="009C4EC5"/>
    <w:rsid w:val="009C5D62"/>
    <w:rsid w:val="009D2CDE"/>
    <w:rsid w:val="009D5EBA"/>
    <w:rsid w:val="009E6F22"/>
    <w:rsid w:val="009F07ED"/>
    <w:rsid w:val="009F1121"/>
    <w:rsid w:val="009F6420"/>
    <w:rsid w:val="00A00FED"/>
    <w:rsid w:val="00A0149C"/>
    <w:rsid w:val="00A01DC1"/>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62"/>
    <w:rsid w:val="00A77660"/>
    <w:rsid w:val="00A84193"/>
    <w:rsid w:val="00A857A8"/>
    <w:rsid w:val="00A87D39"/>
    <w:rsid w:val="00A90C1B"/>
    <w:rsid w:val="00A957B3"/>
    <w:rsid w:val="00AA2AA4"/>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0E3D"/>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E13FA"/>
    <w:rsid w:val="00BE2449"/>
    <w:rsid w:val="00BE5F79"/>
    <w:rsid w:val="00BE7F4C"/>
    <w:rsid w:val="00C01226"/>
    <w:rsid w:val="00C033F4"/>
    <w:rsid w:val="00C06917"/>
    <w:rsid w:val="00C15A02"/>
    <w:rsid w:val="00C17FDA"/>
    <w:rsid w:val="00C22716"/>
    <w:rsid w:val="00C22CC7"/>
    <w:rsid w:val="00C23F17"/>
    <w:rsid w:val="00C30648"/>
    <w:rsid w:val="00C34869"/>
    <w:rsid w:val="00C35203"/>
    <w:rsid w:val="00C40376"/>
    <w:rsid w:val="00C41722"/>
    <w:rsid w:val="00C43FC5"/>
    <w:rsid w:val="00C45F43"/>
    <w:rsid w:val="00C46991"/>
    <w:rsid w:val="00C50C7B"/>
    <w:rsid w:val="00C53F93"/>
    <w:rsid w:val="00C5707B"/>
    <w:rsid w:val="00C5764B"/>
    <w:rsid w:val="00C64F08"/>
    <w:rsid w:val="00C733E2"/>
    <w:rsid w:val="00C83D62"/>
    <w:rsid w:val="00C91CF2"/>
    <w:rsid w:val="00CA07F9"/>
    <w:rsid w:val="00CA276B"/>
    <w:rsid w:val="00CA36F2"/>
    <w:rsid w:val="00CA49E7"/>
    <w:rsid w:val="00CA67E5"/>
    <w:rsid w:val="00CB65F2"/>
    <w:rsid w:val="00CC28AE"/>
    <w:rsid w:val="00CD29DC"/>
    <w:rsid w:val="00CD41D6"/>
    <w:rsid w:val="00CD65FB"/>
    <w:rsid w:val="00CE390A"/>
    <w:rsid w:val="00CE4FFA"/>
    <w:rsid w:val="00CE5B7F"/>
    <w:rsid w:val="00CE7BAE"/>
    <w:rsid w:val="00D00846"/>
    <w:rsid w:val="00D023D9"/>
    <w:rsid w:val="00D05B89"/>
    <w:rsid w:val="00D06427"/>
    <w:rsid w:val="00D14E39"/>
    <w:rsid w:val="00D157AD"/>
    <w:rsid w:val="00D26C4D"/>
    <w:rsid w:val="00D27EFD"/>
    <w:rsid w:val="00D30DA1"/>
    <w:rsid w:val="00D42CA9"/>
    <w:rsid w:val="00D50CB2"/>
    <w:rsid w:val="00D53E78"/>
    <w:rsid w:val="00D768F5"/>
    <w:rsid w:val="00D76DB8"/>
    <w:rsid w:val="00D81D89"/>
    <w:rsid w:val="00D832F1"/>
    <w:rsid w:val="00D85278"/>
    <w:rsid w:val="00D8722B"/>
    <w:rsid w:val="00D9191F"/>
    <w:rsid w:val="00D93479"/>
    <w:rsid w:val="00DA68A1"/>
    <w:rsid w:val="00DA6D4B"/>
    <w:rsid w:val="00DB1437"/>
    <w:rsid w:val="00DB3957"/>
    <w:rsid w:val="00DB73CF"/>
    <w:rsid w:val="00DC4D86"/>
    <w:rsid w:val="00DD5913"/>
    <w:rsid w:val="00DD60B8"/>
    <w:rsid w:val="00DE0DFB"/>
    <w:rsid w:val="00DE608C"/>
    <w:rsid w:val="00DE772C"/>
    <w:rsid w:val="00DF2542"/>
    <w:rsid w:val="00DF6C2C"/>
    <w:rsid w:val="00E046C1"/>
    <w:rsid w:val="00E10948"/>
    <w:rsid w:val="00E11AE7"/>
    <w:rsid w:val="00E14766"/>
    <w:rsid w:val="00E23D01"/>
    <w:rsid w:val="00E25D03"/>
    <w:rsid w:val="00E26628"/>
    <w:rsid w:val="00E3441C"/>
    <w:rsid w:val="00E34B3A"/>
    <w:rsid w:val="00E34D9B"/>
    <w:rsid w:val="00E3781E"/>
    <w:rsid w:val="00E403E0"/>
    <w:rsid w:val="00E525E5"/>
    <w:rsid w:val="00E675C7"/>
    <w:rsid w:val="00E72627"/>
    <w:rsid w:val="00E802FA"/>
    <w:rsid w:val="00E80A0F"/>
    <w:rsid w:val="00E82130"/>
    <w:rsid w:val="00E83644"/>
    <w:rsid w:val="00E85572"/>
    <w:rsid w:val="00E93103"/>
    <w:rsid w:val="00E94C2B"/>
    <w:rsid w:val="00EA5C4F"/>
    <w:rsid w:val="00EA5D4B"/>
    <w:rsid w:val="00EA79D5"/>
    <w:rsid w:val="00EB2D4E"/>
    <w:rsid w:val="00EB7E76"/>
    <w:rsid w:val="00EC036E"/>
    <w:rsid w:val="00EC4479"/>
    <w:rsid w:val="00EC5B38"/>
    <w:rsid w:val="00EC695E"/>
    <w:rsid w:val="00ED6661"/>
    <w:rsid w:val="00EE6854"/>
    <w:rsid w:val="00EF3FAE"/>
    <w:rsid w:val="00F06811"/>
    <w:rsid w:val="00F2643D"/>
    <w:rsid w:val="00F265E3"/>
    <w:rsid w:val="00F371C9"/>
    <w:rsid w:val="00F42EE6"/>
    <w:rsid w:val="00F45D1D"/>
    <w:rsid w:val="00F47CC6"/>
    <w:rsid w:val="00F510B3"/>
    <w:rsid w:val="00F5519E"/>
    <w:rsid w:val="00F61A35"/>
    <w:rsid w:val="00F61AFA"/>
    <w:rsid w:val="00F66D01"/>
    <w:rsid w:val="00F716B7"/>
    <w:rsid w:val="00F71FFD"/>
    <w:rsid w:val="00F808A0"/>
    <w:rsid w:val="00F82A83"/>
    <w:rsid w:val="00F9390C"/>
    <w:rsid w:val="00F96052"/>
    <w:rsid w:val="00F974C2"/>
    <w:rsid w:val="00FA1115"/>
    <w:rsid w:val="00FB4721"/>
    <w:rsid w:val="00FC182D"/>
    <w:rsid w:val="00FC3CB0"/>
    <w:rsid w:val="00FD0CFA"/>
    <w:rsid w:val="00FD3823"/>
    <w:rsid w:val="00FE3C50"/>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7987020"/>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742D24"/>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qFormat/>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uiPriority w:val="0"/>
    <w:pPr>
      <w:numPr>
        <w:ilvl w:val="0"/>
        <w:numId w:val="1"/>
      </w:numPr>
      <w:tabs>
        <w:tab w:val="left" w:pos="708"/>
      </w:tabs>
      <w:outlineLvl w:val="0"/>
    </w:pPr>
    <w:rPr>
      <w:b/>
      <w:bCs/>
      <w:sz w:val="36"/>
      <w:szCs w:val="36"/>
    </w:rPr>
  </w:style>
  <w:style w:type="paragraph" w:styleId="5">
    <w:name w:val="heading 2"/>
    <w:basedOn w:val="1"/>
    <w:next w:val="4"/>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Title"/>
    <w:basedOn w:val="1"/>
    <w:next w:val="4"/>
    <w:qFormat/>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annotation reference"/>
    <w:basedOn w:val="7"/>
    <w:unhideWhenUsed/>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8"/>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7"/>
    <w:unhideWhenUsed/>
    <w:qFormat/>
    <w:uiPriority w:val="99"/>
    <w:rPr>
      <w:sz w:val="20"/>
      <w:szCs w:val="20"/>
    </w:rPr>
  </w:style>
  <w:style w:type="paragraph" w:styleId="14">
    <w:name w:val="List Bullet 5"/>
    <w:basedOn w:val="1"/>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7"/>
    <w:semiHidden/>
    <w:unhideWhenUsed/>
    <w:uiPriority w:val="99"/>
    <w:rPr>
      <w:b/>
      <w:bCs/>
    </w:rPr>
  </w:style>
  <w:style w:type="paragraph" w:styleId="19">
    <w:name w:val="footer"/>
    <w:basedOn w:val="1"/>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uiPriority w:val="0"/>
    <w:rPr>
      <w:rFonts w:ascii="Tahoma" w:hAnsi="Tahoma"/>
      <w:sz w:val="16"/>
      <w:szCs w:val="16"/>
    </w:rPr>
  </w:style>
  <w:style w:type="paragraph" w:styleId="22">
    <w:name w:val="Subtitle"/>
    <w:basedOn w:val="3"/>
    <w:next w:val="4"/>
    <w:uiPriority w:val="0"/>
    <w:pPr>
      <w:spacing w:before="60"/>
      <w:jc w:val="center"/>
    </w:pPr>
    <w:rPr>
      <w:sz w:val="36"/>
      <w:szCs w:val="36"/>
    </w:rPr>
  </w:style>
  <w:style w:type="table" w:styleId="23">
    <w:name w:val="Table Grid"/>
    <w:basedOn w:val="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4">
    <w:name w:val="Medium Grid 2 Accent 2"/>
    <w:basedOn w:val="8"/>
    <w:semiHidden/>
    <w:unhideWhenUsed/>
    <w:qFormat/>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rPr>
      <w:tcPr>
        <w:shd w:val="clear" w:color="auto" w:fill="F8EDED" w:themeFill="accent2" w:themeFillTint="19"/>
      </w:tcPr>
    </w:tblStylePr>
    <w:tblStylePr w:type="lastRow">
      <w:rPr>
        <w:b/>
        <w:bCs/>
        <w:color w:val="000000"/>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rPr>
      <w:tcPr>
        <w:tcBorders>
          <w:top w:val="nil"/>
          <w:left w:val="nil"/>
          <w:bottom w:val="nil"/>
          <w:right w:val="nil"/>
          <w:insideH w:val="nil"/>
          <w:insideV w:val="nil"/>
        </w:tcBorders>
        <w:shd w:val="clear" w:color="auto" w:fill="FFFFFF" w:themeFill="background1"/>
      </w:tcPr>
    </w:tblStylePr>
    <w:tblStylePr w:type="lastCol">
      <w:rPr>
        <w:b w:val="0"/>
        <w:bCs w:val="0"/>
        <w:color w:val="000000"/>
      </w:rPr>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character" w:customStyle="1" w:styleId="25">
    <w:name w:val="Texto de balão Char"/>
    <w:uiPriority w:val="0"/>
    <w:rPr>
      <w:rFonts w:ascii="Tahoma" w:hAnsi="Tahoma" w:cs="Tahoma"/>
      <w:sz w:val="16"/>
      <w:szCs w:val="16"/>
    </w:rPr>
  </w:style>
  <w:style w:type="character" w:customStyle="1" w:styleId="26">
    <w:name w:val="Título 2 Char"/>
    <w:uiPriority w:val="0"/>
    <w:rPr>
      <w:b/>
      <w:color w:val="000000"/>
      <w:sz w:val="24"/>
    </w:rPr>
  </w:style>
  <w:style w:type="character" w:customStyle="1" w:styleId="27">
    <w:name w:val="normal__char1"/>
    <w:uiPriority w:val="0"/>
    <w:rPr>
      <w:rFonts w:ascii="Arial" w:hAnsi="Arial" w:cs="Arial"/>
      <w:sz w:val="24"/>
      <w:szCs w:val="24"/>
      <w:u w:val="none"/>
    </w:rPr>
  </w:style>
  <w:style w:type="character" w:customStyle="1" w:styleId="28">
    <w:name w:val="apple-style-span"/>
    <w:basedOn w:val="7"/>
    <w:qFormat/>
    <w:uiPriority w:val="0"/>
  </w:style>
  <w:style w:type="character" w:customStyle="1" w:styleId="29">
    <w:name w:val="Link da Internet"/>
    <w:qFormat/>
    <w:uiPriority w:val="0"/>
    <w:rPr>
      <w:color w:val="000080"/>
      <w:u w:val="single"/>
      <w:lang w:val="en-US" w:eastAsia="en-US" w:bidi="en-US"/>
    </w:rPr>
  </w:style>
  <w:style w:type="character" w:customStyle="1" w:styleId="30">
    <w:name w:val="Citação Char"/>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itação 2 Char"/>
    <w:uiPriority w:val="0"/>
    <w:rPr>
      <w:rFonts w:ascii="Ecofont_Spranq_eco_Sans" w:hAnsi="Ecofont_Spranq_eco_Sans" w:eastAsia="Calibri" w:cs="Tahoma"/>
      <w:i/>
      <w:iCs/>
      <w:color w:val="000000"/>
      <w:szCs w:val="24"/>
      <w:shd w:val="clear" w:color="auto" w:fill="FFFFCC"/>
      <w:lang w:eastAsia="en-US"/>
    </w:rPr>
  </w:style>
  <w:style w:type="character" w:customStyle="1" w:styleId="32">
    <w:name w:val="Cabeçalho Char"/>
    <w:uiPriority w:val="0"/>
    <w:rPr>
      <w:rFonts w:ascii="Ecofont_Spranq_eco_Sans" w:hAnsi="Ecofont_Spranq_eco_Sans" w:cs="Tahoma"/>
      <w:sz w:val="24"/>
      <w:szCs w:val="24"/>
    </w:rPr>
  </w:style>
  <w:style w:type="character" w:customStyle="1" w:styleId="33">
    <w:name w:val="Rodapé Char"/>
    <w:qFormat/>
    <w:uiPriority w:val="99"/>
    <w:rPr>
      <w:rFonts w:ascii="Ecofont_Spranq_eco_Sans" w:hAnsi="Ecofont_Spranq_eco_Sans" w:cs="Tahoma"/>
      <w:sz w:val="24"/>
      <w:szCs w:val="24"/>
    </w:rPr>
  </w:style>
  <w:style w:type="character" w:customStyle="1" w:styleId="34">
    <w:name w:val="cp_0020corpodespacho__char1"/>
    <w:uiPriority w:val="0"/>
    <w:rPr>
      <w:rFonts w:ascii="Times New Roman" w:hAnsi="Times New Roman" w:cs="Times New Roman"/>
      <w:sz w:val="26"/>
      <w:szCs w:val="26"/>
      <w:u w:val="none"/>
    </w:rPr>
  </w:style>
  <w:style w:type="character" w:customStyle="1" w:styleId="35">
    <w:name w:val="em_0020ementa__char1"/>
    <w:uiPriority w:val="0"/>
    <w:rPr>
      <w:rFonts w:ascii="Times New Roman" w:hAnsi="Times New Roman" w:cs="Times New Roman"/>
      <w:sz w:val="28"/>
      <w:szCs w:val="28"/>
      <w:u w:val="none"/>
    </w:rPr>
  </w:style>
  <w:style w:type="character" w:customStyle="1" w:styleId="36">
    <w:name w:val="ListLabel 1"/>
    <w:qFormat/>
    <w:uiPriority w:val="0"/>
    <w:rPr>
      <w:b/>
    </w:rPr>
  </w:style>
  <w:style w:type="character" w:customStyle="1" w:styleId="37">
    <w:name w:val="ListLabel 2"/>
    <w:uiPriority w:val="0"/>
  </w:style>
  <w:style w:type="character" w:customStyle="1" w:styleId="38">
    <w:name w:val="ListLabel 3"/>
    <w:uiPriority w:val="0"/>
    <w:rPr>
      <w:rFonts w:eastAsia="Arial Unicode MS"/>
    </w:rPr>
  </w:style>
  <w:style w:type="character" w:customStyle="1" w:styleId="39">
    <w:name w:val="ListLabel 4"/>
    <w:qFormat/>
    <w:uiPriority w:val="0"/>
    <w:rPr>
      <w:rFonts w:cs="Arial"/>
      <w:i/>
      <w:color w:val="FF0000"/>
    </w:rPr>
  </w:style>
  <w:style w:type="character" w:customStyle="1" w:styleId="40">
    <w:name w:val="ListLabel 5"/>
    <w:uiPriority w:val="0"/>
    <w:rPr>
      <w:color w:val="0000FF"/>
    </w:rPr>
  </w:style>
  <w:style w:type="character" w:customStyle="1" w:styleId="41">
    <w:name w:val="ListLabel 6"/>
    <w:uiPriority w:val="0"/>
    <w:rPr>
      <w:b/>
    </w:rPr>
  </w:style>
  <w:style w:type="character" w:customStyle="1" w:styleId="42">
    <w:name w:val="ListLabel 7"/>
    <w:qFormat/>
    <w:uiPriority w:val="0"/>
    <w:rPr>
      <w:b/>
      <w:color w:val="00000A"/>
    </w:rPr>
  </w:style>
  <w:style w:type="character" w:customStyle="1" w:styleId="43">
    <w:name w:val="ListLabel 8"/>
    <w:uiPriority w:val="0"/>
  </w:style>
  <w:style w:type="character" w:customStyle="1" w:styleId="44">
    <w:name w:val="ListLabel 9"/>
    <w:qFormat/>
    <w:uiPriority w:val="0"/>
    <w:rPr>
      <w:color w:val="00000A"/>
    </w:rPr>
  </w:style>
  <w:style w:type="character" w:customStyle="1" w:styleId="45">
    <w:name w:val="ListLabel 10"/>
    <w:qFormat/>
    <w:uiPriority w:val="0"/>
    <w:rPr>
      <w:b/>
    </w:rPr>
  </w:style>
  <w:style w:type="character" w:customStyle="1" w:styleId="46">
    <w:name w:val="ListLabel 11"/>
    <w:uiPriority w:val="0"/>
  </w:style>
  <w:style w:type="character" w:customStyle="1" w:styleId="47">
    <w:name w:val="ListLabel 12"/>
    <w:qFormat/>
    <w:uiPriority w:val="0"/>
    <w:rPr>
      <w:b/>
    </w:rPr>
  </w:style>
  <w:style w:type="character" w:customStyle="1" w:styleId="48">
    <w:name w:val="ListLabel 13"/>
    <w:qFormat/>
    <w:uiPriority w:val="0"/>
  </w:style>
  <w:style w:type="character" w:customStyle="1" w:styleId="49">
    <w:name w:val="WW_CharLFO2LVL1"/>
    <w:uiPriority w:val="0"/>
    <w:rPr>
      <w:b/>
    </w:rPr>
  </w:style>
  <w:style w:type="character" w:customStyle="1" w:styleId="50">
    <w:name w:val="WW_CharLFO2LVL2"/>
    <w:qFormat/>
    <w:uiPriority w:val="0"/>
  </w:style>
  <w:style w:type="character" w:customStyle="1" w:styleId="51">
    <w:name w:val="WW_CharLFO2LVL3"/>
    <w:qFormat/>
    <w:uiPriority w:val="0"/>
  </w:style>
  <w:style w:type="character" w:customStyle="1" w:styleId="52">
    <w:name w:val="WW_CharLFO3LVL1"/>
    <w:uiPriority w:val="0"/>
    <w:rPr>
      <w:b/>
    </w:rPr>
  </w:style>
  <w:style w:type="character" w:customStyle="1" w:styleId="53">
    <w:name w:val="WW_CharLFO3LVL2"/>
    <w:qFormat/>
    <w:uiPriority w:val="0"/>
  </w:style>
  <w:style w:type="character" w:customStyle="1" w:styleId="54">
    <w:name w:val="WW_CharLFO3LVL3"/>
    <w:qFormat/>
    <w:uiPriority w:val="0"/>
  </w:style>
  <w:style w:type="character" w:customStyle="1" w:styleId="55">
    <w:name w:val="WW_CharLFO4LVL1"/>
    <w:uiPriority w:val="0"/>
    <w:rPr>
      <w:b/>
    </w:rPr>
  </w:style>
  <w:style w:type="character" w:customStyle="1" w:styleId="56">
    <w:name w:val="WW_CharLFO4LVL2"/>
    <w:qFormat/>
    <w:uiPriority w:val="0"/>
  </w:style>
  <w:style w:type="character" w:customStyle="1" w:styleId="57">
    <w:name w:val="WW_CharLFO4LVL3"/>
    <w:qFormat/>
    <w:uiPriority w:val="0"/>
  </w:style>
  <w:style w:type="character" w:customStyle="1" w:styleId="58">
    <w:name w:val="Comment Text Char"/>
    <w:basedOn w:val="7"/>
    <w:uiPriority w:val="0"/>
    <w:rPr>
      <w:rFonts w:cs="Mangal"/>
      <w:sz w:val="20"/>
      <w:szCs w:val="18"/>
    </w:rPr>
  </w:style>
  <w:style w:type="character" w:customStyle="1" w:styleId="59">
    <w:name w:val="Comment Reference1"/>
    <w:basedOn w:val="7"/>
    <w:qFormat/>
    <w:uiPriority w:val="0"/>
    <w:rPr>
      <w:sz w:val="16"/>
      <w:szCs w:val="16"/>
    </w:rPr>
  </w:style>
  <w:style w:type="character" w:customStyle="1" w:styleId="60">
    <w:name w:val="Quote Char"/>
    <w:basedOn w:val="7"/>
    <w:link w:val="61"/>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1">
    <w:name w:val="Citação1"/>
    <w:basedOn w:val="1"/>
    <w:next w:val="1"/>
    <w:link w:val="60"/>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2">
    <w:name w:val="Manoel"/>
    <w:qFormat/>
    <w:uiPriority w:val="0"/>
    <w:rPr>
      <w:rFonts w:ascii="Arial" w:hAnsi="Arial" w:cs="Arial"/>
      <w:color w:val="7030A0"/>
      <w:sz w:val="20"/>
    </w:rPr>
  </w:style>
  <w:style w:type="paragraph" w:customStyle="1" w:styleId="63">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4">
    <w:name w:val="Índice"/>
    <w:basedOn w:val="1"/>
    <w:uiPriority w:val="0"/>
    <w:pPr>
      <w:suppressLineNumbers/>
    </w:pPr>
    <w:rPr>
      <w:rFonts w:cs="Lohit Hindi"/>
    </w:rPr>
  </w:style>
  <w:style w:type="paragraph" w:styleId="65">
    <w:name w:val="List Paragraph"/>
    <w:basedOn w:val="1"/>
    <w:qFormat/>
    <w:uiPriority w:val="34"/>
    <w:pPr>
      <w:tabs>
        <w:tab w:val="left" w:pos="-12"/>
      </w:tabs>
      <w:ind w:left="720"/>
    </w:pPr>
  </w:style>
  <w:style w:type="paragraph" w:customStyle="1" w:styleId="66">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7">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8">
    <w:name w:val="citação 2"/>
    <w:basedOn w:val="67"/>
    <w:qFormat/>
    <w:uiPriority w:val="0"/>
    <w:rPr>
      <w:szCs w:val="20"/>
    </w:rPr>
  </w:style>
  <w:style w:type="paragraph" w:customStyle="1" w:styleId="69">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70">
    <w:name w:val="Conteúdo da tabela"/>
    <w:basedOn w:val="1"/>
    <w:qFormat/>
    <w:uiPriority w:val="0"/>
    <w:pPr>
      <w:suppressLineNumbers/>
    </w:pPr>
  </w:style>
  <w:style w:type="paragraph" w:customStyle="1" w:styleId="71">
    <w:name w:val="Comment Text1"/>
    <w:basedOn w:val="63"/>
    <w:uiPriority w:val="0"/>
    <w:rPr>
      <w:rFonts w:cs="Mangal"/>
      <w:sz w:val="20"/>
      <w:szCs w:val="18"/>
    </w:rPr>
  </w:style>
  <w:style w:type="paragraph" w:customStyle="1" w:styleId="72">
    <w:name w:val="Citações"/>
    <w:basedOn w:val="1"/>
    <w:qFormat/>
    <w:uiPriority w:val="0"/>
    <w:pPr>
      <w:spacing w:after="283"/>
      <w:ind w:left="567" w:right="567"/>
    </w:pPr>
  </w:style>
  <w:style w:type="paragraph" w:customStyle="1" w:styleId="73">
    <w:name w:val="Título do documento"/>
    <w:basedOn w:val="3"/>
    <w:next w:val="4"/>
    <w:qFormat/>
    <w:uiPriority w:val="0"/>
    <w:pPr>
      <w:jc w:val="center"/>
    </w:pPr>
    <w:rPr>
      <w:b/>
      <w:bCs/>
      <w:sz w:val="56"/>
      <w:szCs w:val="56"/>
    </w:rPr>
  </w:style>
  <w:style w:type="paragraph" w:customStyle="1" w:styleId="74">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5">
    <w:name w:val="Linha horizontal"/>
    <w:basedOn w:val="1"/>
    <w:next w:val="4"/>
    <w:qFormat/>
    <w:uiPriority w:val="0"/>
    <w:pPr>
      <w:suppressLineNumbers/>
      <w:pBdr>
        <w:bottom w:val="double" w:color="808080" w:sz="2" w:space="0"/>
      </w:pBdr>
      <w:spacing w:after="283"/>
    </w:pPr>
    <w:rPr>
      <w:sz w:val="12"/>
      <w:szCs w:val="12"/>
    </w:rPr>
  </w:style>
  <w:style w:type="paragraph" w:customStyle="1" w:styleId="76">
    <w:name w:val="Título de tabela"/>
    <w:basedOn w:val="70"/>
    <w:uiPriority w:val="0"/>
    <w:pPr>
      <w:jc w:val="center"/>
    </w:pPr>
    <w:rPr>
      <w:b/>
      <w:bCs/>
    </w:rPr>
  </w:style>
  <w:style w:type="character" w:customStyle="1" w:styleId="77">
    <w:name w:val="Texto de comentário Char"/>
    <w:basedOn w:val="7"/>
    <w:link w:val="13"/>
    <w:qFormat/>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8">
    <w:name w:val="Corpo de texto Char"/>
    <w:basedOn w:val="7"/>
    <w:link w:val="12"/>
    <w:uiPriority w:val="0"/>
    <w:rPr>
      <w:rFonts w:ascii="Times New Roman" w:hAnsi="Times New Roman" w:eastAsia="Arial Unicode MS" w:cs="Times New Roman"/>
      <w:szCs w:val="20"/>
      <w:lang w:eastAsia="pt-BR" w:bidi="ar-SA"/>
    </w:rPr>
  </w:style>
  <w:style w:type="paragraph" w:customStyle="1" w:styleId="79">
    <w:name w:val="Nivel 2"/>
    <w:link w:val="88"/>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80">
    <w:name w:val="Nivel 1"/>
    <w:basedOn w:val="79"/>
    <w:next w:val="79"/>
    <w:qFormat/>
    <w:uiPriority w:val="0"/>
    <w:pPr>
      <w:numPr>
        <w:ilvl w:val="0"/>
      </w:numPr>
    </w:pPr>
    <w:rPr>
      <w:rFonts w:cs="Arial"/>
      <w:b/>
    </w:rPr>
  </w:style>
  <w:style w:type="paragraph" w:customStyle="1" w:styleId="81">
    <w:name w:val="Nivel 3"/>
    <w:basedOn w:val="79"/>
    <w:link w:val="89"/>
    <w:qFormat/>
    <w:uiPriority w:val="0"/>
    <w:pPr>
      <w:numPr>
        <w:ilvl w:val="2"/>
      </w:numPr>
    </w:pPr>
    <w:rPr>
      <w:rFonts w:cs="Arial"/>
      <w:color w:val="000000"/>
    </w:rPr>
  </w:style>
  <w:style w:type="paragraph" w:customStyle="1" w:styleId="82">
    <w:name w:val="Nivel 4"/>
    <w:basedOn w:val="81"/>
    <w:link w:val="84"/>
    <w:qFormat/>
    <w:uiPriority w:val="0"/>
    <w:pPr>
      <w:numPr>
        <w:ilvl w:val="3"/>
      </w:numPr>
    </w:pPr>
    <w:rPr>
      <w:color w:val="auto"/>
    </w:rPr>
  </w:style>
  <w:style w:type="paragraph" w:customStyle="1" w:styleId="83">
    <w:name w:val="Nivel 5"/>
    <w:basedOn w:val="82"/>
    <w:qFormat/>
    <w:uiPriority w:val="0"/>
    <w:pPr>
      <w:numPr>
        <w:ilvl w:val="4"/>
      </w:numPr>
      <w:tabs>
        <w:tab w:val="left" w:pos="360"/>
      </w:tabs>
      <w:ind w:left="2496" w:hanging="1080"/>
    </w:pPr>
  </w:style>
  <w:style w:type="character" w:customStyle="1" w:styleId="84">
    <w:name w:val="Nivel 4 Char"/>
    <w:basedOn w:val="7"/>
    <w:link w:val="82"/>
    <w:uiPriority w:val="0"/>
    <w:rPr>
      <w:rFonts w:ascii="Ecofont_Spranq_eco_Sans" w:hAnsi="Ecofont_Spranq_eco_Sans" w:eastAsia="Arial Unicode MS" w:cs="Arial"/>
      <w:sz w:val="20"/>
      <w:szCs w:val="20"/>
      <w:lang w:eastAsia="pt-BR" w:bidi="ar-SA"/>
    </w:rPr>
  </w:style>
  <w:style w:type="paragraph" w:customStyle="1" w:styleId="85">
    <w:name w:val="Grade Colorida - Ênfase 11"/>
    <w:basedOn w:val="1"/>
    <w:next w:val="1"/>
    <w:link w:val="86"/>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6">
    <w:name w:val="Grade Colorida - Ênfase 1 Char"/>
    <w:link w:val="85"/>
    <w:qFormat/>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7">
    <w:name w:val="Assunto do comentário Char"/>
    <w:basedOn w:val="77"/>
    <w:link w:val="18"/>
    <w:semiHidden/>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8">
    <w:name w:val="Nivel 2 Char"/>
    <w:basedOn w:val="7"/>
    <w:link w:val="79"/>
    <w:qFormat/>
    <w:uiPriority w:val="0"/>
    <w:rPr>
      <w:rFonts w:ascii="Ecofont_Spranq_eco_Sans" w:hAnsi="Ecofont_Spranq_eco_Sans" w:eastAsia="Arial Unicode MS" w:cs="Times New Roman"/>
      <w:sz w:val="20"/>
      <w:szCs w:val="20"/>
      <w:lang w:eastAsia="pt-BR" w:bidi="ar-SA"/>
    </w:rPr>
  </w:style>
  <w:style w:type="character" w:customStyle="1" w:styleId="89">
    <w:name w:val="Nivel 3 Char"/>
    <w:basedOn w:val="7"/>
    <w:link w:val="81"/>
    <w:qFormat/>
    <w:uiPriority w:val="0"/>
    <w:rPr>
      <w:rFonts w:ascii="Ecofont_Spranq_eco_Sans" w:hAnsi="Ecofont_Spranq_eco_Sans" w:eastAsia="Arial Unicode MS" w:cs="Arial"/>
      <w:color w:val="000000"/>
      <w:sz w:val="20"/>
      <w:szCs w:val="20"/>
      <w:lang w:eastAsia="pt-BR" w:bidi="ar-SA"/>
    </w:rPr>
  </w:style>
  <w:style w:type="character" w:customStyle="1" w:styleId="90">
    <w:name w:val="Grade Média 2 - Ênfase 2 Char"/>
    <w:qFormat/>
    <w:uiPriority w:val="0"/>
    <w:rPr>
      <w:rFonts w:ascii="Ecofont_Spranq_eco_Sans" w:hAnsi="Ecofont_Spranq_eco_Sans" w:eastAsia="Calibri" w:cs="Ecofont_Spranq_eco_Sans"/>
      <w:i/>
      <w:iCs/>
      <w:color w:val="000000"/>
      <w:szCs w:val="24"/>
      <w:shd w:val="clear" w:color="auto" w:fill="FFFFCC"/>
    </w:rPr>
  </w:style>
  <w:style w:type="paragraph" w:customStyle="1" w:styleId="91">
    <w:name w:val="Revision"/>
    <w:hidden/>
    <w:semiHidden/>
    <w:qFormat/>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qFormat/>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qFormat/>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qFormat/>
    <w:uiPriority w:val="0"/>
  </w:style>
  <w:style w:type="character" w:customStyle="1" w:styleId="98">
    <w:name w:val="eop"/>
    <w:basedOn w:val="7"/>
    <w:qFormat/>
    <w:uiPriority w:val="0"/>
  </w:style>
  <w:style w:type="character" w:customStyle="1" w:styleId="99">
    <w:name w:val="spellingerror"/>
    <w:basedOn w:val="7"/>
    <w:uiPriority w:val="0"/>
  </w:style>
  <w:style w:type="paragraph" w:customStyle="1" w:styleId="100">
    <w:name w:val="Citação2"/>
    <w:basedOn w:val="1"/>
    <w:next w:val="1"/>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qFormat/>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qFormat/>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qFormat/>
    <w:uiPriority w:val="99"/>
    <w:rPr>
      <w:rFonts w:ascii="Calibri" w:hAnsi="Calibri" w:eastAsiaTheme="minorHAnsi" w:cstheme="minorBidi"/>
      <w:sz w:val="22"/>
      <w:szCs w:val="21"/>
      <w:lang w:eastAsia="en-US" w:bidi="ar-SA"/>
    </w:rPr>
  </w:style>
  <w:style w:type="paragraph" w:customStyle="1" w:styleId="105">
    <w:name w:val="x_western"/>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qFormat/>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qFormat/>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uiPriority w:val="0"/>
  </w:style>
  <w:style w:type="character" w:customStyle="1" w:styleId="111">
    <w:name w:val="lrzxr"/>
    <w:basedOn w:val="7"/>
    <w:qFormat/>
    <w:uiPriority w:val="0"/>
  </w:style>
  <w:style w:type="paragraph" w:customStyle="1" w:styleId="112">
    <w:name w:val="Título do Conteúdo"/>
    <w:basedOn w:val="109"/>
    <w:qFormat/>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5.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2F9D9B-A10A-4DD0-9B11-62F741C79D1E}">
  <ds:schemaRefs/>
</ds:datastoreItem>
</file>

<file path=customXml/itemProps3.xml><?xml version="1.0" encoding="utf-8"?>
<ds:datastoreItem xmlns:ds="http://schemas.openxmlformats.org/officeDocument/2006/customXml" ds:itemID="{D0FA922B-301D-4229-A9FF-8B2F047859B0}">
  <ds:schemaRefs/>
</ds:datastoreItem>
</file>

<file path=customXml/itemProps4.xml><?xml version="1.0" encoding="utf-8"?>
<ds:datastoreItem xmlns:ds="http://schemas.openxmlformats.org/officeDocument/2006/customXml" ds:itemID="{04619D80-AE0E-4FC5-8646-B7029223346D}">
  <ds:schemaRefs/>
</ds:datastoreItem>
</file>

<file path=customXml/itemProps5.xml><?xml version="1.0" encoding="utf-8"?>
<ds:datastoreItem xmlns:ds="http://schemas.openxmlformats.org/officeDocument/2006/customXml" ds:itemID="{BBFD8ED6-DC5C-4AC2-A75D-A7D1347451F0}">
  <ds:schemaRefs/>
</ds:datastoreItem>
</file>

<file path=docProps/app.xml><?xml version="1.0" encoding="utf-8"?>
<Properties xmlns="http://schemas.openxmlformats.org/officeDocument/2006/extended-properties" xmlns:vt="http://schemas.openxmlformats.org/officeDocument/2006/docPropsVTypes">
  <Template>Normal</Template>
  <Pages>1</Pages>
  <Words>10613</Words>
  <Characters>57314</Characters>
  <Lines>477</Lines>
  <Paragraphs>135</Paragraphs>
  <TotalTime>1821</TotalTime>
  <ScaleCrop>false</ScaleCrop>
  <LinksUpToDate>false</LinksUpToDate>
  <CharactersWithSpaces>67792</CharactersWithSpaces>
  <Application>WPS Office_11.2.0.10351_F1E327BC-269C-435d-A152-05C5408002CA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2020-05-05T12:49:00Z</dcterms:created>
  <dc:creator>Carlota Vargas Buranello</dc:creator>
  <cp:lastModifiedBy>Juliana Borsoi</cp:lastModifiedBy>
  <cp:lastPrinted>2020-05-06T13:48:00Z</cp:lastPrinted>
  <dcterms:modified xsi:type="dcterms:W3CDTF">2021-12-01T20:40:11Z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1046-11.2.0.10351</vt:lpwstr>
  </property>
  <property fmtid="{D5CDD505-2E9C-101B-9397-08002B2CF9AE}" pid="4" name="ICV">
    <vt:lpwstr>E0DB01F7860C4CE293550E405ECA9346</vt:lpwstr>
  </property>
</Properties>
</file>