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ascii="Verdana" w:hAnsi="Verdana"/>
          <w:sz w:val="18"/>
          <w:szCs w:val="18"/>
        </w:rPr>
      </w:pPr>
      <w:r>
        <w:rPr>
          <w:rFonts w:ascii="Verdana" w:hAnsi="Verdana"/>
          <w:b/>
          <w:sz w:val="18"/>
          <w:szCs w:val="18"/>
        </w:rPr>
        <w:drawing>
          <wp:anchor distT="0" distB="0" distL="114300" distR="114300" simplePos="0" relativeHeight="251659264"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6"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pPr>
        <w:spacing w:after="120"/>
        <w:jc w:val="center"/>
        <w:rPr>
          <w:rFonts w:ascii="Verdana" w:hAnsi="Verdana"/>
          <w:sz w:val="18"/>
          <w:szCs w:val="18"/>
        </w:rPr>
      </w:pPr>
    </w:p>
    <w:p>
      <w:pPr>
        <w:tabs>
          <w:tab w:val="clear" w:pos="708"/>
        </w:tabs>
        <w:spacing w:after="120"/>
        <w:jc w:val="center"/>
        <w:rPr>
          <w:rFonts w:ascii="Verdana" w:hAnsi="Verdana"/>
          <w:sz w:val="18"/>
          <w:szCs w:val="18"/>
        </w:rPr>
      </w:pPr>
    </w:p>
    <w:p>
      <w:pPr>
        <w:spacing w:after="120"/>
        <w:jc w:val="center"/>
        <w:rPr>
          <w:rFonts w:ascii="Verdana" w:hAnsi="Verdana"/>
          <w:b/>
          <w:sz w:val="18"/>
          <w:szCs w:val="18"/>
        </w:rPr>
      </w:pPr>
    </w:p>
    <w:p>
      <w:pPr>
        <w:spacing w:after="120"/>
        <w:jc w:val="center"/>
        <w:rPr>
          <w:rFonts w:ascii="Verdana" w:hAnsi="Verdana"/>
          <w:b/>
          <w:sz w:val="18"/>
          <w:szCs w:val="18"/>
        </w:rPr>
      </w:pPr>
      <w:r>
        <w:rPr>
          <w:rFonts w:ascii="Verdana" w:hAnsi="Verdana"/>
          <w:b/>
          <w:sz w:val="18"/>
          <w:szCs w:val="18"/>
        </w:rPr>
        <w:t>SERVIÇO PÚBLICO FEDERAL</w:t>
      </w:r>
    </w:p>
    <w:p>
      <w:pPr>
        <w:spacing w:after="120"/>
        <w:jc w:val="center"/>
        <w:rPr>
          <w:rFonts w:ascii="Verdana" w:hAnsi="Verdana"/>
          <w:b/>
          <w:sz w:val="18"/>
          <w:szCs w:val="18"/>
        </w:rPr>
      </w:pPr>
      <w:r>
        <w:rPr>
          <w:rFonts w:ascii="Verdana" w:hAnsi="Verdana"/>
          <w:b/>
          <w:sz w:val="18"/>
          <w:szCs w:val="18"/>
        </w:rPr>
        <w:t>MINISTÉRIO DA EDUCAÇÃO</w:t>
      </w:r>
    </w:p>
    <w:p>
      <w:pPr>
        <w:spacing w:after="120"/>
        <w:jc w:val="center"/>
        <w:rPr>
          <w:rFonts w:ascii="Verdana" w:hAnsi="Verdana"/>
          <w:b/>
          <w:sz w:val="18"/>
          <w:szCs w:val="18"/>
        </w:rPr>
      </w:pPr>
      <w:r>
        <w:rPr>
          <w:rFonts w:ascii="Verdana" w:hAnsi="Verdana"/>
          <w:b/>
          <w:sz w:val="18"/>
          <w:szCs w:val="18"/>
        </w:rPr>
        <w:t>UNIVERSIDADE FEDERAL FLUMINENSE</w:t>
      </w:r>
    </w:p>
    <w:p>
      <w:pPr>
        <w:spacing w:after="120"/>
        <w:jc w:val="center"/>
        <w:rPr>
          <w:rFonts w:ascii="Verdana" w:hAnsi="Verdana"/>
          <w:sz w:val="18"/>
          <w:szCs w:val="18"/>
        </w:rPr>
      </w:pPr>
      <w:r>
        <w:rPr>
          <w:rFonts w:ascii="Verdana" w:hAnsi="Verdana"/>
          <w:b/>
          <w:sz w:val="18"/>
          <w:szCs w:val="18"/>
        </w:rPr>
        <w:t>PRÓ-REITORIA DE ADMINISTRAÇÃO</w:t>
      </w:r>
    </w:p>
    <w:p>
      <w:pPr>
        <w:pStyle w:val="12"/>
        <w:jc w:val="center"/>
        <w:rPr>
          <w:rFonts w:ascii="Verdana" w:hAnsi="Verdana"/>
          <w:b/>
          <w:sz w:val="18"/>
          <w:szCs w:val="18"/>
        </w:rPr>
      </w:pPr>
      <w:r>
        <w:rPr>
          <w:rFonts w:ascii="Verdana" w:hAnsi="Verdana"/>
          <w:b/>
          <w:sz w:val="18"/>
          <w:szCs w:val="18"/>
        </w:rPr>
        <w:t>COORDENAÇÃO DE LICITAÇÃO</w:t>
      </w:r>
    </w:p>
    <w:p>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pPr>
        <w:keepNext w:val="0"/>
        <w:spacing w:after="120"/>
        <w:ind w:right="-17"/>
        <w:jc w:val="center"/>
        <w:rPr>
          <w:rFonts w:ascii="Verdana" w:hAnsi="Verdana" w:cs="Arial"/>
          <w:b/>
          <w:bCs/>
          <w:color w:val="000000"/>
          <w:sz w:val="20"/>
          <w:szCs w:val="20"/>
        </w:rPr>
      </w:pPr>
    </w:p>
    <w:p>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76/2022</w:t>
      </w:r>
    </w:p>
    <w:p>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23069.156365/2022-12)</w:t>
      </w:r>
    </w:p>
    <w:p>
      <w:pPr>
        <w:keepNext w:val="0"/>
        <w:spacing w:after="120" w:line="276" w:lineRule="auto"/>
        <w:ind w:right="-30"/>
        <w:jc w:val="both"/>
        <w:rPr>
          <w:rFonts w:ascii="Verdana" w:hAnsi="Verdana" w:cs="Arial"/>
          <w:sz w:val="20"/>
          <w:szCs w:val="20"/>
        </w:rPr>
      </w:pPr>
    </w:p>
    <w:p>
      <w:pPr>
        <w:snapToGrid w:val="0"/>
        <w:spacing w:after="120" w:line="276" w:lineRule="auto"/>
        <w:ind w:right="-30" w:firstLine="540"/>
        <w:jc w:val="both"/>
        <w:rPr>
          <w:rFonts w:ascii="Verdana" w:hAnsi="Verdana" w:eastAsia="Arial" w:cs="Arial"/>
          <w:i/>
          <w:color w:val="000000" w:themeColor="text1"/>
          <w:sz w:val="20"/>
          <w:szCs w:val="20"/>
        </w:rPr>
      </w:pPr>
      <w:r>
        <w:rPr>
          <w:rFonts w:ascii="Verdana" w:hAnsi="Verdana" w:cs="Arial"/>
          <w:color w:val="000000" w:themeColor="text1"/>
          <w:sz w:val="20"/>
          <w:szCs w:val="20"/>
        </w:rPr>
        <w:t>Torna-se público que a</w:t>
      </w:r>
      <w:r>
        <w:rPr>
          <w:rFonts w:ascii="Verdana" w:hAnsi="Verdana" w:eastAsia="Arial" w:cs="Arial"/>
          <w:color w:val="000000" w:themeColor="text1"/>
          <w:sz w:val="20"/>
          <w:szCs w:val="20"/>
        </w:rPr>
        <w:t xml:space="preserve"> </w:t>
      </w:r>
      <w:r>
        <w:rPr>
          <w:rFonts w:ascii="Verdana" w:hAnsi="Verdana" w:eastAsia="Arial"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hAnsi="Verdana" w:eastAsia="Arial" w:cs="Arial"/>
          <w:color w:val="000000" w:themeColor="text1"/>
          <w:sz w:val="20"/>
          <w:szCs w:val="20"/>
        </w:rPr>
        <w:t xml:space="preserve"> </w:t>
      </w:r>
      <w:r>
        <w:rPr>
          <w:rFonts w:ascii="Verdana" w:hAnsi="Verdana"/>
          <w:sz w:val="20"/>
          <w:szCs w:val="20"/>
        </w:rPr>
        <w:t>sua Comissão de Licitação da Pró-Reitoria de Administração, instituída pela Portaria n.º 57.050 de 01 de setembro de 2016</w:t>
      </w:r>
      <w:r>
        <w:rPr>
          <w:rFonts w:ascii="Verdana" w:hAnsi="Verdana" w:cs="Arial"/>
          <w:color w:val="000000" w:themeColor="text1"/>
          <w:sz w:val="20"/>
          <w:szCs w:val="20"/>
        </w:rPr>
        <w:t>, sediada</w:t>
      </w:r>
      <w:r>
        <w:rPr>
          <w:rFonts w:ascii="Verdana" w:hAnsi="Verdana" w:eastAsia="Arial"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pPr>
        <w:spacing w:line="276" w:lineRule="auto"/>
        <w:jc w:val="both"/>
        <w:rPr>
          <w:rFonts w:ascii="Verdana" w:hAnsi="Verdana" w:cs="Arial"/>
          <w:color w:val="000000" w:themeColor="text1"/>
          <w:sz w:val="20"/>
          <w:szCs w:val="20"/>
        </w:rPr>
      </w:pPr>
    </w:p>
    <w:p>
      <w:pPr>
        <w:pStyle w:val="73"/>
        <w:keepNext w:val="0"/>
        <w:shd w:val="clear" w:color="auto" w:fill="auto"/>
        <w:ind w:firstLine="0"/>
        <w:jc w:val="center"/>
        <w:rPr>
          <w:rFonts w:hint="default" w:ascii="Verdana" w:hAnsi="Verdana" w:cs="Arial"/>
          <w:b/>
          <w:bCs/>
          <w:color w:val="auto"/>
          <w:szCs w:val="20"/>
          <w:lang w:val="pt-BR"/>
        </w:rPr>
      </w:pPr>
      <w:r>
        <w:rPr>
          <w:rFonts w:ascii="Verdana" w:hAnsi="Verdana" w:cs="Arial"/>
          <w:szCs w:val="20"/>
        </w:rPr>
        <w:t xml:space="preserve">Data da sessão: </w:t>
      </w:r>
      <w:r>
        <w:rPr>
          <w:rFonts w:hint="default" w:ascii="Verdana" w:hAnsi="Verdana" w:cs="Arial"/>
          <w:b/>
          <w:bCs/>
          <w:color w:val="auto"/>
          <w:szCs w:val="20"/>
          <w:lang w:val="pt-BR"/>
        </w:rPr>
        <w:t>11/07/2022</w:t>
      </w:r>
    </w:p>
    <w:p>
      <w:pPr>
        <w:pStyle w:val="73"/>
        <w:keepNext w:val="0"/>
        <w:widowControl/>
        <w:shd w:val="clear" w:color="auto" w:fill="auto"/>
        <w:spacing w:before="120" w:after="120"/>
        <w:ind w:firstLine="0"/>
        <w:jc w:val="center"/>
        <w:rPr>
          <w:rFonts w:hint="default" w:ascii="Verdana" w:hAnsi="Verdana" w:cs="Arial"/>
          <w:szCs w:val="20"/>
          <w:lang w:val="pt-BR"/>
        </w:rPr>
      </w:pPr>
      <w:r>
        <w:rPr>
          <w:rFonts w:ascii="Verdana" w:hAnsi="Verdana" w:cs="Arial"/>
          <w:szCs w:val="20"/>
        </w:rPr>
        <w:t xml:space="preserve">Horário: </w:t>
      </w:r>
      <w:r>
        <w:rPr>
          <w:rFonts w:hint="default" w:ascii="Verdana" w:hAnsi="Verdana" w:cs="Arial"/>
          <w:b/>
          <w:bCs/>
          <w:color w:val="auto"/>
          <w:szCs w:val="20"/>
          <w:lang w:val="pt-BR"/>
        </w:rPr>
        <w:t>10h</w:t>
      </w:r>
    </w:p>
    <w:p>
      <w:pPr>
        <w:pStyle w:val="73"/>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p>
    <w:p>
      <w:pPr>
        <w:keepNext w:val="0"/>
        <w:shd w:val="clear" w:color="auto" w:fill="auto"/>
        <w:rPr>
          <w:rFonts w:ascii="Verdana" w:hAnsi="Verdana" w:cs="Arial"/>
          <w:sz w:val="20"/>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w:t>
      </w:r>
      <w:bookmarkStart w:id="0" w:name="_Hlk106966581"/>
      <w:r>
        <w:rPr>
          <w:rFonts w:ascii="Verdana" w:hAnsi="Verdana" w:cs="Calibri"/>
          <w:bCs/>
          <w:color w:val="000000"/>
          <w:szCs w:val="20"/>
          <w:shd w:val="clear" w:color="auto" w:fill="FFFFFF"/>
        </w:rPr>
        <w:t xml:space="preserve">de </w:t>
      </w:r>
      <w:bookmarkStart w:id="1" w:name="_Hlk85032038"/>
      <w:r>
        <w:rPr>
          <w:rFonts w:ascii="Verdana" w:hAnsi="Verdana" w:cs="Calibri"/>
          <w:bCs/>
          <w:color w:val="000000"/>
          <w:szCs w:val="20"/>
          <w:shd w:val="clear" w:color="auto" w:fill="FFFFFF"/>
        </w:rPr>
        <w:t>execução de serviço de engenharia, para</w:t>
      </w:r>
      <w:bookmarkEnd w:id="1"/>
      <w:r>
        <w:rPr>
          <w:rFonts w:ascii="Verdana" w:hAnsi="Verdana" w:cs="Calibri"/>
          <w:bCs/>
          <w:color w:val="000000"/>
          <w:szCs w:val="20"/>
          <w:shd w:val="clear" w:color="auto" w:fill="FFFFFF"/>
        </w:rPr>
        <w:t xml:space="preserve"> </w:t>
      </w:r>
      <w:r>
        <w:rPr>
          <w:rFonts w:ascii="Verdana" w:hAnsi="Verdana"/>
          <w:szCs w:val="20"/>
        </w:rPr>
        <w:t>reforma e adequação de ambientes no Centro de Atenção à Saúde do Idoso e seus Cuidadores (CASIC), no Campus Mequinho, em Niterói, da Universidade Federal Fluminense</w:t>
      </w:r>
      <w:r>
        <w:rPr>
          <w:rFonts w:ascii="Verdana" w:hAnsi="Verdana" w:cs="Arial"/>
          <w:szCs w:val="20"/>
        </w:rPr>
        <w:t>, com fornecimento de materiais e mão de obra</w:t>
      </w:r>
      <w:bookmarkEnd w:id="0"/>
      <w:r>
        <w:rPr>
          <w:rFonts w:ascii="Verdana" w:hAnsi="Verdana" w:cs="Arial"/>
          <w:szCs w:val="20"/>
        </w:rPr>
        <w:t>, conforme condições, quantidades e exigências estabelecidas neste Edital e seus anexos.</w:t>
      </w:r>
    </w:p>
    <w:p>
      <w:pPr>
        <w:pStyle w:val="73"/>
        <w:keepNext w:val="0"/>
        <w:widowControl/>
        <w:numPr>
          <w:ilvl w:val="2"/>
          <w:numId w:val="3"/>
        </w:numPr>
        <w:shd w:val="clear" w:color="auto" w:fill="auto"/>
        <w:spacing w:before="120" w:after="120"/>
        <w:rPr>
          <w:rFonts w:ascii="Verdana" w:hAnsi="Verdana" w:cs="Arial"/>
          <w:szCs w:val="20"/>
        </w:rPr>
      </w:pPr>
      <w:bookmarkStart w:id="2" w:name="_Hlk106966639"/>
      <w:r>
        <w:rPr>
          <w:rFonts w:ascii="Verdana" w:hAnsi="Verdana" w:eastAsia="Calibri" w:cstheme="minorHAnsi"/>
          <w:bCs/>
          <w:sz w:val="18"/>
          <w:szCs w:val="18"/>
        </w:rPr>
        <w:t>Localização da obra: Campus Mequinho, Av. Jansen de Mello, 174, Centro, Niterói/RJ - CEP: 24.030-220;</w:t>
      </w:r>
      <w:bookmarkEnd w:id="2"/>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a partir de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III-B a este edital;</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O critério de julgamento será o de menor preço global, de todos os itens de serviço do orçamento estimado (Anexo III-B), observadas as exigências contidas neste Edital e seus Anexos quanto às especificações do objeto.</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III-B), irá resultar no valor total da proposta do licitante vencedor.</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 planilha contida no Anexo III.</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3" w:name="_Hlk83456378"/>
      <w:r>
        <w:rPr>
          <w:rFonts w:ascii="Verdana" w:hAnsi="Verdana" w:cs="Arial"/>
          <w:szCs w:val="20"/>
        </w:rPr>
        <w:t>conforme previsto no Termo de Referência ou Projeto Básico – Anexo I.</w:t>
      </w:r>
      <w:bookmarkEnd w:id="3"/>
    </w:p>
    <w:p>
      <w:pPr>
        <w:pStyle w:val="73"/>
        <w:keepNext w:val="0"/>
        <w:widowControl/>
        <w:shd w:val="clear" w:color="auto" w:fill="auto"/>
        <w:spacing w:before="120" w:after="120"/>
        <w:ind w:left="792" w:firstLine="0"/>
        <w:rPr>
          <w:rFonts w:ascii="Verdana" w:hAnsi="Verdana" w:cs="Arial"/>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pPr>
        <w:pStyle w:val="73"/>
        <w:keepNext w:val="0"/>
        <w:widowControl/>
        <w:numPr>
          <w:ilvl w:val="1"/>
          <w:numId w:val="3"/>
        </w:numPr>
        <w:shd w:val="clear" w:color="auto" w:fill="auto"/>
        <w:spacing w:before="120" w:after="120"/>
        <w:rPr>
          <w:rFonts w:ascii="Verdana" w:hAnsi="Verdana" w:cs="Arial"/>
          <w:szCs w:val="20"/>
          <w:highlight w:val="none"/>
        </w:rPr>
      </w:pPr>
      <w:bookmarkStart w:id="4" w:name="_Hlk97023241"/>
      <w:r>
        <w:rPr>
          <w:rFonts w:ascii="Verdana" w:hAnsi="Verdana" w:cs="Arial"/>
          <w:szCs w:val="20"/>
          <w:highlight w:val="none"/>
        </w:rPr>
        <w:t xml:space="preserve">As despesas para atender a esta licitação </w:t>
      </w:r>
      <w:r>
        <w:rPr>
          <w:rFonts w:hint="default" w:ascii="Verdana" w:hAnsi="Verdana" w:cs="Arial"/>
          <w:szCs w:val="20"/>
          <w:highlight w:val="none"/>
          <w:lang w:val="pt-BR"/>
        </w:rPr>
        <w:t>serão indicadas quando da homologação do procedimento licitatório, conforme despacho PLOR/PLAN SEI nº 0769806 (https://sei.uff.br/sei/controlador.php?acao=procedimento_trabalhar&amp;id_procedimento=810047&amp;id_documento=839845)</w:t>
      </w:r>
      <w:r>
        <w:rPr>
          <w:rFonts w:ascii="Verdana" w:hAnsi="Verdana" w:cstheme="minorHAnsi"/>
          <w:szCs w:val="20"/>
          <w:highlight w:val="none"/>
        </w:rPr>
        <w:t xml:space="preserve"> .</w:t>
      </w:r>
      <w:bookmarkEnd w:id="4"/>
    </w:p>
    <w:p>
      <w:pPr>
        <w:pStyle w:val="73"/>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r>
        <w:rPr>
          <w:rFonts w:ascii="Verdana" w:hAnsi="Verdana" w:cs="Arial"/>
          <w:color w:val="000000" w:themeColor="text1"/>
          <w:szCs w:val="20"/>
        </w:rPr>
        <w:t>, por meio de certificado digital conferido pela Infraestrutura de Chaves Públicas Brasileira – ICP - Brasil.</w:t>
      </w:r>
    </w:p>
    <w:p>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DA PARTICIPAÇÃO NO PREGÃO.</w:t>
      </w:r>
    </w:p>
    <w:p>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eastAsia="Arial Unicode MS" w:cs="Arial"/>
          <w:color w:val="000000" w:themeColor="text1"/>
          <w:sz w:val="18"/>
          <w:szCs w:val="18"/>
        </w:rPr>
        <w:t>que se enquadrem nas vedações previstas no artigo 9º da Lei nº 8.666, de 1993;</w:t>
      </w:r>
      <w:bookmarkStart w:id="5" w:name="_Hlk519667653"/>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5"/>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6" w:name="_Hlk519667815"/>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6"/>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hAnsi="Verdana" w:eastAsia="Zurich BT" w:cs="Arial"/>
          <w:color w:val="000000"/>
          <w:sz w:val="20"/>
          <w:szCs w:val="20"/>
        </w:rPr>
        <w:t xml:space="preserve"> </w:t>
      </w:r>
    </w:p>
    <w:p>
      <w:pPr>
        <w:pStyle w:val="64"/>
        <w:keepNext w:val="0"/>
        <w:numPr>
          <w:ilvl w:val="0"/>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está ciente e concorda com as condições contidas no Edital e seus anexos;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não possui, em sua cadeia produtiva, empregados executando trabalho degradante ou forçado, observando o disposto nos incisos III e IV do art. 1º e no inciso III do art. 5º da Constituição Federal;</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As condições para a realização da vistoria estão explicitadas</w:t>
      </w:r>
      <w:r>
        <w:rPr>
          <w:rFonts w:ascii="Verdana" w:hAnsi="Verdana" w:cs="TTE4E87780t00"/>
          <w:b/>
          <w:bCs/>
          <w:sz w:val="20"/>
          <w:szCs w:val="20"/>
        </w:rPr>
        <w:t xml:space="preserve"> </w:t>
      </w:r>
      <w:r>
        <w:rPr>
          <w:rFonts w:ascii="Verdana" w:hAnsi="Verdana" w:cs="TTE4E87780t00"/>
          <w:sz w:val="20"/>
          <w:szCs w:val="20"/>
        </w:rPr>
        <w:t>no item</w:t>
      </w:r>
      <w:r>
        <w:rPr>
          <w:rFonts w:ascii="Verdana" w:hAnsi="Verdana" w:cs="TTE4E87780t00"/>
          <w:b/>
          <w:bCs/>
          <w:sz w:val="20"/>
          <w:szCs w:val="20"/>
        </w:rPr>
        <w:t xml:space="preserve"> “6 – VISTORIA PARA A LICITAÇÃO” </w:t>
      </w:r>
      <w:r>
        <w:rPr>
          <w:rFonts w:ascii="Verdana" w:hAnsi="Verdana" w:cs="TTE4E87780t00"/>
          <w:sz w:val="20"/>
          <w:szCs w:val="20"/>
        </w:rPr>
        <w:t>do Termo de Referência anexo a este edital;</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2"/>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2"/>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DA APRESENTAÇÃO DA PROPOSTA E DOS DOCUMENTOS DE HABILITAÇÃO</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eastAsia="Arial" w:cs="Arial"/>
          <w:sz w:val="20"/>
          <w:szCs w:val="20"/>
        </w:rPr>
        <w:t>As Microempresas e Empresas de Pequeno Porte deverão encaminhar a documentação de habilitação, ainda que haja alguma restrição de regularidade fiscal e trabalhista, nos termos do art. 43, § 1º da LC nº 123, de 2006.</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pPr>
        <w:pStyle w:val="64"/>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III-B;</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hAnsi="Verdana" w:eastAsia="WenQuanYi Micro Hei" w:cs="Arial"/>
          <w:color w:val="auto"/>
          <w:sz w:val="18"/>
          <w:szCs w:val="18"/>
        </w:rPr>
        <w:t>Descrição do objeto, contendo as informações similares à especificação do Termo de Referência</w:t>
      </w:r>
      <w:r>
        <w:rPr>
          <w:rFonts w:ascii="Verdana" w:hAnsi="Verdana" w:cs="Arial"/>
          <w:color w:val="auto"/>
          <w:sz w:val="18"/>
          <w:szCs w:val="18"/>
        </w:rPr>
        <w:t>.</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PROPOSTAS E FORMULAÇÃO DE LANCES</w:t>
      </w: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1"/>
          <w:numId w:val="6"/>
        </w:numPr>
        <w:shd w:val="clear" w:color="auto" w:fill="auto"/>
        <w:tabs>
          <w:tab w:val="clear" w:pos="-12"/>
          <w:tab w:val="clear" w:pos="708"/>
        </w:tabs>
        <w:suppressAutoHyphens w:val="0"/>
        <w:overflowPunct/>
        <w:spacing w:before="120" w:after="120"/>
        <w:ind w:left="854"/>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pPr>
        <w:pStyle w:val="64"/>
        <w:keepNext w:val="0"/>
        <w:numPr>
          <w:ilvl w:val="1"/>
          <w:numId w:val="6"/>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73"/>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lang w:eastAsia="en-US"/>
        </w:rPr>
        <w:t>Também será desclassificada a proposta que identifique o licitante.</w:t>
      </w:r>
    </w:p>
    <w:p>
      <w:pPr>
        <w:pStyle w:val="73"/>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pPr>
        <w:pStyle w:val="73"/>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pPr>
        <w:pStyle w:val="73"/>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pPr>
        <w:keepNext w:val="0"/>
        <w:numPr>
          <w:ilvl w:val="2"/>
          <w:numId w:val="6"/>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hAnsi="Verdana" w:eastAsia="Arial" w:cs="Arial"/>
          <w:iCs/>
          <w:color w:val="auto"/>
          <w:sz w:val="18"/>
          <w:szCs w:val="18"/>
        </w:rPr>
      </w:pPr>
      <w:r>
        <w:rPr>
          <w:rFonts w:ascii="Verdana" w:hAnsi="Verdana" w:cs="Arial"/>
          <w:iCs/>
          <w:color w:val="auto"/>
          <w:sz w:val="18"/>
          <w:szCs w:val="18"/>
        </w:rPr>
        <w:t>O lance deverá ser ofertado pelo valor do preço global dos serviços.</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R$ 100,00 (cem reais).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rPr>
        <w:t>, que deverá refletir sobre os preços unitários orçados pela UFF e constantes da planilha de orçamento (Anexo III-B) conforme definido neste Edital e seus anexos.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 inicial.</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hAnsi="Verdana" w:eastAsia="Zurich BT" w:cs="Arial"/>
          <w:sz w:val="20"/>
          <w:szCs w:val="20"/>
        </w:rPr>
        <w:t>, será efetivada a verificação automática, junto à Receita Federal, do porte da entidade empresarial.</w:t>
      </w:r>
    </w:p>
    <w:p>
      <w:pPr>
        <w:pStyle w:val="64"/>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eastAsia="Zurich BT" w:cs="Arial"/>
          <w:sz w:val="18"/>
          <w:szCs w:val="18"/>
        </w:rPr>
        <w:t xml:space="preserve">O sistema identificará em coluna própria as </w:t>
      </w:r>
      <w:r>
        <w:rPr>
          <w:rFonts w:ascii="Verdana" w:hAnsi="Verdana" w:eastAsia="Zurich BT" w:cs="Arial"/>
          <w:color w:val="000000" w:themeColor="text1"/>
          <w:sz w:val="18"/>
          <w:szCs w:val="18"/>
        </w:rPr>
        <w:t>microempresas e empresas de pequeno</w:t>
      </w:r>
      <w:r>
        <w:rPr>
          <w:rFonts w:ascii="Verdana" w:hAnsi="Verdana" w:eastAsia="Zurich BT"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hAnsi="Verdana" w:eastAsia="Zurich BT"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hAnsi="Verdana" w:eastAsia="Zurich BT"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hAnsi="Verdana" w:eastAsia="Zurich BT"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hAnsi="Verdana" w:eastAsia="Arial"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hAnsi="Verdana" w:eastAsia="Arial" w:cs="Arial"/>
          <w:sz w:val="20"/>
          <w:szCs w:val="20"/>
        </w:rPr>
        <w:t>.</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menor preço, para que seja obtida melhor proposta, vedada a negociação em condições diferentes das previstas neste Edital.</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hAnsi="Verdana" w:eastAsia="Arial" w:cs="Arial"/>
          <w:sz w:val="20"/>
          <w:szCs w:val="20"/>
        </w:rPr>
        <w:t>negociação será realizada por meio do sistema, podendo ser acompanhada pelos demais licitantes.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hAnsi="Verdana" w:eastAsia="Arial" w:cs="Arial"/>
          <w:sz w:val="20"/>
          <w:szCs w:val="20"/>
        </w:rPr>
        <w:t xml:space="preserve">É facultado ao pregoeiro prorrogar o prazo estabelecido, a partir de solicitação fundamentada feita no chat </w:t>
      </w:r>
      <w:r>
        <w:rPr>
          <w:rFonts w:ascii="Arial" w:hAnsi="Arial" w:eastAsia="SimSun" w:cs="Arial"/>
          <w:color w:val="000000"/>
          <w:sz w:val="20"/>
          <w:szCs w:val="20"/>
          <w:shd w:val="clear" w:color="auto" w:fill="FFFFFF"/>
        </w:rPr>
        <w:t>ou também por meio do e-mail</w:t>
      </w:r>
      <w:r>
        <w:rPr>
          <w:rFonts w:ascii="Arial" w:hAnsi="Arial" w:eastAsia="SimSun" w:cs="Arial"/>
          <w:b/>
          <w:bCs/>
          <w:color w:val="000000"/>
          <w:sz w:val="20"/>
          <w:szCs w:val="20"/>
          <w:shd w:val="clear" w:color="auto" w:fill="FFFFFF"/>
        </w:rPr>
        <w:t xml:space="preserve"> </w:t>
      </w:r>
      <w:r>
        <w:fldChar w:fldCharType="begin"/>
      </w:r>
      <w:r>
        <w:instrText xml:space="preserve"> HYPERLINK "mailto:cpl@id.uff.br" </w:instrText>
      </w:r>
      <w:r>
        <w:fldChar w:fldCharType="separate"/>
      </w:r>
      <w:r>
        <w:rPr>
          <w:rStyle w:val="10"/>
          <w:rFonts w:ascii="Arial" w:hAnsi="Arial" w:eastAsia="SimSun" w:cs="Arial"/>
          <w:b/>
          <w:bCs/>
          <w:color w:val="1155CC"/>
          <w:sz w:val="20"/>
          <w:szCs w:val="20"/>
          <w:shd w:val="clear" w:color="auto" w:fill="FFFFFF"/>
        </w:rPr>
        <w:t>cpl@id.uff.b</w:t>
      </w:r>
      <w:r>
        <w:rPr>
          <w:rStyle w:val="10"/>
          <w:rFonts w:ascii="Arial" w:hAnsi="Arial" w:eastAsia="SimSun" w:cs="Arial"/>
          <w:color w:val="1155CC"/>
          <w:sz w:val="20"/>
          <w:szCs w:val="20"/>
          <w:shd w:val="clear" w:color="auto" w:fill="FFFFFF"/>
        </w:rPr>
        <w:t>r</w:t>
      </w:r>
      <w:r>
        <w:rPr>
          <w:rStyle w:val="10"/>
          <w:rFonts w:ascii="Arial" w:hAnsi="Arial" w:eastAsia="SimSun" w:cs="Arial"/>
          <w:color w:val="1155CC"/>
          <w:sz w:val="20"/>
          <w:szCs w:val="20"/>
          <w:shd w:val="clear" w:color="auto" w:fill="FFFFFF"/>
        </w:rPr>
        <w:fldChar w:fldCharType="end"/>
      </w:r>
      <w:r>
        <w:rPr>
          <w:rFonts w:ascii="SimSun" w:hAnsi="SimSun" w:eastAsia="SimSun" w:cs="SimSun"/>
        </w:rPr>
        <w:t xml:space="preserve"> </w:t>
      </w:r>
      <w:r>
        <w:rPr>
          <w:rFonts w:ascii="Verdana" w:hAnsi="Verdana" w:eastAsia="Arial" w:cs="Arial"/>
          <w:sz w:val="20"/>
          <w:szCs w:val="20"/>
        </w:rPr>
        <w:t>pelo licitante, antes de findo o prazo.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eastAsia="Arial" w:cs="Arial"/>
          <w:sz w:val="20"/>
          <w:szCs w:val="20"/>
        </w:rPr>
        <w:t>Após a negociação do preço, o Pregoeiro iniciará a fase de aceitação e julgamento da proposta.</w:t>
      </w:r>
    </w:p>
    <w:p>
      <w:pPr>
        <w:pStyle w:val="64"/>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pPr>
        <w:pStyle w:val="64"/>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pPr>
        <w:pStyle w:val="73"/>
        <w:keepNext w:val="0"/>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 xml:space="preserve"> 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pPr>
        <w:pStyle w:val="73"/>
        <w:keepNext w:val="0"/>
        <w:widowControl/>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 xml:space="preserve"> A proposta a ser encaminhada deverá ser composta e conterem:</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conforme modelo do Anexo VI;</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Valor do preço global para a execução dos serviços proposto, discriminados também por extenso.</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Prazo de validade da proposta não inferior a 90 (noventa) dias, a contar da data de abertura do certame.</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Prazo de execução dos serviços, de acordo com o previsto no Termo de Referência;</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Especificações do objeto de forma clara, observadas as especificações constantes dos anexos elaborados pela Administração;</w:t>
      </w:r>
    </w:p>
    <w:p>
      <w:pPr>
        <w:pStyle w:val="73"/>
        <w:keepNext w:val="0"/>
        <w:widowControl/>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 xml:space="preserve"> Anexo à Carta Proposta deverá apresentar os seguintes documentos, todos conforme modelos anexos a este edital:</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VIII;</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IX;</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unitários dos itens do orçamento apresentado pela UFF (Anexo III-B), que tratando-se de menor preço, os novos preços unitários propostos pela licitante, serão obrigatoriamente iguais ou inferiores aos apresentados pela UFF;</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color w:val="000000"/>
          <w:sz w:val="18"/>
          <w:szCs w:val="18"/>
        </w:rPr>
        <w:t xml:space="preserve">– Não serão admitidas alterações de especificações, unidades, quantitativos, custos unitários, valor de BDI e preços unitários utilizados pela UFF; se tal ocorrência for constatada, será motivo de desclassificação da proposta; seus valores estão bloqueados para edição no Anexo III-B. </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w:t>
      </w:r>
      <w:bookmarkStart w:id="7" w:name="_Hlk103941167"/>
      <w:r>
        <w:rPr>
          <w:rFonts w:ascii="Verdana" w:hAnsi="Verdana"/>
          <w:sz w:val="18"/>
          <w:szCs w:val="18"/>
        </w:rPr>
        <w:t>A soma dos preços totais ajustados de cada item de serviço,</w:t>
      </w:r>
      <w:bookmarkEnd w:id="7"/>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número do seu CREA/CAU e também pelo representante legal da empresa, com carimbo do CNPJ, no formato PDF:</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Não se admitirá, na proposta de preços, custos identificados mediante o uso da expressão “verba” ou de unidades genéricas.</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bookmarkStart w:id="8" w:name="_Hlk107042220"/>
      <w:r>
        <w:rPr>
          <w:rFonts w:ascii="Verdana" w:hAnsi="Verdana" w:eastAsia="Times New Roman" w:cs="Arial"/>
          <w:sz w:val="18"/>
          <w:szCs w:val="18"/>
        </w:rPr>
        <w:t xml:space="preserve">– </w:t>
      </w:r>
      <w:r>
        <w:rPr>
          <w:rFonts w:ascii="Verdana" w:hAnsi="Verdana" w:eastAsia="Times New Roman" w:cs="Arial"/>
          <w:b/>
          <w:bCs/>
          <w:sz w:val="18"/>
          <w:szCs w:val="18"/>
          <w:u w:val="single"/>
        </w:rPr>
        <w:t>Planilha Resumo do Orçamento:</w:t>
      </w:r>
      <w:r>
        <w:rPr>
          <w:rFonts w:ascii="Verdana" w:hAnsi="Verdana" w:eastAsia="Times New Roman" w:cs="Arial"/>
          <w:sz w:val="18"/>
          <w:szCs w:val="18"/>
        </w:rPr>
        <w:t xml:space="preserve"> conforme modelo da planilha do Anexo III-A, onde será demonstrado, inclusive os preços orçados pela UFF;</w:t>
      </w:r>
      <w:bookmarkEnd w:id="8"/>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As alíquotas de tributos cotadas pelo licitante não podem ser superiores aos limites estabelecidos na legislação tributária;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73"/>
        <w:keepNext w:val="0"/>
        <w:widowControl/>
        <w:numPr>
          <w:ilvl w:val="3"/>
          <w:numId w:val="6"/>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Style w:val="61"/>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 conforme modelos dos Anexos V;</w:t>
      </w:r>
    </w:p>
    <w:p>
      <w:pPr>
        <w:pStyle w:val="73"/>
        <w:keepNext w:val="0"/>
        <w:widowControl/>
        <w:numPr>
          <w:ilvl w:val="3"/>
          <w:numId w:val="6"/>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rPr>
        <w:t>A composição de encargos sociais das empresas optantes pelo Simples Nacional não poderá incluir os gastos relativos às contribuições que estão dispensadas de recolhimento, conforme dispõe o art. 13, § 3º, da referida Lei Complementar;</w:t>
      </w:r>
    </w:p>
    <w:p>
      <w:pPr>
        <w:pStyle w:val="73"/>
        <w:keepNext w:val="0"/>
        <w:widowControl/>
        <w:numPr>
          <w:ilvl w:val="1"/>
          <w:numId w:val="6"/>
        </w:numPr>
        <w:spacing w:before="120" w:after="120"/>
        <w:textAlignment w:val="auto"/>
        <w:rPr>
          <w:rStyle w:val="61"/>
          <w:rFonts w:ascii="Verdana" w:hAnsi="Verdana" w:eastAsia="Ecofont_Spranq_eco_Sans,Lohit H"/>
          <w:color w:val="auto"/>
          <w:szCs w:val="20"/>
        </w:rPr>
      </w:pPr>
      <w:r>
        <w:rPr>
          <w:rFonts w:ascii="Verdana" w:hAnsi="Verdana" w:cs="Arial"/>
          <w:szCs w:val="20"/>
        </w:rPr>
        <w:t>Para fins de análise da proposta quanto ao cumprimento das especificações do objeto, poderá ser colhida a manifestação escrita do setor requisitante do serviço ou da área especializada no objeto.</w:t>
      </w:r>
    </w:p>
    <w:p>
      <w:pPr>
        <w:pStyle w:val="73"/>
        <w:keepNext w:val="0"/>
        <w:widowControl/>
        <w:numPr>
          <w:ilvl w:val="1"/>
          <w:numId w:val="6"/>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hAnsi="Verdana" w:eastAsia="Arial" w:cs="Arial"/>
          <w:szCs w:val="20"/>
          <w:highlight w:val="yellow"/>
        </w:rPr>
        <w:t xml:space="preserve"> </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que:</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e 2º, da Lei nº 8.666, de 1993.</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pPr>
        <w:pStyle w:val="73"/>
        <w:keepNext w:val="0"/>
        <w:widowControl/>
        <w:numPr>
          <w:ilvl w:val="2"/>
          <w:numId w:val="6"/>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pPr>
        <w:pStyle w:val="73"/>
        <w:keepNext w:val="0"/>
        <w:widowControl/>
        <w:numPr>
          <w:ilvl w:val="1"/>
          <w:numId w:val="6"/>
        </w:numPr>
        <w:spacing w:before="120" w:after="120"/>
        <w:textAlignment w:val="auto"/>
        <w:rPr>
          <w:rFonts w:ascii="Verdana" w:hAnsi="Verdana" w:eastAsia="Times New Roman"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pPr>
        <w:pStyle w:val="73"/>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73"/>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SICAF;</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0"/>
          <w:rFonts w:ascii="Verdana" w:hAnsi="Verdana" w:cs="Arial"/>
          <w:sz w:val="18"/>
          <w:szCs w:val="18"/>
          <w:lang w:eastAsia="ar-SA"/>
        </w:rPr>
        <w:t>www.portaldatransparencia.gov.br/ceis</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0"/>
          <w:rFonts w:ascii="Verdana" w:hAnsi="Verdana" w:cs="Arial"/>
          <w:sz w:val="18"/>
          <w:szCs w:val="18"/>
          <w:lang w:eastAsia="ar-SA"/>
        </w:rPr>
        <w:t>www.cnj.jus.br/improbidade_adm/consultar_requerido.php</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“9.1.2”, “9.1.3” e “9.1.4” acima pela Consulta Consolidada de Pessoa Jurídica do TCU (</w:t>
      </w:r>
      <w:r>
        <w:fldChar w:fldCharType="begin"/>
      </w:r>
      <w:r>
        <w:instrText xml:space="preserve"> HYPERLINK "https://certidoesapf.apps.tcu.gov.br/" </w:instrText>
      </w:r>
      <w:r>
        <w:fldChar w:fldCharType="separate"/>
      </w:r>
      <w:r>
        <w:rPr>
          <w:rStyle w:val="10"/>
          <w:rFonts w:ascii="Verdana" w:hAnsi="Verdana" w:cs="Arial"/>
          <w:szCs w:val="20"/>
          <w:lang w:eastAsia="ar-SA"/>
        </w:rPr>
        <w:t>https://certidoesapf.apps.tcu.gov.br/</w:t>
      </w:r>
      <w:r>
        <w:rPr>
          <w:rStyle w:val="10"/>
          <w:rFonts w:ascii="Verdana" w:hAnsi="Verdana" w:cs="Arial"/>
          <w:szCs w:val="20"/>
          <w:lang w:eastAsia="ar-SA"/>
        </w:rPr>
        <w:fldChar w:fldCharType="end"/>
      </w:r>
      <w:r>
        <w:rPr>
          <w:rFonts w:ascii="Verdana" w:hAnsi="Verdana" w:cs="Arial"/>
          <w:szCs w:val="20"/>
          <w:lang w:eastAsia="ar-SA"/>
        </w:rPr>
        <w:t>).</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bookmarkStart w:id="9" w:name="_Hlk88838545"/>
      <w:r>
        <w:rPr>
          <w:rFonts w:ascii="Verdana" w:hAnsi="Verdana" w:cs="Arial"/>
          <w:b/>
          <w:szCs w:val="20"/>
        </w:rPr>
        <w:t xml:space="preserve"> HABILITAÇÃO JURÍDICA, REGULARIDADE FISCAL E QUALIFICAÇÃO ECÔNOMICA</w:t>
      </w:r>
      <w:bookmarkEnd w:id="9"/>
      <w:r>
        <w:rPr>
          <w:rFonts w:ascii="Verdana" w:hAnsi="Verdana" w:cs="Arial"/>
          <w:b/>
          <w:szCs w:val="20"/>
        </w:rPr>
        <w:t xml:space="preserve"> E FINANCEIRA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Os licitantes deverão encaminhar, nos termos deste Edital, a documentação relacionada nos itens a seguir.</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hAnsi="Verdana" w:eastAsia="Times New Roman" w:cs="Arial"/>
          <w:b/>
          <w:color w:val="000000"/>
          <w:szCs w:val="20"/>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73"/>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pPr>
        <w:pStyle w:val="73"/>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23"/>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pPr>
        <w:pStyle w:val="73"/>
        <w:numPr>
          <w:ilvl w:val="3"/>
          <w:numId w:val="6"/>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pPr>
        <w:pStyle w:val="73"/>
        <w:spacing w:before="120" w:after="120"/>
        <w:ind w:left="785" w:firstLine="0"/>
        <w:rPr>
          <w:rFonts w:ascii="Verdana" w:hAnsi="Verdana" w:cs="Arial"/>
          <w:color w:val="000000" w:themeColor="text1"/>
          <w:szCs w:val="20"/>
        </w:rPr>
      </w:pPr>
    </w:p>
    <w:p>
      <w:pPr>
        <w:pStyle w:val="73"/>
        <w:numPr>
          <w:ilvl w:val="0"/>
          <w:numId w:val="6"/>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hAnsi="Verdana" w:cs="Calibri" w:eastAsiaTheme="minorHAnsi"/>
          <w:szCs w:val="20"/>
          <w:lang w:eastAsia="en-US"/>
        </w:rPr>
        <w:t>Os critérios de qualificação técnica a serem atendidos pela Licitante, estão previstos no subitem 19.3 do Termo de Referência (Anexo I).</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pPr>
        <w:pStyle w:val="73"/>
        <w:keepNext w:val="0"/>
        <w:widowControl/>
        <w:spacing w:before="120" w:after="120"/>
        <w:ind w:left="360" w:firstLine="0"/>
        <w:textAlignment w:val="auto"/>
        <w:rPr>
          <w:rFonts w:ascii="Verdana" w:hAnsi="Verdana" w:cs="Arial"/>
          <w:b/>
          <w:bCs/>
          <w:szCs w:val="20"/>
          <w:lang w:eastAsia="ar-SA"/>
        </w:rPr>
      </w:pPr>
    </w:p>
    <w:p>
      <w:pPr>
        <w:pStyle w:val="73"/>
        <w:keepNext w:val="0"/>
        <w:widowControl/>
        <w:numPr>
          <w:ilvl w:val="0"/>
          <w:numId w:val="6"/>
        </w:numPr>
        <w:spacing w:before="120" w:after="120"/>
        <w:textAlignment w:val="auto"/>
        <w:rPr>
          <w:rFonts w:ascii="Verdana" w:hAnsi="Verdana" w:cs="Arial"/>
          <w:b/>
          <w:bCs/>
          <w:szCs w:val="20"/>
          <w:lang w:eastAsia="ar-SA"/>
        </w:rPr>
      </w:pPr>
      <w:r>
        <w:rPr>
          <w:rFonts w:ascii="Verdana" w:hAnsi="Verdana"/>
          <w:b/>
          <w:bCs/>
          <w:color w:val="000000"/>
        </w:rPr>
        <w:t>DA DOCUMENTAÇÃO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A desclassificação da licitante sem que lhe seja conferida a oportunidade para sanear os seus documentos de habilitação e/ou proposta, resulta em objetivo dissociado do interesse público (Acordão n.º 1211/2021 – Plenário do TCU).</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VII) ou a declaração de não vistoria (Anexo VIII);</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IX do edital;</w:t>
      </w:r>
    </w:p>
    <w:p>
      <w:pPr>
        <w:pStyle w:val="73"/>
        <w:keepNext w:val="0"/>
        <w:widowControl/>
        <w:numPr>
          <w:ilvl w:val="2"/>
          <w:numId w:val="6"/>
        </w:numPr>
        <w:spacing w:before="120" w:after="120"/>
        <w:textAlignment w:val="auto"/>
        <w:rPr>
          <w:rFonts w:ascii="Verdana" w:hAnsi="Verdana" w:cs="Arial"/>
          <w:sz w:val="18"/>
          <w:szCs w:val="18"/>
          <w:lang w:eastAsia="ar-SA"/>
        </w:rPr>
      </w:pPr>
      <w:bookmarkStart w:id="10" w:name="_Hlk103942059"/>
      <w:r>
        <w:rPr>
          <w:rFonts w:ascii="Verdana" w:hAnsi="Verdana" w:cs="Arial"/>
          <w:sz w:val="18"/>
          <w:szCs w:val="18"/>
        </w:rPr>
        <w:t>apresentar a planilha de orçamento de preços, devidamente ajustada ao lance vencedor, em conformidade com o modelo anexo III-B a este instrumento convocatório, juntamente com a planilha Resumo (Anexo III-A) e o cronograma físico financeiro (Anexo III-C) correspondente;</w:t>
      </w:r>
      <w:bookmarkEnd w:id="10"/>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lance vencedor, para se obter o valor monetário global proposto;</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e </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 encargos sociais, em conformidade também com o Anexo V deste edital; </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pPr>
        <w:pStyle w:val="73"/>
        <w:keepNext w:val="0"/>
        <w:widowControl/>
        <w:numPr>
          <w:ilvl w:val="1"/>
          <w:numId w:val="6"/>
        </w:numPr>
        <w:spacing w:before="120" w:after="120"/>
        <w:textAlignment w:val="auto"/>
        <w:rPr>
          <w:rFonts w:ascii="Verdana" w:hAnsi="Verdana" w:cs="Arial"/>
          <w:szCs w:val="20"/>
          <w:lang w:eastAsia="ar-SA"/>
        </w:rPr>
      </w:pPr>
      <w:bookmarkStart w:id="11" w:name="_Hlk103942371"/>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bookmarkEnd w:id="11"/>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pPr>
        <w:pStyle w:val="64"/>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pPr>
        <w:pStyle w:val="64"/>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8"/>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pPr>
        <w:pStyle w:val="73"/>
        <w:keepNext w:val="0"/>
        <w:widowControl/>
        <w:numPr>
          <w:ilvl w:val="1"/>
          <w:numId w:val="8"/>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pPr>
        <w:pStyle w:val="73"/>
        <w:keepNext w:val="0"/>
        <w:widowControl/>
        <w:numPr>
          <w:ilvl w:val="1"/>
          <w:numId w:val="8"/>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pPr>
        <w:pStyle w:val="73"/>
        <w:keepNext w:val="0"/>
        <w:widowControl/>
        <w:numPr>
          <w:ilvl w:val="1"/>
          <w:numId w:val="8"/>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73"/>
        <w:keepNext w:val="0"/>
        <w:widowControl/>
        <w:numPr>
          <w:ilvl w:val="1"/>
          <w:numId w:val="8"/>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pPr>
        <w:pStyle w:val="73"/>
        <w:keepNext w:val="0"/>
        <w:widowControl/>
        <w:numPr>
          <w:ilvl w:val="1"/>
          <w:numId w:val="8"/>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pPr>
        <w:pStyle w:val="73"/>
        <w:keepNext w:val="0"/>
        <w:widowControl/>
        <w:spacing w:before="120" w:after="120"/>
        <w:ind w:left="425" w:firstLine="0"/>
        <w:rPr>
          <w:rFonts w:ascii="Verdana" w:hAnsi="Verdana" w:cs="Arial"/>
          <w:szCs w:val="20"/>
        </w:rPr>
      </w:pPr>
    </w:p>
    <w:p>
      <w:pPr>
        <w:pStyle w:val="73"/>
        <w:keepNext w:val="0"/>
        <w:widowControl/>
        <w:numPr>
          <w:ilvl w:val="0"/>
          <w:numId w:val="8"/>
        </w:numPr>
        <w:spacing w:before="120" w:after="120"/>
        <w:rPr>
          <w:rFonts w:ascii="Verdana" w:hAnsi="Verdana" w:cs="Arial"/>
          <w:b/>
          <w:szCs w:val="20"/>
        </w:rPr>
      </w:pPr>
      <w:r>
        <w:rPr>
          <w:rFonts w:ascii="Verdana" w:hAnsi="Verdana" w:cs="Arial"/>
          <w:b/>
          <w:szCs w:val="20"/>
        </w:rPr>
        <w:t>DA REABERTURA DA SESSÃO PÚBLICA</w:t>
      </w:r>
    </w:p>
    <w:p>
      <w:pPr>
        <w:pStyle w:val="73"/>
        <w:keepNext w:val="0"/>
        <w:widowControl/>
        <w:numPr>
          <w:ilvl w:val="1"/>
          <w:numId w:val="8"/>
        </w:numPr>
        <w:spacing w:before="120" w:after="120"/>
        <w:ind w:left="851" w:hanging="425"/>
        <w:rPr>
          <w:rFonts w:ascii="Verdana" w:hAnsi="Verdana" w:cs="Arial"/>
          <w:szCs w:val="20"/>
        </w:rPr>
      </w:pPr>
      <w:r>
        <w:rPr>
          <w:rFonts w:ascii="Verdana" w:hAnsi="Verdana" w:cs="Arial"/>
          <w:szCs w:val="20"/>
        </w:rPr>
        <w:t>A sessão pública poderá ser reaberta:</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73"/>
        <w:keepNext w:val="0"/>
        <w:widowControl/>
        <w:numPr>
          <w:ilvl w:val="2"/>
          <w:numId w:val="8"/>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pPr>
        <w:pStyle w:val="73"/>
        <w:keepNext w:val="0"/>
        <w:widowControl/>
        <w:numPr>
          <w:ilvl w:val="1"/>
          <w:numId w:val="8"/>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pPr>
        <w:pStyle w:val="73"/>
        <w:keepNext w:val="0"/>
        <w:ind w:left="567" w:firstLine="0"/>
        <w:rPr>
          <w:rFonts w:ascii="Verdana" w:hAnsi="Verdana" w:cs="Arial"/>
          <w:szCs w:val="20"/>
        </w:rPr>
      </w:pPr>
    </w:p>
    <w:p>
      <w:pPr>
        <w:pStyle w:val="73"/>
        <w:keepNext w:val="0"/>
        <w:widowControl/>
        <w:numPr>
          <w:ilvl w:val="0"/>
          <w:numId w:val="8"/>
        </w:numPr>
        <w:spacing w:before="120" w:after="120"/>
        <w:rPr>
          <w:rFonts w:ascii="Verdana" w:hAnsi="Verdana" w:cs="Arial"/>
          <w:szCs w:val="20"/>
        </w:rPr>
      </w:pPr>
      <w:r>
        <w:rPr>
          <w:rFonts w:ascii="Verdana" w:hAnsi="Verdana" w:cs="Arial"/>
          <w:b/>
          <w:color w:val="000000"/>
          <w:szCs w:val="20"/>
        </w:rPr>
        <w:t>DA ADJUDICAÇÃO E HOMOLOGAÇÃO</w:t>
      </w:r>
    </w:p>
    <w:p>
      <w:pPr>
        <w:pStyle w:val="73"/>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pPr>
        <w:pStyle w:val="73"/>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pPr>
        <w:pStyle w:val="73"/>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pPr>
        <w:pStyle w:val="73"/>
        <w:keepNext w:val="0"/>
        <w:widowControl/>
        <w:numPr>
          <w:ilvl w:val="0"/>
          <w:numId w:val="8"/>
        </w:numPr>
        <w:spacing w:before="120" w:after="120"/>
        <w:rPr>
          <w:rFonts w:ascii="Verdana" w:hAnsi="Verdana" w:cs="Arial"/>
          <w:szCs w:val="20"/>
        </w:rPr>
      </w:pPr>
      <w:r>
        <w:rPr>
          <w:rFonts w:ascii="Verdana" w:hAnsi="Verdana" w:cs="Arial"/>
          <w:b/>
          <w:szCs w:val="20"/>
        </w:rPr>
        <w:t>DA GARANTIA DE EXECUÇÃO</w:t>
      </w:r>
    </w:p>
    <w:p>
      <w:pPr>
        <w:pStyle w:val="64"/>
        <w:keepNext w:val="0"/>
        <w:numPr>
          <w:ilvl w:val="0"/>
          <w:numId w:val="9"/>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pPr>
        <w:pStyle w:val="73"/>
        <w:keepNext w:val="0"/>
        <w:ind w:firstLine="0"/>
        <w:rPr>
          <w:rFonts w:ascii="Verdana" w:hAnsi="Verdana" w:cs="Arial"/>
          <w:bCs/>
          <w:iCs/>
          <w:color w:val="000000"/>
          <w:szCs w:val="20"/>
        </w:rPr>
      </w:pPr>
    </w:p>
    <w:p>
      <w:pPr>
        <w:pStyle w:val="64"/>
        <w:keepNext w:val="0"/>
        <w:numPr>
          <w:ilvl w:val="0"/>
          <w:numId w:val="10"/>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0"/>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0"/>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73"/>
        <w:keepNext w:val="0"/>
        <w:widowControl/>
        <w:numPr>
          <w:ilvl w:val="0"/>
          <w:numId w:val="10"/>
        </w:numPr>
        <w:spacing w:before="120" w:after="120"/>
        <w:rPr>
          <w:rFonts w:ascii="Verdana" w:hAnsi="Verdana" w:cs="Arial"/>
          <w:szCs w:val="20"/>
        </w:rPr>
      </w:pPr>
      <w:r>
        <w:rPr>
          <w:rFonts w:ascii="Verdana" w:hAnsi="Verdana" w:cs="Arial"/>
          <w:b/>
          <w:color w:val="000000"/>
          <w:szCs w:val="20"/>
        </w:rPr>
        <w:t>DO TERMO DE CONTRATO OU INSTRUMENTO EQUIVALENTE</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hAnsi="Verdana" w:eastAsia="Arial" w:cs="Arial"/>
          <w:szCs w:val="20"/>
        </w:rPr>
        <w:t xml:space="preserve"> </w:t>
      </w:r>
      <w:r>
        <w:rPr>
          <w:rFonts w:ascii="Verdana" w:hAnsi="Verdana" w:cs="Arial"/>
          <w:szCs w:val="20"/>
        </w:rPr>
        <w:t>será firmado o Termo de Contrato com a empresa licitante vencedora.</w:t>
      </w:r>
    </w:p>
    <w:p>
      <w:pPr>
        <w:keepNext w:val="0"/>
        <w:numPr>
          <w:ilvl w:val="1"/>
          <w:numId w:val="10"/>
        </w:numPr>
        <w:shd w:val="clear" w:color="auto" w:fill="auto"/>
        <w:tabs>
          <w:tab w:val="left" w:pos="1440"/>
          <w:tab w:val="clear" w:pos="708"/>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pPr>
        <w:keepNext w:val="0"/>
        <w:numPr>
          <w:ilvl w:val="2"/>
          <w:numId w:val="10"/>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pPr>
        <w:keepNext w:val="0"/>
        <w:numPr>
          <w:ilvl w:val="2"/>
          <w:numId w:val="10"/>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pPr>
        <w:keepNext w:val="0"/>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pPr>
        <w:keepNext w:val="0"/>
        <w:numPr>
          <w:ilvl w:val="1"/>
          <w:numId w:val="10"/>
        </w:numPr>
        <w:shd w:val="clear" w:color="auto" w:fill="auto"/>
        <w:tabs>
          <w:tab w:val="left" w:pos="1440"/>
          <w:tab w:val="clear" w:pos="708"/>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pPr>
        <w:keepNext w:val="0"/>
        <w:numPr>
          <w:ilvl w:val="2"/>
          <w:numId w:val="10"/>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pPr>
        <w:keepNext w:val="0"/>
        <w:numPr>
          <w:ilvl w:val="2"/>
          <w:numId w:val="10"/>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pPr>
        <w:keepNext w:val="0"/>
        <w:numPr>
          <w:ilvl w:val="2"/>
          <w:numId w:val="10"/>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pPr>
        <w:pStyle w:val="94"/>
        <w:numPr>
          <w:ilvl w:val="1"/>
          <w:numId w:val="10"/>
        </w:numPr>
        <w:spacing w:before="120" w:after="120"/>
        <w:ind w:left="851" w:hanging="425"/>
        <w:jc w:val="both"/>
        <w:rPr>
          <w:rFonts w:ascii="Verdana" w:hAnsi="Verdana" w:cs="Arial"/>
          <w:iCs/>
          <w:sz w:val="18"/>
          <w:szCs w:val="18"/>
        </w:rPr>
      </w:pPr>
      <w:r>
        <w:rPr>
          <w:rFonts w:ascii="Verdana" w:hAnsi="Verdana" w:eastAsia="Arial" w:cs="Arial"/>
          <w:color w:val="000000"/>
          <w:sz w:val="20"/>
          <w:szCs w:val="20"/>
        </w:rPr>
        <w:t>O prazo de vigência da contratação será superior ao de execução dos serviços, que no caso é de 07 (sete) meses.</w:t>
      </w:r>
    </w:p>
    <w:p>
      <w:pPr>
        <w:pStyle w:val="94"/>
        <w:numPr>
          <w:ilvl w:val="1"/>
          <w:numId w:val="10"/>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pPr>
        <w:pStyle w:val="94"/>
        <w:numPr>
          <w:ilvl w:val="2"/>
          <w:numId w:val="10"/>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pPr>
        <w:pStyle w:val="94"/>
        <w:numPr>
          <w:ilvl w:val="2"/>
          <w:numId w:val="10"/>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pPr>
        <w:pStyle w:val="94"/>
        <w:ind w:left="1134"/>
        <w:jc w:val="both"/>
        <w:rPr>
          <w:rFonts w:ascii="Verdana" w:hAnsi="Verdana" w:cs="Arial"/>
          <w:iCs/>
          <w:sz w:val="20"/>
          <w:szCs w:val="20"/>
        </w:rPr>
      </w:pPr>
    </w:p>
    <w:p>
      <w:pPr>
        <w:pStyle w:val="94"/>
        <w:numPr>
          <w:ilvl w:val="1"/>
          <w:numId w:val="10"/>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pPr>
        <w:pStyle w:val="94"/>
        <w:ind w:left="1134"/>
        <w:jc w:val="both"/>
        <w:rPr>
          <w:rFonts w:ascii="Verdana" w:hAnsi="Verdana" w:cs="Arial"/>
          <w:iCs/>
          <w:sz w:val="20"/>
          <w:szCs w:val="20"/>
        </w:rPr>
      </w:pPr>
    </w:p>
    <w:p>
      <w:pPr>
        <w:pStyle w:val="64"/>
        <w:keepNext w:val="0"/>
        <w:numPr>
          <w:ilvl w:val="1"/>
          <w:numId w:val="10"/>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hAnsi="Verdana" w:eastAsia="Arial" w:cs="Arial"/>
          <w:color w:val="000000"/>
          <w:sz w:val="20"/>
          <w:szCs w:val="20"/>
        </w:rPr>
        <w:t>.</w:t>
      </w:r>
    </w:p>
    <w:p>
      <w:pPr>
        <w:pStyle w:val="73"/>
        <w:keepNext w:val="0"/>
        <w:ind w:left="567" w:firstLine="0"/>
        <w:rPr>
          <w:rFonts w:ascii="Verdana" w:hAnsi="Verdana" w:cs="Arial"/>
          <w:szCs w:val="20"/>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73"/>
        <w:keepNext w:val="0"/>
        <w:numPr>
          <w:ilvl w:val="0"/>
          <w:numId w:val="11"/>
        </w:numPr>
        <w:rPr>
          <w:rFonts w:ascii="Verdana" w:hAnsi="Verdana" w:cs="Arial"/>
          <w:szCs w:val="20"/>
        </w:rPr>
      </w:pPr>
      <w:r>
        <w:rPr>
          <w:rFonts w:ascii="Verdana" w:hAnsi="Verdana" w:cs="Arial"/>
          <w:b/>
          <w:color w:val="000000"/>
          <w:szCs w:val="20"/>
        </w:rPr>
        <w:t>DO REAJUSTAMENTO EM SENTIDO GERAL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pPr>
        <w:pStyle w:val="102"/>
        <w:numPr>
          <w:ilvl w:val="0"/>
          <w:numId w:val="11"/>
        </w:numPr>
        <w:rPr>
          <w:rFonts w:ascii="Verdana" w:hAnsi="Verdana" w:cs="Arial"/>
          <w:sz w:val="20"/>
          <w:szCs w:val="20"/>
        </w:rPr>
      </w:pPr>
      <w:r>
        <w:rPr>
          <w:rFonts w:ascii="Verdana" w:hAnsi="Verdana" w:cs="Arial"/>
          <w:sz w:val="20"/>
          <w:szCs w:val="20"/>
        </w:rPr>
        <w:t>DA ACEITAÇÃO DO OBJETO E DA FISCALIZAÇÃO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pPr>
        <w:pStyle w:val="73"/>
        <w:keepNext w:val="0"/>
        <w:ind w:left="567" w:firstLine="0"/>
        <w:rPr>
          <w:rFonts w:ascii="Verdana" w:hAnsi="Verdana" w:cs="Arial"/>
          <w:szCs w:val="20"/>
        </w:rPr>
      </w:pPr>
    </w:p>
    <w:p>
      <w:pPr>
        <w:pStyle w:val="73"/>
        <w:keepNext w:val="0"/>
        <w:numPr>
          <w:ilvl w:val="0"/>
          <w:numId w:val="11"/>
        </w:numPr>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pPr>
        <w:pStyle w:val="73"/>
        <w:keepNext w:val="0"/>
        <w:ind w:left="567" w:firstLine="0"/>
        <w:rPr>
          <w:rFonts w:ascii="Verdana" w:hAnsi="Verdana" w:cs="Arial"/>
          <w:szCs w:val="20"/>
        </w:rPr>
      </w:pPr>
    </w:p>
    <w:p>
      <w:pPr>
        <w:pStyle w:val="73"/>
        <w:keepNext w:val="0"/>
        <w:numPr>
          <w:ilvl w:val="0"/>
          <w:numId w:val="11"/>
        </w:numPr>
        <w:rPr>
          <w:rFonts w:ascii="Verdana" w:hAnsi="Verdana" w:cs="Arial"/>
          <w:szCs w:val="20"/>
        </w:rPr>
      </w:pPr>
      <w:r>
        <w:rPr>
          <w:rFonts w:ascii="Verdana" w:hAnsi="Verdana" w:cs="Arial"/>
          <w:b/>
          <w:color w:val="000000"/>
          <w:szCs w:val="20"/>
        </w:rPr>
        <w:t>DO PAGAMENTO</w:t>
      </w:r>
    </w:p>
    <w:p>
      <w:pPr>
        <w:pStyle w:val="73"/>
        <w:keepNext w:val="0"/>
        <w:widowControl/>
        <w:numPr>
          <w:ilvl w:val="1"/>
          <w:numId w:val="11"/>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hAnsi="Verdana" w:eastAsia="Arial" w:cs="Arial"/>
          <w:color w:val="000000"/>
          <w:szCs w:val="20"/>
        </w:rPr>
        <w:t xml:space="preserve"> acerca</w:t>
      </w:r>
      <w:r>
        <w:rPr>
          <w:rFonts w:ascii="Verdana" w:hAnsi="Verdana" w:cs="Arial"/>
          <w:color w:val="000000"/>
          <w:szCs w:val="20"/>
        </w:rPr>
        <w:t xml:space="preserve"> do pagamento são as estabelecidas no Termo de Referência, anexo a este Edital.</w:t>
      </w:r>
    </w:p>
    <w:p>
      <w:pPr>
        <w:pStyle w:val="73"/>
        <w:keepNext w:val="0"/>
        <w:widowControl/>
        <w:numPr>
          <w:ilvl w:val="1"/>
          <w:numId w:val="11"/>
        </w:numPr>
        <w:shd w:val="clear" w:color="auto" w:fill="auto"/>
        <w:spacing w:before="120" w:after="120"/>
        <w:ind w:left="851" w:hanging="426"/>
        <w:textAlignment w:val="auto"/>
        <w:rPr>
          <w:rFonts w:ascii="Verdana" w:hAnsi="Verdana" w:cs="Arial"/>
          <w:szCs w:val="20"/>
        </w:rPr>
      </w:pPr>
      <w:r>
        <w:rPr>
          <w:rStyle w:val="61"/>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pPr>
        <w:pStyle w:val="73"/>
        <w:keepNext w:val="0"/>
        <w:ind w:left="660" w:firstLine="0"/>
        <w:rPr>
          <w:rFonts w:ascii="Verdana" w:hAnsi="Verdana" w:cs="Arial"/>
          <w:szCs w:val="20"/>
        </w:rPr>
      </w:pPr>
    </w:p>
    <w:p>
      <w:pPr>
        <w:pStyle w:val="73"/>
        <w:keepNext w:val="0"/>
        <w:numPr>
          <w:ilvl w:val="0"/>
          <w:numId w:val="11"/>
        </w:numPr>
        <w:rPr>
          <w:rFonts w:ascii="Verdana" w:hAnsi="Verdana" w:cs="Arial"/>
          <w:szCs w:val="20"/>
        </w:rPr>
      </w:pPr>
      <w:r>
        <w:rPr>
          <w:rFonts w:ascii="Verdana" w:hAnsi="Verdana" w:cs="Arial"/>
          <w:b/>
          <w:color w:val="000000"/>
          <w:szCs w:val="20"/>
        </w:rPr>
        <w:t>DAS SANÇÕES ADMINISTRATIVAS DURANTE A LICITAÇÃO.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pPr>
        <w:pStyle w:val="64"/>
        <w:numPr>
          <w:ilvl w:val="2"/>
          <w:numId w:val="11"/>
        </w:numPr>
        <w:ind w:left="1134" w:hanging="567"/>
        <w:rPr>
          <w:rFonts w:ascii="Verdana" w:hAnsi="Verdana" w:eastAsia="WenQuanYi Micro Hei" w:cs="Arial"/>
          <w:color w:val="auto"/>
          <w:sz w:val="18"/>
          <w:szCs w:val="18"/>
          <w:lang w:eastAsia="zh-CN" w:bidi="hi-IN"/>
        </w:rPr>
      </w:pPr>
      <w:r>
        <w:rPr>
          <w:rFonts w:ascii="Verdana" w:hAnsi="Verdana" w:eastAsia="WenQuanYi Micro Hei" w:cs="Arial"/>
          <w:color w:val="auto"/>
          <w:sz w:val="18"/>
          <w:szCs w:val="18"/>
          <w:lang w:eastAsia="zh-CN" w:bidi="hi-IN"/>
        </w:rPr>
        <w:t>não assinar a ata de registro de preços, quando cabível;</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hAnsi="Verdana" w:eastAsia="Times New Roman" w:cs="Arial"/>
          <w:sz w:val="18"/>
          <w:szCs w:val="18"/>
          <w:shd w:val="clear" w:color="auto" w:fill="FFFFFF"/>
        </w:rPr>
        <w:t>;</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hAnsi="Verdana" w:eastAsia="Times New Roman" w:cs="Arial"/>
          <w:sz w:val="18"/>
          <w:szCs w:val="18"/>
          <w:shd w:val="clear" w:color="auto" w:fill="FFFFFF"/>
        </w:rPr>
        <w:t>;</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hAnsi="Verdana" w:eastAsia="Times New Roman" w:cs="Arial"/>
          <w:sz w:val="18"/>
          <w:szCs w:val="18"/>
          <w:shd w:val="clear" w:color="auto" w:fill="FFFFFF"/>
        </w:rPr>
        <w:t>;</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pPr>
        <w:pStyle w:val="73"/>
        <w:keepNext w:val="0"/>
        <w:widowControl/>
        <w:numPr>
          <w:ilvl w:val="2"/>
          <w:numId w:val="11"/>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pPr>
        <w:pStyle w:val="73"/>
        <w:keepNext w:val="0"/>
        <w:widowControl/>
        <w:spacing w:before="120" w:after="120"/>
        <w:ind w:left="660" w:firstLine="0"/>
        <w:rPr>
          <w:rFonts w:ascii="Verdana" w:hAnsi="Verdana" w:cs="Arial"/>
          <w:szCs w:val="20"/>
        </w:rPr>
      </w:pPr>
    </w:p>
    <w:p>
      <w:pPr>
        <w:pStyle w:val="73"/>
        <w:keepNext w:val="0"/>
        <w:widowControl/>
        <w:numPr>
          <w:ilvl w:val="0"/>
          <w:numId w:val="11"/>
        </w:numPr>
        <w:spacing w:before="120" w:after="120"/>
        <w:ind w:left="567" w:hanging="567"/>
        <w:rPr>
          <w:rFonts w:ascii="Verdana" w:hAnsi="Verdana" w:cs="Arial"/>
          <w:szCs w:val="20"/>
        </w:rPr>
      </w:pPr>
      <w:r>
        <w:rPr>
          <w:rFonts w:ascii="Verdana" w:hAnsi="Verdana" w:cs="Arial"/>
          <w:b/>
          <w:color w:val="000000"/>
          <w:szCs w:val="20"/>
        </w:rPr>
        <w:t xml:space="preserve"> DA IMPUGNAÇÃO AO EDITAL E DO PEDIDO DE ESCLARECIMENTO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r>
        <w:rPr>
          <w:rFonts w:ascii="Verdana" w:hAnsi="Verdana" w:eastAsia="Times New Roman" w:cs="Arial"/>
          <w:szCs w:val="20"/>
        </w:rPr>
        <w:t>cpl@id.uff.br,</w:t>
      </w:r>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pPr>
        <w:pStyle w:val="64"/>
        <w:keepNext w:val="0"/>
        <w:numPr>
          <w:ilvl w:val="1"/>
          <w:numId w:val="11"/>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pPr>
        <w:pStyle w:val="64"/>
        <w:keepNext w:val="0"/>
        <w:numPr>
          <w:ilvl w:val="2"/>
          <w:numId w:val="11"/>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pPr>
        <w:pStyle w:val="73"/>
        <w:keepNext w:val="0"/>
        <w:widowControl/>
        <w:spacing w:before="120" w:after="120"/>
        <w:ind w:left="425" w:firstLine="0"/>
        <w:rPr>
          <w:rFonts w:ascii="Verdana" w:hAnsi="Verdana" w:cs="Arial"/>
          <w:b/>
          <w:szCs w:val="20"/>
        </w:rPr>
      </w:pPr>
    </w:p>
    <w:p>
      <w:pPr>
        <w:pStyle w:val="73"/>
        <w:keepNext w:val="0"/>
        <w:widowControl/>
        <w:numPr>
          <w:ilvl w:val="0"/>
          <w:numId w:val="11"/>
        </w:numPr>
        <w:spacing w:before="120" w:after="120"/>
        <w:ind w:left="426" w:hanging="426"/>
        <w:rPr>
          <w:rFonts w:ascii="Verdana" w:hAnsi="Verdana" w:cs="Arial"/>
          <w:b/>
          <w:szCs w:val="20"/>
        </w:rPr>
      </w:pPr>
      <w:r>
        <w:rPr>
          <w:rFonts w:ascii="Verdana" w:hAnsi="Verdana" w:cs="Arial"/>
          <w:b/>
          <w:color w:val="000000"/>
          <w:szCs w:val="20"/>
        </w:rPr>
        <w:t>DAS DISPOSIÇÕES GERAIS</w:t>
      </w:r>
    </w:p>
    <w:p>
      <w:pPr>
        <w:pStyle w:val="94"/>
        <w:numPr>
          <w:ilvl w:val="1"/>
          <w:numId w:val="11"/>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 Edital está disponibilizado, na íntegra, no endereço eletrônico </w:t>
      </w:r>
      <w:r>
        <w:rPr>
          <w:rFonts w:ascii="Verdana" w:hAnsi="Verdana" w:cs="Arial"/>
          <w:szCs w:val="20"/>
        </w:rPr>
        <w:t>comprasgovernamentais.gov.br</w:t>
      </w:r>
      <w:r>
        <w:rPr>
          <w:rFonts w:ascii="Verdana" w:hAnsi="Verdana" w:cs="Arial"/>
          <w:color w:val="000000"/>
          <w:szCs w:val="20"/>
        </w:rPr>
        <w:t>, e</w:t>
      </w:r>
      <w:r>
        <w:rPr>
          <w:rFonts w:ascii="Verdana" w:hAnsi="Verdana" w:cs="Arial"/>
          <w:szCs w:val="20"/>
        </w:rPr>
        <w:t xml:space="preserve"> poderão ser lidos e/ou obtidos no endereço </w:t>
      </w:r>
      <w:r>
        <w:rPr>
          <w:rFonts w:ascii="Verdana" w:hAnsi="Verdana" w:eastAsia="Times New Roman" w:cs="Arial"/>
          <w:szCs w:val="20"/>
        </w:rPr>
        <w:t>Rua Miguel de Frias n.º 09, 1º andar, sala da Coordenação de Licitação, Niterói-RJ</w:t>
      </w:r>
      <w:r>
        <w:rPr>
          <w:rFonts w:ascii="Verdana" w:hAnsi="Verdana" w:cs="Arial"/>
          <w:szCs w:val="20"/>
        </w:rPr>
        <w:t>, nos dias úteis, no horário</w:t>
      </w:r>
      <w:r>
        <w:rPr>
          <w:rFonts w:ascii="Verdana" w:hAnsi="Verdana" w:cs="Arial"/>
          <w:color w:val="000000"/>
          <w:szCs w:val="20"/>
        </w:rPr>
        <w:t xml:space="preserve"> das 09:00 horas às 17:00 horas, mesmo endereço e período no qual os autos do processo administrativo permanecerão com vista franqueada aos interessados.</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 – Termo de Referência;</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II – Memorial Descritivo;</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 xml:space="preserve">Anexo III-A – Planilha Resumo do Orçamento; </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III-B - Planilha de Orçamento;</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III-C – Cronograma Físico e Financeiro;</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IV - Modelo de planilha de Composição de BDI;</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V – Modelo de planilha de Composição de Encargos Sociais;</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VI – Modelo da Carta de Apresentação da Proposta;</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VII – Modelo de Declaração de Vistoria;</w:t>
      </w:r>
    </w:p>
    <w:p>
      <w:pPr>
        <w:pStyle w:val="73"/>
        <w:keepNext w:val="0"/>
        <w:numPr>
          <w:ilvl w:val="2"/>
          <w:numId w:val="11"/>
        </w:numPr>
        <w:ind w:left="1560" w:hanging="993"/>
        <w:rPr>
          <w:rFonts w:ascii="Verdana" w:hAnsi="Verdana" w:cs="Arial"/>
          <w:sz w:val="18"/>
          <w:szCs w:val="18"/>
        </w:rPr>
      </w:pPr>
      <w:r>
        <w:rPr>
          <w:rFonts w:ascii="Verdana" w:hAnsi="Verdana" w:cs="Arial"/>
          <w:color w:val="000000"/>
          <w:sz w:val="18"/>
          <w:szCs w:val="18"/>
        </w:rPr>
        <w:t>Anexo VIII – Modelo de Declaração de não realização de Vistoria;</w:t>
      </w:r>
    </w:p>
    <w:p>
      <w:pPr>
        <w:pStyle w:val="73"/>
        <w:keepNext w:val="0"/>
        <w:numPr>
          <w:ilvl w:val="2"/>
          <w:numId w:val="11"/>
        </w:numPr>
        <w:ind w:left="1560" w:hanging="993"/>
        <w:rPr>
          <w:rFonts w:ascii="Verdana" w:hAnsi="Verdana" w:cs="Arial"/>
          <w:sz w:val="18"/>
          <w:szCs w:val="18"/>
        </w:rPr>
      </w:pPr>
      <w:r>
        <w:rPr>
          <w:rFonts w:ascii="Verdana" w:hAnsi="Verdana" w:cs="Arial"/>
          <w:color w:val="000000"/>
          <w:sz w:val="18"/>
          <w:szCs w:val="18"/>
        </w:rPr>
        <w:t>Anexo IX - Modelo de Declaração de Responsabilidade;</w:t>
      </w:r>
    </w:p>
    <w:p>
      <w:pPr>
        <w:pStyle w:val="73"/>
        <w:keepNext w:val="0"/>
        <w:numPr>
          <w:ilvl w:val="2"/>
          <w:numId w:val="11"/>
        </w:numPr>
        <w:ind w:left="1560" w:hanging="993"/>
        <w:rPr>
          <w:rFonts w:ascii="Verdana" w:hAnsi="Verdana" w:cs="Arial"/>
          <w:sz w:val="18"/>
          <w:szCs w:val="18"/>
        </w:rPr>
      </w:pPr>
      <w:r>
        <w:rPr>
          <w:rFonts w:ascii="Verdana" w:hAnsi="Verdana" w:cs="Arial"/>
          <w:color w:val="000000"/>
          <w:sz w:val="18"/>
          <w:szCs w:val="18"/>
        </w:rPr>
        <w:t>Anexo X - Minuta de Termo de Contrato; e</w:t>
      </w:r>
    </w:p>
    <w:p>
      <w:pPr>
        <w:pStyle w:val="73"/>
        <w:keepNext w:val="0"/>
        <w:numPr>
          <w:ilvl w:val="2"/>
          <w:numId w:val="11"/>
        </w:numPr>
        <w:ind w:left="1560" w:hanging="993"/>
        <w:rPr>
          <w:rFonts w:ascii="Verdana" w:hAnsi="Verdana" w:cs="Arial"/>
          <w:sz w:val="18"/>
          <w:szCs w:val="18"/>
        </w:rPr>
      </w:pPr>
      <w:r>
        <w:rPr>
          <w:rFonts w:ascii="Verdana" w:hAnsi="Verdana" w:cs="Arial"/>
          <w:color w:val="000000"/>
          <w:sz w:val="18"/>
          <w:szCs w:val="18"/>
        </w:rPr>
        <w:t>Anexo XI – Projetos executivos</w:t>
      </w:r>
      <w:r>
        <w:rPr>
          <w:rFonts w:hint="default" w:ascii="Verdana" w:hAnsi="Verdana" w:cs="Arial"/>
          <w:color w:val="000000"/>
          <w:sz w:val="18"/>
          <w:szCs w:val="18"/>
          <w:lang w:val="pt-BR"/>
        </w:rPr>
        <w:t xml:space="preserve"> </w:t>
      </w:r>
      <w:r>
        <w:rPr>
          <w:rFonts w:ascii="Verdana" w:hAnsi="Verdana" w:cs="Arial"/>
          <w:color w:val="000000"/>
          <w:sz w:val="18"/>
          <w:szCs w:val="18"/>
        </w:rPr>
        <w:t>(11 arquivos)</w:t>
      </w:r>
      <w:r>
        <w:rPr>
          <w:rFonts w:hint="default" w:ascii="Verdana" w:hAnsi="Verdana" w:cs="Arial"/>
          <w:color w:val="000000"/>
          <w:sz w:val="18"/>
          <w:szCs w:val="18"/>
          <w:lang w:val="pt-BR"/>
        </w:rPr>
        <w:t xml:space="preserve"> - </w:t>
      </w:r>
      <w:r>
        <w:rPr>
          <w:rFonts w:hint="default" w:ascii="Verdana" w:hAnsi="Verdana"/>
          <w:color w:val="000000"/>
          <w:sz w:val="18"/>
          <w:szCs w:val="18"/>
          <w:lang w:val="pt-BR"/>
        </w:rPr>
        <w:t>https://drive.google.com/drive/folders/1jjnHrMWXa9zM17Ats3CeBw4tdJtrdsbl?usp=sharing</w:t>
      </w:r>
      <w:r>
        <w:rPr>
          <w:rFonts w:hint="default" w:ascii="Verdana" w:hAnsi="Verdana" w:cs="Arial"/>
          <w:color w:val="000000"/>
          <w:sz w:val="18"/>
          <w:szCs w:val="18"/>
          <w:lang w:val="pt-BR"/>
        </w:rPr>
        <w:t xml:space="preserve"> :</w:t>
      </w:r>
    </w:p>
    <w:p>
      <w:pPr>
        <w:pStyle w:val="114"/>
        <w:numPr>
          <w:ilvl w:val="0"/>
          <w:numId w:val="12"/>
        </w:numPr>
        <w:spacing w:after="13"/>
        <w:rPr>
          <w:sz w:val="20"/>
          <w:szCs w:val="20"/>
        </w:rPr>
      </w:pPr>
      <w:r>
        <w:rPr>
          <w:sz w:val="20"/>
          <w:szCs w:val="20"/>
        </w:rPr>
        <w:t xml:space="preserve">Projeto de Arquitetura (plantas, cortes e fachadas, detalhes, perspectivas e caderno de esquadrias; </w:t>
      </w:r>
    </w:p>
    <w:p>
      <w:pPr>
        <w:pStyle w:val="114"/>
        <w:numPr>
          <w:ilvl w:val="0"/>
          <w:numId w:val="12"/>
        </w:numPr>
        <w:spacing w:after="13"/>
        <w:rPr>
          <w:sz w:val="20"/>
          <w:szCs w:val="20"/>
        </w:rPr>
      </w:pPr>
      <w:r>
        <w:rPr>
          <w:sz w:val="20"/>
          <w:szCs w:val="20"/>
        </w:rPr>
        <w:t>Projeto de Urbanizaç</w:t>
      </w:r>
      <w:bookmarkStart w:id="12" w:name="_GoBack"/>
      <w:bookmarkEnd w:id="12"/>
      <w:r>
        <w:rPr>
          <w:sz w:val="20"/>
          <w:szCs w:val="20"/>
        </w:rPr>
        <w:t xml:space="preserve">ão; </w:t>
      </w:r>
    </w:p>
    <w:p>
      <w:pPr>
        <w:pStyle w:val="114"/>
        <w:numPr>
          <w:ilvl w:val="0"/>
          <w:numId w:val="12"/>
        </w:numPr>
        <w:spacing w:after="13"/>
        <w:rPr>
          <w:sz w:val="20"/>
          <w:szCs w:val="20"/>
        </w:rPr>
      </w:pPr>
      <w:r>
        <w:rPr>
          <w:sz w:val="20"/>
          <w:szCs w:val="20"/>
        </w:rPr>
        <w:t xml:space="preserve">Projeto de Comunicação Visual Tátil e Sonora; </w:t>
      </w:r>
    </w:p>
    <w:p>
      <w:pPr>
        <w:pStyle w:val="114"/>
        <w:numPr>
          <w:ilvl w:val="0"/>
          <w:numId w:val="12"/>
        </w:numPr>
        <w:spacing w:after="13"/>
        <w:rPr>
          <w:sz w:val="20"/>
          <w:szCs w:val="20"/>
        </w:rPr>
      </w:pPr>
      <w:r>
        <w:rPr>
          <w:sz w:val="20"/>
          <w:szCs w:val="20"/>
        </w:rPr>
        <w:t xml:space="preserve">Projeto de Fundações e Estruturas; </w:t>
      </w:r>
    </w:p>
    <w:p>
      <w:pPr>
        <w:pStyle w:val="114"/>
        <w:numPr>
          <w:ilvl w:val="0"/>
          <w:numId w:val="12"/>
        </w:numPr>
        <w:spacing w:after="13"/>
        <w:rPr>
          <w:sz w:val="20"/>
          <w:szCs w:val="20"/>
        </w:rPr>
      </w:pPr>
      <w:r>
        <w:rPr>
          <w:sz w:val="20"/>
          <w:szCs w:val="20"/>
        </w:rPr>
        <w:t xml:space="preserve">Projeto de Instalações Hidrossanitárias e Pluvial; </w:t>
      </w:r>
    </w:p>
    <w:p>
      <w:pPr>
        <w:pStyle w:val="114"/>
        <w:numPr>
          <w:ilvl w:val="0"/>
          <w:numId w:val="12"/>
        </w:numPr>
        <w:spacing w:after="13"/>
        <w:rPr>
          <w:sz w:val="20"/>
          <w:szCs w:val="20"/>
        </w:rPr>
      </w:pPr>
      <w:r>
        <w:rPr>
          <w:sz w:val="20"/>
          <w:szCs w:val="20"/>
        </w:rPr>
        <w:t xml:space="preserve">Projeto de Instalações Elétricas; </w:t>
      </w:r>
    </w:p>
    <w:p>
      <w:pPr>
        <w:pStyle w:val="114"/>
        <w:numPr>
          <w:ilvl w:val="0"/>
          <w:numId w:val="12"/>
        </w:numPr>
        <w:spacing w:after="13"/>
        <w:rPr>
          <w:sz w:val="20"/>
          <w:szCs w:val="20"/>
        </w:rPr>
      </w:pPr>
      <w:r>
        <w:rPr>
          <w:sz w:val="20"/>
          <w:szCs w:val="20"/>
        </w:rPr>
        <w:t xml:space="preserve">Projeto de Cabeamento Estruturado e VSS-CFTV; </w:t>
      </w:r>
    </w:p>
    <w:p>
      <w:pPr>
        <w:pStyle w:val="114"/>
        <w:numPr>
          <w:ilvl w:val="0"/>
          <w:numId w:val="12"/>
        </w:numPr>
        <w:spacing w:after="13"/>
        <w:rPr>
          <w:sz w:val="20"/>
          <w:szCs w:val="20"/>
        </w:rPr>
      </w:pPr>
      <w:r>
        <w:rPr>
          <w:sz w:val="20"/>
          <w:szCs w:val="20"/>
        </w:rPr>
        <w:t xml:space="preserve">Projeto de SPDA; </w:t>
      </w:r>
    </w:p>
    <w:p>
      <w:pPr>
        <w:pStyle w:val="114"/>
        <w:numPr>
          <w:ilvl w:val="0"/>
          <w:numId w:val="12"/>
        </w:numPr>
        <w:spacing w:after="13"/>
        <w:rPr>
          <w:sz w:val="20"/>
          <w:szCs w:val="20"/>
        </w:rPr>
      </w:pPr>
      <w:r>
        <w:rPr>
          <w:sz w:val="20"/>
          <w:szCs w:val="20"/>
        </w:rPr>
        <w:t xml:space="preserve">Projeto de Climatização e Renovação de Ar; </w:t>
      </w:r>
    </w:p>
    <w:p>
      <w:pPr>
        <w:pStyle w:val="114"/>
        <w:numPr>
          <w:ilvl w:val="0"/>
          <w:numId w:val="12"/>
        </w:numPr>
        <w:spacing w:after="13"/>
        <w:rPr>
          <w:sz w:val="20"/>
          <w:szCs w:val="20"/>
        </w:rPr>
      </w:pPr>
      <w:r>
        <w:rPr>
          <w:sz w:val="20"/>
          <w:szCs w:val="20"/>
        </w:rPr>
        <w:t xml:space="preserve">Projeto de Instalações Mecânicas; </w:t>
      </w:r>
    </w:p>
    <w:p>
      <w:pPr>
        <w:pStyle w:val="114"/>
        <w:numPr>
          <w:ilvl w:val="0"/>
          <w:numId w:val="12"/>
        </w:numPr>
        <w:spacing w:after="13"/>
        <w:rPr>
          <w:sz w:val="20"/>
          <w:szCs w:val="20"/>
        </w:rPr>
      </w:pPr>
      <w:r>
        <w:rPr>
          <w:sz w:val="20"/>
          <w:szCs w:val="20"/>
        </w:rPr>
        <w:t xml:space="preserve">Projeto de Instalações de Combate a Incêndio e Pânico. </w:t>
      </w:r>
    </w:p>
    <w:p>
      <w:pPr>
        <w:pStyle w:val="73"/>
        <w:keepNext w:val="0"/>
        <w:numPr>
          <w:numId w:val="0"/>
        </w:numPr>
        <w:ind w:left="147" w:leftChars="0"/>
        <w:rPr>
          <w:rFonts w:ascii="Verdana" w:hAnsi="Verdana" w:cs="Arial"/>
          <w:sz w:val="18"/>
          <w:szCs w:val="18"/>
        </w:rPr>
      </w:pPr>
    </w:p>
    <w:p>
      <w:pPr>
        <w:pStyle w:val="73"/>
        <w:keepNext w:val="0"/>
        <w:jc w:val="center"/>
        <w:rPr>
          <w:rFonts w:ascii="Verdana" w:hAnsi="Verdana" w:cs="Arial"/>
          <w:color w:val="000000"/>
          <w:sz w:val="18"/>
          <w:szCs w:val="18"/>
        </w:rPr>
      </w:pPr>
    </w:p>
    <w:p>
      <w:pPr>
        <w:pStyle w:val="73"/>
        <w:keepNext w:val="0"/>
        <w:jc w:val="center"/>
        <w:rPr>
          <w:rFonts w:ascii="Verdana" w:hAnsi="Verdana" w:cs="Arial"/>
          <w:sz w:val="18"/>
          <w:szCs w:val="18"/>
        </w:rPr>
      </w:pPr>
      <w:r>
        <w:rPr>
          <w:rFonts w:ascii="Verdana" w:hAnsi="Verdana" w:cs="Arial"/>
          <w:color w:val="000000"/>
          <w:sz w:val="18"/>
          <w:szCs w:val="18"/>
        </w:rPr>
        <w:t>Niterói, 25 de junho 2022.</w:t>
      </w:r>
    </w:p>
    <w:p>
      <w:pPr>
        <w:pStyle w:val="73"/>
        <w:keepNext w:val="0"/>
        <w:rPr>
          <w:rFonts w:ascii="Verdana" w:hAnsi="Verdana" w:cs="Arial"/>
          <w:sz w:val="18"/>
          <w:szCs w:val="18"/>
        </w:rPr>
      </w:pPr>
    </w:p>
    <w:p>
      <w:pPr>
        <w:jc w:val="center"/>
      </w:pPr>
      <w:r>
        <w:rPr>
          <w:rFonts w:ascii="Verdana" w:hAnsi="Verdana" w:cs="Arial"/>
          <w:szCs w:val="20"/>
        </w:rPr>
        <w:t>______________________</w:t>
      </w:r>
    </w:p>
    <w:p>
      <w:pPr>
        <w:jc w:val="center"/>
        <w:rPr>
          <w:rFonts w:ascii="Verdana" w:hAnsi="Verdana" w:cs="Arial"/>
          <w:sz w:val="16"/>
          <w:szCs w:val="16"/>
        </w:rPr>
      </w:pPr>
      <w:r>
        <w:rPr>
          <w:rFonts w:ascii="Verdana" w:hAnsi="Verdana" w:cs="Arial"/>
          <w:sz w:val="16"/>
          <w:szCs w:val="16"/>
        </w:rPr>
        <w:t>Coordena</w:t>
      </w:r>
      <w:r>
        <w:rPr>
          <w:rFonts w:hint="default" w:ascii="Verdana" w:hAnsi="Verdana" w:cs="Arial"/>
          <w:sz w:val="16"/>
          <w:szCs w:val="16"/>
          <w:lang w:val="pt-BR"/>
        </w:rPr>
        <w:t>ção</w:t>
      </w:r>
      <w:r>
        <w:rPr>
          <w:rFonts w:ascii="Verdana" w:hAnsi="Verdana" w:cs="Arial"/>
          <w:sz w:val="16"/>
          <w:szCs w:val="16"/>
        </w:rPr>
        <w:t xml:space="preserve"> de Licitação/CLi</w:t>
      </w:r>
    </w:p>
    <w:p>
      <w:pPr>
        <w:jc w:val="center"/>
        <w:rPr>
          <w:rFonts w:ascii="Verdana" w:hAnsi="Verdana" w:cs="Arial"/>
          <w:sz w:val="16"/>
          <w:szCs w:val="16"/>
        </w:rPr>
      </w:pPr>
      <w:r>
        <w:rPr>
          <w:rFonts w:ascii="Verdana" w:hAnsi="Verdana" w:cs="Arial"/>
          <w:sz w:val="16"/>
          <w:szCs w:val="16"/>
        </w:rPr>
        <w:t>Pró-Reitoria de Administração/PROAD</w:t>
      </w:r>
    </w:p>
    <w:p>
      <w:pPr>
        <w:jc w:val="center"/>
        <w:rPr>
          <w:rFonts w:ascii="Verdana" w:hAnsi="Verdana" w:cs="Arial"/>
          <w:sz w:val="16"/>
          <w:szCs w:val="16"/>
        </w:rPr>
      </w:pPr>
      <w:r>
        <w:rPr>
          <w:rFonts w:ascii="Verdana" w:hAnsi="Verdana" w:cs="Arial"/>
          <w:sz w:val="16"/>
          <w:szCs w:val="16"/>
        </w:rPr>
        <w:t>Universidade Federal Fluminense</w:t>
      </w:r>
    </w:p>
    <w:p>
      <w:pPr>
        <w:jc w:val="center"/>
        <w:rPr>
          <w:rFonts w:eastAsia="WenQuanYi Micro Hei" w:cs="Lohit Hindi"/>
          <w:color w:val="auto"/>
          <w:sz w:val="16"/>
          <w:szCs w:val="16"/>
          <w:lang w:eastAsia="zh-CN" w:bidi="hi-IN"/>
        </w:rPr>
      </w:pPr>
    </w:p>
    <w:sectPr>
      <w:headerReference r:id="rId3" w:type="default"/>
      <w:footerReference r:id="rId4" w:type="default"/>
      <w:pgSz w:w="11906" w:h="16838"/>
      <w:pgMar w:top="958" w:right="1134" w:bottom="1276" w:left="1531" w:header="425" w:footer="312" w:gutter="0"/>
      <w:cols w:space="720" w:num="1"/>
      <w:formProt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00" w:usb3="00000000" w:csb0="00000000" w:csb1="00000000"/>
  </w:font>
  <w:font w:name="WenQuanYi Micro Hei">
    <w:altName w:val="SimSun"/>
    <w:panose1 w:val="00000000000000000000"/>
    <w:charset w:val="86"/>
    <w:family w:val="roman"/>
    <w:pitch w:val="default"/>
    <w:sig w:usb0="00000000" w:usb1="00000000" w:usb2="00000000" w:usb3="00000000" w:csb0="00000000" w:csb1="00000000"/>
  </w:font>
  <w:font w:name="Ecofont_Spranq_eco_Sans">
    <w:altName w:val="Times New Roman"/>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Liberation Sans">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Arial"/>
    <w:panose1 w:val="020B0604020202020204"/>
    <w:charset w:val="00"/>
    <w:family w:val="roman"/>
    <w:pitch w:val="default"/>
    <w:sig w:usb0="00000000" w:usb1="00000000" w:usb2="00000000" w:usb3="00000000" w:csb0="00000001" w:csb1="00000000"/>
  </w:font>
  <w:font w:name="Mangal">
    <w:panose1 w:val="02040503050203030202"/>
    <w:charset w:val="00"/>
    <w:family w:val="roman"/>
    <w:pitch w:val="default"/>
    <w:sig w:usb0="00008003" w:usb1="00000000" w:usb2="00000000" w:usb3="00000000" w:csb0="00000001" w:csb1="00000000"/>
  </w:font>
  <w:font w:name="MS Mincho">
    <w:panose1 w:val="02020609040205080304"/>
    <w:charset w:val="80"/>
    <w:family w:val="modern"/>
    <w:pitch w:val="default"/>
    <w:sig w:usb0="E00002FF" w:usb1="6AC7FDFB" w:usb2="08000012" w:usb3="00000000" w:csb0="4002009F" w:csb1="DFD70000"/>
  </w:font>
  <w:font w:name="Segoe UI">
    <w:panose1 w:val="020B0502040204020203"/>
    <w:charset w:val="00"/>
    <w:family w:val="swiss"/>
    <w:pitch w:val="default"/>
    <w:sig w:usb0="E4002EFF" w:usb1="C000E47F" w:usb2="00000009" w:usb3="00000000" w:csb0="200001FF" w:csb1="00000000"/>
  </w:font>
  <w:font w:name="Verdana">
    <w:panose1 w:val="020B0604030504040204"/>
    <w:charset w:val="00"/>
    <w:family w:val="swiss"/>
    <w:pitch w:val="default"/>
    <w:sig w:usb0="A10006FF" w:usb1="4000205B" w:usb2="00000010" w:usb3="00000000" w:csb0="2000019F" w:csb1="00000000"/>
  </w:font>
  <w:font w:name="Zurich BT">
    <w:altName w:val="Segoe Print"/>
    <w:panose1 w:val="00000000000000000000"/>
    <w:charset w:val="00"/>
    <w:family w:val="roman"/>
    <w:pitch w:val="default"/>
    <w:sig w:usb0="00000000" w:usb1="00000000" w:usb2="00000000" w:usb3="00000000" w:csb0="00000000" w:csb1="0000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Times-Roman">
    <w:altName w:val="Times New Roman"/>
    <w:panose1 w:val="00000000000000000000"/>
    <w:charset w:val="00"/>
    <w:family w:val="auto"/>
    <w:pitch w:val="default"/>
    <w:sig w:usb0="00000000" w:usb1="00000000" w:usb2="00000000" w:usb3="00000000" w:csb0="00000001" w:csb1="00000000"/>
  </w:font>
  <w:font w:name="Ecofont_Spranq_eco_Sans,Lohit H">
    <w:altName w:val="Times New Roman"/>
    <w:panose1 w:val="00000000000000000000"/>
    <w:charset w:val="00"/>
    <w:family w:val="roman"/>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EndPr>
          <w:rPr>
            <w:rFonts w:ascii="Verdana" w:hAnsi="Verdana"/>
            <w:sz w:val="16"/>
            <w:szCs w:val="16"/>
          </w:rPr>
        </w:sdtEndPr>
        <w:sdtContent>
          <w:p>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pPr>
      <w:pStyle w:val="19"/>
      <w:keepNext w:val="0"/>
    </w:pPr>
    <w:r>
      <w:t>___________________________________________________________________________</w:t>
    </w:r>
  </w:p>
  <w:p>
    <w:pPr>
      <w:pStyle w:val="19"/>
      <w:keepNext w:val="0"/>
      <w:rPr>
        <w:sz w:val="12"/>
        <w:szCs w:val="12"/>
      </w:rPr>
    </w:pPr>
    <w:r>
      <w:rPr>
        <w:sz w:val="12"/>
        <w:szCs w:val="12"/>
      </w:rPr>
      <w:t>Câmara Nacional de Modelos de Licitações e Contratos da Consultoria-Geral da União</w:t>
    </w:r>
  </w:p>
  <w:p>
    <w:pPr>
      <w:pStyle w:val="19"/>
      <w:keepNext w:val="0"/>
      <w:rPr>
        <w:sz w:val="12"/>
        <w:szCs w:val="12"/>
      </w:rPr>
    </w:pPr>
    <w:r>
      <w:rPr>
        <w:sz w:val="12"/>
        <w:szCs w:val="12"/>
      </w:rPr>
      <w:t>Edital modelo para Pregão Eletrônico: Serviços Comuns de engenharia</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Verdana" w:hAnsi="Verdana"/>
        <w:sz w:val="14"/>
        <w:szCs w:val="14"/>
      </w:rPr>
    </w:pPr>
    <w:r>
      <w:rPr>
        <w:rFonts w:ascii="Verdana" w:hAnsi="Verdana"/>
        <w:sz w:val="14"/>
        <w:szCs w:val="14"/>
      </w:rPr>
      <w:t>Fls:_______</w:t>
    </w:r>
  </w:p>
  <w:p>
    <w:pPr>
      <w:pStyle w:val="17"/>
      <w:jc w:val="right"/>
      <w:rPr>
        <w:rFonts w:ascii="Verdana" w:hAnsi="Verdana"/>
        <w:sz w:val="14"/>
        <w:szCs w:val="14"/>
      </w:rPr>
    </w:pPr>
    <w:r>
      <w:rPr>
        <w:rFonts w:ascii="Verdana" w:hAnsi="Verdana"/>
        <w:sz w:val="14"/>
        <w:szCs w:val="14"/>
      </w:rPr>
      <w:t>Processo n.º 23069.156365/2022-12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1">
    <w:nsid w:val="2367722C"/>
    <w:multiLevelType w:val="multilevel"/>
    <w:tmpl w:val="2367722C"/>
    <w:lvl w:ilvl="0" w:tentative="0">
      <w:start w:val="12"/>
      <w:numFmt w:val="decimal"/>
      <w:lvlText w:val="%1."/>
      <w:lvlJc w:val="left"/>
      <w:pPr>
        <w:ind w:left="0" w:firstLine="0"/>
      </w:pPr>
      <w:rPr>
        <w:rFonts w:hint="default"/>
        <w:b/>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346250F7"/>
    <w:multiLevelType w:val="multilevel"/>
    <w:tmpl w:val="346250F7"/>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decimal"/>
      <w:lvlText w:val="%1.%2.%3"/>
      <w:lvlJc w:val="left"/>
      <w:pPr>
        <w:ind w:left="1713" w:hanging="720"/>
      </w:pPr>
      <w:rPr>
        <w:rFonts w:hint="default"/>
        <w:color w:val="auto"/>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3">
    <w:nsid w:val="34665CEB"/>
    <w:multiLevelType w:val="multilevel"/>
    <w:tmpl w:val="34665CEB"/>
    <w:lvl w:ilvl="0" w:tentative="0">
      <w:start w:val="13"/>
      <w:numFmt w:val="decimal"/>
      <w:lvlText w:val="%1."/>
      <w:lvlJc w:val="left"/>
      <w:pPr>
        <w:ind w:left="0" w:firstLine="0"/>
      </w:pPr>
      <w:rPr>
        <w:rFonts w:hint="default"/>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4">
    <w:nsid w:val="37516B2C"/>
    <w:multiLevelType w:val="multilevel"/>
    <w:tmpl w:val="37516B2C"/>
    <w:lvl w:ilvl="0" w:tentative="0">
      <w:start w:val="1"/>
      <w:numFmt w:val="decimal"/>
      <w:lvlText w:val="%1."/>
      <w:lvlJc w:val="left"/>
      <w:pPr>
        <w:ind w:left="360" w:hanging="360"/>
      </w:pPr>
      <w:rPr>
        <w:b/>
        <w:sz w:val="20"/>
        <w:szCs w:val="20"/>
      </w:rPr>
    </w:lvl>
    <w:lvl w:ilvl="1" w:tentative="0">
      <w:start w:val="1"/>
      <w:numFmt w:val="decimal"/>
      <w:lvlText w:val="%1.%2."/>
      <w:lvlJc w:val="left"/>
      <w:pPr>
        <w:ind w:left="792" w:hanging="432"/>
      </w:pPr>
      <w:rPr>
        <w:b w:val="0"/>
        <w:i w:val="0"/>
        <w:color w:val="auto"/>
      </w:rPr>
    </w:lvl>
    <w:lvl w:ilvl="2" w:tentative="0">
      <w:start w:val="1"/>
      <w:numFmt w:val="decimal"/>
      <w:lvlText w:val="%1.%2.%3."/>
      <w:lvlJc w:val="left"/>
      <w:pPr>
        <w:ind w:left="1224" w:hanging="504"/>
      </w:pPr>
      <w:rPr>
        <w:b w:val="0"/>
        <w:color w:val="auto"/>
      </w:rPr>
    </w:lvl>
    <w:lvl w:ilvl="3" w:tentative="0">
      <w:start w:val="1"/>
      <w:numFmt w:val="decimal"/>
      <w:lvlText w:val="%1.%2.%3.%4."/>
      <w:lvlJc w:val="left"/>
      <w:pPr>
        <w:ind w:left="1728" w:hanging="648"/>
      </w:pPr>
      <w:rPr>
        <w:color w:val="auto"/>
      </w:rPr>
    </w:lvl>
    <w:lvl w:ilvl="4" w:tentative="0">
      <w:start w:val="1"/>
      <w:numFmt w:val="decimal"/>
      <w:lvlText w:val="%1.%2.%3.%4.%5."/>
      <w:lvlJc w:val="left"/>
      <w:pPr>
        <w:ind w:left="2232" w:hanging="792"/>
      </w:pPr>
      <w:rPr>
        <w:color w:val="auto"/>
      </w:rPr>
    </w:lvl>
    <w:lvl w:ilvl="5" w:tentative="0">
      <w:start w:val="1"/>
      <w:numFmt w:val="decimal"/>
      <w:lvlText w:val="%1.%2.%3.%4.%5.%6."/>
      <w:lvlJc w:val="left"/>
      <w:pPr>
        <w:ind w:left="2736" w:hanging="936"/>
      </w:pPr>
      <w:rPr>
        <w:color w:val="auto"/>
      </w:rPr>
    </w:lvl>
    <w:lvl w:ilvl="6" w:tentative="0">
      <w:start w:val="1"/>
      <w:numFmt w:val="decimal"/>
      <w:lvlText w:val="%1.%2.%3.%4.%5.%6.%7."/>
      <w:lvlJc w:val="left"/>
      <w:pPr>
        <w:ind w:left="3240" w:hanging="1080"/>
      </w:pPr>
      <w:rPr>
        <w:color w:val="auto"/>
      </w:rPr>
    </w:lvl>
    <w:lvl w:ilvl="7" w:tentative="0">
      <w:start w:val="1"/>
      <w:numFmt w:val="decimal"/>
      <w:lvlText w:val="%1.%2.%3.%4.%5.%6.%7.%8."/>
      <w:lvlJc w:val="left"/>
      <w:pPr>
        <w:ind w:left="3744" w:hanging="1224"/>
      </w:pPr>
      <w:rPr>
        <w:color w:val="auto"/>
      </w:rPr>
    </w:lvl>
    <w:lvl w:ilvl="8" w:tentative="0">
      <w:start w:val="1"/>
      <w:numFmt w:val="decimal"/>
      <w:lvlText w:val="%1.%2.%3.%4.%5.%6.%7.%8.%9."/>
      <w:lvlJc w:val="left"/>
      <w:pPr>
        <w:ind w:left="4320" w:hanging="1440"/>
      </w:pPr>
      <w:rPr>
        <w:color w:val="auto"/>
      </w:rPr>
    </w:lvl>
  </w:abstractNum>
  <w:abstractNum w:abstractNumId="5">
    <w:nsid w:val="43CF13EB"/>
    <w:multiLevelType w:val="multilevel"/>
    <w:tmpl w:val="43CF13EB"/>
    <w:lvl w:ilvl="0" w:tentative="0">
      <w:start w:val="12"/>
      <w:numFmt w:val="decimal"/>
      <w:lvlText w:val="%1."/>
      <w:lvlJc w:val="left"/>
      <w:pPr>
        <w:ind w:left="660" w:hanging="660"/>
      </w:pPr>
      <w:rPr>
        <w:rFonts w:hint="default"/>
        <w:b/>
      </w:rPr>
    </w:lvl>
    <w:lvl w:ilvl="1" w:tentative="0">
      <w:start w:val="1"/>
      <w:numFmt w:val="decimal"/>
      <w:lvlText w:val="%1.%2."/>
      <w:lvlJc w:val="left"/>
      <w:pPr>
        <w:ind w:left="1085" w:hanging="660"/>
      </w:pPr>
      <w:rPr>
        <w:rFonts w:hint="default"/>
      </w:rPr>
    </w:lvl>
    <w:lvl w:ilvl="2" w:tentative="0">
      <w:start w:val="1"/>
      <w:numFmt w:val="decimal"/>
      <w:lvlText w:val="%1.%2.%3."/>
      <w:lvlJc w:val="left"/>
      <w:pPr>
        <w:ind w:left="1570" w:hanging="720"/>
      </w:pPr>
      <w:rPr>
        <w:rFonts w:hint="default"/>
      </w:rPr>
    </w:lvl>
    <w:lvl w:ilvl="3" w:tentative="0">
      <w:start w:val="1"/>
      <w:numFmt w:val="decimal"/>
      <w:lvlText w:val="%1.%2.%3.%4."/>
      <w:lvlJc w:val="left"/>
      <w:pPr>
        <w:ind w:left="1995" w:hanging="720"/>
      </w:pPr>
      <w:rPr>
        <w:rFonts w:hint="default"/>
      </w:rPr>
    </w:lvl>
    <w:lvl w:ilvl="4" w:tentative="0">
      <w:start w:val="1"/>
      <w:numFmt w:val="decimal"/>
      <w:lvlText w:val="%1.%2.%3.%4.%5."/>
      <w:lvlJc w:val="left"/>
      <w:pPr>
        <w:ind w:left="2780" w:hanging="1080"/>
      </w:pPr>
      <w:rPr>
        <w:rFonts w:hint="default"/>
      </w:rPr>
    </w:lvl>
    <w:lvl w:ilvl="5" w:tentative="0">
      <w:start w:val="1"/>
      <w:numFmt w:val="decimal"/>
      <w:lvlText w:val="%1.%2.%3.%4.%5.%6."/>
      <w:lvlJc w:val="left"/>
      <w:pPr>
        <w:ind w:left="3205" w:hanging="1080"/>
      </w:pPr>
      <w:rPr>
        <w:rFonts w:hint="default"/>
      </w:rPr>
    </w:lvl>
    <w:lvl w:ilvl="6" w:tentative="0">
      <w:start w:val="1"/>
      <w:numFmt w:val="decimal"/>
      <w:lvlText w:val="%1.%2.%3.%4.%5.%6.%7."/>
      <w:lvlJc w:val="left"/>
      <w:pPr>
        <w:ind w:left="3990" w:hanging="1440"/>
      </w:pPr>
      <w:rPr>
        <w:rFonts w:hint="default"/>
      </w:rPr>
    </w:lvl>
    <w:lvl w:ilvl="7" w:tentative="0">
      <w:start w:val="1"/>
      <w:numFmt w:val="decimal"/>
      <w:lvlText w:val="%1.%2.%3.%4.%5.%6.%7.%8."/>
      <w:lvlJc w:val="left"/>
      <w:pPr>
        <w:ind w:left="4415" w:hanging="1440"/>
      </w:pPr>
      <w:rPr>
        <w:rFonts w:hint="default"/>
      </w:rPr>
    </w:lvl>
    <w:lvl w:ilvl="8" w:tentative="0">
      <w:start w:val="1"/>
      <w:numFmt w:val="decimal"/>
      <w:lvlText w:val="%1.%2.%3.%4.%5.%6.%7.%8.%9."/>
      <w:lvlJc w:val="left"/>
      <w:pPr>
        <w:ind w:left="5200" w:hanging="1800"/>
      </w:pPr>
      <w:rPr>
        <w:rFonts w:hint="default"/>
      </w:rPr>
    </w:lvl>
  </w:abstractNum>
  <w:abstractNum w:abstractNumId="6">
    <w:nsid w:val="58C70088"/>
    <w:multiLevelType w:val="multilevel"/>
    <w:tmpl w:val="58C70088"/>
    <w:lvl w:ilvl="0" w:tentative="0">
      <w:start w:val="1"/>
      <w:numFmt w:val="decimal"/>
      <w:pStyle w:val="79"/>
      <w:lvlText w:val="%1."/>
      <w:lvlJc w:val="left"/>
      <w:pPr>
        <w:ind w:left="502" w:hanging="360"/>
      </w:pPr>
      <w:rPr>
        <w:b/>
        <w:i w:val="0"/>
        <w:strike w:val="0"/>
        <w:dstrike w:val="0"/>
      </w:rPr>
    </w:lvl>
    <w:lvl w:ilvl="1" w:tentative="0">
      <w:start w:val="1"/>
      <w:numFmt w:val="decimal"/>
      <w:pStyle w:val="78"/>
      <w:lvlText w:val="%1.%2."/>
      <w:lvlJc w:val="left"/>
      <w:pPr>
        <w:ind w:left="858" w:hanging="432"/>
      </w:pPr>
      <w:rPr>
        <w:b w:val="0"/>
        <w:strike w:val="0"/>
      </w:rPr>
    </w:lvl>
    <w:lvl w:ilvl="2" w:tentative="0">
      <w:start w:val="1"/>
      <w:numFmt w:val="decimal"/>
      <w:pStyle w:val="80"/>
      <w:lvlText w:val="%1.%2.%3."/>
      <w:lvlJc w:val="left"/>
      <w:pPr>
        <w:ind w:left="1224" w:hanging="504"/>
      </w:pPr>
      <w:rPr>
        <w:i w:val="0"/>
        <w:strike w:val="0"/>
      </w:rPr>
    </w:lvl>
    <w:lvl w:ilvl="3" w:tentative="0">
      <w:start w:val="1"/>
      <w:numFmt w:val="decimal"/>
      <w:pStyle w:val="81"/>
      <w:lvlText w:val="%1.%2.%3.%4."/>
      <w:lvlJc w:val="left"/>
      <w:pPr>
        <w:ind w:left="1728" w:hanging="648"/>
      </w:pPr>
    </w:lvl>
    <w:lvl w:ilvl="4" w:tentative="0">
      <w:start w:val="1"/>
      <w:numFmt w:val="decimal"/>
      <w:pStyle w:val="8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6B416A47"/>
    <w:multiLevelType w:val="multilevel"/>
    <w:tmpl w:val="6B416A47"/>
    <w:lvl w:ilvl="0" w:tentative="0">
      <w:start w:val="4"/>
      <w:numFmt w:val="decimal"/>
      <w:lvlText w:val="%1"/>
      <w:lvlJc w:val="left"/>
      <w:pPr>
        <w:ind w:left="435" w:hanging="435"/>
      </w:pPr>
      <w:rPr>
        <w:rFonts w:hint="default"/>
      </w:rPr>
    </w:lvl>
    <w:lvl w:ilvl="1" w:tentative="0">
      <w:start w:val="4"/>
      <w:numFmt w:val="decimal"/>
      <w:lvlText w:val="%1.%2"/>
      <w:lvlJc w:val="left"/>
      <w:pPr>
        <w:ind w:left="1002" w:hanging="435"/>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8">
    <w:nsid w:val="6C2D4641"/>
    <w:multiLevelType w:val="multilevel"/>
    <w:tmpl w:val="6C2D4641"/>
    <w:lvl w:ilvl="0" w:tentative="0">
      <w:start w:val="4"/>
      <w:numFmt w:val="decimal"/>
      <w:lvlText w:val="%1"/>
      <w:lvlJc w:val="left"/>
      <w:pPr>
        <w:ind w:left="405" w:hanging="405"/>
      </w:pPr>
      <w:rPr>
        <w:rFonts w:hint="default"/>
      </w:rPr>
    </w:lvl>
    <w:lvl w:ilvl="1" w:tentative="0">
      <w:start w:val="2"/>
      <w:numFmt w:val="decimal"/>
      <w:lvlText w:val="%1.%2"/>
      <w:lvlJc w:val="left"/>
      <w:pPr>
        <w:ind w:left="1114" w:hanging="405"/>
      </w:pPr>
      <w:rPr>
        <w:rFonts w:hint="default"/>
      </w:rPr>
    </w:lvl>
    <w:lvl w:ilvl="2" w:tentative="0">
      <w:start w:val="1"/>
      <w:numFmt w:val="decimal"/>
      <w:lvlText w:val="%1.%2.%3"/>
      <w:lvlJc w:val="left"/>
      <w:pPr>
        <w:ind w:left="2216" w:hanging="720"/>
      </w:pPr>
      <w:rPr>
        <w:rFonts w:hint="default" w:ascii="Arial" w:hAnsi="Arial" w:cs="Arial"/>
      </w:rPr>
    </w:lvl>
    <w:lvl w:ilvl="3" w:tentative="0">
      <w:start w:val="1"/>
      <w:numFmt w:val="decimal"/>
      <w:lvlText w:val="%1.%2.%3.%4"/>
      <w:lvlJc w:val="left"/>
      <w:pPr>
        <w:ind w:left="2964" w:hanging="720"/>
      </w:pPr>
      <w:rPr>
        <w:rFonts w:hint="default"/>
      </w:rPr>
    </w:lvl>
    <w:lvl w:ilvl="4" w:tentative="0">
      <w:start w:val="1"/>
      <w:numFmt w:val="decimal"/>
      <w:lvlText w:val="%1.%2.%3.%4.%5"/>
      <w:lvlJc w:val="left"/>
      <w:pPr>
        <w:ind w:left="3712" w:hanging="720"/>
      </w:pPr>
      <w:rPr>
        <w:rFonts w:hint="default"/>
      </w:rPr>
    </w:lvl>
    <w:lvl w:ilvl="5" w:tentative="0">
      <w:start w:val="1"/>
      <w:numFmt w:val="decimal"/>
      <w:lvlText w:val="%1.%2.%3.%4.%5.%6"/>
      <w:lvlJc w:val="left"/>
      <w:pPr>
        <w:ind w:left="4820" w:hanging="1080"/>
      </w:pPr>
      <w:rPr>
        <w:rFonts w:hint="default"/>
      </w:rPr>
    </w:lvl>
    <w:lvl w:ilvl="6" w:tentative="0">
      <w:start w:val="1"/>
      <w:numFmt w:val="decimal"/>
      <w:lvlText w:val="%1.%2.%3.%4.%5.%6.%7"/>
      <w:lvlJc w:val="left"/>
      <w:pPr>
        <w:ind w:left="5568" w:hanging="1080"/>
      </w:pPr>
      <w:rPr>
        <w:rFonts w:hint="default"/>
      </w:rPr>
    </w:lvl>
    <w:lvl w:ilvl="7" w:tentative="0">
      <w:start w:val="1"/>
      <w:numFmt w:val="decimal"/>
      <w:lvlText w:val="%1.%2.%3.%4.%5.%6.%7.%8"/>
      <w:lvlJc w:val="left"/>
      <w:pPr>
        <w:ind w:left="6676" w:hanging="1440"/>
      </w:pPr>
      <w:rPr>
        <w:rFonts w:hint="default"/>
      </w:rPr>
    </w:lvl>
    <w:lvl w:ilvl="8" w:tentative="0">
      <w:start w:val="1"/>
      <w:numFmt w:val="decimal"/>
      <w:lvlText w:val="%1.%2.%3.%4.%5.%6.%7.%8.%9"/>
      <w:lvlJc w:val="left"/>
      <w:pPr>
        <w:ind w:left="7424" w:hanging="1440"/>
      </w:pPr>
      <w:rPr>
        <w:rFonts w:hint="default"/>
      </w:rPr>
    </w:lvl>
  </w:abstractNum>
  <w:abstractNum w:abstractNumId="9">
    <w:nsid w:val="6EC66869"/>
    <w:multiLevelType w:val="multilevel"/>
    <w:tmpl w:val="6EC66869"/>
    <w:lvl w:ilvl="0" w:tentative="0">
      <w:start w:val="1"/>
      <w:numFmt w:val="bullet"/>
      <w:lvlText w:val="o"/>
      <w:lvlJc w:val="left"/>
      <w:pPr>
        <w:ind w:left="1380" w:hanging="360"/>
      </w:pPr>
      <w:rPr>
        <w:rFonts w:hint="default" w:ascii="Courier New" w:hAnsi="Courier New" w:cs="Courier New"/>
      </w:rPr>
    </w:lvl>
    <w:lvl w:ilvl="1" w:tentative="0">
      <w:start w:val="1"/>
      <w:numFmt w:val="bullet"/>
      <w:lvlText w:val="o"/>
      <w:lvlJc w:val="left"/>
      <w:pPr>
        <w:ind w:left="2100" w:hanging="360"/>
      </w:pPr>
      <w:rPr>
        <w:rFonts w:hint="default" w:ascii="Courier New" w:hAnsi="Courier New" w:cs="Courier New"/>
      </w:rPr>
    </w:lvl>
    <w:lvl w:ilvl="2" w:tentative="0">
      <w:start w:val="1"/>
      <w:numFmt w:val="bullet"/>
      <w:lvlText w:val=""/>
      <w:lvlJc w:val="left"/>
      <w:pPr>
        <w:ind w:left="2820" w:hanging="360"/>
      </w:pPr>
      <w:rPr>
        <w:rFonts w:hint="default" w:ascii="Wingdings" w:hAnsi="Wingdings"/>
      </w:rPr>
    </w:lvl>
    <w:lvl w:ilvl="3" w:tentative="0">
      <w:start w:val="1"/>
      <w:numFmt w:val="bullet"/>
      <w:lvlText w:val=""/>
      <w:lvlJc w:val="left"/>
      <w:pPr>
        <w:ind w:left="3540" w:hanging="360"/>
      </w:pPr>
      <w:rPr>
        <w:rFonts w:hint="default" w:ascii="Symbol" w:hAnsi="Symbol"/>
      </w:rPr>
    </w:lvl>
    <w:lvl w:ilvl="4" w:tentative="0">
      <w:start w:val="1"/>
      <w:numFmt w:val="bullet"/>
      <w:lvlText w:val="o"/>
      <w:lvlJc w:val="left"/>
      <w:pPr>
        <w:ind w:left="4260" w:hanging="360"/>
      </w:pPr>
      <w:rPr>
        <w:rFonts w:hint="default" w:ascii="Courier New" w:hAnsi="Courier New" w:cs="Courier New"/>
      </w:rPr>
    </w:lvl>
    <w:lvl w:ilvl="5" w:tentative="0">
      <w:start w:val="1"/>
      <w:numFmt w:val="bullet"/>
      <w:lvlText w:val=""/>
      <w:lvlJc w:val="left"/>
      <w:pPr>
        <w:ind w:left="4980" w:hanging="360"/>
      </w:pPr>
      <w:rPr>
        <w:rFonts w:hint="default" w:ascii="Wingdings" w:hAnsi="Wingdings"/>
      </w:rPr>
    </w:lvl>
    <w:lvl w:ilvl="6" w:tentative="0">
      <w:start w:val="1"/>
      <w:numFmt w:val="bullet"/>
      <w:lvlText w:val=""/>
      <w:lvlJc w:val="left"/>
      <w:pPr>
        <w:ind w:left="5700" w:hanging="360"/>
      </w:pPr>
      <w:rPr>
        <w:rFonts w:hint="default" w:ascii="Symbol" w:hAnsi="Symbol"/>
      </w:rPr>
    </w:lvl>
    <w:lvl w:ilvl="7" w:tentative="0">
      <w:start w:val="1"/>
      <w:numFmt w:val="bullet"/>
      <w:lvlText w:val="o"/>
      <w:lvlJc w:val="left"/>
      <w:pPr>
        <w:ind w:left="6420" w:hanging="360"/>
      </w:pPr>
      <w:rPr>
        <w:rFonts w:hint="default" w:ascii="Courier New" w:hAnsi="Courier New" w:cs="Courier New"/>
      </w:rPr>
    </w:lvl>
    <w:lvl w:ilvl="8" w:tentative="0">
      <w:start w:val="1"/>
      <w:numFmt w:val="bullet"/>
      <w:lvlText w:val=""/>
      <w:lvlJc w:val="left"/>
      <w:pPr>
        <w:ind w:left="7140" w:hanging="360"/>
      </w:pPr>
      <w:rPr>
        <w:rFonts w:hint="default" w:ascii="Wingdings" w:hAnsi="Wingdings"/>
      </w:rPr>
    </w:lvl>
  </w:abstractNum>
  <w:abstractNum w:abstractNumId="10">
    <w:nsid w:val="7D9624EC"/>
    <w:multiLevelType w:val="multilevel"/>
    <w:tmpl w:val="7D9624EC"/>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color w:val="000000"/>
      </w:rPr>
    </w:lvl>
    <w:lvl w:ilvl="2" w:tentative="0">
      <w:start w:val="1"/>
      <w:numFmt w:val="decimal"/>
      <w:lvlText w:val="%1.%2.%3."/>
      <w:lvlJc w:val="left"/>
      <w:pPr>
        <w:ind w:left="1854" w:hanging="720"/>
      </w:pPr>
      <w:rPr>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1">
    <w:nsid w:val="7E0E2202"/>
    <w:multiLevelType w:val="multilevel"/>
    <w:tmpl w:val="7E0E2202"/>
    <w:lvl w:ilvl="0" w:tentative="0">
      <w:start w:val="16"/>
      <w:numFmt w:val="decimal"/>
      <w:lvlText w:val="%1."/>
      <w:lvlJc w:val="left"/>
      <w:pPr>
        <w:ind w:left="0" w:firstLine="0"/>
      </w:pPr>
      <w:rPr>
        <w:rFonts w:hint="default"/>
        <w:b/>
      </w:rPr>
    </w:lvl>
    <w:lvl w:ilvl="1" w:tentative="0">
      <w:start w:val="1"/>
      <w:numFmt w:val="decimal"/>
      <w:lvlText w:val="%1.%2."/>
      <w:lvlJc w:val="left"/>
      <w:pPr>
        <w:ind w:left="426" w:firstLine="0"/>
      </w:pPr>
      <w:rPr>
        <w:rFonts w:hint="default"/>
        <w:sz w:val="20"/>
        <w:szCs w:val="20"/>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num w:numId="1">
    <w:abstractNumId w:val="0"/>
  </w:num>
  <w:num w:numId="2">
    <w:abstractNumId w:val="6"/>
  </w:num>
  <w:num w:numId="3">
    <w:abstractNumId w:val="4"/>
  </w:num>
  <w:num w:numId="4">
    <w:abstractNumId w:val="8"/>
  </w:num>
  <w:num w:numId="5">
    <w:abstractNumId w:val="7"/>
  </w:num>
  <w:num w:numId="6">
    <w:abstractNumId w:val="2"/>
  </w:num>
  <w:num w:numId="7">
    <w:abstractNumId w:val="10"/>
  </w:num>
  <w:num w:numId="8">
    <w:abstractNumId w:val="1"/>
  </w:num>
  <w:num w:numId="9">
    <w:abstractNumId w:val="3"/>
  </w:num>
  <w:num w:numId="10">
    <w:abstractNumId w:val="11"/>
  </w:num>
  <w:num w:numId="11">
    <w:abstractNumId w:val="5"/>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compat>
    <w:compatSetting w:name="compatibilityMode" w:uri="http://schemas.microsoft.com/office/word" w:val="12"/>
  </w:compat>
  <w:rsids>
    <w:rsidRoot w:val="00D00846"/>
    <w:rsid w:val="00000CC9"/>
    <w:rsid w:val="000022E3"/>
    <w:rsid w:val="00003DC8"/>
    <w:rsid w:val="00003F6F"/>
    <w:rsid w:val="0000744D"/>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6845"/>
    <w:rsid w:val="00127D00"/>
    <w:rsid w:val="00131CE1"/>
    <w:rsid w:val="0013270F"/>
    <w:rsid w:val="001375A4"/>
    <w:rsid w:val="001421D5"/>
    <w:rsid w:val="00147D80"/>
    <w:rsid w:val="0015089E"/>
    <w:rsid w:val="001537E3"/>
    <w:rsid w:val="00156910"/>
    <w:rsid w:val="00161EFF"/>
    <w:rsid w:val="001701E5"/>
    <w:rsid w:val="001718F3"/>
    <w:rsid w:val="0018292F"/>
    <w:rsid w:val="00186725"/>
    <w:rsid w:val="00195DD6"/>
    <w:rsid w:val="001A17D2"/>
    <w:rsid w:val="001B64FC"/>
    <w:rsid w:val="001D054A"/>
    <w:rsid w:val="001D2FF2"/>
    <w:rsid w:val="001E00F8"/>
    <w:rsid w:val="001E4BD9"/>
    <w:rsid w:val="001F3184"/>
    <w:rsid w:val="00200969"/>
    <w:rsid w:val="00214DFA"/>
    <w:rsid w:val="00214ED8"/>
    <w:rsid w:val="00220889"/>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3186F"/>
    <w:rsid w:val="00340CD7"/>
    <w:rsid w:val="003510AC"/>
    <w:rsid w:val="00352543"/>
    <w:rsid w:val="00356AC2"/>
    <w:rsid w:val="003605BC"/>
    <w:rsid w:val="00360EBF"/>
    <w:rsid w:val="003672D0"/>
    <w:rsid w:val="003712CE"/>
    <w:rsid w:val="00372BD7"/>
    <w:rsid w:val="00373279"/>
    <w:rsid w:val="00386203"/>
    <w:rsid w:val="00390D62"/>
    <w:rsid w:val="0039142E"/>
    <w:rsid w:val="003A2ED5"/>
    <w:rsid w:val="003A43A2"/>
    <w:rsid w:val="003A564E"/>
    <w:rsid w:val="003A596E"/>
    <w:rsid w:val="003A674F"/>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653D"/>
    <w:rsid w:val="00416873"/>
    <w:rsid w:val="00420ED9"/>
    <w:rsid w:val="004238E9"/>
    <w:rsid w:val="00423CFC"/>
    <w:rsid w:val="0043084F"/>
    <w:rsid w:val="004408DA"/>
    <w:rsid w:val="00440DB9"/>
    <w:rsid w:val="004432FD"/>
    <w:rsid w:val="0044340A"/>
    <w:rsid w:val="00445448"/>
    <w:rsid w:val="00446E0B"/>
    <w:rsid w:val="00447F9F"/>
    <w:rsid w:val="00447FA8"/>
    <w:rsid w:val="0045174B"/>
    <w:rsid w:val="004534F6"/>
    <w:rsid w:val="00453712"/>
    <w:rsid w:val="004560B9"/>
    <w:rsid w:val="00460E8B"/>
    <w:rsid w:val="00461FCB"/>
    <w:rsid w:val="00464C98"/>
    <w:rsid w:val="00465F78"/>
    <w:rsid w:val="0046669A"/>
    <w:rsid w:val="00471933"/>
    <w:rsid w:val="00473109"/>
    <w:rsid w:val="0047346C"/>
    <w:rsid w:val="00481B8F"/>
    <w:rsid w:val="004823EC"/>
    <w:rsid w:val="00483E66"/>
    <w:rsid w:val="0048473A"/>
    <w:rsid w:val="00484D9F"/>
    <w:rsid w:val="00495A10"/>
    <w:rsid w:val="004A4C88"/>
    <w:rsid w:val="004A5793"/>
    <w:rsid w:val="004B05BE"/>
    <w:rsid w:val="004B6C55"/>
    <w:rsid w:val="004B6CA4"/>
    <w:rsid w:val="004C447A"/>
    <w:rsid w:val="004C65AD"/>
    <w:rsid w:val="004C7DD8"/>
    <w:rsid w:val="004D40E6"/>
    <w:rsid w:val="004D52B0"/>
    <w:rsid w:val="004D728E"/>
    <w:rsid w:val="004E063D"/>
    <w:rsid w:val="004E3A5C"/>
    <w:rsid w:val="004E595C"/>
    <w:rsid w:val="004F2265"/>
    <w:rsid w:val="004F57CA"/>
    <w:rsid w:val="005000A6"/>
    <w:rsid w:val="00503783"/>
    <w:rsid w:val="005063C6"/>
    <w:rsid w:val="005100EE"/>
    <w:rsid w:val="00510916"/>
    <w:rsid w:val="00511126"/>
    <w:rsid w:val="00512D1A"/>
    <w:rsid w:val="00520B75"/>
    <w:rsid w:val="00522713"/>
    <w:rsid w:val="00524B89"/>
    <w:rsid w:val="0052574A"/>
    <w:rsid w:val="0052759B"/>
    <w:rsid w:val="00530EC4"/>
    <w:rsid w:val="005472B5"/>
    <w:rsid w:val="005653E2"/>
    <w:rsid w:val="0057004B"/>
    <w:rsid w:val="00581604"/>
    <w:rsid w:val="00582238"/>
    <w:rsid w:val="00595071"/>
    <w:rsid w:val="00596404"/>
    <w:rsid w:val="005B14C9"/>
    <w:rsid w:val="005B3CD9"/>
    <w:rsid w:val="005B4217"/>
    <w:rsid w:val="005B55B2"/>
    <w:rsid w:val="005C3AD0"/>
    <w:rsid w:val="005C555B"/>
    <w:rsid w:val="005D0EB4"/>
    <w:rsid w:val="005D3BC2"/>
    <w:rsid w:val="005E0778"/>
    <w:rsid w:val="005E2AE4"/>
    <w:rsid w:val="005E32AA"/>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830D1"/>
    <w:rsid w:val="00683576"/>
    <w:rsid w:val="00684822"/>
    <w:rsid w:val="0069666A"/>
    <w:rsid w:val="006A56ED"/>
    <w:rsid w:val="006A6D49"/>
    <w:rsid w:val="006B0F17"/>
    <w:rsid w:val="006B10A5"/>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D0242"/>
    <w:rsid w:val="007D1EA1"/>
    <w:rsid w:val="007D2BF7"/>
    <w:rsid w:val="007D6248"/>
    <w:rsid w:val="007D6BFA"/>
    <w:rsid w:val="007D7EE1"/>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C7360"/>
    <w:rsid w:val="008D3702"/>
    <w:rsid w:val="008D5781"/>
    <w:rsid w:val="008D63D4"/>
    <w:rsid w:val="008E4A1A"/>
    <w:rsid w:val="008E4A25"/>
    <w:rsid w:val="008E57D1"/>
    <w:rsid w:val="008F0A8E"/>
    <w:rsid w:val="00900FF0"/>
    <w:rsid w:val="009020A1"/>
    <w:rsid w:val="009028D3"/>
    <w:rsid w:val="00910A54"/>
    <w:rsid w:val="0091311C"/>
    <w:rsid w:val="009229A5"/>
    <w:rsid w:val="00924FE6"/>
    <w:rsid w:val="009333FC"/>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043"/>
    <w:rsid w:val="009B1F55"/>
    <w:rsid w:val="009B4E79"/>
    <w:rsid w:val="009B59AA"/>
    <w:rsid w:val="009B77AB"/>
    <w:rsid w:val="009B781A"/>
    <w:rsid w:val="009C0766"/>
    <w:rsid w:val="009C2B8A"/>
    <w:rsid w:val="009C4EC5"/>
    <w:rsid w:val="009D2CDE"/>
    <w:rsid w:val="009D5EBA"/>
    <w:rsid w:val="009E6F22"/>
    <w:rsid w:val="009F07ED"/>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24011"/>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D0781"/>
    <w:rsid w:val="00BE13FA"/>
    <w:rsid w:val="00BE2449"/>
    <w:rsid w:val="00BE5F79"/>
    <w:rsid w:val="00BE7F4C"/>
    <w:rsid w:val="00C01226"/>
    <w:rsid w:val="00C033F4"/>
    <w:rsid w:val="00C0561B"/>
    <w:rsid w:val="00C06917"/>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9A0"/>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609CA"/>
    <w:rsid w:val="00E675C7"/>
    <w:rsid w:val="00E723A0"/>
    <w:rsid w:val="00E72627"/>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E6854"/>
    <w:rsid w:val="00EF3FAE"/>
    <w:rsid w:val="00EF4724"/>
    <w:rsid w:val="00EF4C77"/>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D01"/>
    <w:rsid w:val="00F716B7"/>
    <w:rsid w:val="00F71FFD"/>
    <w:rsid w:val="00F7413E"/>
    <w:rsid w:val="00F808A0"/>
    <w:rsid w:val="00F8240C"/>
    <w:rsid w:val="00F82A83"/>
    <w:rsid w:val="00F9390C"/>
    <w:rsid w:val="00F96052"/>
    <w:rsid w:val="00F974C2"/>
    <w:rsid w:val="00FA1115"/>
    <w:rsid w:val="00FA4CD7"/>
    <w:rsid w:val="00FA5124"/>
    <w:rsid w:val="00FB13C7"/>
    <w:rsid w:val="00FB4721"/>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8933692"/>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9C1F13"/>
    <w:rsid w:val="55D9505D"/>
    <w:rsid w:val="56D0C33C"/>
    <w:rsid w:val="589774CA"/>
    <w:rsid w:val="597F26EA"/>
    <w:rsid w:val="59970B99"/>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 w:val="7C9A705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Liberation Serif" w:hAnsi="Liberation Serif" w:eastAsia="WenQuanYi Micro Hei" w:cs="Lohit Hin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34" w:semiHidden="0" w:name="List Paragraph"/>
    <w:lsdException w:qFormat="1" w:unhideWhenUsed="0" w:uiPriority="0" w:semiHidden="0" w:name="Quote"/>
    <w:lsdException w:qFormat="1" w:uiPriority="0" w:name="Medium Grid 2 Accent 2"/>
  </w:latentStyles>
  <w:style w:type="paragraph" w:default="1" w:styleId="1">
    <w:name w:val="Normal"/>
    <w:qFormat/>
    <w:uiPriority w:val="0"/>
    <w:pPr>
      <w:keepNext/>
      <w:shd w:val="clear" w:color="auto" w:fill="FFFFFF"/>
      <w:tabs>
        <w:tab w:val="left" w:pos="708"/>
      </w:tabs>
      <w:suppressAutoHyphens/>
      <w:overflowPunct w:val="0"/>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qFormat/>
    <w:uiPriority w:val="0"/>
    <w:pPr>
      <w:numPr>
        <w:ilvl w:val="0"/>
        <w:numId w:val="1"/>
      </w:numPr>
      <w:tabs>
        <w:tab w:val="left" w:pos="708"/>
      </w:tabs>
      <w:outlineLvl w:val="0"/>
    </w:pPr>
    <w:rPr>
      <w:b/>
      <w:bCs/>
      <w:sz w:val="36"/>
      <w:szCs w:val="36"/>
    </w:rPr>
  </w:style>
  <w:style w:type="paragraph" w:styleId="5">
    <w:name w:val="heading 2"/>
    <w:basedOn w:val="1"/>
    <w:next w:val="4"/>
    <w:qFormat/>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qFormat/>
    <w:uiPriority w:val="0"/>
    <w:pPr>
      <w:numPr>
        <w:ilvl w:val="2"/>
        <w:numId w:val="1"/>
      </w:numPr>
      <w:tabs>
        <w:tab w:val="left" w:pos="708"/>
      </w:tabs>
      <w:spacing w:before="140"/>
      <w:outlineLvl w:val="2"/>
    </w:pPr>
    <w:rPr>
      <w:b/>
      <w:bCs/>
      <w:color w:val="808080"/>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4"/>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uiPriority w:val="0"/>
    <w:pPr>
      <w:spacing w:after="120"/>
    </w:pPr>
  </w:style>
  <w:style w:type="character" w:styleId="9">
    <w:name w:val="annotation reference"/>
    <w:basedOn w:val="7"/>
    <w:unhideWhenUsed/>
    <w:qFormat/>
    <w:uiPriority w:val="99"/>
    <w:rPr>
      <w:sz w:val="16"/>
      <w:szCs w:val="16"/>
    </w:rPr>
  </w:style>
  <w:style w:type="character" w:styleId="10">
    <w:name w:val="Hyperlink"/>
    <w:basedOn w:val="7"/>
    <w:qFormat/>
    <w:uiPriority w:val="0"/>
    <w:rPr>
      <w:color w:val="0563C1"/>
      <w:u w:val="single"/>
    </w:rPr>
  </w:style>
  <w:style w:type="paragraph" w:styleId="11">
    <w:name w:val="List"/>
    <w:basedOn w:val="4"/>
    <w:qFormat/>
    <w:uiPriority w:val="0"/>
    <w:rPr>
      <w:rFonts w:cs="Lohit Hindi"/>
    </w:rPr>
  </w:style>
  <w:style w:type="paragraph" w:styleId="12">
    <w:name w:val="Body Text"/>
    <w:basedOn w:val="1"/>
    <w:link w:val="77"/>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3">
    <w:name w:val="annotation text"/>
    <w:basedOn w:val="1"/>
    <w:link w:val="76"/>
    <w:unhideWhenUsed/>
    <w:qFormat/>
    <w:uiPriority w:val="99"/>
    <w:rPr>
      <w:sz w:val="20"/>
      <w:szCs w:val="20"/>
    </w:rPr>
  </w:style>
  <w:style w:type="paragraph" w:styleId="14">
    <w:name w:val="List Bullet 5"/>
    <w:basedOn w:val="1"/>
    <w:qFormat/>
    <w:uiPriority w:val="0"/>
  </w:style>
  <w:style w:type="paragraph" w:styleId="15">
    <w:name w:val="Normal (Web)"/>
    <w:basedOn w:val="1"/>
    <w:qFormat/>
    <w:uiPriority w:val="99"/>
    <w:pPr>
      <w:spacing w:before="28" w:after="28"/>
    </w:pPr>
    <w:rPr>
      <w:rFonts w:ascii="Times New Roman" w:hAnsi="Times New Roman" w:cs="Times New Roman"/>
    </w:rPr>
  </w:style>
  <w:style w:type="paragraph" w:styleId="16">
    <w:name w:val="Plain Text"/>
    <w:basedOn w:val="1"/>
    <w:link w:val="104"/>
    <w:semiHidden/>
    <w:unhideWhenUsed/>
    <w:qFormat/>
    <w:uiPriority w:val="99"/>
    <w:pPr>
      <w:keepNext w:val="0"/>
      <w:shd w:val="clear" w:color="auto" w:fill="auto"/>
      <w:tabs>
        <w:tab w:val="clear" w:pos="708"/>
      </w:tabs>
      <w:suppressAutoHyphens w:val="0"/>
      <w:overflowPunct/>
      <w:textAlignment w:val="auto"/>
    </w:pPr>
    <w:rPr>
      <w:rFonts w:ascii="Calibri" w:hAnsi="Calibri" w:eastAsiaTheme="minorHAnsi" w:cstheme="minorBidi"/>
      <w:color w:val="auto"/>
      <w:sz w:val="22"/>
      <w:szCs w:val="21"/>
      <w:lang w:eastAsia="en-US"/>
    </w:rPr>
  </w:style>
  <w:style w:type="paragraph" w:styleId="17">
    <w:name w:val="header"/>
    <w:basedOn w:val="1"/>
    <w:qFormat/>
    <w:uiPriority w:val="0"/>
    <w:pPr>
      <w:suppressLineNumbers/>
      <w:tabs>
        <w:tab w:val="center" w:pos="4252"/>
        <w:tab w:val="right" w:pos="8504"/>
      </w:tabs>
    </w:pPr>
  </w:style>
  <w:style w:type="paragraph" w:styleId="18">
    <w:name w:val="annotation subject"/>
    <w:basedOn w:val="13"/>
    <w:next w:val="13"/>
    <w:link w:val="86"/>
    <w:semiHidden/>
    <w:unhideWhenUsed/>
    <w:qFormat/>
    <w:uiPriority w:val="99"/>
    <w:rPr>
      <w:b/>
      <w:bCs/>
    </w:rPr>
  </w:style>
  <w:style w:type="paragraph" w:styleId="19">
    <w:name w:val="footer"/>
    <w:basedOn w:val="1"/>
    <w:qFormat/>
    <w:uiPriority w:val="99"/>
    <w:pPr>
      <w:suppressLineNumbers/>
      <w:tabs>
        <w:tab w:val="center" w:pos="4252"/>
        <w:tab w:val="right" w:pos="8504"/>
      </w:tabs>
    </w:pPr>
  </w:style>
  <w:style w:type="paragraph" w:styleId="20">
    <w:name w:val="caption"/>
    <w:basedOn w:val="1"/>
    <w:next w:val="1"/>
    <w:qFormat/>
    <w:uiPriority w:val="0"/>
    <w:pPr>
      <w:suppressLineNumbers/>
      <w:spacing w:before="120" w:after="120"/>
    </w:pPr>
    <w:rPr>
      <w:rFonts w:cs="Lohit Hindi"/>
      <w:i/>
      <w:iCs/>
    </w:rPr>
  </w:style>
  <w:style w:type="paragraph" w:styleId="21">
    <w:name w:val="Balloon Text"/>
    <w:basedOn w:val="1"/>
    <w:qFormat/>
    <w:uiPriority w:val="0"/>
    <w:rPr>
      <w:rFonts w:ascii="Tahoma" w:hAnsi="Tahoma"/>
      <w:sz w:val="16"/>
      <w:szCs w:val="16"/>
    </w:rPr>
  </w:style>
  <w:style w:type="paragraph" w:styleId="22">
    <w:name w:val="Subtitle"/>
    <w:basedOn w:val="3"/>
    <w:next w:val="4"/>
    <w:qFormat/>
    <w:uiPriority w:val="0"/>
    <w:pPr>
      <w:spacing w:before="60"/>
      <w:jc w:val="center"/>
    </w:pPr>
    <w:rPr>
      <w:sz w:val="36"/>
      <w:szCs w:val="36"/>
    </w:rPr>
  </w:style>
  <w:style w:type="table" w:styleId="23">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Texto de balão Char"/>
    <w:qFormat/>
    <w:uiPriority w:val="0"/>
    <w:rPr>
      <w:rFonts w:ascii="Tahoma" w:hAnsi="Tahoma" w:cs="Tahoma"/>
      <w:sz w:val="16"/>
      <w:szCs w:val="16"/>
    </w:rPr>
  </w:style>
  <w:style w:type="character" w:customStyle="1" w:styleId="25">
    <w:name w:val="Título 2 Char"/>
    <w:qFormat/>
    <w:uiPriority w:val="0"/>
    <w:rPr>
      <w:b/>
      <w:color w:val="000000"/>
      <w:sz w:val="24"/>
    </w:rPr>
  </w:style>
  <w:style w:type="character" w:customStyle="1" w:styleId="26">
    <w:name w:val="normal__char1"/>
    <w:qFormat/>
    <w:uiPriority w:val="0"/>
    <w:rPr>
      <w:rFonts w:ascii="Arial" w:hAnsi="Arial" w:cs="Arial"/>
      <w:sz w:val="24"/>
      <w:szCs w:val="24"/>
      <w:u w:val="none"/>
    </w:rPr>
  </w:style>
  <w:style w:type="character" w:customStyle="1" w:styleId="27">
    <w:name w:val="apple-style-span"/>
    <w:basedOn w:val="7"/>
    <w:qFormat/>
    <w:uiPriority w:val="0"/>
  </w:style>
  <w:style w:type="character" w:customStyle="1" w:styleId="28">
    <w:name w:val="Link da Internet"/>
    <w:qFormat/>
    <w:uiPriority w:val="0"/>
    <w:rPr>
      <w:color w:val="000080"/>
      <w:u w:val="single"/>
      <w:lang w:val="en-US" w:eastAsia="en-US" w:bidi="en-US"/>
    </w:rPr>
  </w:style>
  <w:style w:type="character" w:customStyle="1" w:styleId="29">
    <w:name w:val="Citação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0">
    <w:name w:val="citação 2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1">
    <w:name w:val="Cabeçalho Char"/>
    <w:qFormat/>
    <w:uiPriority w:val="0"/>
    <w:rPr>
      <w:rFonts w:ascii="Ecofont_Spranq_eco_Sans" w:hAnsi="Ecofont_Spranq_eco_Sans" w:cs="Tahoma"/>
      <w:sz w:val="24"/>
      <w:szCs w:val="24"/>
    </w:rPr>
  </w:style>
  <w:style w:type="character" w:customStyle="1" w:styleId="32">
    <w:name w:val="Rodapé Char"/>
    <w:uiPriority w:val="99"/>
    <w:rPr>
      <w:rFonts w:ascii="Ecofont_Spranq_eco_Sans" w:hAnsi="Ecofont_Spranq_eco_Sans" w:cs="Tahoma"/>
      <w:sz w:val="24"/>
      <w:szCs w:val="24"/>
    </w:rPr>
  </w:style>
  <w:style w:type="character" w:customStyle="1" w:styleId="33">
    <w:name w:val="cp_0020corpodespacho__char1"/>
    <w:uiPriority w:val="0"/>
    <w:rPr>
      <w:rFonts w:ascii="Times New Roman" w:hAnsi="Times New Roman" w:cs="Times New Roman"/>
      <w:sz w:val="26"/>
      <w:szCs w:val="26"/>
      <w:u w:val="none"/>
    </w:rPr>
  </w:style>
  <w:style w:type="character" w:customStyle="1" w:styleId="34">
    <w:name w:val="em_0020ementa__char1"/>
    <w:qFormat/>
    <w:uiPriority w:val="0"/>
    <w:rPr>
      <w:rFonts w:ascii="Times New Roman" w:hAnsi="Times New Roman" w:cs="Times New Roman"/>
      <w:sz w:val="28"/>
      <w:szCs w:val="28"/>
      <w:u w:val="none"/>
    </w:rPr>
  </w:style>
  <w:style w:type="character" w:customStyle="1" w:styleId="35">
    <w:name w:val="ListLabel 1"/>
    <w:qFormat/>
    <w:uiPriority w:val="0"/>
    <w:rPr>
      <w:b/>
    </w:rPr>
  </w:style>
  <w:style w:type="character" w:customStyle="1" w:styleId="36">
    <w:name w:val="ListLabel 2"/>
    <w:uiPriority w:val="0"/>
  </w:style>
  <w:style w:type="character" w:customStyle="1" w:styleId="37">
    <w:name w:val="ListLabel 3"/>
    <w:uiPriority w:val="0"/>
    <w:rPr>
      <w:rFonts w:eastAsia="Arial Unicode MS"/>
    </w:rPr>
  </w:style>
  <w:style w:type="character" w:customStyle="1" w:styleId="38">
    <w:name w:val="ListLabel 4"/>
    <w:qFormat/>
    <w:uiPriority w:val="0"/>
    <w:rPr>
      <w:rFonts w:cs="Arial"/>
      <w:i/>
      <w:color w:val="FF0000"/>
    </w:rPr>
  </w:style>
  <w:style w:type="character" w:customStyle="1" w:styleId="39">
    <w:name w:val="ListLabel 5"/>
    <w:qFormat/>
    <w:uiPriority w:val="0"/>
    <w:rPr>
      <w:color w:val="0000FF"/>
    </w:rPr>
  </w:style>
  <w:style w:type="character" w:customStyle="1" w:styleId="40">
    <w:name w:val="ListLabel 6"/>
    <w:qFormat/>
    <w:uiPriority w:val="0"/>
    <w:rPr>
      <w:b/>
    </w:rPr>
  </w:style>
  <w:style w:type="character" w:customStyle="1" w:styleId="41">
    <w:name w:val="ListLabel 7"/>
    <w:qFormat/>
    <w:uiPriority w:val="0"/>
    <w:rPr>
      <w:b/>
      <w:color w:val="00000A"/>
    </w:rPr>
  </w:style>
  <w:style w:type="character" w:customStyle="1" w:styleId="42">
    <w:name w:val="ListLabel 8"/>
    <w:qFormat/>
    <w:uiPriority w:val="0"/>
  </w:style>
  <w:style w:type="character" w:customStyle="1" w:styleId="43">
    <w:name w:val="ListLabel 9"/>
    <w:qFormat/>
    <w:uiPriority w:val="0"/>
    <w:rPr>
      <w:color w:val="00000A"/>
    </w:rPr>
  </w:style>
  <w:style w:type="character" w:customStyle="1" w:styleId="44">
    <w:name w:val="ListLabel 10"/>
    <w:qFormat/>
    <w:uiPriority w:val="0"/>
    <w:rPr>
      <w:b/>
    </w:rPr>
  </w:style>
  <w:style w:type="character" w:customStyle="1" w:styleId="45">
    <w:name w:val="ListLabel 11"/>
    <w:qFormat/>
    <w:uiPriority w:val="0"/>
  </w:style>
  <w:style w:type="character" w:customStyle="1" w:styleId="46">
    <w:name w:val="ListLabel 12"/>
    <w:qFormat/>
    <w:uiPriority w:val="0"/>
    <w:rPr>
      <w:b/>
    </w:rPr>
  </w:style>
  <w:style w:type="character" w:customStyle="1" w:styleId="47">
    <w:name w:val="ListLabel 13"/>
    <w:qFormat/>
    <w:uiPriority w:val="0"/>
  </w:style>
  <w:style w:type="character" w:customStyle="1" w:styleId="48">
    <w:name w:val="WW_CharLFO2LVL1"/>
    <w:qFormat/>
    <w:uiPriority w:val="0"/>
    <w:rPr>
      <w:b/>
    </w:rPr>
  </w:style>
  <w:style w:type="character" w:customStyle="1" w:styleId="49">
    <w:name w:val="WW_CharLFO2LVL2"/>
    <w:qFormat/>
    <w:uiPriority w:val="0"/>
  </w:style>
  <w:style w:type="character" w:customStyle="1" w:styleId="50">
    <w:name w:val="WW_CharLFO2LVL3"/>
    <w:qFormat/>
    <w:uiPriority w:val="0"/>
  </w:style>
  <w:style w:type="character" w:customStyle="1" w:styleId="51">
    <w:name w:val="WW_CharLFO3LVL1"/>
    <w:qFormat/>
    <w:uiPriority w:val="0"/>
    <w:rPr>
      <w:b/>
    </w:rPr>
  </w:style>
  <w:style w:type="character" w:customStyle="1" w:styleId="52">
    <w:name w:val="WW_CharLFO3LVL2"/>
    <w:qFormat/>
    <w:uiPriority w:val="0"/>
  </w:style>
  <w:style w:type="character" w:customStyle="1" w:styleId="53">
    <w:name w:val="WW_CharLFO3LVL3"/>
    <w:qFormat/>
    <w:uiPriority w:val="0"/>
  </w:style>
  <w:style w:type="character" w:customStyle="1" w:styleId="54">
    <w:name w:val="WW_CharLFO4LVL1"/>
    <w:qFormat/>
    <w:uiPriority w:val="0"/>
    <w:rPr>
      <w:b/>
    </w:rPr>
  </w:style>
  <w:style w:type="character" w:customStyle="1" w:styleId="55">
    <w:name w:val="WW_CharLFO4LVL2"/>
    <w:qFormat/>
    <w:uiPriority w:val="0"/>
  </w:style>
  <w:style w:type="character" w:customStyle="1" w:styleId="56">
    <w:name w:val="WW_CharLFO4LVL3"/>
    <w:qFormat/>
    <w:uiPriority w:val="0"/>
  </w:style>
  <w:style w:type="character" w:customStyle="1" w:styleId="57">
    <w:name w:val="Comment Text Char"/>
    <w:basedOn w:val="7"/>
    <w:qFormat/>
    <w:uiPriority w:val="0"/>
    <w:rPr>
      <w:rFonts w:cs="Mangal"/>
      <w:sz w:val="20"/>
      <w:szCs w:val="18"/>
    </w:rPr>
  </w:style>
  <w:style w:type="character" w:customStyle="1" w:styleId="58">
    <w:name w:val="Comment Reference"/>
    <w:basedOn w:val="7"/>
    <w:qFormat/>
    <w:uiPriority w:val="0"/>
    <w:rPr>
      <w:sz w:val="16"/>
      <w:szCs w:val="16"/>
    </w:rPr>
  </w:style>
  <w:style w:type="character" w:customStyle="1" w:styleId="59">
    <w:name w:val="Quote Char"/>
    <w:basedOn w:val="7"/>
    <w:link w:val="60"/>
    <w:qFormat/>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0">
    <w:name w:val="Citação1"/>
    <w:basedOn w:val="1"/>
    <w:next w:val="1"/>
    <w:link w:val="59"/>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61">
    <w:name w:val="Manoel"/>
    <w:qFormat/>
    <w:uiPriority w:val="0"/>
    <w:rPr>
      <w:rFonts w:ascii="Arial" w:hAnsi="Arial" w:cs="Arial"/>
      <w:color w:val="7030A0"/>
      <w:sz w:val="20"/>
    </w:rPr>
  </w:style>
  <w:style w:type="paragraph" w:customStyle="1" w:styleId="62">
    <w:name w:val="LO-Normal"/>
    <w:qFormat/>
    <w:uiPriority w:val="0"/>
    <w:pPr>
      <w:keepNext/>
      <w:widowControl w:val="0"/>
      <w:shd w:val="clear" w:color="auto" w:fill="FFFFFF"/>
      <w:suppressAutoHyphens/>
      <w:textAlignment w:val="baseline"/>
    </w:pPr>
    <w:rPr>
      <w:rFonts w:ascii="Liberation Serif" w:hAnsi="Liberation Serif" w:eastAsia="WenQuanYi Micro Hei" w:cs="Lohit Hindi"/>
      <w:sz w:val="24"/>
      <w:szCs w:val="24"/>
      <w:lang w:val="pt-BR" w:eastAsia="zh-CN" w:bidi="hi-IN"/>
    </w:rPr>
  </w:style>
  <w:style w:type="paragraph" w:customStyle="1" w:styleId="63">
    <w:name w:val="Índice"/>
    <w:basedOn w:val="1"/>
    <w:qFormat/>
    <w:uiPriority w:val="0"/>
    <w:pPr>
      <w:suppressLineNumbers/>
    </w:pPr>
    <w:rPr>
      <w:rFonts w:cs="Lohit Hindi"/>
    </w:rPr>
  </w:style>
  <w:style w:type="paragraph" w:styleId="64">
    <w:name w:val="List Paragraph"/>
    <w:basedOn w:val="1"/>
    <w:qFormat/>
    <w:uiPriority w:val="34"/>
    <w:pPr>
      <w:tabs>
        <w:tab w:val="left" w:pos="-12"/>
      </w:tabs>
      <w:ind w:left="720"/>
    </w:pPr>
  </w:style>
  <w:style w:type="paragraph" w:customStyle="1" w:styleId="65">
    <w:name w:val="Nível 2"/>
    <w:qFormat/>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sz w:val="20"/>
      <w:szCs w:val="20"/>
      <w:lang w:val="pt-BR" w:eastAsia="zh-CN" w:bidi="hi-IN"/>
    </w:rPr>
  </w:style>
  <w:style w:type="paragraph" w:styleId="66">
    <w:name w:val="Quote"/>
    <w:basedOn w:val="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paragraph" w:customStyle="1" w:styleId="67">
    <w:name w:val="citação 2"/>
    <w:basedOn w:val="66"/>
    <w:qFormat/>
    <w:uiPriority w:val="0"/>
    <w:rPr>
      <w:szCs w:val="20"/>
    </w:rPr>
  </w:style>
  <w:style w:type="paragraph" w:customStyle="1" w:styleId="68">
    <w:name w:val="em_0020ementa"/>
    <w:basedOn w:val="1"/>
    <w:qFormat/>
    <w:uiPriority w:val="0"/>
    <w:pPr>
      <w:tabs>
        <w:tab w:val="left" w:pos="-3452"/>
      </w:tabs>
      <w:ind w:left="4160"/>
      <w:jc w:val="both"/>
    </w:pPr>
    <w:rPr>
      <w:rFonts w:ascii="Times New Roman" w:hAnsi="Times New Roman" w:cs="Times New Roman"/>
      <w:sz w:val="28"/>
      <w:szCs w:val="28"/>
    </w:rPr>
  </w:style>
  <w:style w:type="paragraph" w:customStyle="1" w:styleId="69">
    <w:name w:val="Conteúdo da tabela"/>
    <w:basedOn w:val="1"/>
    <w:qFormat/>
    <w:uiPriority w:val="0"/>
    <w:pPr>
      <w:suppressLineNumbers/>
    </w:pPr>
  </w:style>
  <w:style w:type="paragraph" w:customStyle="1" w:styleId="70">
    <w:name w:val="Comment Text"/>
    <w:basedOn w:val="62"/>
    <w:qFormat/>
    <w:uiPriority w:val="0"/>
    <w:rPr>
      <w:rFonts w:cs="Mangal"/>
      <w:sz w:val="20"/>
      <w:szCs w:val="18"/>
    </w:rPr>
  </w:style>
  <w:style w:type="paragraph" w:customStyle="1" w:styleId="71">
    <w:name w:val="Citações"/>
    <w:basedOn w:val="1"/>
    <w:qFormat/>
    <w:uiPriority w:val="0"/>
    <w:pPr>
      <w:spacing w:after="283"/>
      <w:ind w:left="567" w:right="567"/>
    </w:pPr>
  </w:style>
  <w:style w:type="paragraph" w:customStyle="1" w:styleId="72">
    <w:name w:val="Título do documento"/>
    <w:basedOn w:val="3"/>
    <w:next w:val="4"/>
    <w:qFormat/>
    <w:uiPriority w:val="0"/>
    <w:pPr>
      <w:jc w:val="center"/>
    </w:pPr>
    <w:rPr>
      <w:b/>
      <w:bCs/>
      <w:sz w:val="56"/>
      <w:szCs w:val="56"/>
    </w:rPr>
  </w:style>
  <w:style w:type="paragraph" w:customStyle="1" w:styleId="73">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0"/>
      <w:szCs w:val="24"/>
      <w:lang w:val="pt-BR" w:eastAsia="zh-CN" w:bidi="hi-IN"/>
    </w:rPr>
  </w:style>
  <w:style w:type="paragraph" w:customStyle="1" w:styleId="74">
    <w:name w:val="Linha horizontal"/>
    <w:basedOn w:val="1"/>
    <w:next w:val="4"/>
    <w:qFormat/>
    <w:uiPriority w:val="0"/>
    <w:pPr>
      <w:suppressLineNumbers/>
      <w:pBdr>
        <w:bottom w:val="double" w:color="808080" w:sz="2" w:space="0"/>
      </w:pBdr>
      <w:spacing w:after="283"/>
    </w:pPr>
    <w:rPr>
      <w:sz w:val="12"/>
      <w:szCs w:val="12"/>
    </w:rPr>
  </w:style>
  <w:style w:type="paragraph" w:customStyle="1" w:styleId="75">
    <w:name w:val="Título de tabela"/>
    <w:basedOn w:val="69"/>
    <w:qFormat/>
    <w:uiPriority w:val="0"/>
    <w:pPr>
      <w:jc w:val="center"/>
    </w:pPr>
    <w:rPr>
      <w:b/>
      <w:bCs/>
    </w:rPr>
  </w:style>
  <w:style w:type="character" w:customStyle="1" w:styleId="76">
    <w:name w:val="Texto de comentário Char"/>
    <w:basedOn w:val="7"/>
    <w:link w:val="13"/>
    <w:qFormat/>
    <w:uiPriority w:val="99"/>
    <w:rPr>
      <w:rFonts w:ascii="Ecofont_Spranq_eco_Sans" w:hAnsi="Ecofont_Spranq_eco_Sans" w:eastAsia="Times New Roman" w:cs="Tahoma"/>
      <w:color w:val="00000A"/>
      <w:sz w:val="20"/>
      <w:szCs w:val="20"/>
      <w:shd w:val="clear" w:color="auto" w:fill="FFFFFF"/>
      <w:lang w:eastAsia="pt-BR" w:bidi="ar-SA"/>
    </w:rPr>
  </w:style>
  <w:style w:type="character" w:customStyle="1" w:styleId="77">
    <w:name w:val="Corpo de texto Char"/>
    <w:basedOn w:val="7"/>
    <w:link w:val="12"/>
    <w:qFormat/>
    <w:uiPriority w:val="0"/>
    <w:rPr>
      <w:rFonts w:ascii="Times New Roman" w:hAnsi="Times New Roman" w:eastAsia="Arial Unicode MS" w:cs="Times New Roman"/>
      <w:szCs w:val="20"/>
      <w:lang w:eastAsia="pt-BR" w:bidi="ar-SA"/>
    </w:rPr>
  </w:style>
  <w:style w:type="paragraph" w:customStyle="1" w:styleId="78">
    <w:name w:val="Nivel 2"/>
    <w:link w:val="87"/>
    <w:qFormat/>
    <w:uiPriority w:val="0"/>
    <w:pPr>
      <w:numPr>
        <w:ilvl w:val="1"/>
        <w:numId w:val="2"/>
      </w:numPr>
      <w:spacing w:before="120" w:after="120" w:line="276" w:lineRule="auto"/>
      <w:jc w:val="both"/>
      <w:textAlignment w:val="auto"/>
    </w:pPr>
    <w:rPr>
      <w:rFonts w:ascii="Ecofont_Spranq_eco_Sans" w:hAnsi="Ecofont_Spranq_eco_Sans" w:eastAsia="Arial Unicode MS" w:cs="Times New Roman"/>
      <w:sz w:val="20"/>
      <w:szCs w:val="20"/>
      <w:lang w:val="pt-BR" w:eastAsia="pt-BR" w:bidi="ar-SA"/>
    </w:rPr>
  </w:style>
  <w:style w:type="paragraph" w:customStyle="1" w:styleId="79">
    <w:name w:val="Nivel 1"/>
    <w:basedOn w:val="78"/>
    <w:next w:val="78"/>
    <w:qFormat/>
    <w:uiPriority w:val="0"/>
    <w:pPr>
      <w:numPr>
        <w:ilvl w:val="0"/>
      </w:numPr>
    </w:pPr>
    <w:rPr>
      <w:rFonts w:cs="Arial"/>
      <w:b/>
    </w:rPr>
  </w:style>
  <w:style w:type="paragraph" w:customStyle="1" w:styleId="80">
    <w:name w:val="Nivel 3"/>
    <w:basedOn w:val="78"/>
    <w:link w:val="88"/>
    <w:qFormat/>
    <w:uiPriority w:val="0"/>
    <w:pPr>
      <w:numPr>
        <w:ilvl w:val="2"/>
      </w:numPr>
    </w:pPr>
    <w:rPr>
      <w:rFonts w:cs="Arial"/>
      <w:color w:val="000000"/>
    </w:rPr>
  </w:style>
  <w:style w:type="paragraph" w:customStyle="1" w:styleId="81">
    <w:name w:val="Nivel 4"/>
    <w:basedOn w:val="80"/>
    <w:link w:val="83"/>
    <w:qFormat/>
    <w:uiPriority w:val="0"/>
    <w:pPr>
      <w:numPr>
        <w:ilvl w:val="3"/>
      </w:numPr>
    </w:pPr>
    <w:rPr>
      <w:color w:val="auto"/>
    </w:rPr>
  </w:style>
  <w:style w:type="paragraph" w:customStyle="1" w:styleId="82">
    <w:name w:val="Nivel 5"/>
    <w:basedOn w:val="81"/>
    <w:qFormat/>
    <w:uiPriority w:val="0"/>
    <w:pPr>
      <w:numPr>
        <w:ilvl w:val="4"/>
      </w:numPr>
      <w:tabs>
        <w:tab w:val="left" w:pos="360"/>
      </w:tabs>
      <w:ind w:left="2496" w:hanging="1080"/>
    </w:pPr>
  </w:style>
  <w:style w:type="character" w:customStyle="1" w:styleId="83">
    <w:name w:val="Nivel 4 Char"/>
    <w:basedOn w:val="7"/>
    <w:link w:val="81"/>
    <w:qFormat/>
    <w:uiPriority w:val="0"/>
    <w:rPr>
      <w:rFonts w:ascii="Ecofont_Spranq_eco_Sans" w:hAnsi="Ecofont_Spranq_eco_Sans" w:eastAsia="Arial Unicode MS" w:cs="Arial"/>
      <w:sz w:val="20"/>
      <w:szCs w:val="20"/>
      <w:lang w:eastAsia="pt-BR" w:bidi="ar-SA"/>
    </w:rPr>
  </w:style>
  <w:style w:type="paragraph" w:customStyle="1" w:styleId="84">
    <w:name w:val="Grade Colorida - Ênfase 11"/>
    <w:basedOn w:val="1"/>
    <w:next w:val="1"/>
    <w:link w:val="85"/>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85">
    <w:name w:val="Grade Colorida - Ênfase 1 Char"/>
    <w:link w:val="84"/>
    <w:uiPriority w:val="29"/>
    <w:rPr>
      <w:rFonts w:ascii="Ecofont_Spranq_eco_Sans" w:hAnsi="Ecofont_Spranq_eco_Sans" w:eastAsia="Calibri" w:cs="Tahoma"/>
      <w:i/>
      <w:iCs/>
      <w:color w:val="000000"/>
      <w:sz w:val="20"/>
      <w:shd w:val="clear" w:color="auto" w:fill="FFFFCC"/>
      <w:lang w:eastAsia="en-US" w:bidi="ar-SA"/>
    </w:rPr>
  </w:style>
  <w:style w:type="character" w:customStyle="1" w:styleId="86">
    <w:name w:val="Assunto do comentário Char"/>
    <w:basedOn w:val="76"/>
    <w:link w:val="18"/>
    <w:semiHidden/>
    <w:qFormat/>
    <w:uiPriority w:val="99"/>
    <w:rPr>
      <w:rFonts w:ascii="Ecofont_Spranq_eco_Sans" w:hAnsi="Ecofont_Spranq_eco_Sans" w:eastAsia="Times New Roman" w:cs="Tahoma"/>
      <w:b/>
      <w:bCs/>
      <w:color w:val="00000A"/>
      <w:sz w:val="20"/>
      <w:szCs w:val="20"/>
      <w:shd w:val="clear" w:color="auto" w:fill="FFFFFF"/>
      <w:lang w:eastAsia="pt-BR" w:bidi="ar-SA"/>
    </w:rPr>
  </w:style>
  <w:style w:type="character" w:customStyle="1" w:styleId="87">
    <w:name w:val="Nivel 2 Char"/>
    <w:basedOn w:val="7"/>
    <w:link w:val="78"/>
    <w:qFormat/>
    <w:uiPriority w:val="0"/>
    <w:rPr>
      <w:rFonts w:ascii="Ecofont_Spranq_eco_Sans" w:hAnsi="Ecofont_Spranq_eco_Sans" w:eastAsia="Arial Unicode MS" w:cs="Times New Roman"/>
      <w:sz w:val="20"/>
      <w:szCs w:val="20"/>
      <w:lang w:eastAsia="pt-BR" w:bidi="ar-SA"/>
    </w:rPr>
  </w:style>
  <w:style w:type="character" w:customStyle="1" w:styleId="88">
    <w:name w:val="Nivel 3 Char"/>
    <w:basedOn w:val="7"/>
    <w:link w:val="80"/>
    <w:qFormat/>
    <w:uiPriority w:val="0"/>
    <w:rPr>
      <w:rFonts w:ascii="Ecofont_Spranq_eco_Sans" w:hAnsi="Ecofont_Spranq_eco_Sans" w:eastAsia="Arial Unicode MS" w:cs="Arial"/>
      <w:color w:val="000000"/>
      <w:sz w:val="20"/>
      <w:szCs w:val="20"/>
      <w:lang w:eastAsia="pt-BR" w:bidi="ar-SA"/>
    </w:rPr>
  </w:style>
  <w:style w:type="character" w:customStyle="1" w:styleId="89">
    <w:name w:val="Grade Média 2 - Ênfase 2 Char"/>
    <w:qFormat/>
    <w:uiPriority w:val="0"/>
    <w:rPr>
      <w:rFonts w:ascii="Ecofont_Spranq_eco_Sans" w:hAnsi="Ecofont_Spranq_eco_Sans" w:eastAsia="Calibri" w:cs="Ecofont_Spranq_eco_Sans"/>
      <w:i/>
      <w:iCs/>
      <w:color w:val="000000"/>
      <w:szCs w:val="24"/>
      <w:shd w:val="clear" w:color="auto" w:fill="FFFFCC"/>
    </w:rPr>
  </w:style>
  <w:style w:type="table" w:styleId="90">
    <w:name w:val="Medium Grid 2 Accent 2"/>
    <w:basedOn w:val="8"/>
    <w:semiHidden/>
    <w:unhideWhenUsed/>
    <w:qFormat/>
    <w:uiPriority w:val="0"/>
    <w:rPr>
      <w:rFonts w:ascii="Ecofont_Spranq_eco_Sans" w:hAnsi="Ecofont_Spranq_eco_Sans" w:eastAsia="Calibri" w:cs="Ecofont_Spranq_eco_Sans"/>
      <w:i/>
      <w:iCs/>
      <w:color w:val="000000"/>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tcPr>
        <w:shd w:val="clear" w:color="auto" w:fill="F8EDED"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paragraph" w:customStyle="1" w:styleId="91">
    <w:name w:val="Revision"/>
    <w:hidden/>
    <w:semiHidden/>
    <w:qFormat/>
    <w:uiPriority w:val="99"/>
    <w:pPr>
      <w:textAlignment w:val="auto"/>
    </w:pPr>
    <w:rPr>
      <w:rFonts w:ascii="Ecofont_Spranq_eco_Sans" w:hAnsi="Ecofont_Spranq_eco_Sans" w:eastAsia="Times New Roman" w:cs="Tahoma"/>
      <w:color w:val="00000A"/>
      <w:sz w:val="24"/>
      <w:szCs w:val="24"/>
      <w:lang w:val="pt-BR" w:eastAsia="pt-BR" w:bidi="ar-SA"/>
    </w:rPr>
  </w:style>
  <w:style w:type="paragraph" w:customStyle="1" w:styleId="92">
    <w:name w:val="Citação10"/>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93">
    <w:name w:val="Normal + Times New Roman"/>
    <w:basedOn w:val="1"/>
    <w:uiPriority w:val="0"/>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94">
    <w:name w:val="Parágrafo da Lista1"/>
    <w:basedOn w:val="1"/>
    <w:qFormat/>
    <w:uiPriority w:val="0"/>
    <w:pPr>
      <w:keepNext w:val="0"/>
      <w:shd w:val="clear" w:color="auto" w:fill="auto"/>
      <w:tabs>
        <w:tab w:val="clear" w:pos="708"/>
      </w:tabs>
      <w:suppressAutoHyphens w:val="0"/>
      <w:overflowPunct/>
      <w:ind w:left="720"/>
      <w:textAlignment w:val="auto"/>
    </w:pPr>
    <w:rPr>
      <w:color w:val="auto"/>
    </w:rPr>
  </w:style>
  <w:style w:type="paragraph" w:customStyle="1" w:styleId="95">
    <w:name w:val="Nivel1"/>
    <w:basedOn w:val="2"/>
    <w:next w:val="1"/>
    <w:link w:val="101"/>
    <w:qFormat/>
    <w:uiPriority w:val="0"/>
    <w:pPr>
      <w:keepLines/>
      <w:numPr>
        <w:ilvl w:val="0"/>
        <w:numId w:val="0"/>
      </w:numPr>
      <w:shd w:val="clear" w:color="auto" w:fill="auto"/>
      <w:tabs>
        <w:tab w:val="left" w:pos="360"/>
        <w:tab w:val="clear" w:pos="708"/>
      </w:tabs>
      <w:suppressAutoHyphens w:val="0"/>
      <w:overflowPunct/>
      <w:spacing w:before="480" w:line="276" w:lineRule="auto"/>
      <w:ind w:left="357" w:hanging="357"/>
      <w:jc w:val="both"/>
      <w:textAlignment w:val="auto"/>
    </w:pPr>
    <w:rPr>
      <w:rFonts w:ascii="Arial" w:hAnsi="Arial" w:cs="Arial" w:eastAsiaTheme="majorEastAsia"/>
      <w:bCs w:val="0"/>
      <w:color w:val="000000"/>
      <w:sz w:val="20"/>
      <w:szCs w:val="20"/>
    </w:rPr>
  </w:style>
  <w:style w:type="paragraph" w:customStyle="1" w:styleId="96">
    <w:name w:val="paragraph"/>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97">
    <w:name w:val="normaltextrun"/>
    <w:basedOn w:val="7"/>
    <w:qFormat/>
    <w:uiPriority w:val="0"/>
  </w:style>
  <w:style w:type="character" w:customStyle="1" w:styleId="98">
    <w:name w:val="eop"/>
    <w:basedOn w:val="7"/>
    <w:uiPriority w:val="0"/>
  </w:style>
  <w:style w:type="character" w:customStyle="1" w:styleId="99">
    <w:name w:val="spellingerror"/>
    <w:basedOn w:val="7"/>
    <w:qFormat/>
    <w:uiPriority w:val="0"/>
  </w:style>
  <w:style w:type="paragraph" w:customStyle="1" w:styleId="100">
    <w:name w:val="Citação2"/>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101">
    <w:name w:val="Nivel1 Char"/>
    <w:basedOn w:val="7"/>
    <w:link w:val="95"/>
    <w:qFormat/>
    <w:locked/>
    <w:uiPriority w:val="0"/>
    <w:rPr>
      <w:rFonts w:ascii="Arial" w:hAnsi="Arial" w:cs="Arial" w:eastAsiaTheme="majorEastAsia"/>
      <w:b/>
      <w:color w:val="000000"/>
      <w:sz w:val="20"/>
      <w:szCs w:val="20"/>
      <w:lang w:eastAsia="pt-BR" w:bidi="ar-SA"/>
    </w:rPr>
  </w:style>
  <w:style w:type="paragraph" w:customStyle="1" w:styleId="102">
    <w:name w:val="Nivel 01"/>
    <w:basedOn w:val="2"/>
    <w:next w:val="1"/>
    <w:link w:val="103"/>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eastAsiaTheme="majorEastAsia" w:cstheme="majorBidi"/>
      <w:color w:val="000000"/>
      <w:sz w:val="32"/>
      <w:szCs w:val="32"/>
    </w:rPr>
  </w:style>
  <w:style w:type="character" w:customStyle="1" w:styleId="103">
    <w:name w:val="Nivel 01 Char"/>
    <w:basedOn w:val="7"/>
    <w:link w:val="102"/>
    <w:uiPriority w:val="0"/>
    <w:rPr>
      <w:rFonts w:ascii="Arial" w:hAnsi="Arial" w:eastAsiaTheme="majorEastAsia" w:cstheme="majorBidi"/>
      <w:b/>
      <w:bCs/>
      <w:color w:val="000000"/>
      <w:sz w:val="32"/>
      <w:szCs w:val="32"/>
      <w:lang w:eastAsia="pt-BR" w:bidi="ar-SA"/>
    </w:rPr>
  </w:style>
  <w:style w:type="character" w:customStyle="1" w:styleId="104">
    <w:name w:val="Texto sem Formatação Char"/>
    <w:basedOn w:val="7"/>
    <w:link w:val="16"/>
    <w:semiHidden/>
    <w:uiPriority w:val="99"/>
    <w:rPr>
      <w:rFonts w:ascii="Calibri" w:hAnsi="Calibri" w:eastAsiaTheme="minorHAnsi" w:cstheme="minorBidi"/>
      <w:sz w:val="22"/>
      <w:szCs w:val="21"/>
      <w:lang w:eastAsia="en-US" w:bidi="ar-SA"/>
    </w:rPr>
  </w:style>
  <w:style w:type="paragraph" w:customStyle="1" w:styleId="105">
    <w:name w:val="x_western"/>
    <w:basedOn w:val="1"/>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6">
    <w:name w:val="Normal_1"/>
    <w:qFormat/>
    <w:uiPriority w:val="0"/>
    <w:pPr>
      <w:textAlignment w:val="auto"/>
    </w:pPr>
    <w:rPr>
      <w:rFonts w:ascii="Times New Roman" w:hAnsi="Times New Roman" w:eastAsia="Times New Roman" w:cs="Times New Roman"/>
      <w:sz w:val="24"/>
      <w:szCs w:val="22"/>
      <w:lang w:val="pt-BR" w:eastAsia="en-US" w:bidi="ar-SA"/>
    </w:rPr>
  </w:style>
  <w:style w:type="paragraph" w:customStyle="1" w:styleId="107">
    <w:name w:val="textbody"/>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8">
    <w:name w:val="xl72"/>
    <w:basedOn w:val="1"/>
    <w:qFormat/>
    <w:uiPriority w:val="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109">
    <w:name w:val="Standard"/>
    <w:qFormat/>
    <w:uiPriority w:val="0"/>
    <w:pPr>
      <w:suppressAutoHyphens/>
      <w:autoSpaceDN w:val="0"/>
      <w:spacing w:after="200" w:line="276" w:lineRule="auto"/>
      <w:textAlignment w:val="baseline"/>
    </w:pPr>
    <w:rPr>
      <w:rFonts w:ascii="Calibri" w:hAnsi="Calibri" w:eastAsia="Segoe UI" w:cs="Tahoma"/>
      <w:sz w:val="22"/>
      <w:szCs w:val="22"/>
      <w:lang w:val="pt-BR" w:eastAsia="pt-BR" w:bidi="ar-SA"/>
    </w:rPr>
  </w:style>
  <w:style w:type="character" w:customStyle="1" w:styleId="110">
    <w:name w:val="w8qarf"/>
    <w:basedOn w:val="7"/>
    <w:qFormat/>
    <w:uiPriority w:val="0"/>
  </w:style>
  <w:style w:type="character" w:customStyle="1" w:styleId="111">
    <w:name w:val="lrzxr"/>
    <w:basedOn w:val="7"/>
    <w:qFormat/>
    <w:uiPriority w:val="0"/>
  </w:style>
  <w:style w:type="paragraph" w:customStyle="1" w:styleId="112">
    <w:name w:val="Título do Conteúdo"/>
    <w:basedOn w:val="109"/>
    <w:qFormat/>
    <w:uiPriority w:val="0"/>
    <w:pPr>
      <w:keepNext/>
      <w:suppressLineNumbers/>
      <w:spacing w:before="240" w:after="120" w:line="360" w:lineRule="auto"/>
      <w:jc w:val="both"/>
    </w:pPr>
    <w:rPr>
      <w:rFonts w:ascii="Arial" w:hAnsi="Arial" w:eastAsia="Times New Roman"/>
      <w:b/>
      <w:bCs/>
      <w:sz w:val="32"/>
      <w:szCs w:val="32"/>
      <w:lang w:eastAsia="ar-SA"/>
    </w:rPr>
  </w:style>
  <w:style w:type="character" w:customStyle="1" w:styleId="113">
    <w:name w:val="Unresolved Mention"/>
    <w:basedOn w:val="7"/>
    <w:semiHidden/>
    <w:unhideWhenUsed/>
    <w:qFormat/>
    <w:uiPriority w:val="99"/>
    <w:rPr>
      <w:color w:val="605E5C"/>
      <w:shd w:val="clear" w:color="auto" w:fill="E1DFDD"/>
    </w:rPr>
  </w:style>
  <w:style w:type="paragraph" w:customStyle="1" w:styleId="114">
    <w:name w:val="Default"/>
    <w:qFormat/>
    <w:uiPriority w:val="0"/>
    <w:pPr>
      <w:autoSpaceDE w:val="0"/>
      <w:autoSpaceDN w:val="0"/>
      <w:adjustRightInd w:val="0"/>
      <w:textAlignment w:val="auto"/>
    </w:pPr>
    <w:rPr>
      <w:rFonts w:ascii="Calibri" w:hAnsi="Calibri" w:eastAsia="WenQuanYi Micro Hei" w:cs="Calibri"/>
      <w:color w:val="000000"/>
      <w:sz w:val="24"/>
      <w:szCs w:val="24"/>
      <w:lang w:val="pt-BR"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2F9D9B-A10A-4DD0-9B11-62F741C79D1E}">
  <ds:schemaRefs/>
</ds:datastoreItem>
</file>

<file path=customXml/itemProps2.xml><?xml version="1.0" encoding="utf-8"?>
<ds:datastoreItem xmlns:ds="http://schemas.openxmlformats.org/officeDocument/2006/customXml" ds:itemID="{BBFD8ED6-DC5C-4AC2-A75D-A7D1347451F0}">
  <ds:schemaRefs/>
</ds:datastoreItem>
</file>

<file path=customXml/itemProps3.xml><?xml version="1.0" encoding="utf-8"?>
<ds:datastoreItem xmlns:ds="http://schemas.openxmlformats.org/officeDocument/2006/customXml" ds:itemID="{04619D80-AE0E-4FC5-8646-B7029223346D}">
  <ds:schemaRefs/>
</ds:datastoreItem>
</file>

<file path=customXml/itemProps4.xml><?xml version="1.0" encoding="utf-8"?>
<ds:datastoreItem xmlns:ds="http://schemas.openxmlformats.org/officeDocument/2006/customXml" ds:itemID="{D0FA922B-301D-4229-A9FF-8B2F047859B0}">
  <ds:schemaRefs/>
</ds:datastoreItem>
</file>

<file path=docProps/app.xml><?xml version="1.0" encoding="utf-8"?>
<Properties xmlns="http://schemas.openxmlformats.org/officeDocument/2006/extended-properties" xmlns:vt="http://schemas.openxmlformats.org/officeDocument/2006/docPropsVTypes">
  <Template>Normal</Template>
  <Pages>23</Pages>
  <Words>10241</Words>
  <Characters>55302</Characters>
  <Lines>460</Lines>
  <Paragraphs>130</Paragraphs>
  <TotalTime>2</TotalTime>
  <ScaleCrop>false</ScaleCrop>
  <LinksUpToDate>false</LinksUpToDate>
  <CharactersWithSpaces>65413</CharactersWithSpaces>
  <Application>WPS Office_11.2.0.11156_F1E327BC-269C-435d-A152-05C5408002CA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2022-03-01T13:19:00Z</dcterms:created>
  <dc:creator>Carlota Vargas Buranello</dc:creator>
  <cp:lastModifiedBy>Administrator</cp:lastModifiedBy>
  <cp:lastPrinted>2020-05-06T13:48:00Z</cp:lastPrinted>
  <dcterms:modified xsi:type="dcterms:W3CDTF">2022-06-28T13:17:23Z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1046-11.2.0.11156</vt:lpwstr>
  </property>
  <property fmtid="{D5CDD505-2E9C-101B-9397-08002B2CF9AE}" pid="4" name="ICV">
    <vt:lpwstr>D02FDB442D824EEEAB025842067009D2</vt:lpwstr>
  </property>
</Properties>
</file>